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45" w:lineRule="exact"/>
        <w:rPr>
          <w:sz w:val="24"/>
          <w:szCs w:val="24"/>
          <w:color w:val="auto"/>
        </w:rPr>
      </w:pPr>
    </w:p>
    <w:p>
      <w:pPr>
        <w:ind w:left="2020" w:hanging="1715"/>
        <w:spacing w:after="0"/>
        <w:tabs>
          <w:tab w:leader="none" w:pos="20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31, 2023</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00" w:lineRule="exact"/>
        <w:rPr>
          <w:sz w:val="24"/>
          <w:szCs w:val="24"/>
          <w:color w:val="auto"/>
        </w:rPr>
      </w:pPr>
    </w:p>
    <w:p>
      <w:pPr>
        <w:ind w:left="1860" w:hanging="1555"/>
        <w:spacing w:after="0"/>
        <w:tabs>
          <w:tab w:leader="none" w:pos="18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75"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For the transition period from ____ to ____</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80645</wp:posOffset>
            </wp:positionV>
            <wp:extent cx="129476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FTAI AVIATION LTD.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7980" w:type="dxa"/>
            <w:vAlign w:val="bottom"/>
            <w:gridSpan w:val="4"/>
          </w:tcPr>
          <w:p>
            <w:pPr>
              <w:ind w:left="3780"/>
              <w:spacing w:after="0"/>
              <w:rPr>
                <w:sz w:val="20"/>
                <w:szCs w:val="20"/>
                <w:color w:val="auto"/>
              </w:rPr>
            </w:pPr>
            <w:r>
              <w:rPr>
                <w:rFonts w:ascii="Arial" w:cs="Arial" w:eastAsia="Arial" w:hAnsi="Arial"/>
                <w:sz w:val="16"/>
                <w:szCs w:val="16"/>
                <w:color w:val="auto"/>
              </w:rPr>
              <w:t>(Exact name of registrant as specified in its charter)</w:t>
            </w:r>
          </w:p>
        </w:tc>
        <w:tc>
          <w:tcPr>
            <w:tcW w:w="3260" w:type="dxa"/>
            <w:vAlign w:val="bottom"/>
          </w:tcPr>
          <w:p>
            <w:pPr>
              <w:spacing w:after="0"/>
              <w:rPr>
                <w:sz w:val="18"/>
                <w:szCs w:val="18"/>
                <w:color w:val="auto"/>
              </w:rPr>
            </w:pPr>
          </w:p>
        </w:tc>
      </w:tr>
      <w:tr>
        <w:trPr>
          <w:trHeight w:val="232"/>
        </w:trPr>
        <w:tc>
          <w:tcPr>
            <w:tcW w:w="5480" w:type="dxa"/>
            <w:vAlign w:val="bottom"/>
            <w:tcBorders>
              <w:bottom w:val="single" w:sz="8" w:color="auto"/>
            </w:tcBorders>
          </w:tcPr>
          <w:p>
            <w:pPr>
              <w:jc w:val="center"/>
              <w:ind w:left="2279"/>
              <w:spacing w:after="0"/>
              <w:rPr>
                <w:sz w:val="20"/>
                <w:szCs w:val="20"/>
                <w:color w:val="auto"/>
              </w:rPr>
            </w:pPr>
            <w:r>
              <w:rPr>
                <w:rFonts w:ascii="Arial" w:cs="Arial" w:eastAsia="Arial" w:hAnsi="Arial"/>
                <w:sz w:val="16"/>
                <w:szCs w:val="16"/>
                <w:b w:val="1"/>
                <w:bCs w:val="1"/>
                <w:color w:val="auto"/>
              </w:rPr>
              <w:t>Cayman Islands</w:t>
            </w:r>
          </w:p>
        </w:tc>
        <w:tc>
          <w:tcPr>
            <w:tcW w:w="1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98-1420784</w:t>
            </w:r>
          </w:p>
        </w:tc>
      </w:tr>
      <w:tr>
        <w:trPr>
          <w:trHeight w:val="208"/>
        </w:trPr>
        <w:tc>
          <w:tcPr>
            <w:tcW w:w="6740" w:type="dxa"/>
            <w:vAlign w:val="bottom"/>
            <w:gridSpan w:val="2"/>
          </w:tcPr>
          <w:p>
            <w:pPr>
              <w:jc w:val="center"/>
              <w:ind w:left="999"/>
              <w:spacing w:after="0"/>
              <w:rPr>
                <w:sz w:val="20"/>
                <w:szCs w:val="20"/>
                <w:color w:val="auto"/>
              </w:rPr>
            </w:pPr>
            <w:r>
              <w:rPr>
                <w:rFonts w:ascii="Arial" w:cs="Arial" w:eastAsia="Arial" w:hAnsi="Arial"/>
                <w:sz w:val="16"/>
                <w:szCs w:val="16"/>
                <w:color w:val="auto"/>
              </w:rPr>
              <w:t>(State or other jurisdiction of incorporation or organization)</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379"/>
        </w:trPr>
        <w:tc>
          <w:tcPr>
            <w:tcW w:w="5480" w:type="dxa"/>
            <w:vAlign w:val="bottom"/>
          </w:tcPr>
          <w:p>
            <w:pPr>
              <w:ind w:left="1140"/>
              <w:spacing w:after="0"/>
              <w:rPr>
                <w:sz w:val="20"/>
                <w:szCs w:val="20"/>
                <w:color w:val="auto"/>
              </w:rPr>
            </w:pPr>
            <w:r>
              <w:rPr>
                <w:rFonts w:ascii="Arial" w:cs="Arial" w:eastAsia="Arial" w:hAnsi="Arial"/>
                <w:sz w:val="16"/>
                <w:szCs w:val="16"/>
                <w:b w:val="1"/>
                <w:bCs w:val="1"/>
                <w:color w:val="auto"/>
              </w:rPr>
              <w:t>1345 Avenue of the Americas, 45th Floor</w:t>
            </w:r>
          </w:p>
        </w:tc>
        <w:tc>
          <w:tcPr>
            <w:tcW w:w="1260" w:type="dxa"/>
            <w:vAlign w:val="bottom"/>
          </w:tcPr>
          <w:p>
            <w:pPr>
              <w:ind w:left="160"/>
              <w:spacing w:after="0"/>
              <w:rPr>
                <w:sz w:val="20"/>
                <w:szCs w:val="20"/>
                <w:color w:val="auto"/>
              </w:rPr>
            </w:pPr>
            <w:r>
              <w:rPr>
                <w:rFonts w:ascii="Arial" w:cs="Arial" w:eastAsia="Arial" w:hAnsi="Arial"/>
                <w:sz w:val="16"/>
                <w:szCs w:val="16"/>
                <w:b w:val="1"/>
                <w:bCs w:val="1"/>
                <w:color w:val="auto"/>
              </w:rPr>
              <w:t>New York</w:t>
            </w:r>
          </w:p>
        </w:tc>
        <w:tc>
          <w:tcPr>
            <w:tcW w:w="1240" w:type="dxa"/>
            <w:vAlign w:val="bottom"/>
            <w:gridSpan w:val="2"/>
          </w:tcPr>
          <w:p>
            <w:pPr>
              <w:ind w:left="360"/>
              <w:spacing w:after="0"/>
              <w:rPr>
                <w:sz w:val="20"/>
                <w:szCs w:val="20"/>
                <w:color w:val="auto"/>
              </w:rPr>
            </w:pPr>
            <w:r>
              <w:rPr>
                <w:rFonts w:ascii="Arial" w:cs="Arial" w:eastAsia="Arial" w:hAnsi="Arial"/>
                <w:sz w:val="16"/>
                <w:szCs w:val="16"/>
                <w:b w:val="1"/>
                <w:bCs w:val="1"/>
                <w:color w:val="auto"/>
              </w:rPr>
              <w:t>NY</w:t>
            </w:r>
          </w:p>
        </w:tc>
        <w:tc>
          <w:tcPr>
            <w:tcW w:w="3260" w:type="dxa"/>
            <w:vAlign w:val="bottom"/>
          </w:tcPr>
          <w:p>
            <w:pPr>
              <w:jc w:val="right"/>
              <w:ind w:right="1319"/>
              <w:spacing w:after="0"/>
              <w:rPr>
                <w:sz w:val="20"/>
                <w:szCs w:val="20"/>
                <w:color w:val="auto"/>
              </w:rPr>
            </w:pPr>
            <w:r>
              <w:rPr>
                <w:rFonts w:ascii="Arial" w:cs="Arial" w:eastAsia="Arial" w:hAnsi="Arial"/>
                <w:sz w:val="16"/>
                <w:szCs w:val="16"/>
                <w:b w:val="1"/>
                <w:bCs w:val="1"/>
                <w:color w:val="auto"/>
              </w:rPr>
              <w:t>10105</w:t>
            </w:r>
          </w:p>
        </w:tc>
      </w:tr>
      <w:tr>
        <w:trPr>
          <w:trHeight w:val="208"/>
        </w:trPr>
        <w:tc>
          <w:tcPr>
            <w:tcW w:w="5480" w:type="dxa"/>
            <w:vAlign w:val="bottom"/>
            <w:tcBorders>
              <w:top w:val="single" w:sz="8" w:color="auto"/>
            </w:tcBorders>
          </w:tcPr>
          <w:p>
            <w:pPr>
              <w:jc w:val="center"/>
              <w:ind w:left="2279"/>
              <w:spacing w:after="0"/>
              <w:rPr>
                <w:sz w:val="20"/>
                <w:szCs w:val="20"/>
                <w:color w:val="auto"/>
              </w:rPr>
            </w:pPr>
            <w:r>
              <w:rPr>
                <w:rFonts w:ascii="Arial" w:cs="Arial" w:eastAsia="Arial" w:hAnsi="Arial"/>
                <w:sz w:val="16"/>
                <w:szCs w:val="16"/>
                <w:color w:val="auto"/>
              </w:rPr>
              <w:t>(Address of principal executive offices)</w:t>
            </w:r>
          </w:p>
        </w:tc>
        <w:tc>
          <w:tcPr>
            <w:tcW w:w="1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bl>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6"/>
          <w:szCs w:val="16"/>
          <w:b w:val="1"/>
          <w:bCs w:val="1"/>
          <w:color w:val="auto"/>
        </w:rPr>
        <w:t>N/A</w:t>
      </w:r>
    </w:p>
    <w:p>
      <w:pPr>
        <w:spacing w:after="0" w:line="200" w:lineRule="exact"/>
        <w:rPr>
          <w:sz w:val="24"/>
          <w:szCs w:val="24"/>
          <w:color w:val="auto"/>
        </w:rPr>
      </w:pP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7700" w:type="dxa"/>
            <w:vAlign w:val="bottom"/>
            <w:gridSpan w:val="5"/>
          </w:tcPr>
          <w:p>
            <w:pPr>
              <w:ind w:left="3560"/>
              <w:spacing w:after="0"/>
              <w:rPr>
                <w:sz w:val="20"/>
                <w:szCs w:val="20"/>
                <w:color w:val="auto"/>
              </w:rPr>
            </w:pPr>
            <w:r>
              <w:rPr>
                <w:rFonts w:ascii="Arial" w:cs="Arial" w:eastAsia="Arial" w:hAnsi="Arial"/>
                <w:sz w:val="16"/>
                <w:szCs w:val="16"/>
                <w:color w:val="auto"/>
              </w:rPr>
              <w:t>Securities registered pursuant to Section 12(b) of the Act:</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jc w:val="center"/>
              <w:ind w:right="80"/>
              <w:spacing w:after="0"/>
              <w:rPr>
                <w:sz w:val="20"/>
                <w:szCs w:val="20"/>
                <w:color w:val="auto"/>
              </w:rPr>
            </w:pPr>
            <w:r>
              <w:rPr>
                <w:rFonts w:ascii="Arial" w:cs="Arial" w:eastAsia="Arial" w:hAnsi="Arial"/>
                <w:sz w:val="16"/>
                <w:szCs w:val="16"/>
                <w:color w:val="auto"/>
              </w:rPr>
              <w:t>Title of each class:</w:t>
            </w:r>
          </w:p>
        </w:tc>
        <w:tc>
          <w:tcPr>
            <w:tcW w:w="2680" w:type="dxa"/>
            <w:vAlign w:val="bottom"/>
            <w:gridSpan w:val="3"/>
          </w:tcPr>
          <w:p>
            <w:pPr>
              <w:jc w:val="center"/>
              <w:ind w:right="700"/>
              <w:spacing w:after="0"/>
              <w:rPr>
                <w:sz w:val="20"/>
                <w:szCs w:val="20"/>
                <w:color w:val="auto"/>
              </w:rPr>
            </w:pPr>
            <w:r>
              <w:rPr>
                <w:rFonts w:ascii="Arial" w:cs="Arial" w:eastAsia="Arial" w:hAnsi="Arial"/>
                <w:sz w:val="16"/>
                <w:szCs w:val="16"/>
                <w:color w:val="auto"/>
              </w:rPr>
              <w:t>Trading Symbol:</w:t>
            </w:r>
          </w:p>
        </w:tc>
        <w:tc>
          <w:tcPr>
            <w:tcW w:w="3540" w:type="dxa"/>
            <w:vAlign w:val="bottom"/>
          </w:tcPr>
          <w:p>
            <w:pPr>
              <w:jc w:val="center"/>
              <w:ind w:right="539"/>
              <w:spacing w:after="0"/>
              <w:rPr>
                <w:sz w:val="20"/>
                <w:szCs w:val="20"/>
                <w:color w:val="auto"/>
              </w:rPr>
            </w:pPr>
            <w:r>
              <w:rPr>
                <w:rFonts w:ascii="Arial" w:cs="Arial" w:eastAsia="Arial" w:hAnsi="Arial"/>
                <w:sz w:val="16"/>
                <w:szCs w:val="16"/>
                <w:color w:val="auto"/>
              </w:rPr>
              <w:t>Name of exchange on which registered:</w:t>
            </w:r>
          </w:p>
        </w:tc>
        <w:tc>
          <w:tcPr>
            <w:tcW w:w="0" w:type="dxa"/>
            <w:vAlign w:val="bottom"/>
          </w:tcPr>
          <w:p>
            <w:pPr>
              <w:spacing w:after="0"/>
              <w:rPr>
                <w:sz w:val="1"/>
                <w:szCs w:val="1"/>
                <w:color w:val="auto"/>
              </w:rPr>
            </w:pPr>
          </w:p>
        </w:tc>
      </w:tr>
      <w:tr>
        <w:trPr>
          <w:trHeight w:val="209"/>
        </w:trPr>
        <w:tc>
          <w:tcPr>
            <w:tcW w:w="49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Ordinary shares, $0.01 par value per share</w:t>
            </w:r>
          </w:p>
        </w:tc>
        <w:tc>
          <w:tcPr>
            <w:tcW w:w="8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FTAI</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540" w:type="dxa"/>
            <w:vAlign w:val="bottom"/>
            <w:tcBorders>
              <w:top w:val="single" w:sz="8" w:color="auto"/>
            </w:tcBorders>
          </w:tcPr>
          <w:p>
            <w:pPr>
              <w:jc w:val="center"/>
              <w:ind w:right="539"/>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r>
        <w:trPr>
          <w:trHeight w:val="163"/>
        </w:trPr>
        <w:tc>
          <w:tcPr>
            <w:tcW w:w="5020" w:type="dxa"/>
            <w:vAlign w:val="bottom"/>
            <w:gridSpan w:val="2"/>
          </w:tcPr>
          <w:p>
            <w:pPr>
              <w:jc w:val="center"/>
              <w:ind w:right="60"/>
              <w:spacing w:after="0" w:line="164" w:lineRule="exact"/>
              <w:rPr>
                <w:sz w:val="20"/>
                <w:szCs w:val="20"/>
                <w:color w:val="auto"/>
              </w:rPr>
            </w:pPr>
            <w:r>
              <w:rPr>
                <w:rFonts w:ascii="Arial" w:cs="Arial" w:eastAsia="Arial" w:hAnsi="Arial"/>
                <w:sz w:val="16"/>
                <w:szCs w:val="16"/>
                <w:color w:val="auto"/>
              </w:rPr>
              <w:t>8.25% Fixed-to-Floating Rate Series A Cumulative Perpetual</w:t>
            </w:r>
          </w:p>
        </w:tc>
        <w:tc>
          <w:tcPr>
            <w:tcW w:w="2680" w:type="dxa"/>
            <w:vAlign w:val="bottom"/>
            <w:gridSpan w:val="3"/>
            <w:vMerge w:val="restart"/>
          </w:tcPr>
          <w:p>
            <w:pPr>
              <w:jc w:val="center"/>
              <w:ind w:right="700"/>
              <w:spacing w:after="0"/>
              <w:rPr>
                <w:sz w:val="20"/>
                <w:szCs w:val="20"/>
                <w:color w:val="auto"/>
              </w:rPr>
            </w:pPr>
            <w:r>
              <w:rPr>
                <w:rFonts w:ascii="Arial" w:cs="Arial" w:eastAsia="Arial" w:hAnsi="Arial"/>
                <w:sz w:val="16"/>
                <w:szCs w:val="16"/>
                <w:color w:val="auto"/>
              </w:rPr>
              <w:t>FTAIP</w:t>
            </w:r>
          </w:p>
        </w:tc>
        <w:tc>
          <w:tcPr>
            <w:tcW w:w="3540" w:type="dxa"/>
            <w:vAlign w:val="bottom"/>
            <w:vMerge w:val="restart"/>
          </w:tcPr>
          <w:p>
            <w:pPr>
              <w:jc w:val="center"/>
              <w:ind w:right="539"/>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r>
        <w:trPr>
          <w:trHeight w:val="215"/>
        </w:trPr>
        <w:tc>
          <w:tcPr>
            <w:tcW w:w="5020" w:type="dxa"/>
            <w:vAlign w:val="bottom"/>
            <w:gridSpan w:val="2"/>
          </w:tcPr>
          <w:p>
            <w:pPr>
              <w:jc w:val="center"/>
              <w:ind w:right="60"/>
              <w:spacing w:after="0"/>
              <w:rPr>
                <w:sz w:val="20"/>
                <w:szCs w:val="20"/>
                <w:color w:val="auto"/>
              </w:rPr>
            </w:pPr>
            <w:r>
              <w:rPr>
                <w:rFonts w:ascii="Arial" w:cs="Arial" w:eastAsia="Arial" w:hAnsi="Arial"/>
                <w:sz w:val="16"/>
                <w:szCs w:val="16"/>
                <w:color w:val="auto"/>
              </w:rPr>
              <w:t>Redeemable Preferred Shares</w:t>
            </w:r>
          </w:p>
        </w:tc>
        <w:tc>
          <w:tcPr>
            <w:tcW w:w="2680" w:type="dxa"/>
            <w:vAlign w:val="bottom"/>
            <w:gridSpan w:val="3"/>
            <w:vMerge w:val="continue"/>
          </w:tcPr>
          <w:p>
            <w:pPr>
              <w:spacing w:after="0"/>
              <w:rPr>
                <w:sz w:val="18"/>
                <w:szCs w:val="18"/>
                <w:color w:val="auto"/>
              </w:rPr>
            </w:pPr>
          </w:p>
        </w:tc>
        <w:tc>
          <w:tcPr>
            <w:tcW w:w="3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jc w:val="center"/>
              <w:ind w:right="60"/>
              <w:spacing w:after="0" w:line="164" w:lineRule="exact"/>
              <w:rPr>
                <w:sz w:val="20"/>
                <w:szCs w:val="20"/>
                <w:color w:val="auto"/>
              </w:rPr>
            </w:pPr>
            <w:r>
              <w:rPr>
                <w:rFonts w:ascii="Arial" w:cs="Arial" w:eastAsia="Arial" w:hAnsi="Arial"/>
                <w:sz w:val="16"/>
                <w:szCs w:val="16"/>
                <w:color w:val="auto"/>
              </w:rPr>
              <w:t>8.00% Fixed-to-Floating Rate Series B Cumulative Perpetual</w:t>
            </w:r>
          </w:p>
        </w:tc>
        <w:tc>
          <w:tcPr>
            <w:tcW w:w="2680" w:type="dxa"/>
            <w:vAlign w:val="bottom"/>
            <w:gridSpan w:val="3"/>
            <w:vMerge w:val="restart"/>
          </w:tcPr>
          <w:p>
            <w:pPr>
              <w:jc w:val="center"/>
              <w:ind w:right="700"/>
              <w:spacing w:after="0"/>
              <w:rPr>
                <w:sz w:val="20"/>
                <w:szCs w:val="20"/>
                <w:color w:val="auto"/>
              </w:rPr>
            </w:pPr>
            <w:r>
              <w:rPr>
                <w:rFonts w:ascii="Arial" w:cs="Arial" w:eastAsia="Arial" w:hAnsi="Arial"/>
                <w:sz w:val="16"/>
                <w:szCs w:val="16"/>
                <w:color w:val="auto"/>
                <w:w w:val="97"/>
              </w:rPr>
              <w:t>FTAIO</w:t>
            </w:r>
          </w:p>
        </w:tc>
        <w:tc>
          <w:tcPr>
            <w:tcW w:w="3540" w:type="dxa"/>
            <w:vAlign w:val="bottom"/>
            <w:vMerge w:val="restart"/>
          </w:tcPr>
          <w:p>
            <w:pPr>
              <w:jc w:val="center"/>
              <w:ind w:right="539"/>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r>
        <w:trPr>
          <w:trHeight w:val="215"/>
        </w:trPr>
        <w:tc>
          <w:tcPr>
            <w:tcW w:w="5020" w:type="dxa"/>
            <w:vAlign w:val="bottom"/>
            <w:gridSpan w:val="2"/>
          </w:tcPr>
          <w:p>
            <w:pPr>
              <w:jc w:val="center"/>
              <w:ind w:right="60"/>
              <w:spacing w:after="0"/>
              <w:rPr>
                <w:sz w:val="20"/>
                <w:szCs w:val="20"/>
                <w:color w:val="auto"/>
              </w:rPr>
            </w:pPr>
            <w:r>
              <w:rPr>
                <w:rFonts w:ascii="Arial" w:cs="Arial" w:eastAsia="Arial" w:hAnsi="Arial"/>
                <w:sz w:val="16"/>
                <w:szCs w:val="16"/>
                <w:color w:val="auto"/>
              </w:rPr>
              <w:t>Redeemable Preferred Shares</w:t>
            </w:r>
          </w:p>
        </w:tc>
        <w:tc>
          <w:tcPr>
            <w:tcW w:w="2680" w:type="dxa"/>
            <w:vAlign w:val="bottom"/>
            <w:gridSpan w:val="3"/>
            <w:vMerge w:val="continue"/>
          </w:tcPr>
          <w:p>
            <w:pPr>
              <w:spacing w:after="0"/>
              <w:rPr>
                <w:sz w:val="18"/>
                <w:szCs w:val="18"/>
                <w:color w:val="auto"/>
              </w:rPr>
            </w:pPr>
          </w:p>
        </w:tc>
        <w:tc>
          <w:tcPr>
            <w:tcW w:w="3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jc w:val="center"/>
              <w:ind w:right="80"/>
              <w:spacing w:after="0" w:line="164" w:lineRule="exact"/>
              <w:rPr>
                <w:sz w:val="20"/>
                <w:szCs w:val="20"/>
                <w:color w:val="auto"/>
              </w:rPr>
            </w:pPr>
            <w:r>
              <w:rPr>
                <w:rFonts w:ascii="Arial" w:cs="Arial" w:eastAsia="Arial" w:hAnsi="Arial"/>
                <w:sz w:val="16"/>
                <w:szCs w:val="16"/>
                <w:color w:val="auto"/>
              </w:rPr>
              <w:t>8.25% Fixed-Rate Reset Series C Cumulative Perpetual</w:t>
            </w:r>
          </w:p>
        </w:tc>
        <w:tc>
          <w:tcPr>
            <w:tcW w:w="2680" w:type="dxa"/>
            <w:vAlign w:val="bottom"/>
            <w:gridSpan w:val="3"/>
            <w:vMerge w:val="restart"/>
          </w:tcPr>
          <w:p>
            <w:pPr>
              <w:jc w:val="center"/>
              <w:ind w:right="700"/>
              <w:spacing w:after="0"/>
              <w:rPr>
                <w:sz w:val="20"/>
                <w:szCs w:val="20"/>
                <w:color w:val="auto"/>
              </w:rPr>
            </w:pPr>
            <w:r>
              <w:rPr>
                <w:rFonts w:ascii="Arial" w:cs="Arial" w:eastAsia="Arial" w:hAnsi="Arial"/>
                <w:sz w:val="16"/>
                <w:szCs w:val="16"/>
                <w:color w:val="auto"/>
                <w:w w:val="99"/>
              </w:rPr>
              <w:t>FTAIN</w:t>
            </w:r>
          </w:p>
        </w:tc>
        <w:tc>
          <w:tcPr>
            <w:tcW w:w="3540" w:type="dxa"/>
            <w:vAlign w:val="bottom"/>
            <w:vMerge w:val="restart"/>
          </w:tcPr>
          <w:p>
            <w:pPr>
              <w:jc w:val="center"/>
              <w:ind w:right="539"/>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r>
        <w:trPr>
          <w:trHeight w:val="215"/>
        </w:trPr>
        <w:tc>
          <w:tcPr>
            <w:tcW w:w="5020" w:type="dxa"/>
            <w:vAlign w:val="bottom"/>
            <w:gridSpan w:val="2"/>
          </w:tcPr>
          <w:p>
            <w:pPr>
              <w:jc w:val="center"/>
              <w:ind w:right="60"/>
              <w:spacing w:after="0"/>
              <w:rPr>
                <w:sz w:val="20"/>
                <w:szCs w:val="20"/>
                <w:color w:val="auto"/>
              </w:rPr>
            </w:pPr>
            <w:r>
              <w:rPr>
                <w:rFonts w:ascii="Arial" w:cs="Arial" w:eastAsia="Arial" w:hAnsi="Arial"/>
                <w:sz w:val="16"/>
                <w:szCs w:val="16"/>
                <w:color w:val="auto"/>
              </w:rPr>
              <w:t>Redeemable Preferred Shares</w:t>
            </w:r>
          </w:p>
        </w:tc>
        <w:tc>
          <w:tcPr>
            <w:tcW w:w="2680" w:type="dxa"/>
            <w:vAlign w:val="bottom"/>
            <w:gridSpan w:val="3"/>
            <w:vMerge w:val="continue"/>
          </w:tcPr>
          <w:p>
            <w:pPr>
              <w:spacing w:after="0"/>
              <w:rPr>
                <w:sz w:val="18"/>
                <w:szCs w:val="18"/>
                <w:color w:val="auto"/>
              </w:rPr>
            </w:pPr>
          </w:p>
        </w:tc>
        <w:tc>
          <w:tcPr>
            <w:tcW w:w="3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020" w:type="dxa"/>
            <w:vAlign w:val="bottom"/>
            <w:gridSpan w:val="2"/>
          </w:tcPr>
          <w:p>
            <w:pPr>
              <w:jc w:val="center"/>
              <w:ind w:right="80"/>
              <w:spacing w:after="0" w:line="164" w:lineRule="exact"/>
              <w:rPr>
                <w:sz w:val="20"/>
                <w:szCs w:val="20"/>
                <w:color w:val="auto"/>
              </w:rPr>
            </w:pPr>
            <w:r>
              <w:rPr>
                <w:rFonts w:ascii="Arial" w:cs="Arial" w:eastAsia="Arial" w:hAnsi="Arial"/>
                <w:sz w:val="16"/>
                <w:szCs w:val="16"/>
                <w:color w:val="auto"/>
              </w:rPr>
              <w:t>9.50% Fixed-Rate Reset Series D Cumulative Perpetual</w:t>
            </w:r>
          </w:p>
        </w:tc>
        <w:tc>
          <w:tcPr>
            <w:tcW w:w="2680" w:type="dxa"/>
            <w:vAlign w:val="bottom"/>
            <w:gridSpan w:val="3"/>
            <w:vMerge w:val="restart"/>
          </w:tcPr>
          <w:p>
            <w:pPr>
              <w:jc w:val="center"/>
              <w:ind w:right="700"/>
              <w:spacing w:after="0"/>
              <w:rPr>
                <w:sz w:val="20"/>
                <w:szCs w:val="20"/>
                <w:color w:val="auto"/>
              </w:rPr>
            </w:pPr>
            <w:r>
              <w:rPr>
                <w:rFonts w:ascii="Arial" w:cs="Arial" w:eastAsia="Arial" w:hAnsi="Arial"/>
                <w:sz w:val="16"/>
                <w:szCs w:val="16"/>
                <w:color w:val="auto"/>
                <w:w w:val="95"/>
              </w:rPr>
              <w:t>FTAIM</w:t>
            </w:r>
          </w:p>
        </w:tc>
        <w:tc>
          <w:tcPr>
            <w:tcW w:w="3540" w:type="dxa"/>
            <w:vAlign w:val="bottom"/>
            <w:vMerge w:val="restart"/>
          </w:tcPr>
          <w:p>
            <w:pPr>
              <w:jc w:val="center"/>
              <w:ind w:right="539"/>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r>
        <w:trPr>
          <w:trHeight w:val="215"/>
        </w:trPr>
        <w:tc>
          <w:tcPr>
            <w:tcW w:w="5020" w:type="dxa"/>
            <w:vAlign w:val="bottom"/>
            <w:gridSpan w:val="2"/>
          </w:tcPr>
          <w:p>
            <w:pPr>
              <w:jc w:val="center"/>
              <w:ind w:right="60"/>
              <w:spacing w:after="0"/>
              <w:rPr>
                <w:sz w:val="20"/>
                <w:szCs w:val="20"/>
                <w:color w:val="auto"/>
              </w:rPr>
            </w:pPr>
            <w:r>
              <w:rPr>
                <w:rFonts w:ascii="Arial" w:cs="Arial" w:eastAsia="Arial" w:hAnsi="Arial"/>
                <w:sz w:val="16"/>
                <w:szCs w:val="16"/>
                <w:color w:val="auto"/>
              </w:rPr>
              <w:t>Redeemable Preferred Shares</w:t>
            </w:r>
          </w:p>
        </w:tc>
        <w:tc>
          <w:tcPr>
            <w:tcW w:w="2680" w:type="dxa"/>
            <w:vAlign w:val="bottom"/>
            <w:gridSpan w:val="3"/>
            <w:vMerge w:val="continue"/>
          </w:tcPr>
          <w:p>
            <w:pPr>
              <w:spacing w:after="0"/>
              <w:rPr>
                <w:sz w:val="18"/>
                <w:szCs w:val="18"/>
                <w:color w:val="auto"/>
              </w:rPr>
            </w:pPr>
          </w:p>
        </w:tc>
        <w:tc>
          <w:tcPr>
            <w:tcW w:w="3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pacing w:after="0" w:line="7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9"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 w:name="page2"/>
    <w:bookmarkEnd w:id="1"/>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2220" w:type="dxa"/>
            <w:vAlign w:val="bottom"/>
          </w:tcPr>
          <w:p>
            <w:pPr>
              <w:jc w:val="center"/>
              <w:ind w:right="539"/>
              <w:spacing w:after="0"/>
              <w:rPr>
                <w:sz w:val="20"/>
                <w:szCs w:val="20"/>
                <w:color w:val="auto"/>
              </w:rPr>
            </w:pPr>
            <w:r>
              <w:rPr>
                <w:rFonts w:ascii="Arial" w:cs="Arial" w:eastAsia="Arial" w:hAnsi="Arial"/>
                <w:sz w:val="16"/>
                <w:szCs w:val="16"/>
                <w:color w:val="auto"/>
              </w:rPr>
              <w:t>Large accelerated filer</w:t>
            </w:r>
          </w:p>
        </w:tc>
        <w:tc>
          <w:tcPr>
            <w:tcW w:w="12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220" w:type="dxa"/>
            <w:vAlign w:val="bottom"/>
          </w:tcPr>
          <w:p>
            <w:pPr>
              <w:jc w:val="center"/>
              <w:ind w:right="539"/>
              <w:spacing w:after="0"/>
              <w:rPr>
                <w:sz w:val="20"/>
                <w:szCs w:val="20"/>
                <w:color w:val="auto"/>
              </w:rPr>
            </w:pPr>
            <w:r>
              <w:rPr>
                <w:rFonts w:ascii="Arial" w:cs="Arial" w:eastAsia="Arial" w:hAnsi="Arial"/>
                <w:sz w:val="16"/>
                <w:szCs w:val="16"/>
                <w:color w:val="auto"/>
              </w:rPr>
              <w:t>Non-accelerated filer</w:t>
            </w:r>
          </w:p>
        </w:tc>
        <w:tc>
          <w:tcPr>
            <w:tcW w:w="12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40" w:type="dxa"/>
            <w:vAlign w:val="bottom"/>
          </w:tcPr>
          <w:p>
            <w:pPr>
              <w:jc w:val="center"/>
              <w:spacing w:after="0"/>
              <w:rPr>
                <w:sz w:val="20"/>
                <w:szCs w:val="20"/>
                <w:color w:val="auto"/>
              </w:rPr>
            </w:pPr>
            <w:r>
              <w:rPr>
                <w:rFonts w:ascii="Arial" w:cs="Arial" w:eastAsia="Arial" w:hAnsi="Arial"/>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0"/>
          <w:szCs w:val="20"/>
          <w:color w:val="auto"/>
        </w:rPr>
      </w:pPr>
    </w:p>
    <w:p>
      <w:pPr>
        <w:spacing w:after="0" w:line="319" w:lineRule="exact"/>
        <w:rPr>
          <w:sz w:val="20"/>
          <w:szCs w:val="20"/>
          <w:color w:val="auto"/>
        </w:rPr>
      </w:pPr>
    </w:p>
    <w:p>
      <w:pPr>
        <w:jc w:val="both"/>
        <w:ind w:right="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0"/>
          <w:szCs w:val="20"/>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4" w:lineRule="exact"/>
        <w:rPr>
          <w:sz w:val="20"/>
          <w:szCs w:val="20"/>
          <w:color w:val="auto"/>
        </w:rPr>
      </w:pPr>
    </w:p>
    <w:p>
      <w:pPr>
        <w:jc w:val="both"/>
        <w:spacing w:after="0" w:line="21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5" w:lineRule="exact"/>
        <w:rPr>
          <w:sz w:val="20"/>
          <w:szCs w:val="20"/>
          <w:color w:val="auto"/>
        </w:rPr>
      </w:pPr>
    </w:p>
    <w:p>
      <w:pPr>
        <w:jc w:val="both"/>
        <w:spacing w:after="0" w:line="213"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2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aggregate market value of the voting and non-voting ordinary equity of FTAI Aviation Ltd. held by non-affiliates as of the close of business as of June 30, 2023 was approximately $3.1 billion.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There were 100,245,905 ordinary shares outstanding at February 23, 2024.</w:t>
      </w:r>
    </w:p>
    <w:p>
      <w:pPr>
        <w:spacing w:after="0" w:line="113"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Portions of the registrant's definitive proxy statement for the registrant's 2024 annual meeting, to be filed within 120 days after the close of the registrant's fiscal year, are incorporated by reference into Part III of this Annual Report on Form 10-K.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9"/>
        </w:trPr>
        <w:tc>
          <w:tcPr>
            <w:tcW w:w="720" w:type="dxa"/>
            <w:vAlign w:val="bottom"/>
          </w:tcPr>
          <w:p>
            <w:pPr>
              <w:spacing w:after="0"/>
              <w:rPr>
                <w:sz w:val="16"/>
                <w:szCs w:val="16"/>
                <w:color w:val="auto"/>
              </w:rPr>
            </w:pPr>
          </w:p>
        </w:tc>
        <w:tc>
          <w:tcPr>
            <w:tcW w:w="8800" w:type="dxa"/>
            <w:vAlign w:val="bottom"/>
          </w:tcPr>
          <w:p>
            <w:pPr>
              <w:jc w:val="center"/>
              <w:ind w:left="948"/>
              <w:spacing w:after="0"/>
              <w:rPr>
                <w:sz w:val="20"/>
                <w:szCs w:val="20"/>
                <w:color w:val="auto"/>
              </w:rPr>
            </w:pPr>
            <w:r>
              <w:rPr>
                <w:rFonts w:ascii="Arial" w:cs="Arial" w:eastAsia="Arial" w:hAnsi="Arial"/>
                <w:sz w:val="16"/>
                <w:szCs w:val="16"/>
                <w:b w:val="1"/>
                <w:bCs w:val="1"/>
                <w:color w:val="00497F"/>
                <w:w w:val="98"/>
              </w:rPr>
              <w:t>FTAI AVIATION LTD.</w:t>
            </w:r>
          </w:p>
        </w:tc>
        <w:tc>
          <w:tcPr>
            <w:tcW w:w="1720" w:type="dxa"/>
            <w:vAlign w:val="bottom"/>
          </w:tcPr>
          <w:p>
            <w:pPr>
              <w:spacing w:after="0"/>
              <w:rPr>
                <w:sz w:val="16"/>
                <w:szCs w:val="16"/>
                <w:color w:val="auto"/>
              </w:rPr>
            </w:pPr>
          </w:p>
        </w:tc>
      </w:tr>
      <w:tr>
        <w:trPr>
          <w:trHeight w:val="223"/>
        </w:trPr>
        <w:tc>
          <w:tcPr>
            <w:tcW w:w="720" w:type="dxa"/>
            <w:vAlign w:val="bottom"/>
          </w:tcPr>
          <w:p>
            <w:pPr>
              <w:spacing w:after="0"/>
              <w:rPr>
                <w:sz w:val="19"/>
                <w:szCs w:val="19"/>
                <w:color w:val="auto"/>
              </w:rPr>
            </w:pPr>
          </w:p>
        </w:tc>
        <w:tc>
          <w:tcPr>
            <w:tcW w:w="8800" w:type="dxa"/>
            <w:vAlign w:val="bottom"/>
          </w:tcPr>
          <w:p>
            <w:pPr>
              <w:jc w:val="center"/>
              <w:ind w:left="928"/>
              <w:spacing w:after="0"/>
              <w:rPr>
                <w:sz w:val="20"/>
                <w:szCs w:val="20"/>
                <w:color w:val="auto"/>
              </w:rPr>
            </w:pPr>
            <w:r>
              <w:rPr>
                <w:rFonts w:ascii="Arial" w:cs="Arial" w:eastAsia="Arial" w:hAnsi="Arial"/>
                <w:sz w:val="16"/>
                <w:szCs w:val="16"/>
                <w:b w:val="1"/>
                <w:bCs w:val="1"/>
                <w:color w:val="00497F"/>
              </w:rPr>
              <w:t>INDEX TO FORM 10-K</w:t>
            </w:r>
          </w:p>
        </w:tc>
        <w:tc>
          <w:tcPr>
            <w:tcW w:w="1720" w:type="dxa"/>
            <w:vAlign w:val="bottom"/>
          </w:tcPr>
          <w:p>
            <w:pPr>
              <w:spacing w:after="0"/>
              <w:rPr>
                <w:sz w:val="19"/>
                <w:szCs w:val="19"/>
                <w:color w:val="auto"/>
              </w:rPr>
            </w:pPr>
          </w:p>
        </w:tc>
      </w:tr>
      <w:tr>
        <w:trPr>
          <w:trHeight w:val="222"/>
        </w:trPr>
        <w:tc>
          <w:tcPr>
            <w:tcW w:w="720" w:type="dxa"/>
            <w:vAlign w:val="bottom"/>
          </w:tcPr>
          <w:p>
            <w:pPr>
              <w:spacing w:after="0"/>
              <w:rPr>
                <w:sz w:val="19"/>
                <w:szCs w:val="19"/>
                <w:color w:val="auto"/>
              </w:rPr>
            </w:pPr>
          </w:p>
        </w:tc>
        <w:tc>
          <w:tcPr>
            <w:tcW w:w="8800" w:type="dxa"/>
            <w:vAlign w:val="bottom"/>
          </w:tcPr>
          <w:p>
            <w:pPr>
              <w:jc w:val="center"/>
              <w:ind w:left="988"/>
              <w:spacing w:after="0"/>
              <w:rPr>
                <w:sz w:val="20"/>
                <w:szCs w:val="20"/>
                <w:color w:val="auto"/>
              </w:rPr>
            </w:pPr>
            <w:r>
              <w:rPr>
                <w:rFonts w:ascii="Arial" w:cs="Arial" w:eastAsia="Arial" w:hAnsi="Arial"/>
                <w:sz w:val="14"/>
                <w:szCs w:val="14"/>
                <w:b w:val="1"/>
                <w:bCs w:val="1"/>
                <w:color w:val="00497F"/>
              </w:rPr>
              <w:t>PART I</w:t>
            </w:r>
          </w:p>
        </w:tc>
        <w:tc>
          <w:tcPr>
            <w:tcW w:w="1720" w:type="dxa"/>
            <w:vAlign w:val="bottom"/>
          </w:tcPr>
          <w:p>
            <w:pPr>
              <w:spacing w:after="0"/>
              <w:rPr>
                <w:sz w:val="19"/>
                <w:szCs w:val="19"/>
                <w:color w:val="auto"/>
              </w:rPr>
            </w:pPr>
          </w:p>
        </w:tc>
      </w:tr>
      <w:tr>
        <w:trPr>
          <w:trHeight w:val="197"/>
        </w:trPr>
        <w:tc>
          <w:tcPr>
            <w:tcW w:w="7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4"/>
                <w:szCs w:val="14"/>
                <w:color w:val="0000FF"/>
              </w:rPr>
              <w:t>Forward-Looking Statements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5</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w:t>
            </w:r>
          </w:p>
        </w:tc>
        <w:tc>
          <w:tcPr>
            <w:tcW w:w="8800" w:type="dxa"/>
            <w:vAlign w:val="bottom"/>
          </w:tcPr>
          <w:p>
            <w:pPr>
              <w:ind w:left="160"/>
              <w:spacing w:after="0"/>
              <w:rPr>
                <w:sz w:val="20"/>
                <w:szCs w:val="20"/>
                <w:color w:val="auto"/>
              </w:rPr>
            </w:pPr>
            <w:r>
              <w:rPr>
                <w:rFonts w:ascii="Arial" w:cs="Arial" w:eastAsia="Arial" w:hAnsi="Arial"/>
                <w:sz w:val="14"/>
                <w:szCs w:val="14"/>
                <w:color w:val="0000FF"/>
              </w:rPr>
              <w:t>Business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6</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1A.</w:t>
            </w:r>
          </w:p>
        </w:tc>
        <w:tc>
          <w:tcPr>
            <w:tcW w:w="8800" w:type="dxa"/>
            <w:vAlign w:val="bottom"/>
          </w:tcPr>
          <w:p>
            <w:pPr>
              <w:ind w:left="160"/>
              <w:spacing w:after="0"/>
              <w:rPr>
                <w:sz w:val="20"/>
                <w:szCs w:val="20"/>
                <w:color w:val="auto"/>
              </w:rPr>
            </w:pPr>
            <w:r>
              <w:rPr>
                <w:rFonts w:ascii="Arial" w:cs="Arial" w:eastAsia="Arial" w:hAnsi="Arial"/>
                <w:sz w:val="14"/>
                <w:szCs w:val="14"/>
                <w:color w:val="0000FF"/>
              </w:rPr>
              <w:t>Risk Factors</w:t>
            </w:r>
          </w:p>
        </w:tc>
        <w:tc>
          <w:tcPr>
            <w:tcW w:w="1720" w:type="dxa"/>
            <w:vAlign w:val="bottom"/>
          </w:tcPr>
          <w:p>
            <w:pPr>
              <w:jc w:val="center"/>
              <w:ind w:left="828"/>
              <w:spacing w:after="0"/>
              <w:rPr>
                <w:sz w:val="20"/>
                <w:szCs w:val="20"/>
                <w:color w:val="auto"/>
              </w:rPr>
            </w:pPr>
            <w:r>
              <w:rPr>
                <w:rFonts w:ascii="Arial" w:cs="Arial" w:eastAsia="Arial" w:hAnsi="Arial"/>
                <w:sz w:val="14"/>
                <w:szCs w:val="14"/>
                <w:color w:val="0000FF"/>
                <w:w w:val="89"/>
              </w:rPr>
              <w:t>11</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1B.</w:t>
            </w:r>
          </w:p>
        </w:tc>
        <w:tc>
          <w:tcPr>
            <w:tcW w:w="8800" w:type="dxa"/>
            <w:vAlign w:val="bottom"/>
          </w:tcPr>
          <w:p>
            <w:pPr>
              <w:ind w:left="160"/>
              <w:spacing w:after="0"/>
              <w:rPr>
                <w:sz w:val="20"/>
                <w:szCs w:val="20"/>
                <w:color w:val="auto"/>
              </w:rPr>
            </w:pPr>
            <w:r>
              <w:rPr>
                <w:rFonts w:ascii="Arial" w:cs="Arial" w:eastAsia="Arial" w:hAnsi="Arial"/>
                <w:sz w:val="14"/>
                <w:szCs w:val="14"/>
                <w:color w:val="0000FF"/>
              </w:rPr>
              <w:t>Unresolved Staff Comments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27</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1C.</w:t>
            </w:r>
          </w:p>
        </w:tc>
        <w:tc>
          <w:tcPr>
            <w:tcW w:w="8800" w:type="dxa"/>
            <w:vAlign w:val="bottom"/>
          </w:tcPr>
          <w:p>
            <w:pPr>
              <w:ind w:left="160"/>
              <w:spacing w:after="0"/>
              <w:rPr>
                <w:sz w:val="20"/>
                <w:szCs w:val="20"/>
                <w:color w:val="auto"/>
              </w:rPr>
            </w:pPr>
            <w:r>
              <w:rPr>
                <w:rFonts w:ascii="Arial" w:cs="Arial" w:eastAsia="Arial" w:hAnsi="Arial"/>
                <w:sz w:val="14"/>
                <w:szCs w:val="14"/>
                <w:color w:val="0000FF"/>
              </w:rPr>
              <w:t>Cybersecurity</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28</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2.</w:t>
            </w:r>
          </w:p>
        </w:tc>
        <w:tc>
          <w:tcPr>
            <w:tcW w:w="8800" w:type="dxa"/>
            <w:vAlign w:val="bottom"/>
          </w:tcPr>
          <w:p>
            <w:pPr>
              <w:ind w:left="160"/>
              <w:spacing w:after="0"/>
              <w:rPr>
                <w:sz w:val="20"/>
                <w:szCs w:val="20"/>
                <w:color w:val="auto"/>
              </w:rPr>
            </w:pPr>
            <w:r>
              <w:rPr>
                <w:rFonts w:ascii="Arial" w:cs="Arial" w:eastAsia="Arial" w:hAnsi="Arial"/>
                <w:sz w:val="14"/>
                <w:szCs w:val="14"/>
                <w:color w:val="0000FF"/>
              </w:rPr>
              <w:t>Properties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28</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3.</w:t>
            </w:r>
          </w:p>
        </w:tc>
        <w:tc>
          <w:tcPr>
            <w:tcW w:w="8800" w:type="dxa"/>
            <w:vAlign w:val="bottom"/>
          </w:tcPr>
          <w:p>
            <w:pPr>
              <w:ind w:left="160"/>
              <w:spacing w:after="0"/>
              <w:rPr>
                <w:sz w:val="20"/>
                <w:szCs w:val="20"/>
                <w:color w:val="auto"/>
              </w:rPr>
            </w:pPr>
            <w:r>
              <w:rPr>
                <w:rFonts w:ascii="Arial" w:cs="Arial" w:eastAsia="Arial" w:hAnsi="Arial"/>
                <w:sz w:val="14"/>
                <w:szCs w:val="14"/>
                <w:color w:val="0000FF"/>
              </w:rPr>
              <w:t>Legal Proceedings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28</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4.</w:t>
            </w:r>
          </w:p>
        </w:tc>
        <w:tc>
          <w:tcPr>
            <w:tcW w:w="8800" w:type="dxa"/>
            <w:vAlign w:val="bottom"/>
          </w:tcPr>
          <w:p>
            <w:pPr>
              <w:ind w:left="160"/>
              <w:spacing w:after="0"/>
              <w:rPr>
                <w:sz w:val="20"/>
                <w:szCs w:val="20"/>
                <w:color w:val="auto"/>
              </w:rPr>
            </w:pPr>
            <w:r>
              <w:rPr>
                <w:rFonts w:ascii="Arial" w:cs="Arial" w:eastAsia="Arial" w:hAnsi="Arial"/>
                <w:sz w:val="14"/>
                <w:szCs w:val="14"/>
                <w:color w:val="0000FF"/>
              </w:rPr>
              <w:t>Mine Safety Disclosures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28</w:t>
            </w:r>
          </w:p>
        </w:tc>
      </w:tr>
      <w:tr>
        <w:trPr>
          <w:trHeight w:val="208"/>
        </w:trPr>
        <w:tc>
          <w:tcPr>
            <w:tcW w:w="720" w:type="dxa"/>
            <w:vAlign w:val="bottom"/>
          </w:tcPr>
          <w:p>
            <w:pPr>
              <w:spacing w:after="0"/>
              <w:rPr>
                <w:sz w:val="18"/>
                <w:szCs w:val="18"/>
                <w:color w:val="auto"/>
              </w:rPr>
            </w:pPr>
          </w:p>
        </w:tc>
        <w:tc>
          <w:tcPr>
            <w:tcW w:w="8800" w:type="dxa"/>
            <w:vAlign w:val="bottom"/>
          </w:tcPr>
          <w:p>
            <w:pPr>
              <w:jc w:val="center"/>
              <w:ind w:left="988"/>
              <w:spacing w:after="0"/>
              <w:rPr>
                <w:sz w:val="20"/>
                <w:szCs w:val="20"/>
                <w:color w:val="auto"/>
              </w:rPr>
            </w:pPr>
            <w:r>
              <w:rPr>
                <w:rFonts w:ascii="Arial" w:cs="Arial" w:eastAsia="Arial" w:hAnsi="Arial"/>
                <w:sz w:val="14"/>
                <w:szCs w:val="14"/>
                <w:b w:val="1"/>
                <w:bCs w:val="1"/>
                <w:color w:val="00497F"/>
              </w:rPr>
              <w:t>PART II</w:t>
            </w:r>
          </w:p>
        </w:tc>
        <w:tc>
          <w:tcPr>
            <w:tcW w:w="1720" w:type="dxa"/>
            <w:vAlign w:val="bottom"/>
          </w:tcPr>
          <w:p>
            <w:pPr>
              <w:spacing w:after="0"/>
              <w:rPr>
                <w:sz w:val="18"/>
                <w:szCs w:val="18"/>
                <w:color w:val="auto"/>
              </w:rPr>
            </w:pPr>
          </w:p>
        </w:tc>
      </w:tr>
      <w:tr>
        <w:trPr>
          <w:trHeight w:val="197"/>
        </w:trPr>
        <w:tc>
          <w:tcPr>
            <w:tcW w:w="720" w:type="dxa"/>
            <w:vAlign w:val="bottom"/>
          </w:tcPr>
          <w:p>
            <w:pPr>
              <w:ind w:left="20"/>
              <w:spacing w:after="0"/>
              <w:rPr>
                <w:sz w:val="20"/>
                <w:szCs w:val="20"/>
                <w:color w:val="auto"/>
              </w:rPr>
            </w:pPr>
            <w:r>
              <w:rPr>
                <w:rFonts w:ascii="Arial" w:cs="Arial" w:eastAsia="Arial" w:hAnsi="Arial"/>
                <w:sz w:val="14"/>
                <w:szCs w:val="14"/>
                <w:color w:val="0000FF"/>
              </w:rPr>
              <w:t>Item 5.</w:t>
            </w:r>
          </w:p>
        </w:tc>
        <w:tc>
          <w:tcPr>
            <w:tcW w:w="8800" w:type="dxa"/>
            <w:vAlign w:val="bottom"/>
          </w:tcPr>
          <w:p>
            <w:pPr>
              <w:ind w:left="160"/>
              <w:spacing w:after="0"/>
              <w:rPr>
                <w:sz w:val="20"/>
                <w:szCs w:val="20"/>
                <w:color w:val="auto"/>
              </w:rPr>
            </w:pPr>
            <w:r>
              <w:rPr>
                <w:rFonts w:ascii="Arial" w:cs="Arial" w:eastAsia="Arial" w:hAnsi="Arial"/>
                <w:sz w:val="14"/>
                <w:szCs w:val="14"/>
                <w:color w:val="0000FF"/>
              </w:rPr>
              <w:t>Market for Registrant’s Common Equity, Related Stockholder Matters and Issuer Purchases of Equity Securities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29</w:t>
            </w:r>
          </w:p>
        </w:tc>
      </w:tr>
      <w:tr>
        <w:trPr>
          <w:trHeight w:val="202"/>
        </w:trPr>
        <w:tc>
          <w:tcPr>
            <w:tcW w:w="720" w:type="dxa"/>
            <w:vAlign w:val="bottom"/>
          </w:tcPr>
          <w:p>
            <w:pPr>
              <w:ind w:left="20"/>
              <w:spacing w:after="0"/>
              <w:rPr>
                <w:sz w:val="20"/>
                <w:szCs w:val="20"/>
                <w:color w:val="auto"/>
              </w:rPr>
            </w:pPr>
            <w:r>
              <w:rPr>
                <w:rFonts w:ascii="Arial" w:cs="Arial" w:eastAsia="Arial" w:hAnsi="Arial"/>
                <w:sz w:val="14"/>
                <w:szCs w:val="14"/>
                <w:color w:val="0000FF"/>
              </w:rPr>
              <w:t>Item 6.</w:t>
            </w:r>
          </w:p>
        </w:tc>
        <w:tc>
          <w:tcPr>
            <w:tcW w:w="8800" w:type="dxa"/>
            <w:vAlign w:val="bottom"/>
          </w:tcPr>
          <w:p>
            <w:pPr>
              <w:ind w:left="160"/>
              <w:spacing w:after="0"/>
              <w:rPr>
                <w:sz w:val="20"/>
                <w:szCs w:val="20"/>
                <w:color w:val="auto"/>
              </w:rPr>
            </w:pPr>
            <w:r>
              <w:rPr>
                <w:rFonts w:ascii="Arial" w:cs="Arial" w:eastAsia="Arial" w:hAnsi="Arial"/>
                <w:sz w:val="14"/>
                <w:szCs w:val="14"/>
                <w:color w:val="0000FF"/>
              </w:rPr>
              <w:t>[Reserved]</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31</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7.</w:t>
            </w:r>
          </w:p>
        </w:tc>
        <w:tc>
          <w:tcPr>
            <w:tcW w:w="8800" w:type="dxa"/>
            <w:vAlign w:val="bottom"/>
          </w:tcPr>
          <w:p>
            <w:pPr>
              <w:ind w:left="160"/>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31</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7A.</w:t>
            </w:r>
          </w:p>
        </w:tc>
        <w:tc>
          <w:tcPr>
            <w:tcW w:w="8800" w:type="dxa"/>
            <w:vAlign w:val="bottom"/>
          </w:tcPr>
          <w:p>
            <w:pPr>
              <w:ind w:left="160"/>
              <w:spacing w:after="0"/>
              <w:rPr>
                <w:sz w:val="20"/>
                <w:szCs w:val="20"/>
                <w:color w:val="auto"/>
              </w:rPr>
            </w:pPr>
            <w:r>
              <w:rPr>
                <w:rFonts w:ascii="Arial" w:cs="Arial" w:eastAsia="Arial" w:hAnsi="Arial"/>
                <w:sz w:val="14"/>
                <w:szCs w:val="14"/>
                <w:color w:val="0000FF"/>
              </w:rPr>
              <w:t>Quantitative and Qualitative Disclosures About Market Risk</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49</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8.</w:t>
            </w:r>
          </w:p>
        </w:tc>
        <w:tc>
          <w:tcPr>
            <w:tcW w:w="8800" w:type="dxa"/>
            <w:vAlign w:val="bottom"/>
          </w:tcPr>
          <w:p>
            <w:pPr>
              <w:ind w:left="160"/>
              <w:spacing w:after="0"/>
              <w:rPr>
                <w:sz w:val="20"/>
                <w:szCs w:val="20"/>
                <w:color w:val="auto"/>
              </w:rPr>
            </w:pPr>
            <w:r>
              <w:rPr>
                <w:rFonts w:ascii="Arial" w:cs="Arial" w:eastAsia="Arial" w:hAnsi="Arial"/>
                <w:sz w:val="14"/>
                <w:szCs w:val="14"/>
                <w:color w:val="0000FF"/>
              </w:rPr>
              <w:t>Consolidated Financial Statements of FTAI Aviation Ltd.:</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50</w:t>
            </w:r>
          </w:p>
        </w:tc>
      </w:tr>
      <w:tr>
        <w:trPr>
          <w:trHeight w:val="203"/>
        </w:trPr>
        <w:tc>
          <w:tcPr>
            <w:tcW w:w="7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4"/>
                <w:szCs w:val="14"/>
                <w:color w:val="0000FF"/>
              </w:rPr>
              <w:t>Report of Independent Registered Public Accounting Firm</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51</w:t>
            </w:r>
          </w:p>
        </w:tc>
      </w:tr>
      <w:tr>
        <w:trPr>
          <w:trHeight w:val="203"/>
        </w:trPr>
        <w:tc>
          <w:tcPr>
            <w:tcW w:w="7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4"/>
                <w:szCs w:val="14"/>
                <w:color w:val="0000FF"/>
              </w:rPr>
              <w:t>Consolidated Balance Sheets as of December 31, 2023 and 2022</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53</w:t>
            </w:r>
          </w:p>
        </w:tc>
      </w:tr>
      <w:tr>
        <w:trPr>
          <w:trHeight w:val="203"/>
        </w:trPr>
        <w:tc>
          <w:tcPr>
            <w:tcW w:w="7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4"/>
                <w:szCs w:val="14"/>
                <w:color w:val="0000FF"/>
              </w:rPr>
              <w:t>Consolidated Statements of Operations for the years ended December 31, 2023, 2022 and 2021</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54</w:t>
            </w:r>
          </w:p>
        </w:tc>
      </w:tr>
      <w:tr>
        <w:trPr>
          <w:trHeight w:val="203"/>
        </w:trPr>
        <w:tc>
          <w:tcPr>
            <w:tcW w:w="7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4"/>
                <w:szCs w:val="14"/>
                <w:color w:val="0000FF"/>
              </w:rPr>
              <w:t>Consolidated Statements of Comprehensive Income (Loss) for the years ended December 31, 2023, 2022 and 2021</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55</w:t>
            </w:r>
          </w:p>
        </w:tc>
      </w:tr>
      <w:tr>
        <w:trPr>
          <w:trHeight w:val="203"/>
        </w:trPr>
        <w:tc>
          <w:tcPr>
            <w:tcW w:w="7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4"/>
                <w:szCs w:val="14"/>
                <w:color w:val="0000FF"/>
              </w:rPr>
              <w:t>Consolidated Statement of Changes in Equity for the years ended December 31, 2023, 2022 and 2021</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56</w:t>
            </w:r>
          </w:p>
        </w:tc>
      </w:tr>
      <w:tr>
        <w:trPr>
          <w:trHeight w:val="203"/>
        </w:trPr>
        <w:tc>
          <w:tcPr>
            <w:tcW w:w="7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4"/>
                <w:szCs w:val="14"/>
                <w:color w:val="0000FF"/>
              </w:rPr>
              <w:t>Consolidated Statements of Cash Flows for the years ended December 31, 2023, 2022 and 2021</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57</w:t>
            </w:r>
          </w:p>
        </w:tc>
      </w:tr>
      <w:tr>
        <w:trPr>
          <w:trHeight w:val="203"/>
        </w:trPr>
        <w:tc>
          <w:tcPr>
            <w:tcW w:w="720" w:type="dxa"/>
            <w:vAlign w:val="bottom"/>
          </w:tcPr>
          <w:p>
            <w:pPr>
              <w:spacing w:after="0"/>
              <w:rPr>
                <w:sz w:val="17"/>
                <w:szCs w:val="17"/>
                <w:color w:val="auto"/>
              </w:rPr>
            </w:pPr>
          </w:p>
        </w:tc>
        <w:tc>
          <w:tcPr>
            <w:tcW w:w="8800" w:type="dxa"/>
            <w:vAlign w:val="bottom"/>
          </w:tcPr>
          <w:p>
            <w:pPr>
              <w:ind w:left="160"/>
              <w:spacing w:after="0"/>
              <w:rPr>
                <w:sz w:val="20"/>
                <w:szCs w:val="20"/>
                <w:color w:val="auto"/>
              </w:rPr>
            </w:pPr>
            <w:r>
              <w:rPr>
                <w:rFonts w:ascii="Arial" w:cs="Arial" w:eastAsia="Arial" w:hAnsi="Arial"/>
                <w:sz w:val="14"/>
                <w:szCs w:val="14"/>
                <w:color w:val="0000FF"/>
              </w:rPr>
              <w:t>Notes to Consolidated Financial Statements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59</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1: Organization</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59</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2: Summary of Significant Accounting Policies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59</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3: Discontinued Operations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64</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4: Acquisition of QuickTurn</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67</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5: Leasing Equipment, net</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69</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6: Investments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69</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7: Intangible Assets and Liabilities, net</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71</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8: Debt, net</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72</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9: Fair Value Measurements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73</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10: Equity-Based Compensation</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80</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11: Income Taxes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76</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12: Management Agreement and Affiliate Transactions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78</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13: Segment Information</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80</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14: Earnings per Share and Equity</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87</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15: Commitments and Contingencies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88</w:t>
            </w:r>
          </w:p>
        </w:tc>
      </w:tr>
      <w:tr>
        <w:trPr>
          <w:trHeight w:val="203"/>
        </w:trPr>
        <w:tc>
          <w:tcPr>
            <w:tcW w:w="720" w:type="dxa"/>
            <w:vAlign w:val="bottom"/>
          </w:tcPr>
          <w:p>
            <w:pPr>
              <w:spacing w:after="0"/>
              <w:rPr>
                <w:sz w:val="17"/>
                <w:szCs w:val="17"/>
                <w:color w:val="auto"/>
              </w:rPr>
            </w:pPr>
          </w:p>
        </w:tc>
        <w:tc>
          <w:tcPr>
            <w:tcW w:w="8800" w:type="dxa"/>
            <w:vAlign w:val="bottom"/>
          </w:tcPr>
          <w:p>
            <w:pPr>
              <w:ind w:left="380"/>
              <w:spacing w:after="0"/>
              <w:rPr>
                <w:sz w:val="20"/>
                <w:szCs w:val="20"/>
                <w:color w:val="auto"/>
              </w:rPr>
            </w:pPr>
            <w:r>
              <w:rPr>
                <w:rFonts w:ascii="Arial" w:cs="Arial" w:eastAsia="Arial" w:hAnsi="Arial"/>
                <w:sz w:val="14"/>
                <w:szCs w:val="14"/>
                <w:color w:val="0000FF"/>
              </w:rPr>
              <w:t>Note 16: Subsequent Events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88</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9.</w:t>
            </w:r>
          </w:p>
        </w:tc>
        <w:tc>
          <w:tcPr>
            <w:tcW w:w="8800" w:type="dxa"/>
            <w:vAlign w:val="bottom"/>
          </w:tcPr>
          <w:p>
            <w:pPr>
              <w:ind w:left="160"/>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89</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9A.</w:t>
            </w:r>
          </w:p>
        </w:tc>
        <w:tc>
          <w:tcPr>
            <w:tcW w:w="8800" w:type="dxa"/>
            <w:vAlign w:val="bottom"/>
          </w:tcPr>
          <w:p>
            <w:pPr>
              <w:ind w:left="160"/>
              <w:spacing w:after="0"/>
              <w:rPr>
                <w:sz w:val="20"/>
                <w:szCs w:val="20"/>
                <w:color w:val="auto"/>
              </w:rPr>
            </w:pPr>
            <w:r>
              <w:rPr>
                <w:rFonts w:ascii="Arial" w:cs="Arial" w:eastAsia="Arial" w:hAnsi="Arial"/>
                <w:sz w:val="14"/>
                <w:szCs w:val="14"/>
                <w:color w:val="0000FF"/>
              </w:rPr>
              <w:t>Controls and Procedures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89</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9B.</w:t>
            </w:r>
          </w:p>
        </w:tc>
        <w:tc>
          <w:tcPr>
            <w:tcW w:w="8800" w:type="dxa"/>
            <w:vAlign w:val="bottom"/>
          </w:tcPr>
          <w:p>
            <w:pPr>
              <w:ind w:left="160"/>
              <w:spacing w:after="0"/>
              <w:rPr>
                <w:sz w:val="20"/>
                <w:szCs w:val="20"/>
                <w:color w:val="auto"/>
              </w:rPr>
            </w:pPr>
            <w:r>
              <w:rPr>
                <w:rFonts w:ascii="Arial" w:cs="Arial" w:eastAsia="Arial" w:hAnsi="Arial"/>
                <w:sz w:val="14"/>
                <w:szCs w:val="14"/>
                <w:color w:val="0000FF"/>
              </w:rPr>
              <w:t>Other Information</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90</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9C.</w:t>
            </w:r>
          </w:p>
        </w:tc>
        <w:tc>
          <w:tcPr>
            <w:tcW w:w="8800" w:type="dxa"/>
            <w:vAlign w:val="bottom"/>
          </w:tcPr>
          <w:p>
            <w:pPr>
              <w:ind w:left="160"/>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91</w:t>
            </w:r>
          </w:p>
        </w:tc>
      </w:tr>
      <w:tr>
        <w:trPr>
          <w:trHeight w:val="209"/>
        </w:trPr>
        <w:tc>
          <w:tcPr>
            <w:tcW w:w="720" w:type="dxa"/>
            <w:vAlign w:val="bottom"/>
          </w:tcPr>
          <w:p>
            <w:pPr>
              <w:spacing w:after="0"/>
              <w:rPr>
                <w:sz w:val="18"/>
                <w:szCs w:val="18"/>
                <w:color w:val="auto"/>
              </w:rPr>
            </w:pPr>
          </w:p>
        </w:tc>
        <w:tc>
          <w:tcPr>
            <w:tcW w:w="8800" w:type="dxa"/>
            <w:vAlign w:val="bottom"/>
          </w:tcPr>
          <w:p>
            <w:pPr>
              <w:jc w:val="center"/>
              <w:ind w:left="988"/>
              <w:spacing w:after="0"/>
              <w:rPr>
                <w:sz w:val="20"/>
                <w:szCs w:val="20"/>
                <w:color w:val="auto"/>
              </w:rPr>
            </w:pPr>
            <w:r>
              <w:rPr>
                <w:rFonts w:ascii="Arial" w:cs="Arial" w:eastAsia="Arial" w:hAnsi="Arial"/>
                <w:sz w:val="14"/>
                <w:szCs w:val="14"/>
                <w:b w:val="1"/>
                <w:bCs w:val="1"/>
                <w:color w:val="00497F"/>
              </w:rPr>
              <w:t>PART III</w:t>
            </w:r>
          </w:p>
        </w:tc>
        <w:tc>
          <w:tcPr>
            <w:tcW w:w="1720" w:type="dxa"/>
            <w:vAlign w:val="bottom"/>
          </w:tcPr>
          <w:p>
            <w:pPr>
              <w:spacing w:after="0"/>
              <w:rPr>
                <w:sz w:val="18"/>
                <w:szCs w:val="18"/>
                <w:color w:val="auto"/>
              </w:rPr>
            </w:pPr>
          </w:p>
        </w:tc>
      </w:tr>
      <w:tr>
        <w:trPr>
          <w:trHeight w:val="196"/>
        </w:trPr>
        <w:tc>
          <w:tcPr>
            <w:tcW w:w="720" w:type="dxa"/>
            <w:vAlign w:val="bottom"/>
          </w:tcPr>
          <w:p>
            <w:pPr>
              <w:ind w:left="20"/>
              <w:spacing w:after="0"/>
              <w:rPr>
                <w:sz w:val="20"/>
                <w:szCs w:val="20"/>
                <w:color w:val="auto"/>
              </w:rPr>
            </w:pPr>
            <w:r>
              <w:rPr>
                <w:rFonts w:ascii="Arial" w:cs="Arial" w:eastAsia="Arial" w:hAnsi="Arial"/>
                <w:sz w:val="14"/>
                <w:szCs w:val="14"/>
                <w:color w:val="0000FF"/>
              </w:rPr>
              <w:t>Item 10.</w:t>
            </w:r>
          </w:p>
        </w:tc>
        <w:tc>
          <w:tcPr>
            <w:tcW w:w="8800" w:type="dxa"/>
            <w:vAlign w:val="bottom"/>
          </w:tcPr>
          <w:p>
            <w:pPr>
              <w:ind w:left="160"/>
              <w:spacing w:after="0"/>
              <w:rPr>
                <w:sz w:val="20"/>
                <w:szCs w:val="20"/>
                <w:color w:val="auto"/>
              </w:rPr>
            </w:pPr>
            <w:r>
              <w:rPr>
                <w:rFonts w:ascii="Arial" w:cs="Arial" w:eastAsia="Arial" w:hAnsi="Arial"/>
                <w:sz w:val="14"/>
                <w:szCs w:val="14"/>
                <w:color w:val="0000FF"/>
              </w:rPr>
              <w:t>Directors, Executive Officers and Corporate Governance</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91</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11.</w:t>
            </w:r>
          </w:p>
        </w:tc>
        <w:tc>
          <w:tcPr>
            <w:tcW w:w="8800" w:type="dxa"/>
            <w:vAlign w:val="bottom"/>
          </w:tcPr>
          <w:p>
            <w:pPr>
              <w:ind w:left="160"/>
              <w:spacing w:after="0"/>
              <w:rPr>
                <w:sz w:val="20"/>
                <w:szCs w:val="20"/>
                <w:color w:val="auto"/>
              </w:rPr>
            </w:pPr>
            <w:r>
              <w:rPr>
                <w:rFonts w:ascii="Arial" w:cs="Arial" w:eastAsia="Arial" w:hAnsi="Arial"/>
                <w:sz w:val="14"/>
                <w:szCs w:val="14"/>
                <w:color w:val="0000FF"/>
              </w:rPr>
              <w:t>Executive Compensation</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91</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12.</w:t>
            </w:r>
          </w:p>
        </w:tc>
        <w:tc>
          <w:tcPr>
            <w:tcW w:w="8800" w:type="dxa"/>
            <w:vAlign w:val="bottom"/>
          </w:tcPr>
          <w:p>
            <w:pPr>
              <w:ind w:left="160"/>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91</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13.</w:t>
            </w:r>
          </w:p>
        </w:tc>
        <w:tc>
          <w:tcPr>
            <w:tcW w:w="8800" w:type="dxa"/>
            <w:vAlign w:val="bottom"/>
          </w:tcPr>
          <w:p>
            <w:pPr>
              <w:ind w:left="160"/>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1720" w:type="dxa"/>
            <w:vAlign w:val="bottom"/>
          </w:tcPr>
          <w:p>
            <w:pPr>
              <w:jc w:val="center"/>
              <w:ind w:left="848"/>
              <w:spacing w:after="0"/>
              <w:rPr>
                <w:sz w:val="20"/>
                <w:szCs w:val="20"/>
                <w:color w:val="auto"/>
              </w:rPr>
            </w:pPr>
            <w:r>
              <w:rPr>
                <w:rFonts w:ascii="Arial" w:cs="Arial" w:eastAsia="Arial" w:hAnsi="Arial"/>
                <w:sz w:val="14"/>
                <w:szCs w:val="14"/>
                <w:color w:val="0000FF"/>
              </w:rPr>
              <w:t>91</w:t>
            </w:r>
          </w:p>
        </w:tc>
      </w:tr>
      <w:tr>
        <w:trPr>
          <w:trHeight w:val="918"/>
        </w:trPr>
        <w:tc>
          <w:tcPr>
            <w:tcW w:w="720" w:type="dxa"/>
            <w:vAlign w:val="bottom"/>
          </w:tcPr>
          <w:p>
            <w:pPr>
              <w:spacing w:after="0"/>
              <w:rPr>
                <w:sz w:val="24"/>
                <w:szCs w:val="24"/>
                <w:color w:val="auto"/>
              </w:rPr>
            </w:pPr>
          </w:p>
        </w:tc>
        <w:tc>
          <w:tcPr>
            <w:tcW w:w="8800" w:type="dxa"/>
            <w:vAlign w:val="bottom"/>
          </w:tcPr>
          <w:p>
            <w:pPr>
              <w:jc w:val="center"/>
              <w:ind w:left="928"/>
              <w:spacing w:after="0"/>
              <w:rPr>
                <w:sz w:val="20"/>
                <w:szCs w:val="20"/>
                <w:color w:val="auto"/>
              </w:rPr>
            </w:pPr>
            <w:r>
              <w:rPr>
                <w:rFonts w:ascii="Arial" w:cs="Arial" w:eastAsia="Arial" w:hAnsi="Arial"/>
                <w:sz w:val="14"/>
                <w:szCs w:val="14"/>
                <w:color w:val="auto"/>
              </w:rPr>
              <w:t>3</w:t>
            </w:r>
          </w:p>
        </w:tc>
        <w:tc>
          <w:tcPr>
            <w:tcW w:w="1720" w:type="dxa"/>
            <w:vAlign w:val="bottom"/>
          </w:tcPr>
          <w:p>
            <w:pPr>
              <w:spacing w:after="0"/>
              <w:rPr>
                <w:sz w:val="24"/>
                <w:szCs w:val="24"/>
                <w:color w:val="auto"/>
              </w:rPr>
            </w:pPr>
          </w:p>
        </w:tc>
      </w:tr>
      <w:tr>
        <w:trPr>
          <w:trHeight w:val="96"/>
        </w:trPr>
        <w:tc>
          <w:tcPr>
            <w:tcW w:w="720" w:type="dxa"/>
            <w:vAlign w:val="bottom"/>
            <w:tcBorders>
              <w:bottom w:val="single" w:sz="8" w:color="9A9A9A"/>
            </w:tcBorders>
          </w:tcPr>
          <w:p>
            <w:pPr>
              <w:spacing w:after="0"/>
              <w:rPr>
                <w:sz w:val="8"/>
                <w:szCs w:val="8"/>
                <w:color w:val="auto"/>
              </w:rPr>
            </w:pPr>
          </w:p>
        </w:tc>
        <w:tc>
          <w:tcPr>
            <w:tcW w:w="880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0"/>
        </w:trPr>
        <w:tc>
          <w:tcPr>
            <w:tcW w:w="720" w:type="dxa"/>
            <w:vAlign w:val="bottom"/>
          </w:tcPr>
          <w:p>
            <w:pPr>
              <w:ind w:left="20"/>
              <w:spacing w:after="0"/>
              <w:rPr>
                <w:sz w:val="20"/>
                <w:szCs w:val="20"/>
                <w:color w:val="auto"/>
              </w:rPr>
            </w:pPr>
            <w:r>
              <w:rPr>
                <w:rFonts w:ascii="Arial" w:cs="Arial" w:eastAsia="Arial" w:hAnsi="Arial"/>
                <w:sz w:val="14"/>
                <w:szCs w:val="14"/>
                <w:color w:val="0000FF"/>
              </w:rPr>
              <w:t>Item 14.</w:t>
            </w:r>
          </w:p>
        </w:tc>
        <w:tc>
          <w:tcPr>
            <w:tcW w:w="3680" w:type="dxa"/>
            <w:vAlign w:val="bottom"/>
          </w:tcPr>
          <w:p>
            <w:pPr>
              <w:ind w:left="160"/>
              <w:spacing w:after="0"/>
              <w:rPr>
                <w:sz w:val="20"/>
                <w:szCs w:val="20"/>
                <w:color w:val="auto"/>
              </w:rPr>
            </w:pPr>
            <w:r>
              <w:rPr>
                <w:rFonts w:ascii="Arial" w:cs="Arial" w:eastAsia="Arial" w:hAnsi="Arial"/>
                <w:sz w:val="14"/>
                <w:szCs w:val="14"/>
                <w:color w:val="0000FF"/>
              </w:rPr>
              <w:t>Principal Accountant Fees and Services</w:t>
            </w:r>
          </w:p>
        </w:tc>
        <w:tc>
          <w:tcPr>
            <w:tcW w:w="6840" w:type="dxa"/>
            <w:vAlign w:val="bottom"/>
          </w:tcPr>
          <w:p>
            <w:pPr>
              <w:jc w:val="right"/>
              <w:ind w:right="248"/>
              <w:spacing w:after="0"/>
              <w:rPr>
                <w:sz w:val="20"/>
                <w:szCs w:val="20"/>
                <w:color w:val="auto"/>
              </w:rPr>
            </w:pPr>
            <w:r>
              <w:rPr>
                <w:rFonts w:ascii="Arial" w:cs="Arial" w:eastAsia="Arial" w:hAnsi="Arial"/>
                <w:sz w:val="14"/>
                <w:szCs w:val="14"/>
                <w:color w:val="0000FF"/>
              </w:rPr>
              <w:t>91</w:t>
            </w:r>
          </w:p>
        </w:tc>
      </w:tr>
      <w:tr>
        <w:trPr>
          <w:trHeight w:val="208"/>
        </w:trPr>
        <w:tc>
          <w:tcPr>
            <w:tcW w:w="7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840" w:type="dxa"/>
            <w:vAlign w:val="bottom"/>
          </w:tcPr>
          <w:p>
            <w:pPr>
              <w:jc w:val="right"/>
              <w:ind w:right="5248"/>
              <w:spacing w:after="0"/>
              <w:rPr>
                <w:sz w:val="20"/>
                <w:szCs w:val="20"/>
                <w:color w:val="auto"/>
              </w:rPr>
            </w:pPr>
            <w:r>
              <w:rPr>
                <w:rFonts w:ascii="Arial" w:cs="Arial" w:eastAsia="Arial" w:hAnsi="Arial"/>
                <w:sz w:val="14"/>
                <w:szCs w:val="14"/>
                <w:b w:val="1"/>
                <w:bCs w:val="1"/>
                <w:color w:val="00497F"/>
              </w:rPr>
              <w:t>PART IV</w:t>
            </w:r>
          </w:p>
        </w:tc>
      </w:tr>
      <w:tr>
        <w:trPr>
          <w:trHeight w:val="197"/>
        </w:trPr>
        <w:tc>
          <w:tcPr>
            <w:tcW w:w="720" w:type="dxa"/>
            <w:vAlign w:val="bottom"/>
          </w:tcPr>
          <w:p>
            <w:pPr>
              <w:ind w:left="20"/>
              <w:spacing w:after="0"/>
              <w:rPr>
                <w:sz w:val="20"/>
                <w:szCs w:val="20"/>
                <w:color w:val="auto"/>
              </w:rPr>
            </w:pPr>
            <w:r>
              <w:rPr>
                <w:rFonts w:ascii="Arial" w:cs="Arial" w:eastAsia="Arial" w:hAnsi="Arial"/>
                <w:sz w:val="14"/>
                <w:szCs w:val="14"/>
                <w:color w:val="0000FF"/>
              </w:rPr>
              <w:t>Item 15.</w:t>
            </w:r>
          </w:p>
        </w:tc>
        <w:tc>
          <w:tcPr>
            <w:tcW w:w="3680" w:type="dxa"/>
            <w:vAlign w:val="bottom"/>
          </w:tcPr>
          <w:p>
            <w:pPr>
              <w:ind w:left="160"/>
              <w:spacing w:after="0"/>
              <w:rPr>
                <w:sz w:val="20"/>
                <w:szCs w:val="20"/>
                <w:color w:val="auto"/>
              </w:rPr>
            </w:pPr>
            <w:r>
              <w:rPr>
                <w:rFonts w:ascii="Arial" w:cs="Arial" w:eastAsia="Arial" w:hAnsi="Arial"/>
                <w:sz w:val="14"/>
                <w:szCs w:val="14"/>
                <w:color w:val="0000FF"/>
              </w:rPr>
              <w:t>Exhibits</w:t>
            </w:r>
          </w:p>
        </w:tc>
        <w:tc>
          <w:tcPr>
            <w:tcW w:w="6840" w:type="dxa"/>
            <w:vAlign w:val="bottom"/>
          </w:tcPr>
          <w:p>
            <w:pPr>
              <w:jc w:val="right"/>
              <w:ind w:right="248"/>
              <w:spacing w:after="0"/>
              <w:rPr>
                <w:sz w:val="20"/>
                <w:szCs w:val="20"/>
                <w:color w:val="auto"/>
              </w:rPr>
            </w:pPr>
            <w:r>
              <w:rPr>
                <w:rFonts w:ascii="Arial" w:cs="Arial" w:eastAsia="Arial" w:hAnsi="Arial"/>
                <w:sz w:val="14"/>
                <w:szCs w:val="14"/>
                <w:color w:val="0000FF"/>
              </w:rPr>
              <w:t>91</w:t>
            </w:r>
          </w:p>
        </w:tc>
      </w:tr>
      <w:tr>
        <w:trPr>
          <w:trHeight w:val="203"/>
        </w:trPr>
        <w:tc>
          <w:tcPr>
            <w:tcW w:w="720" w:type="dxa"/>
            <w:vAlign w:val="bottom"/>
          </w:tcPr>
          <w:p>
            <w:pPr>
              <w:ind w:left="20"/>
              <w:spacing w:after="0"/>
              <w:rPr>
                <w:sz w:val="20"/>
                <w:szCs w:val="20"/>
                <w:color w:val="auto"/>
              </w:rPr>
            </w:pPr>
            <w:r>
              <w:rPr>
                <w:rFonts w:ascii="Arial" w:cs="Arial" w:eastAsia="Arial" w:hAnsi="Arial"/>
                <w:sz w:val="14"/>
                <w:szCs w:val="14"/>
                <w:color w:val="0000FF"/>
              </w:rPr>
              <w:t>Item 16.</w:t>
            </w:r>
          </w:p>
        </w:tc>
        <w:tc>
          <w:tcPr>
            <w:tcW w:w="3680" w:type="dxa"/>
            <w:vAlign w:val="bottom"/>
          </w:tcPr>
          <w:p>
            <w:pPr>
              <w:ind w:left="160"/>
              <w:spacing w:after="0"/>
              <w:rPr>
                <w:sz w:val="20"/>
                <w:szCs w:val="20"/>
                <w:color w:val="auto"/>
              </w:rPr>
            </w:pPr>
            <w:r>
              <w:rPr>
                <w:rFonts w:ascii="Arial" w:cs="Arial" w:eastAsia="Arial" w:hAnsi="Arial"/>
                <w:sz w:val="14"/>
                <w:szCs w:val="14"/>
                <w:color w:val="0000FF"/>
              </w:rPr>
              <w:t>Form 10-K Summary</w:t>
            </w:r>
          </w:p>
        </w:tc>
        <w:tc>
          <w:tcPr>
            <w:tcW w:w="6840" w:type="dxa"/>
            <w:vAlign w:val="bottom"/>
          </w:tcPr>
          <w:p>
            <w:pPr>
              <w:jc w:val="right"/>
              <w:ind w:right="248"/>
              <w:spacing w:after="0"/>
              <w:rPr>
                <w:sz w:val="20"/>
                <w:szCs w:val="20"/>
                <w:color w:val="auto"/>
              </w:rPr>
            </w:pPr>
            <w:r>
              <w:rPr>
                <w:rFonts w:ascii="Arial" w:cs="Arial" w:eastAsia="Arial" w:hAnsi="Arial"/>
                <w:sz w:val="14"/>
                <w:szCs w:val="14"/>
                <w:color w:val="0000FF"/>
              </w:rPr>
              <w:t>93</w:t>
            </w:r>
          </w:p>
        </w:tc>
      </w:tr>
      <w:tr>
        <w:trPr>
          <w:trHeight w:val="203"/>
        </w:trPr>
        <w:tc>
          <w:tcPr>
            <w:tcW w:w="720" w:type="dxa"/>
            <w:vAlign w:val="bottom"/>
          </w:tcPr>
          <w:p>
            <w:pPr>
              <w:spacing w:after="0"/>
              <w:rPr>
                <w:sz w:val="17"/>
                <w:szCs w:val="17"/>
                <w:color w:val="auto"/>
              </w:rPr>
            </w:pPr>
          </w:p>
        </w:tc>
        <w:tc>
          <w:tcPr>
            <w:tcW w:w="3680" w:type="dxa"/>
            <w:vAlign w:val="bottom"/>
          </w:tcPr>
          <w:p>
            <w:pPr>
              <w:ind w:left="160"/>
              <w:spacing w:after="0"/>
              <w:rPr>
                <w:sz w:val="20"/>
                <w:szCs w:val="20"/>
                <w:color w:val="auto"/>
              </w:rPr>
            </w:pPr>
            <w:r>
              <w:rPr>
                <w:rFonts w:ascii="Arial" w:cs="Arial" w:eastAsia="Arial" w:hAnsi="Arial"/>
                <w:sz w:val="14"/>
                <w:szCs w:val="14"/>
                <w:color w:val="0000FF"/>
              </w:rPr>
              <w:t>Signatures</w:t>
            </w:r>
          </w:p>
        </w:tc>
        <w:tc>
          <w:tcPr>
            <w:tcW w:w="6840" w:type="dxa"/>
            <w:vAlign w:val="bottom"/>
          </w:tcPr>
          <w:p>
            <w:pPr>
              <w:jc w:val="right"/>
              <w:ind w:right="248"/>
              <w:spacing w:after="0"/>
              <w:rPr>
                <w:sz w:val="20"/>
                <w:szCs w:val="20"/>
                <w:color w:val="auto"/>
              </w:rPr>
            </w:pPr>
            <w:r>
              <w:rPr>
                <w:rFonts w:ascii="Arial" w:cs="Arial" w:eastAsia="Arial" w:hAnsi="Arial"/>
                <w:sz w:val="14"/>
                <w:szCs w:val="14"/>
                <w:color w:val="0000FF"/>
              </w:rPr>
              <w:t>93</w:t>
            </w:r>
          </w:p>
        </w:tc>
      </w:tr>
      <w:tr>
        <w:trPr>
          <w:trHeight w:val="918"/>
        </w:trPr>
        <w:tc>
          <w:tcPr>
            <w:tcW w:w="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840" w:type="dxa"/>
            <w:vAlign w:val="bottom"/>
          </w:tcPr>
          <w:p>
            <w:pPr>
              <w:jc w:val="right"/>
              <w:ind w:right="5508"/>
              <w:spacing w:after="0"/>
              <w:rPr>
                <w:sz w:val="20"/>
                <w:szCs w:val="20"/>
                <w:color w:val="auto"/>
              </w:rPr>
            </w:pPr>
            <w:r>
              <w:rPr>
                <w:rFonts w:ascii="Arial" w:cs="Arial" w:eastAsia="Arial" w:hAnsi="Arial"/>
                <w:sz w:val="14"/>
                <w:szCs w:val="14"/>
                <w:color w:val="auto"/>
              </w:rPr>
              <w:t>4</w:t>
            </w:r>
          </w:p>
        </w:tc>
      </w:tr>
      <w:tr>
        <w:trPr>
          <w:trHeight w:val="110"/>
        </w:trPr>
        <w:tc>
          <w:tcPr>
            <w:tcW w:w="72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6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00497F"/>
        </w:rPr>
        <w:t>FORWARD-LOOKING STATEMENTS AND RISK FACTORS SUMMARY</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The following is a summary of the principal risk factors that make investing in our securities risky and may materially adversely affect our business, financial condition, results of operations and cash flows. This summary should be read in conjunction with the more complete discussion of the risk factors we face, which are set forth in Item 1A. “Risk Factors” of this report. We believe that these factors include, but are not limited to:</w:t>
      </w:r>
    </w:p>
    <w:p>
      <w:pPr>
        <w:spacing w:after="0" w:line="265" w:lineRule="exact"/>
        <w:rPr>
          <w:sz w:val="20"/>
          <w:szCs w:val="20"/>
          <w:color w:val="auto"/>
        </w:rPr>
      </w:pPr>
    </w:p>
    <w:p>
      <w:pPr>
        <w:ind w:left="820" w:right="20" w:hanging="326"/>
        <w:spacing w:after="0" w:line="290" w:lineRule="auto"/>
        <w:tabs>
          <w:tab w:leader="none" w:pos="809"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 including, but not limited to, the Russia-Ukraine conflict and any related responses or actions by businesses and governments;</w:t>
      </w:r>
    </w:p>
    <w:p>
      <w:pPr>
        <w:ind w:left="820" w:hanging="326"/>
        <w:spacing w:after="0" w:line="290" w:lineRule="auto"/>
        <w:tabs>
          <w:tab w:leader="none" w:pos="809" w:val="left"/>
        </w:tabs>
        <w:numPr>
          <w:ilvl w:val="0"/>
          <w:numId w:val="3"/>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renew existing contracts and enter into new contracts with existing or potential customers;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within the aviation industry;</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partnerships, consortium arrangements or other collaborations with third parties;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72" w:lineRule="exact"/>
        <w:rPr>
          <w:rFonts w:ascii="Arial" w:cs="Arial" w:eastAsia="Arial" w:hAnsi="Arial"/>
          <w:sz w:val="16"/>
          <w:szCs w:val="16"/>
          <w:color w:val="auto"/>
        </w:rPr>
      </w:pPr>
    </w:p>
    <w:p>
      <w:pPr>
        <w:ind w:left="820" w:hanging="326"/>
        <w:spacing w:after="0" w:line="281" w:lineRule="auto"/>
        <w:tabs>
          <w:tab w:leader="none" w:pos="80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1"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environmental risks, including natural disasters, increasing environmental legislation and the broader impacts of climate change;</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59" w:lineRule="exact"/>
        <w:rPr>
          <w:rFonts w:ascii="Arial" w:cs="Arial" w:eastAsia="Arial" w:hAnsi="Arial"/>
          <w:sz w:val="16"/>
          <w:szCs w:val="16"/>
          <w:color w:val="auto"/>
        </w:rPr>
      </w:pPr>
    </w:p>
    <w:p>
      <w:pPr>
        <w:ind w:left="820" w:hanging="326"/>
        <w:spacing w:after="0" w:line="290" w:lineRule="auto"/>
        <w:tabs>
          <w:tab w:leader="none" w:pos="809"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ind w:left="800" w:hanging="306"/>
        <w:spacing w:after="0"/>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 w:name="page6"/>
    <w:bookmarkEnd w:id="5"/>
    <w:p>
      <w:pPr>
        <w:ind w:left="820" w:hanging="326"/>
        <w:spacing w:after="0" w:line="286" w:lineRule="auto"/>
        <w:tabs>
          <w:tab w:leader="none" w:pos="809" w:val="left"/>
        </w:tabs>
        <w:numPr>
          <w:ilvl w:val="0"/>
          <w:numId w:val="4"/>
        </w:numPr>
        <w:rPr>
          <w:rFonts w:ascii="Arial" w:cs="Arial" w:eastAsia="Arial" w:hAnsi="Arial"/>
          <w:sz w:val="16"/>
          <w:szCs w:val="16"/>
          <w:color w:val="auto"/>
        </w:rPr>
      </w:pPr>
      <w:r>
        <w:rPr>
          <w:rFonts w:ascii="Arial" w:cs="Arial" w:eastAsia="Arial" w:hAnsi="Arial"/>
          <w:sz w:val="16"/>
          <w:szCs w:val="16"/>
          <w:color w:val="auto"/>
        </w:rPr>
        <w:t>effects of the pending acquisition of SoftBank Group Corp’s equity in Fortress Investment Group LLC (“Fortress”) by certain members of management of Fortress and Mubadala Capital;</w:t>
      </w:r>
    </w:p>
    <w:p>
      <w:pPr>
        <w:spacing w:after="0" w:line="7" w:lineRule="exact"/>
        <w:rPr>
          <w:rFonts w:ascii="Arial" w:cs="Arial" w:eastAsia="Arial" w:hAnsi="Arial"/>
          <w:sz w:val="16"/>
          <w:szCs w:val="16"/>
          <w:color w:val="auto"/>
        </w:rPr>
      </w:pPr>
    </w:p>
    <w:p>
      <w:pPr>
        <w:ind w:left="800" w:hanging="30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volatility in the market price of our shares;</w:t>
      </w:r>
    </w:p>
    <w:p>
      <w:pPr>
        <w:spacing w:after="0" w:line="59" w:lineRule="exact"/>
        <w:rPr>
          <w:rFonts w:ascii="Arial" w:cs="Arial" w:eastAsia="Arial" w:hAnsi="Arial"/>
          <w:sz w:val="16"/>
          <w:szCs w:val="16"/>
          <w:color w:val="auto"/>
        </w:rPr>
      </w:pPr>
    </w:p>
    <w:p>
      <w:pPr>
        <w:ind w:left="800" w:hanging="30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72" w:lineRule="exact"/>
        <w:rPr>
          <w:rFonts w:ascii="Arial" w:cs="Arial" w:eastAsia="Arial" w:hAnsi="Arial"/>
          <w:sz w:val="16"/>
          <w:szCs w:val="16"/>
          <w:color w:val="auto"/>
        </w:rPr>
      </w:pPr>
    </w:p>
    <w:p>
      <w:pPr>
        <w:ind w:left="800" w:hanging="30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PART 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 Business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Company</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FTAI Aviation Ltd., a Cayman Islands exempted company, was formed on December 8, 2017 and is the surviving parent company upon completion of the transactions completed in that certain Agreement and Plan of Merger (the “Merger”) on November 10, 2022 between Fortress Transportation and Infrastructure Investors LLC and FTAI Aviation Ltd. and certain other parties thereto. Except as otherwise specified, “we”, “us”, “our”, “FTAI”, “FTAI Aviation” or “the Company” refer to us and our consolidated subsidiaries. Our business has been, and will continue to be, conducted through FTAI Aviation Holdco Ltd. (“Holdco”) for the purpose of acquiring, managing and disposing of transportation and transportation-related equipment assets.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are externally managed by FIG LLC (the “Manager”), an affiliate of Fortress Investment Group LLC, which has a dedicated team of experienced professionals focused on the acquisition of transportation and infrastructure assets since 2002. On May 22, 2023, Fortress and Mubadala Investment Company, through its wholly owned asset management subsidiary Mubadala Capital (“Mubadala”), announced that they have entered into definitive agreements pursuant to which, among other things, certain members of Fortress management and affiliates of Mubadala will acquire 100% of the equity of Fortress that is currently indirectly held by SoftBank Group Corp. (“SoftBank”). After the closing of the transaction, Fortress will continue to operate as an independent investment manager under the Fortress brand, with autonomy over investment processes and decision making, personnel and operations.</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own and acquire high quality aviation equipment that is essential for the transportation of goods and people globally. Additionally, we own and lease offshore energy equipment. We target assets that, on a combined basis, generate strong cash flows with potential for earnings growth. We believe that there are a large number of acquisition opportunities in our markets and that our Manager’s expertise and business and financing relationships, together with our access to capital, will allow us to take advantage of these opportunities. As of December 31, 2023, we had total consolidated assets of $3.0 billion and total equity of $175.9 million.</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December 31, 2023, our operations consisted of Aviation Leasing and Aerospace Products. Our Aviation Leasing business acquires assets that are designed to carry cargo or people. Aviation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 Our Aerospace Products business develops and manufactures through a joint venture, and repairs and sells, through our maintenance facility and exclusivity arrangements, aftermarket components for aircraft engines.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Strategy</w:t>
      </w:r>
    </w:p>
    <w:p>
      <w:pPr>
        <w:spacing w:after="0" w:line="12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general, we seek to own a diverse mix of high-quality aviation assets and equipment within our target sectors that generate predictable cash flows in markets that we believe provide the potential for strong long-term growth and attractive returns on deployed capital. We believe that by investing in a diverse mix of assets, we can select from among the best risk-adjusted investment opportunities.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take a proactive investment approach by identifying key secular trends as they emerge within our target sectors and then pursuing what we believe are the most compelling opportunities within those sectors. We look for unique investments, including assets that are distressed or undervalued, or where we believe that we can add value through active management. We consider investments across the size spectrum, including smaller opportunities often overlooked by other investors, particularly where we believe we may be able to grow the investment over time. We believe one of our strengths is our ability to create attractive follow-on investment opportunities and deploy incremental capital within our existing portfolio.</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Within each sector, we consider investments in aviation and offshore assets, including equipment that we lease to operators. We believe that as owners of both aviation and offshore assets, we have access to more opportunities and can be a more attractive counterparty to the users of our assets. Our Manager has significant prior experience in all of our target sectors, as well as a network of industry relationships, that we believe positions us well to make successful acquisitions and to actively manage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 w:name="page7"/>
    <w:bookmarkEnd w:id="6"/>
    <w:p>
      <w:pPr>
        <w:jc w:val="both"/>
        <w:ind w:right="20"/>
        <w:spacing w:after="0" w:line="286" w:lineRule="auto"/>
        <w:rPr>
          <w:sz w:val="20"/>
          <w:szCs w:val="20"/>
          <w:color w:val="auto"/>
        </w:rPr>
      </w:pPr>
      <w:r>
        <w:rPr>
          <w:rFonts w:ascii="Arial" w:cs="Arial" w:eastAsia="Arial" w:hAnsi="Arial"/>
          <w:sz w:val="16"/>
          <w:szCs w:val="16"/>
          <w:color w:val="auto"/>
        </w:rPr>
        <w:t>improve operations and cash flows of our existing and newly-acquired assets. These relationships include senior executives at lessors and operators, end users of aviation and offshore energy assets, as well as banks, lenders and other asset owners.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Asset Acquisition Process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strategy is to acquire assets that are essential to the transportation of goods and people globally. We acquire assets that are used by major operators of transportation networks. We seek to acquire assets and businesses that we believe operate in sectors with long-term macroeconomic growth opportunities and that have significant cash flow and upside potential from earnings growth and asset appreciation.</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approach markets and opportunities by first developing an asset acquisition strategy with our Manager and then pursuing optimal opportunities within that strategy. In addition to relying on our own experience, we source new opportunities through our Manager’s network of industry relationships in order to find, structure and execute attractive acquisitions. These relationships include senior executives at industry leading operators, end users of the assets as well as banks, lenders and other asset owners. We believe that sourcing assets both globally and through multiple channels will enable us to find the most attractive opportunities. We are selective in the assets we pursue and efficient in the manner in which we pursue them.</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Once attractive opportunities are identified, our Manager performs detailed due diligence on each of our potential acquisitions. Due diligence on each of our assets always includes a comprehensive review of the asset itself as well as the industry and market dynamics, competitive positioning, and financial and operational performance. Where appropriate, our Manager conducts physical inspections, a review of the credit quality of each of our counterparties, the regulatory environment, and a review of all material documentation. In some cases, third-party specialists are hired to physically inspect and/or value the target assets.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and our Manager also spend a significant amount of time on structuring our acquisitions to minimize risks while also optimizing expected returns. We employ what we believe to be reasonable amounts of leverage in connection with our acquisitions. In determining the amount of leverage for each acquisition, we consider a number of characteristics, including, but not limited to, the existing cash flow, the length of the lease or contract term, and the specific counterparty.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Management Agreement and Services and Profit Sharing Agreement</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July 31, 2022, in connection with our spin-off, we entered into a new management agreement with the Manager (the “Management Agreement”), an affiliate of Fortress, pursuant to which 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On November 10, 2022, in connection with the closing of the Merger, we entered into a Services and Profit Sharing Agreement, pursuant to which the Master GP is entitled to receive incentive payments on substantially similar terms as it was entitled to receive such payments prior to the Merger.</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Please refer to Note 12 of our consolidated financial statements included in Item 8 in this Annual Report on Form 10-K for further details regarding our Management Agreement and Services and Profit Sharing Agreement.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0497F"/>
        </w:rPr>
        <w:t>Our Portfolio</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own and acquire high quality aviation and offshore energy equipment that is essential for the transportation of goods and people globally. We currently invest across two market sectors: aviation leasing and aerospace products. We target assets that, on a combined basis, generate strong and stable cash flows with the potential for earnings growth and asset appreciation.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Aviation Leasing</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2023, in our Aviation Leasing segment, we own and manage 363 aviation assets, consisting of 96 commercial aircraft and 267 engines, including eight aircraft and seventeen engines that were still located in Russia.</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December 31, 2023, 76 of our commercial aircraft and 175 of our engines were leased to operators or other third parties. Aviation assets currently off lease are either undergoing repair and/or maintenance, being prepared to go on lease or held in short term storage awaiting a future lease. Our aviation equipment was approximately 77% utilized during the three months ended December 31, 2023, based on the percent of days on-lease in the quarter weighted by the monthly average equity value of our aviation leasing equipment, excluding airframes. Our aircraft currently have a weighted average remaining lease term of 47 months, and our engines currently on-lease have an average remaining lease term of 16 months. The table below provides additional information on the assets in our Aviation Leasing segment: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shd w:val="clear" w:color="auto" w:fill="00497F"/>
          </w:tcPr>
          <w:p>
            <w:pPr>
              <w:spacing w:after="0"/>
              <w:rPr>
                <w:sz w:val="17"/>
                <w:szCs w:val="17"/>
                <w:color w:val="auto"/>
              </w:rPr>
            </w:pPr>
          </w:p>
        </w:tc>
        <w:tc>
          <w:tcPr>
            <w:tcW w:w="5740" w:type="dxa"/>
            <w:vAlign w:val="bottom"/>
            <w:gridSpan w:val="3"/>
            <w:shd w:val="clear" w:color="auto" w:fill="00497F"/>
          </w:tcPr>
          <w:p>
            <w:pPr>
              <w:spacing w:after="0"/>
              <w:rPr>
                <w:sz w:val="20"/>
                <w:szCs w:val="20"/>
                <w:color w:val="auto"/>
              </w:rPr>
            </w:pPr>
            <w:r>
              <w:rPr>
                <w:rFonts w:ascii="Arial" w:cs="Arial" w:eastAsia="Arial" w:hAnsi="Arial"/>
                <w:sz w:val="14"/>
                <w:szCs w:val="14"/>
                <w:b w:val="1"/>
                <w:bCs w:val="1"/>
                <w:color w:val="FFFFFF"/>
              </w:rPr>
              <w:t>Aviation Assets</w:t>
            </w:r>
          </w:p>
        </w:tc>
        <w:tc>
          <w:tcPr>
            <w:tcW w:w="1320" w:type="dxa"/>
            <w:vAlign w:val="bottom"/>
            <w:shd w:val="clear" w:color="auto" w:fill="00497F"/>
          </w:tcPr>
          <w:p>
            <w:pPr>
              <w:ind w:left="520"/>
              <w:spacing w:after="0"/>
              <w:rPr>
                <w:sz w:val="20"/>
                <w:szCs w:val="20"/>
                <w:color w:val="auto"/>
              </w:rPr>
            </w:pPr>
            <w:r>
              <w:rPr>
                <w:rFonts w:ascii="Arial" w:cs="Arial" w:eastAsia="Arial" w:hAnsi="Arial"/>
                <w:sz w:val="14"/>
                <w:szCs w:val="14"/>
                <w:b w:val="1"/>
                <w:bCs w:val="1"/>
                <w:color w:val="FFFFFF"/>
              </w:rPr>
              <w:t>Widebody</w:t>
            </w:r>
          </w:p>
        </w:tc>
        <w:tc>
          <w:tcPr>
            <w:tcW w:w="400" w:type="dxa"/>
            <w:vAlign w:val="bottom"/>
            <w:shd w:val="clear" w:color="auto" w:fill="00497F"/>
          </w:tcPr>
          <w:p>
            <w:pPr>
              <w:spacing w:after="0"/>
              <w:rPr>
                <w:sz w:val="17"/>
                <w:szCs w:val="17"/>
                <w:color w:val="auto"/>
              </w:rPr>
            </w:pPr>
          </w:p>
        </w:tc>
        <w:tc>
          <w:tcPr>
            <w:tcW w:w="120" w:type="dxa"/>
            <w:vAlign w:val="bottom"/>
            <w:shd w:val="clear" w:color="auto" w:fill="00497F"/>
          </w:tcPr>
          <w:p>
            <w:pPr>
              <w:spacing w:after="0"/>
              <w:rPr>
                <w:sz w:val="17"/>
                <w:szCs w:val="17"/>
                <w:color w:val="auto"/>
              </w:rPr>
            </w:pPr>
          </w:p>
        </w:tc>
        <w:tc>
          <w:tcPr>
            <w:tcW w:w="1360" w:type="dxa"/>
            <w:vAlign w:val="bottom"/>
            <w:shd w:val="clear" w:color="auto" w:fill="00497F"/>
          </w:tcPr>
          <w:p>
            <w:pPr>
              <w:ind w:left="440"/>
              <w:spacing w:after="0"/>
              <w:rPr>
                <w:sz w:val="20"/>
                <w:szCs w:val="20"/>
                <w:color w:val="auto"/>
              </w:rPr>
            </w:pPr>
            <w:r>
              <w:rPr>
                <w:rFonts w:ascii="Arial" w:cs="Arial" w:eastAsia="Arial" w:hAnsi="Arial"/>
                <w:sz w:val="14"/>
                <w:szCs w:val="14"/>
                <w:b w:val="1"/>
                <w:bCs w:val="1"/>
                <w:color w:val="FFFFFF"/>
              </w:rPr>
              <w:t>Narrowbody</w:t>
            </w:r>
          </w:p>
        </w:tc>
        <w:tc>
          <w:tcPr>
            <w:tcW w:w="380" w:type="dxa"/>
            <w:vAlign w:val="bottom"/>
            <w:shd w:val="clear" w:color="auto" w:fill="00497F"/>
          </w:tcPr>
          <w:p>
            <w:pPr>
              <w:spacing w:after="0"/>
              <w:rPr>
                <w:sz w:val="17"/>
                <w:szCs w:val="17"/>
                <w:color w:val="auto"/>
              </w:rPr>
            </w:pPr>
          </w:p>
        </w:tc>
        <w:tc>
          <w:tcPr>
            <w:tcW w:w="100" w:type="dxa"/>
            <w:vAlign w:val="bottom"/>
            <w:shd w:val="clear" w:color="auto" w:fill="00497F"/>
          </w:tcPr>
          <w:p>
            <w:pPr>
              <w:spacing w:after="0"/>
              <w:rPr>
                <w:sz w:val="17"/>
                <w:szCs w:val="17"/>
                <w:color w:val="auto"/>
              </w:rPr>
            </w:pPr>
          </w:p>
        </w:tc>
        <w:tc>
          <w:tcPr>
            <w:tcW w:w="1740" w:type="dxa"/>
            <w:vAlign w:val="bottom"/>
            <w:shd w:val="clear" w:color="auto" w:fill="00497F"/>
          </w:tcPr>
          <w:p>
            <w:pPr>
              <w:jc w:val="right"/>
              <w:ind w:right="628"/>
              <w:spacing w:after="0"/>
              <w:rPr>
                <w:sz w:val="20"/>
                <w:szCs w:val="20"/>
                <w:color w:val="auto"/>
              </w:rPr>
            </w:pPr>
            <w:r>
              <w:rPr>
                <w:rFonts w:ascii="Arial" w:cs="Arial" w:eastAsia="Arial" w:hAnsi="Arial"/>
                <w:sz w:val="14"/>
                <w:szCs w:val="14"/>
                <w:b w:val="1"/>
                <w:bCs w:val="1"/>
                <w:color w:val="FFFFFF"/>
              </w:rPr>
              <w:t>Total</w:t>
            </w:r>
          </w:p>
        </w:tc>
      </w:tr>
      <w:tr>
        <w:trPr>
          <w:trHeight w:val="162"/>
        </w:trPr>
        <w:tc>
          <w:tcPr>
            <w:tcW w:w="20" w:type="dxa"/>
            <w:vAlign w:val="bottom"/>
          </w:tcPr>
          <w:p>
            <w:pPr>
              <w:spacing w:after="0"/>
              <w:rPr>
                <w:sz w:val="14"/>
                <w:szCs w:val="14"/>
                <w:color w:val="auto"/>
              </w:rPr>
            </w:pPr>
          </w:p>
        </w:tc>
        <w:tc>
          <w:tcPr>
            <w:tcW w:w="57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Aircraft</w:t>
            </w: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January 1, 2023</w:t>
            </w: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98</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106</w:t>
            </w:r>
          </w:p>
        </w:tc>
      </w:tr>
      <w:tr>
        <w:trPr>
          <w:trHeight w:val="198"/>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4"/>
                <w:szCs w:val="14"/>
                <w:color w:val="auto"/>
              </w:rPr>
              <w:t>Purchases</w:t>
            </w:r>
          </w:p>
        </w:tc>
        <w:tc>
          <w:tcPr>
            <w:tcW w:w="1320" w:type="dxa"/>
            <w:vAlign w:val="bottom"/>
          </w:tcPr>
          <w:p>
            <w:pPr>
              <w:spacing w:after="0"/>
              <w:rPr>
                <w:sz w:val="17"/>
                <w:szCs w:val="17"/>
                <w:color w:val="auto"/>
              </w:rPr>
            </w:pPr>
          </w:p>
        </w:tc>
        <w:tc>
          <w:tcPr>
            <w:tcW w:w="1880" w:type="dxa"/>
            <w:vAlign w:val="bottom"/>
            <w:gridSpan w:val="3"/>
          </w:tcPr>
          <w:p>
            <w:pPr>
              <w:jc w:val="right"/>
              <w:ind w:right="146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7"/>
        </w:trPr>
        <w:tc>
          <w:tcPr>
            <w:tcW w:w="20" w:type="dxa"/>
            <w:vAlign w:val="bottom"/>
            <w:shd w:val="clear" w:color="auto" w:fill="CCEEFF"/>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Sales</w:t>
            </w: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98"/>
        </w:trPr>
        <w:tc>
          <w:tcPr>
            <w:tcW w:w="2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Transfers</w:t>
            </w:r>
          </w:p>
        </w:tc>
        <w:tc>
          <w:tcPr>
            <w:tcW w:w="13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199"/>
        </w:trPr>
        <w:tc>
          <w:tcPr>
            <w:tcW w:w="20" w:type="dxa"/>
            <w:vAlign w:val="bottom"/>
            <w:shd w:val="clear" w:color="auto" w:fill="CCEEFF"/>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December 31, 2023</w:t>
            </w:r>
          </w:p>
        </w:tc>
        <w:tc>
          <w:tcPr>
            <w:tcW w:w="13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91</w:t>
            </w:r>
          </w:p>
        </w:tc>
        <w:tc>
          <w:tcPr>
            <w:tcW w:w="100" w:type="dxa"/>
            <w:vAlign w:val="bottom"/>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w:t>
            </w:r>
          </w:p>
        </w:tc>
      </w:tr>
      <w:tr>
        <w:trPr>
          <w:trHeight w:val="251"/>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62"/>
        </w:trPr>
        <w:tc>
          <w:tcPr>
            <w:tcW w:w="20" w:type="dxa"/>
            <w:vAlign w:val="bottom"/>
            <w:shd w:val="clear" w:color="auto" w:fill="CCEEFF"/>
          </w:tcPr>
          <w:p>
            <w:pPr>
              <w:spacing w:after="0"/>
              <w:rPr>
                <w:sz w:val="14"/>
                <w:szCs w:val="14"/>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i w:val="1"/>
                <w:iCs w:val="1"/>
                <w:color w:val="auto"/>
              </w:rPr>
              <w:t>Engines</w:t>
            </w:r>
          </w:p>
        </w:tc>
        <w:tc>
          <w:tcPr>
            <w:tcW w:w="1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5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2023</w:t>
            </w:r>
          </w:p>
        </w:tc>
        <w:tc>
          <w:tcPr>
            <w:tcW w:w="13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b w:val="1"/>
                <w:bCs w:val="1"/>
                <w:color w:val="auto"/>
              </w:rPr>
              <w:t>184</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b w:val="1"/>
                <w:bCs w:val="1"/>
                <w:color w:val="auto"/>
              </w:rPr>
              <w:t>224</w:t>
            </w:r>
          </w:p>
        </w:tc>
      </w:tr>
      <w:tr>
        <w:trPr>
          <w:trHeight w:val="203"/>
        </w:trPr>
        <w:tc>
          <w:tcPr>
            <w:tcW w:w="20" w:type="dxa"/>
            <w:vAlign w:val="bottom"/>
            <w:shd w:val="clear" w:color="auto" w:fill="CCEEFF"/>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Purchases</w:t>
            </w: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98"/>
        </w:trPr>
        <w:tc>
          <w:tcPr>
            <w:tcW w:w="20" w:type="dxa"/>
            <w:vAlign w:val="bottom"/>
          </w:tcPr>
          <w:p>
            <w:pPr>
              <w:spacing w:after="0"/>
              <w:rPr>
                <w:sz w:val="17"/>
                <w:szCs w:val="17"/>
                <w:color w:val="auto"/>
              </w:rPr>
            </w:pPr>
          </w:p>
        </w:tc>
        <w:tc>
          <w:tcPr>
            <w:tcW w:w="5740" w:type="dxa"/>
            <w:vAlign w:val="bottom"/>
            <w:gridSpan w:val="3"/>
          </w:tcPr>
          <w:p>
            <w:pPr>
              <w:spacing w:after="0"/>
              <w:rPr>
                <w:sz w:val="20"/>
                <w:szCs w:val="20"/>
                <w:color w:val="auto"/>
              </w:rPr>
            </w:pPr>
            <w:r>
              <w:rPr>
                <w:rFonts w:ascii="Arial" w:cs="Arial" w:eastAsia="Arial" w:hAnsi="Arial"/>
                <w:sz w:val="14"/>
                <w:szCs w:val="14"/>
                <w:color w:val="auto"/>
              </w:rPr>
              <w:t>Sales</w:t>
            </w:r>
          </w:p>
        </w:tc>
        <w:tc>
          <w:tcPr>
            <w:tcW w:w="13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07"/>
        </w:trPr>
        <w:tc>
          <w:tcPr>
            <w:tcW w:w="20" w:type="dxa"/>
            <w:vAlign w:val="bottom"/>
            <w:shd w:val="clear" w:color="auto" w:fill="CCEEFF"/>
          </w:tcPr>
          <w:p>
            <w:pPr>
              <w:spacing w:after="0"/>
              <w:rPr>
                <w:sz w:val="17"/>
                <w:szCs w:val="17"/>
                <w:color w:val="auto"/>
              </w:rPr>
            </w:pPr>
          </w:p>
        </w:tc>
        <w:tc>
          <w:tcPr>
            <w:tcW w:w="5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Transfers</w:t>
            </w:r>
          </w:p>
        </w:tc>
        <w:tc>
          <w:tcPr>
            <w:tcW w:w="132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5"/>
        </w:trPr>
        <w:tc>
          <w:tcPr>
            <w:tcW w:w="20" w:type="dxa"/>
            <w:vAlign w:val="bottom"/>
          </w:tcPr>
          <w:p>
            <w:pPr>
              <w:spacing w:after="0"/>
              <w:rPr>
                <w:sz w:val="16"/>
                <w:szCs w:val="16"/>
                <w:color w:val="auto"/>
              </w:rPr>
            </w:pPr>
          </w:p>
        </w:tc>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Assets at December 31, 2023</w:t>
            </w:r>
          </w:p>
        </w:tc>
        <w:tc>
          <w:tcPr>
            <w:tcW w:w="1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w:t>
            </w: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267</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Aerospace Products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Aerospace Products segment develops and manufactures through a joint venture, and repairs and sells, through our maintenance facility and exclusivity arrangements, aircraft engines and aftermarket components primarily for the CFM56-7B, CFM56-5B and V2500 commercial aircraft engines. Our engine and module sales are facilitated through The Module Factory, a dedicated commercial maintenance program, designed to focus on modular repair and refurbishment of CFM56-7B and CFM56-5B engines, performed by a third party. Used serviceable material is sold through our exclusive partnership with AAR Corp, who is responsible for the teardown, repair, marketing and sales of spare parts from our CFM56 engine pool. We also hold a 25% interest in the Advanced Engine Repair JV which focuses on developing new cost savings programs for engine repairs.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Corporate and Other</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above investments, our Corporate and Other segment includes offshore energy related assets which consist of vessels and equipment that support offshore oil and gas activities and are typically subject to operating leases.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Asset Management</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Manager actively manages and monitors our portfolios of assets on an ongoing basis, and in some cases engages third parties to assist with the management of those assets. Our Manager frequently reviews the status of all of our assets, and in the case that any are returning from lease or undergoing repair, outlines our options, which may include the re-lease or sale of that asset. Our Manager plays a central role in developing and executing operational, finance and business development strategies. On a periodic basis, our Manager discusses the status of our acquired assets with our board of directors.</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some situations, we may acquire assets through a joint venture entity or own a minority position in an investment entity. In such circumstances, we will seek to protect our interests through appropriate levels of board representation, minority protections and other structural enhancements.</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and our Manager maintain relationships with operators worldwide and, through these relationships, hold direct conversations as to leasing needs and opportunities. Where helpful, we reach out to third parties who assist in leasing our assets. As an example, we often partner with Maintenance, Repair and Overhaul (“MRO”) facilities in the aviation sector to lease engines and support airlines’ fleet management needs.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While we expect to hold our assets for extended periods of time, we and our Manager continually review our assets to assess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8" w:name="page9"/>
    <w:bookmarkEnd w:id="8"/>
    <w:p>
      <w:pPr>
        <w:jc w:val="both"/>
        <w:spacing w:after="0" w:line="286" w:lineRule="auto"/>
        <w:rPr>
          <w:sz w:val="20"/>
          <w:szCs w:val="20"/>
          <w:color w:val="auto"/>
        </w:rPr>
      </w:pPr>
      <w:r>
        <w:rPr>
          <w:rFonts w:ascii="Arial" w:cs="Arial" w:eastAsia="Arial" w:hAnsi="Arial"/>
          <w:sz w:val="16"/>
          <w:szCs w:val="16"/>
          <w:color w:val="auto"/>
        </w:rPr>
        <w:t>whether we should sell or otherwise monetize them. Aspects that will factor into this process include relevant market conditions, the asset’s age, lease profile, relative concentration or remaining expected useful life.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Credit Process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and our Manager monitor the credit quality of our various lessees on an ongoing basis. This monitoring includes interacting with our customers regularly to monitor collections, review periodic financial statements and discuss their operating performance. Most of our lease agreements are written with conditions that require reporting on the part of our lessees, and we actively reach out to our lessees to maintain contact and monitor their liquidity positions. Furthermore, many of our leases and contractual arrangements include credit enhancement elements that provide us with additional collateral or credit support to strengthen our credit position.</w:t>
      </w:r>
    </w:p>
    <w:p>
      <w:pPr>
        <w:spacing w:after="0" w:line="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are subject to concentrations of credit risk with respect to amounts due from customers on our direct finance leases and operating leases. We attempt to limit credit risk by performing ongoing credit evaluations. See “Customers.”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Customers</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customers primarily consist of global operators of transportation networks and global industrial companies, including airlines and offshore energy service providers. We maintain ongoing relationships and discussions with our customers and seek to have consistent dialogue. In addition to helping us monitor the needs and quality of our customers, we believe these relationships help source additional opportunities and gain insight into attractive opportunities in the aviation and offshore energy sectors. A substantial portion of our revenue has historically been derived from a small number of customers. As of and for the year ended December 31, 2023, no customer accounted for more than 10% of our revenue or total accounts receivable, net. We derive a significant percentage of our revenue within specific sectors from a limited number of customers. However, we do not think that we are dependent upon any particular customer, or that the loss of one or more of them would have a material adverse effect on our business or the relevant segment, because of our ability to re-lease assets at similar terms following the loss of any such customer. See “Risk Factors-Contractual defaults may adversely affect our business, prospects, financial condition, results of operations and cash flows by decreasing revenues and increasing storage, positioning, collection, recovery and lost equipment expenses.”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Competition</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business of acquiring, managing and marketing aviation and offshore-equipment related assets is highly competitive. Market competition for acquisition opportunities includes traditional aviation and offshore energy companies, commercial and investment banks, as well as a growing number of non-traditional participants, such as hedge funds, private equity funds, and other private investors.</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Additionally, the markets for our products and services are competitive, and we face competition from a number of sources. These competitors include engine and aircraft parts manufacturers, aircraft and aircraft engine lessors, airline and aircraft services and repair companies, aircraft spare parts distributors, offshore services providers, maritime equipment lessors and other transportation equipment lessors and operators.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compete with other market participants on the basis of industry knowledge, availability of capital, and deal structuring experience and flexibility, among other things. We believe our Manager’s experience in the aviation and offshore industries and our access to capital, in addition to our focus on diverse asset classes and customers, provides a competitive advantage versus competitors that maintain a single sector focus.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Governmental Regulations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Sustainability</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part of our strategy, we are focused on supporting the transition to a low-carbon economy and aim to provide sustainable aviation and offshore solutions by leveraging our Manager’s expertise and business and financing relationships, as well as our access to capital. Certain of our current sustainability solutions and investments are highlighted below, and we expect to continue to explore additional sustainability-related opportunities.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Aerospace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9" w:name="page10"/>
    <w:bookmarkEnd w:id="9"/>
    <w:p>
      <w:pPr>
        <w:jc w:val="both"/>
        <w:spacing w:after="0" w:line="261" w:lineRule="auto"/>
        <w:rPr>
          <w:sz w:val="20"/>
          <w:szCs w:val="20"/>
          <w:color w:val="auto"/>
        </w:rPr>
      </w:pPr>
      <w:r>
        <w:rPr>
          <w:rFonts w:ascii="Arial" w:cs="Arial" w:eastAsia="Arial" w:hAnsi="Arial"/>
          <w:sz w:val="16"/>
          <w:szCs w:val="16"/>
          <w:color w:val="auto"/>
        </w:rPr>
        <w:t>As previously announced, in December 2021 we entered into an agreement with AAR CORP. (NYSE: AIR) to create Serviceable Engine Products, an exclusive seven-year CFM56 used serviceable material (“USM”) partnership. The partnership aims to build USM inventory for the global aviation aftermarket and our own consumption at The Module Factory™, a dedicated commercial maintenance program, designed to focus on modular repair and refurbishment of CFM56-7B and CFM56-5B engines, performed by a third party. Through its worldwide network, AAR is expected to manage the teardown, repair, marketing and sales of spare parts from our CFM56 engine pool totaling over 200 engines and growing. We believe our partnership with AAR will help maximize the life of our engine assets and reduce our carbon footprint and environmental impact.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Human Capital Management</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Manager provides a management team and other professionals who are responsible for implementing our business strategy and performing certain services for us, subject to oversight by our board of directors. As of December 31, 2023, we also have approximately 170 employees at certain subsidiaries across our business segments. We consider our relationship with our employees to be good and we focus heavily on employee engagement. We have invested substantial time and resources in building our team, and our human capital management objectives include, as applicable, identifying, recruiting, retaining, incentivizing and integrating our existing and new employees. To facilitate attraction and retention, we strive to create a diverse, inclusive, and safe workplace, with opportunities for our employees to grow and develop in their careers, supported by strong compensation and benefits programs.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Insurance</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leases generally require that our customers carry physical damage and liability insurance providing primary insurance coverage for loss and damage to our assets as well as for related cargo and third parties while the assets are on lease. In addition, in certain cases, we maintain contingent liability coverage for any claims or losses on our assets while they are on hire or otherwise in the possession of a third-party. Finally, we procure insurance for our assets when they are not on hire or are otherwise under our control.</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Conflicts of Interest</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Although we have established certain policies and procedures designed to mitigate conflicts of interest, there can be no assurance that these policies and procedures will be effective in doing so. It is possible that actual, potential or perceived conflicts of interest could give rise to investor dissatisfaction, litigation or regulatory enforcement actions.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One or more of our officers and directors have responsibilities and commitments to entities other than us. In addition, we do not have a policy that expressly prohibits our directors, officers, security holders or affiliates from engaging in business activities of the types conducted by us for their own account. See “Risk Factors-Risks Related to Our Manager-There are conflicts of interest in our relationship with our Manager.”</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key agreements, including our Management Agreement, the services and profit sharing agreement (the “Services and Profit Sharing Agreement”) with our subsidiary Fortress Transportation and Infrastructure Investors LLC and Fortress Worldwide Transportation and Infrastructure Master GP LLC (“Master GP”) and our amended and restated memorandum and articles of association (as amended from time to time, the ‘‘Articles’’) were negotiated among related parties, and their respective terms, including fees and other amounts payable, may not be as favorable to us as terms negotiated on an arm’s-length basis with unaffiliated parties. Our independent directors may not vigorously enforce the provisions of our Management Agreement against our Manager. For example, our independent directors may refrain from terminating our Manager because doing so could result in the loss of key personnel.</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may compete with entities affiliated with our Manager or Fortress for certain target assets. From time to time, affiliates of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the sectors in which we acquire assets, each with significant current or expected capital commitments. We may co-invest with these funds in certain target assets. Fortress funds generally have a fee structure similar to ours, but the fees actually paid will vary depending on the size, terms and performance of each fund.</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Manager may determine, in its discretion, to make a particular acquisition through an investment vehicle other than us. Investment allocation decisions will reflect a variety of factors, such as a particular vehicle’s availability of capital (including financing), investment objectives and concentration limits, legal, regulatory, tax and other similar considerations, the source of the opportunity and other factors that the Manager, in its discretion, deems appropriate. Our Manager does not have an obligation to offer us the opportunity to participate in any particular investment, even if it meets our asset acquisition objectives. In addition, employees of Fortress or certain of its affiliates—including personnel providing services to or on behalf of our Manager—may perform services for Fortress affiliates that may acquire or seek to acquire aviation and offshore energy-related assets.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00497F"/>
        </w:rPr>
        <w:t>Where Readers Can Find Additional Information</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FTAI Aviation Ltd. is a Cayman Islands exempted company. Our principal executive offices are located at 1345 Avenue of the Americas, New York, New York 10105. FTAI Aviation Ltd. files annual, quarterly and current reports, proxy statements and other information required by the Exchange Act, with the SEC. Our SEC filings are available to the public from the SEC’s internet site at http://www.sec.gov.</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internet site is http://www.www.ftaiaviation.com. We will make available free of charge through our internet site our 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in the ‘‘Investor Center - Corporate Governance’’ section are charters for our Audit Committee, Compensation Committee, Nominating Committee, as well as our Corporate Governance Guidelines, Code of Ethics for our officers, and our Code of Business Conduct and Ethics governing our directors, officers and employees. Information on, or accessible through, our website is not a part of, and is not incorporated into, this report.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1A. Risk Factors</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10-K in evaluating us and our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the Company’s shares. However, these categories do overlap and should not be considered exclusive.</w:t>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Business</w:t>
      </w:r>
    </w:p>
    <w:p>
      <w:pPr>
        <w:spacing w:after="0" w:line="115"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industries.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Excess supply in oil and gas markets can put significant downward pressure on prices for these commodities, and may affect demand for assets used in production, refining and transportation of oil and gas. In the past, a significant decline in oil prices has led to lower offshore exploration and production budgets worldwide.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8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Global economic downturns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have in the past been exposed to increased credit risk from our customers and third parties who have obligations to us, which resulted in non-performance of contracts by our lessees and adversely impacted our business, financial condition, results of operations and cash flows. We cannot assure you that similar loss events may not occur in the future.</w:t>
      </w:r>
    </w:p>
    <w:p>
      <w:pPr>
        <w:spacing w:after="0" w:line="70"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Instability in geographies where we have assets or where we derive revenue could have a material adverse effect on our business, customers, operations and financial results.</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Economic, civil, military and political uncertainty exists and may increase in regions where we operate and derive our revenue. Various countries in which we operate are experiencing and may continue to experience military action and civil and political unrest. We have assets in the emerging market economies of Eastern Europe, including some assets in Russia. In late February 2022, Russian military forces launched significant military action against Ukraine. The conflict remains ongoing and sustained conflict and disruption in the region is likely. The impact to Russia and Ukraine, as well as actions taken by other countries, including new and stricter export controls and sanctions by Canada, the United Kingdom, the European Union, the U.S. and other countries and organizations against officials, individuals, regions, and industries in Russia and Ukraine, and each country’s potential response to such sanctions, tensions and military actions, could have a material adverse effect on our business and delay or prevent us from accessing certain of our assets. We are actively monitoring the security of our remaining assets in the region.</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The aviation industry has experienced periods of oversupply during which lease rates and asset values have declined, particularly during the most recent economic downturn, and any future oversupply could materially adversely affect our results of operations and cash flows.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1" w:name="page12"/>
    <w:bookmarkEnd w:id="11"/>
    <w:p>
      <w:pPr>
        <w:jc w:val="both"/>
        <w:spacing w:after="0" w:line="275"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most recent economic downturn. Factors that could lead to such oversupply include, without limitation:</w:t>
      </w:r>
    </w:p>
    <w:p>
      <w:pPr>
        <w:spacing w:after="0" w:line="56"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 reduced cash flows and financial condition, including potential liquidity restraints;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aviation lessees may redeliver our assets to locations where there is oversupply, which may lead to additional repositioning costs for us if we move them to areas with higher demand. Positioning expenses vary depending on geographic location, distance,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airline industry is heavily regulated, and if we fail to comply with applicable requirements, our results of operations could suffer.</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Federal Aviation Administration (“FAA”) and equivalent regulatory agencies have increasingly focused on the need to assure that airline industry products are designed with sufficient cybersecurity controls to protect against unauthorized access or other unwanted compromise. A failure to meet these evolving expectations could negatively impact sales into the industry and expose us to legal or contractual liability.</w:t>
      </w:r>
    </w:p>
    <w:p>
      <w:pPr>
        <w:spacing w:after="0" w:line="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Governmental agencies throughout the world, including the FAA, prescribe standards and qualification requirements for aircraft components, including virtually all commercial airline and general aviation products. Specific regulations vary from country to country, although compliance with FAA requirements generally satisfies regulatory requirements in other countries. If any material authorization or approval qualifying us to supply our products is revoked or suspended, then sale of the product would be prohibited by law, which would have an adverse effect on our business, financial condition and results of operations.</w:t>
      </w:r>
    </w:p>
    <w:p>
      <w:pPr>
        <w:spacing w:after="0" w:line="2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From time to time, the FAA or equivalent regulatory agencies in other countries propose new regulations or changes to existing regulations, which often are more stringent than existing regulations. If such proposals are adopted and enacted, we may incur significant additional costs to achieve compliance, which could have a material adverse effect on our business, financial condition and results of operations.</w:t>
      </w:r>
    </w:p>
    <w:p>
      <w:pPr>
        <w:spacing w:after="0" w:line="5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Recent trends by China’s aviation authority to relax restrictions on airspace may be reversed, and anticipated new regulations loosening airspace restrictions may not materialize, which could impact sales prospects in China for our commercial aerospace businesses.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retirement or prolonged grounding of commercial aircraft could reduce our revenues and the value of any related inventory.</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sell aircraft components and replacement parts. If aircraft or engines for which we offer aircraft components and replacement parts are retired or grounded for prolonged periods of time and there are fewer aircraft that require these components or parts, our revenues may decline as well as the value of any related inventory.</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whom we enter into leases, charters or other contractual arrangements. Inherent in the nature of the leases, charters and other arrangements for the use of such assets is the risk that we may not receive, or may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2" w:name="page13"/>
    <w:bookmarkEnd w:id="12"/>
    <w:p>
      <w:pPr>
        <w:jc w:val="both"/>
        <w:spacing w:after="0" w:line="265" w:lineRule="auto"/>
        <w:rPr>
          <w:sz w:val="20"/>
          <w:szCs w:val="20"/>
          <w:color w:val="auto"/>
        </w:rPr>
      </w:pPr>
      <w:r>
        <w:rPr>
          <w:rFonts w:ascii="Arial" w:cs="Arial" w:eastAsia="Arial" w:hAnsi="Arial"/>
          <w:sz w:val="16"/>
          <w:szCs w:val="16"/>
          <w:color w:val="auto"/>
        </w:rPr>
        <w:t>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most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most recent economic downturn,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9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We acquire a high concentration of a particular type of asset, or concentrate our investments in a particular sector, and our business, prospects, financial condition, results of operations and cash flows could be adversely affected by changes in market demand or problems specific to that asset or sector.</w:t>
      </w:r>
    </w:p>
    <w:p>
      <w:pPr>
        <w:spacing w:after="0" w:line="4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and our business and financial results could be adversely affected by sector-specific or asset-specific factors. If the market demand for a particular asset declines, it is redesigned or replaced by its manufacturer or it experiences design or technical problems, the value and rates relating to such asset may decline, and we may be unable to lease such asset on favorable terms, if at all. Any decrease in the value and rates of our assets may have a material adverse effect on our business, prospects, financial condition, results of operations and cash flows.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business of acquiring aviation assets is highly competitive. Market competition for opportunities includes traditional transportation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our assets may fluctuate due to various factors.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3" w:name="page14"/>
    <w:bookmarkEnd w:id="13"/>
    <w:p>
      <w:pPr>
        <w:jc w:val="both"/>
        <w:spacing w:after="0" w:line="286" w:lineRule="auto"/>
        <w:rPr>
          <w:sz w:val="20"/>
          <w:szCs w:val="20"/>
          <w:color w:val="auto"/>
        </w:rPr>
      </w:pPr>
      <w:r>
        <w:rPr>
          <w:rFonts w:ascii="Arial" w:cs="Arial" w:eastAsia="Arial" w:hAnsi="Arial"/>
          <w:sz w:val="16"/>
          <w:szCs w:val="16"/>
          <w:color w:val="auto"/>
        </w:rPr>
        <w:t>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generate a sufficient amount of cash or generate sufficient free cash flow to fund our operations or repay our indebtedness.</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ability to make payments on our indebtedness as required depends on our ability to generate cash flow in the future. This ability, to a certain extent, is subject to general economic, financial, competitive, legislative, regulatory and other factors that are beyond our control. If we do not generate sufficient free cash flow to satisfy our debt obligations, including interest payments and the payment of principal at maturity, we may have to undertake alternative financing plans, such as refinancing or restructuring our debt, selling assets, reducing or delaying capital investments or seeking to raise additional capital. We cannot provide assurance that any refinancing would be possible, that any assets could be sold, or, if sold, of the timeliness and amount of proceeds realized from those sales, that additional financing could be obtained on acceptable terms, if at all, or that additional financing would be permitted under the terms of our various debt instruments then in effect. Furthermore, our ability to refinance would depend upon the condition of the finance and credit markets. Our inability to generate sufficient free cash flow to satisfy our debt obligations, or to refinance our obligations on commercially reasonable terms or on a timely basis, would materially affect our business,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our Manager expects to utilize third-party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third-party contractors to perform in accordance with our expectations could materially adversely affect our business, prospects, financial condition, results of operations and cash flows.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business,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inability to obtain certain components from suppliers could harm our business.</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business is affected by the availability and price of the component parts that we use to maintain our products or to manufacture products. Our ability to manage inventory and meet delivery requirements may be constrained by our suppliers’ ability to adjust delivery of long-lead time products during times of volatile demand. The supply chains for our business could also be disrupted by external events such as natural disasters, extreme weather events, pandemics, labor disputes, governmental actions and legislative or regulatory changes. As a result, our suppliers may fail to perform according to specifications when required and we may be unable to identify alternate suppliers or to otherwise mitigate the consequences of their non-performance.</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Transitions to new suppliers may result in significant costs and delays, including those related to the required recertification of parts obtained from new suppliers with our customers and/or regulatory agencies. Our inability to fill our supply needs could jeopardize our ability to fulfill obligations under customer contracts, which could result in reduced revenues and profits, contract penalties or terminations, and damage to customer relationships. Further, increased costs of such components could reduce our profits if we were unable to pass along such price in-creases to our customers.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negatively impacted by environmental, social, and governance (ESG) and sustainability-related matters.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4" w:name="page15"/>
    <w:bookmarkEnd w:id="14"/>
    <w:p>
      <w:pPr>
        <w:jc w:val="both"/>
        <w:spacing w:after="0" w:line="265" w:lineRule="auto"/>
        <w:rPr>
          <w:sz w:val="20"/>
          <w:szCs w:val="20"/>
          <w:color w:val="auto"/>
        </w:rPr>
      </w:pPr>
      <w:r>
        <w:rPr>
          <w:rFonts w:ascii="Arial" w:cs="Arial" w:eastAsia="Arial" w:hAnsi="Arial"/>
          <w:sz w:val="16"/>
          <w:szCs w:val="16"/>
          <w:color w:val="auto"/>
        </w:rPr>
        <w:t>Governments, investors, customers, employees and other stakeholders are increasingly focusing on corporate ESG practices and disclosures, and expectations in this area are rapidly evolving. We have announced, and may in the future announce, sustainability-focused investments, partnerships and other initiatives and goals.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affected by fluctuating prices for fuel and energy.</w:t>
      </w:r>
    </w:p>
    <w:p>
      <w:pPr>
        <w:spacing w:after="0" w:line="111" w:lineRule="exact"/>
        <w:rPr>
          <w:sz w:val="20"/>
          <w:szCs w:val="20"/>
          <w:color w:val="auto"/>
        </w:rPr>
      </w:pPr>
    </w:p>
    <w:p>
      <w:pPr>
        <w:jc w:val="both"/>
        <w:ind w:right="20"/>
        <w:spacing w:after="0" w:line="272" w:lineRule="auto"/>
        <w:rPr>
          <w:sz w:val="20"/>
          <w:szCs w:val="20"/>
          <w:color w:val="auto"/>
        </w:rPr>
      </w:pPr>
      <w:r>
        <w:rPr>
          <w:rFonts w:ascii="Arial" w:cs="Arial" w:eastAsia="Arial" w:hAnsi="Arial"/>
          <w:sz w:val="16"/>
          <w:szCs w:val="16"/>
          <w:color w:val="auto"/>
        </w:rPr>
        <w:t>Volatility in energy prices could have a significant effect on a variety of items including, but not limited to, the economy and demand for transportation services.</w:t>
      </w:r>
    </w:p>
    <w:p>
      <w:pPr>
        <w:spacing w:after="0" w:line="2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International, political, and economic factors, events and conditions, including current sanctions against Russia related to its invasion of Ukraine, affect the volatility of fuel prices and supplies. Weather can also affect fuel supplies and limit domestic refining capacity. A severe shortage of, or disruption to, domestic fuel supplies could have a material adverse effect on our results of operations, financial condition, and liquidity.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5" w:name="page16"/>
    <w:bookmarkEnd w:id="15"/>
    <w:p>
      <w:pPr>
        <w:jc w:val="both"/>
        <w:spacing w:after="0" w:line="294"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profitability of our offshore energy assets may be impacted by the profitability of the offshore oil and gas industry generally, which is significantly affected by, among other things, volatile oil and gas prices.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Demand for assets in the offshore energy business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are affected by numerous factors beyond our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or trade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73"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aviation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Asia and the Middle East, it may become more difficult and expensive to enforce our rights and recover our assets.</w:t>
      </w:r>
    </w:p>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4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16" w:name="page17"/>
    <w:bookmarkEnd w:id="16"/>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potential cybersecurity attacks;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12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6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3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6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We are actively evaluating potential acquisitions of assets and operating companies in other aviation sectors which could result in additional risks and uncertainties for our business and unexpected regulatory compliance costs.</w:t>
      </w:r>
    </w:p>
    <w:p>
      <w:pPr>
        <w:spacing w:after="0" w:line="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While our existing portfolio primarily consists of assets in the aviation sector, we are actively evaluating potential acquisitions of assets and operating companies in sectors of the aviation market in which we do not currently operate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6"/>
          <w:szCs w:val="16"/>
          <w:color w:val="auto"/>
        </w:rPr>
        <w:t>and regulations and may lead to increased litigation and regulatory risk. Many types of transportation assets, including certain aviation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7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agreements governing our indebtedness, including, but not limited to, the indentures governing our senior unsecured notes due 2025, 2027, 2028 and 2030 (“Senior Notes”) and the second amended and restated revolving credit facility entered into on September 20, 2022, as amended by Amendment No. 1, dated as of November 22, 2022 (the “Revolving Credit Facility”), contain covenants that place restrictions on us and our subsidiaries. The indentures governing our Senior Notes and the Revolving Credit Facility restrict among other things, our and certain of our subsidiaries’ ability to:</w:t>
      </w:r>
    </w:p>
    <w:p>
      <w:pPr>
        <w:spacing w:after="0" w:line="65"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merge, consolidate or transfer all, or substantially all, of our assets;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incur additional debt or issue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make distributions on or repurchase our shares;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pay dividends on our ordinary shares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8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Terrorist attacks or other hostilities could negatively impact our operations and our profitability and may expose us to liability and reputational damage.</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or our physical facilities or those of our customers. In addition, it is also possible that our assets could be involved in a terrorist attack or other hostilities.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7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Projects in the aerospace products and services sector are exposed to a variety of unplanned interruptions which could cause our results of operations to suffer.</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Projects in the aerospace products and services sector are exposed to unplanned interruptions caused by breakdown or failure of equipment, aging infrastructure, employee error or contractor or subcontractor failure, limitations that may be imposed by equipment conditions or environmental, safety or other regulatory requirements, fuel supply or fuel transportation reductions or interruptions, labor or legal disputes, difficulties with the implementation or operation of information systems, power outages, pipeline or electricity line ruptures, catastrophic events, such as hurricanes, cyclones, earthquakes, landslides, floods, explosions, fires, or other disasters. Any equipment or system outage or constraint can, among other things, reduce sales, increase costs and affect the ability to meet regulatory service metrics, customer expectations and regulatory reliability and security requirements. Operational disruption, as well as supply disruption, and increased government oversight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no assurance can be given that the occurrence of any such event will not materially adversely affect 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8" w:name="page19"/>
    <w:bookmarkEnd w:id="18"/>
    <w:p>
      <w:pPr>
        <w:jc w:val="both"/>
        <w:spacing w:after="0" w:line="294" w:lineRule="auto"/>
        <w:rPr>
          <w:sz w:val="20"/>
          <w:szCs w:val="20"/>
          <w:color w:val="auto"/>
        </w:rPr>
      </w:pPr>
      <w:r>
        <w:rPr>
          <w:rFonts w:ascii="Arial" w:cs="Arial" w:eastAsia="Arial" w:hAnsi="Arial"/>
          <w:sz w:val="16"/>
          <w:szCs w:val="16"/>
          <w:b w:val="1"/>
          <w:bCs w:val="1"/>
          <w:i w:val="1"/>
          <w:iCs w:val="1"/>
          <w:color w:val="auto"/>
        </w:rPr>
        <w:t>Our leases and charters typically require payments in U.S. dollars, but many of our customers operate in other currencies; if foreign currencies devalue against the U.S. dollar, our lessees or charterers may be unable to meet their payment obligations to us in a timely manner.</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current leases and charters typically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61"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“-If we are deemed an “investment company” under the Investment Company Act, it could have a material adverse effect on our business, prospects, financial condition, results of operations and cash flows.”</w:t>
      </w:r>
    </w:p>
    <w:p>
      <w:pPr>
        <w:spacing w:after="0" w:line="6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and greenhouse gas emissions. Legislative and regulatory measures currently under consideration or being implemented by government authorities to address climate change could require reductions in our greenhouse gas or other emissions, establish a carbon tax or increase fuel or energy taxes. These legal requirements are expected to result in increased capital expenditures and compliance costs, and could result in higher costs and may require us to acquire emission credits or carbon offsets. These costs and restrictions could harm our business and results of operations by increasing our expenses or requiring us to alter our operations. The inconsistent international, regional and/or national requirements associated with climate change regulations also create economic and regulatory uncertainty.</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In addition, a variety of new legislation is being enacted, or considered for enactment, at the federal, state and local levels relating to greenhouse gas emissions and climate change. While there has historically been a lack of consistent climate change legislation, as climate change concerns continue to grow, further legislation and regulations are expected to continue in areas such as greenhouse gas emissions control, emission disclosure requirements and building codes or other infrastructure requirements that impose energy efficiency standards. Government mandates, standards or regulations intended to mitigate or reduce greenhouse gas emissions or projected climate change impacts could result in increased energy and transportation costs, and increased compliance expenses and other financial obligations to meet permitting or development requirements that we may be unable to fully recover (due to market conditions or other factors), any of which could result in reduced profits and adversely affect our results of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19" w:name="page20"/>
    <w:bookmarkEnd w:id="19"/>
    <w:p>
      <w:pPr>
        <w:jc w:val="both"/>
        <w:spacing w:after="0" w:line="286" w:lineRule="auto"/>
        <w:rPr>
          <w:sz w:val="20"/>
          <w:szCs w:val="20"/>
          <w:color w:val="auto"/>
        </w:rPr>
      </w:pPr>
      <w:r>
        <w:rPr>
          <w:rFonts w:ascii="Arial" w:cs="Arial" w:eastAsia="Arial" w:hAnsi="Arial"/>
          <w:sz w:val="16"/>
          <w:szCs w:val="16"/>
          <w:color w:val="auto"/>
        </w:rPr>
        <w:t>economic life of the assets we acquire or reduce their value, and also require us to make significant additional investments in order to maintain compliance, which would negatively impact our cash flows and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discontinuation of the LIBOR benchmark interest rate may have an impact on our business.</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July 27, 2017, the U.K. Financial Conduct Authority (the "FCA"), which regulates LIBOR, announced that it will no longer persuade or compel banks to submit rates for the calculation of LIBOR rates after 2021. On November 30, 2020, ICE Benchmark Administration, or the IBA, the administrator of LIBOR, with the support of the United States Federal Reserve and the FCA, announced plans to consult on ceasing publication of LIBOR on December 31, 2021, for only the one-week and two-month LIBOR tenors, and on June 30, 2023, for all other LIBOR tenors. The U.S. Federal Reserve concurrently issued a statement advising banks to stop new LIBOR issuances by the end of 2021. The IBA ceased publication of one-week and two-month USD LIBOR settings after December 31, 2021, and the remaining USD LIBOR settings after June 30, 2023, other than certain USD LIBOR settings that are expected to continue to be published under a synthetic methodology until September 2024.</w:t>
      </w:r>
    </w:p>
    <w:p>
      <w:pPr>
        <w:spacing w:after="0" w:line="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the United States, the Alternative Reference Rate Committee (“ARRC”), a group of diverse private-market participants assembled by the Federal Reserve Board and the Federal Reserve Bank of New York, was tasked with identifying alternative reference rates to replace LIBOR. The Secured Overnight Finance Rate (“SOFR”) has emerged as the ARRC's preferred alternative rate for LIBOR. SOFR is a broad measure of the cost of borrowing cash overnight collateralized by Treasury securities in the repurchase agreement market. At this time, it is not possible to predict how markets will respond to SOFR or other alternative reference rates.</w:t>
      </w:r>
    </w:p>
    <w:p>
      <w:pPr>
        <w:spacing w:after="0" w:line="8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b w:val="1"/>
          <w:bCs w:val="1"/>
          <w:i w:val="1"/>
          <w:iCs w:val="1"/>
          <w:color w:val="auto"/>
        </w:rPr>
        <w:t>A cyberattack that bypasses our information technology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Parts of our business depend on the secure operation of our IT systems and the IT systems of our third-party providers to manage, process, store, and transmit information associated with aircraft leasing. We have, from time to time, experienced threats to our data and systems, including malware and computer virus attacks. A cyberattack that bypasses our IT security systems or the IT security systems of our third-party providers, causing an IT security breach, could adversely impact our daily operations and lead to the loss of sensitive information, including our own proprietary information and that of our customers, suppliers and employees. Such losses could harm our reputation and result in competitive disadvantages, litigation, regulatory enforcement actions, lost revenues, additional costs and liabilities. While we devote substantial resources to maintaining adequate levels of cyber-security, our resources and technical sophistication may not be adequate to prevent all types of cyberattacks.</w:t>
      </w:r>
    </w:p>
    <w:p>
      <w:pPr>
        <w:spacing w:after="0" w:line="8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8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Because we are incorporated under the laws of the Cayman Islands, you may face difficulties in protecting your interests, and your ability to protect your rights through the U.S. federal courts may be limited.</w:t>
      </w:r>
    </w:p>
    <w:p>
      <w:pPr>
        <w:spacing w:after="0" w:line="2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0" w:name="page21"/>
    <w:bookmarkEnd w:id="20"/>
    <w:p>
      <w:pPr>
        <w:jc w:val="both"/>
        <w:spacing w:after="0" w:line="258" w:lineRule="auto"/>
        <w:rPr>
          <w:sz w:val="20"/>
          <w:szCs w:val="20"/>
          <w:color w:val="auto"/>
        </w:rPr>
      </w:pPr>
      <w:r>
        <w:rPr>
          <w:rFonts w:ascii="Arial" w:cs="Arial" w:eastAsia="Arial" w:hAnsi="Arial"/>
          <w:sz w:val="16"/>
          <w:szCs w:val="16"/>
          <w:color w:val="auto"/>
        </w:rPr>
        <w:t>Our corporate affairs are governed by our Articles, the Companies Act (As Revised) of the Cayman Islands (the ‘‘Cayman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8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have been advised by Maples and Calder (Cayman) LLP, our Cayman Islands legal counsel, that the courts of the Cayman Islands are unlikely (1) to recognize or enforce against us judgments of courts of the United States predicated upon the civil liability provisions of the federal securities laws of the United States or any state; and (2)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Manager</w:t>
      </w:r>
    </w:p>
    <w:p>
      <w:pPr>
        <w:spacing w:after="0" w:line="1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officers and other individuals who perform services for us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payments distributed to Master GP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8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and a member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May 22, 2023, Fortress and Mubadala announced that they have entered into definitive agreements pursuant to which, among other things, certain members of Fortress management and affiliates of Mubadala will acquire 100% of the equity of Fortress that is currently indirectly held by SoftBank. While Fortress’s senior investment professionals are expected to remain at Fortress, including those individuals who perform services for us, there can be no assurance that the transaction will not have an adverse impact on us or our relationship with our Manager.</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11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Our Management Agreement and the Services and Profit Sharing Agreement and our Articles were negotiated among affiliated parties, and their terms, including fees and other amounts payable, may not be as favorable to us as if they had been negotiated with an unaffiliated third-party.</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invest in aviation assets and whose investment objectives overlap with our asset acquisition objectives. Certain opportunities appropriate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1" w:name="page22"/>
    <w:bookmarkEnd w:id="21"/>
    <w:p>
      <w:pPr>
        <w:jc w:val="both"/>
        <w:spacing w:after="0" w:line="258" w:lineRule="auto"/>
        <w:rPr>
          <w:sz w:val="20"/>
          <w:szCs w:val="20"/>
          <w:color w:val="auto"/>
        </w:rPr>
      </w:pPr>
      <w:r>
        <w:rPr>
          <w:rFonts w:ascii="Arial" w:cs="Arial" w:eastAsia="Arial" w:hAnsi="Arial"/>
          <w:sz w:val="16"/>
          <w:szCs w:val="16"/>
          <w:color w:val="auto"/>
        </w:rPr>
        <w:t>for us may also be appropriate for one or more of these other investment vehicles. Certain members of our board of directors and employees of our Manager who are our officers also serve as officers and/or directors of these other entities. For example, some of our directors and officers are also directors or officers of FTAI Infrastructure, Inc. (“FTAI Infrastructure”). Although we have the same Manager, we may compete with entities affiliated with our Manager or Fortress for certain target assets. From time to time, entities affiliated with or managed by our Manager or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have previously purchased and may in the future purchase assets from these funds, and have previously co-invested and may in the future co-invest with these funds in aviation assets. Fortress funds generally have a fee structure similar to ours, but the fees actually paid will vary depending on the size, terms and performance of each fund.</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operating companies similar to us or pooled investment vehicles that invest in assets that meet our asset acquisition objectives. Our Manager has also engaged in additional transportation and infrastructure related management with FTAI Infrastructure in our recent spin-off of our infrastructure assets, and may be involved in other investment opportunities in the future, any of which may compete with us for investments or result in a change in our current investment strategy. In addition, our Articles provide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Aviation Ltd.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7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structure of our Manager’s and Master GP’s compensation arrangements may have unintended consequences for us. We have agreed to pay our Manager a management fee and Master GP is entitled to receive incentive payments from the Company or its subsidiaries that are each based on different measures of performance. Consequently, there may be conflicts in the incentives of our Manager to generate attractive risk-adjusted returns for us. In addition, because Master GP and our Manager are both affiliates of Fortress, the income incentive payment paid to Master GP may cause our Manager to place undue emphasis on the maximization of earnings, including through the use of leverage, at the expense of other objectives, such as preservation of capital, to achieve higher incentive payments. Investments with higher yield potential are generally riskier or more speculative than investments with lower yield potential. This could result in increased risk to the value of our portfolio of assets and our ordinary shares.</w:t>
      </w:r>
    </w:p>
    <w:p>
      <w:pPr>
        <w:spacing w:after="0" w:line="8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will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2" w:name="page23"/>
    <w:bookmarkEnd w:id="22"/>
    <w:p>
      <w:pPr>
        <w:jc w:val="both"/>
        <w:spacing w:after="0" w:line="258"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will not review or pre-approve each proposed acquisition or our related financing arrangements. In addition, in conducting periodic reviews, the directors will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ordinary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26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us,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8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3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006EBF"/>
        </w:rPr>
        <w:t>Risks Related to Taxation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the Company to be a passive foreign investment company (“PFIC”) and it could be a controlled foreign corporation (“CFC”) for U.S.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federal income tax purposes, which may result in adverse tax considerations for U.S. shareholders.</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We expect the Company to be treated as a PFIC and it could be treated as a CFC for U.S. federal income tax purposes. If you are a U.S. person and do not make a valid qualified electing fund (“QEF”) election with respect to us and each of our PFIC subsidiaries, then, unless we are a CFC and you own 10% or more of our shares (by vote or value), you would generally be subject to special deferred tax with respect to certain distributions on our shares, any gain realized on a disposition of our shares, and certain other events. The effect of this deferred tax could be materially adverse to you. Alternatively, if you are such a shareholder and make a valid QEF election for us and each of our PFIC subsidiaries, or if we are a CFC and you own 10% or more of our shares (by vote or value), you will generally not be subject to those taxes, but could recognize taxable income in a taxable year with respect to our shares in excess of any distributions that we make to you in that year, thus giving rise to so called “phantom income” and to a potential out-of-pocket tax liability. No assurances can be given that any given shareholder will be able to make a valid QEF election with respect to us or our PFIC subsidiaries. See </w:t>
      </w:r>
      <w:r>
        <w:rPr>
          <w:rFonts w:ascii="Arial" w:cs="Arial" w:eastAsia="Arial" w:hAnsi="Arial"/>
          <w:sz w:val="16"/>
          <w:szCs w:val="16"/>
          <w:i w:val="1"/>
          <w:iCs w:val="1"/>
          <w:color w:val="auto"/>
        </w:rPr>
        <w:t>“U.S. Federal Income Tax</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Considerations —Considerations for U.S. Holders—PFIC Status and Related Tax Considerations.”</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Assuming we are a PFIC, distributions made by us to a U.S. person will generally not be eligible for taxation at reduced tax rates generally applicable to “qualified dividends” paid by certain U.S. corporations and “qualified foreign corporations” to individuals. The more favorable rates applicable to other corporate dividends could cause individuals to perceive investment in our shares to be relatively less attractive than investment in the shares of other corporations, which could adversely affect the value of our shares.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Investors should consult their tax advisors regarding the potential impact of these rules on their investment in us.</w:t>
      </w:r>
    </w:p>
    <w:p>
      <w:pPr>
        <w:spacing w:after="0" w:line="12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To the extent we recognize income treated as effectively connected with a trade or business in the United States, we would be subject to U.S. federal income taxation on a net income basis, which could adversely affect our business and result in decreased cash available for distribution to our shareholders.</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If we are treated as engaged in a trade or business in the United States, the portion of our net income, if any, that is “effectively connected” with such trade or business would be subject to U.S. federal income taxation at maximum corporate rates, currently 21%. In addition, we may be subject to an additional U.S. federal branch profits tax on our effectively connected earnings and profits at a rate of 30%. The imposition of such taxes could adversely affect our business and would result in decreased cash available for distribution to our shareholders. Although we (or one or more of our non-U.S. corporate subsidiaries) are expected to be treated as engaged in a U.S. trade or business, it is currently expected that only a small portion of our taxable income will be treated as effectively connected with such U.S. trade or business. However, no assurance can be given that the amount of effectively connected income will not be greater than currently expected, whether due to a change in our operations or otherwise.</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If there is not sufficient trading in our shares, or if 50% of our shares are held by certain 5% shareholders, we could lose our eligibility for an exemption from U.S. federal income taxation on rental income from our aircraft or ships used in “international traffic” and could be subject to U.S. federal income taxation which would adversely affect our business and result in decreased cash available for distribution to our shareholders.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expect that we will be eligible for an exemption under Section 883 of the Internal Revenue Code of 1986, as amended (the “Code”), which provides an exemption from U.S. federal income taxation with respect to rental income derived from aircraft and ships used in international traffic by certain foreign corporations. No assurances can be given that we will continue to be eligible for this exemption as changes in our ownership or the amount of our shares that are traded could cause us to cease to be eligible for such exemption. To qualify for this exemption in respect of rental income, the lessor of the aircraft or ships must be organized in a country that grants a comparable exemption to U.S. lessors. The Cayman Islands and the Marshall Islands grant such exemptions. Additionally, certain other requirements must be satisfied. We can satisfy these requirements in any year if, for more than half the days of such year, our shares are primarily and regularly traded on a recognized exchange and certain shareholders, each of whom owns 5% or more of our shares (applying certain attribution rules), do not collectively own more than 50% of our shares. Our shares will be considered to be primarily and regularly traded on a recognized exchange in any year if: (i) the number of trades in our shares effected on such recognized stock exchanges exceed the number of our shares (or direct interests in our shares) that are traded during the year on all securities markets; (ii) trades in our shares are effected on such stock exchanges in more than de minimis quantities on at least 60 days during every calendar quarter in the year; and (iii) the aggregate number of our shares traded on such stock exchanges during the taxable year is at least 10% of the average number of our shares outstanding in that class during that year. If we were not eligible for the exemption under Section 883 of the Code, we expect that our U.S. source rental income would generally be subject to U.S. federal taxation, on a gross income basis, at a rate of not in excess of 4% as provided in Section 887 of the Code. If, contrary to expectations, we or certain of our non-U.S. subsidiaries did not comply with certain administrative guidelines of the U.S. Internal Revenue Service (the “IRS”), such that 90% or more of the U.S. source rental income of the Company or any of such subsidiaries were attributable to the activities of personnel based in the United States (in the case of bareboat leases), or from “regularly scheduled transportation” as defined in such administrative guidelines (in the case of time charter leases), our, or such subsidiary’s, U.S. source rental income would be treated as income effectively connected with the conduct of a trade or business in the United States. In such case, such U.S. source rental income would be subject to U.S. federal income taxation at the maximum corporate rate as well as state and local taxation. In addition, the Company or such subsidiary would be subject to the U.S. federal branch profits tax on its effectively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4" w:name="page25"/>
    <w:bookmarkEnd w:id="24"/>
    <w:p>
      <w:pPr>
        <w:spacing w:after="0" w:line="286" w:lineRule="auto"/>
        <w:rPr>
          <w:sz w:val="20"/>
          <w:szCs w:val="20"/>
          <w:color w:val="auto"/>
        </w:rPr>
      </w:pPr>
      <w:r>
        <w:rPr>
          <w:rFonts w:ascii="Arial" w:cs="Arial" w:eastAsia="Arial" w:hAnsi="Arial"/>
          <w:sz w:val="16"/>
          <w:szCs w:val="16"/>
          <w:color w:val="auto"/>
        </w:rPr>
        <w:t>connected earnings and profits at a rate of 30%. The imposition of such taxes could adversely affect our business and would result in decreased cash available for distribution to our shareholders.</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b w:val="1"/>
          <w:bCs w:val="1"/>
          <w:i w:val="1"/>
          <w:iCs w:val="1"/>
          <w:color w:val="auto"/>
        </w:rPr>
        <w:t>We or our subsidiaries may become subject to increased and/or unanticipated tax liabilities that may have a material adverse effect on our results of operations.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Some of our subsidiaries are subject to income, withholding or other taxes in certain non-U.S. jurisdictions by reason of their jurisdiction of incorporation, activities and operations, where their assets are used or where the lessees of their assets (or others in possession of their assets) are located, and it is also possible that taxing authorities in any such jurisdictions could assert that we or our subsidiaries are subject to greater taxation than we currently face or otherwise anticipate. Further, the Organisation for Economic Co-operation and Development (the “OECD”) is conducting a project focused on base erosion and profit shifting in international structures, which seeks to establish certain international standards for taxing the worldwide income of multinational companies. In addition, the OECD is working on a “BEPS 2.0” initiative, which is aimed at (i) shifting taxing rights to the jurisdiction of the consumer and (ii) ensuring all companies pay a global minimum tax. On October 8, 2021, the OECD announced an agreement among over 140 countries delineating an implementation plan, on December 20, 2021, the OECD released model rules for the domestic implementation of a 15% global minimum tax, on December 15, 2022, the member states of the European Union unanimously voted to adopt the OECD’s minimum tax rules and phase them into national law, and on February 2, 2023 the OECD released technical guidance on the global minimum tax which was agreed by consensus of the BEPS 2.0 signatory jurisdictions. Numerous countries, including European Union member states, have enacted or are expected to enact minimum tax legislation to be effective as early as January 1, 2024, with additional elements of the minimum tax expected to be effective on or after January 1, 2025. Additionally, On December 27, 2023, Bermuda enacted a corporate tax regime with a 15% rate (the “Bermuda CIT”) and with requirements similar to those of the OECD’s minimum tax proposal. The Bermuda CIT will be effective for tax years beginning on or after January 1, 2025 (see footnote 11 to our consolidated financial statements entitled “Income Taxes” included elsewhere in this Annual Report). As a result of these developments, the tax laws of certain countries in which we and our affiliates do business are expected to change (and could change on a retroactive basis) and certain of such changes are expected to increase our liabilities for taxes (and possibly interest and penalties) and therefore could harm our business, cash flows, results of operations and financial position. In addition, a portion of certain of our or our non-U.S. corporate subsidiaries’ income is treated as effectively connected with a U.S. trade or business and is accordingly subject to U.S. federal income tax or may be subject to gross-basis U.S. withholding tax. It is possible that the IRS could assert that a greater portion of our or any such non-U.S. subsidiaries’ income is effectively connected income that should be subject to U.S. federal income tax or subject to withholding tax.</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Risks Related to Our Shares</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The market price and trading volume of our ordinary and preferred shares may be volatile, which could result in rapid and substantial losses for our shareholders.</w:t>
      </w:r>
    </w:p>
    <w:p>
      <w:pPr>
        <w:spacing w:after="0" w:line="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market price of our ordinary and preferred shares may be highly volatile and could be subject to wide fluctuations. In addition, the trading volume in our ordinary and preferred shares may fluctuate and cause significant price variations to occur. If the market price of our ordinary or preferred shares declines significantly, you may be unable to resell your shares at or above your purchase price, if at all. The market price of our ordinary and preferred shares may fluctuate or decline significantly in the future. Some of the factors that could negatively affect our share price or result in fluctuations in the price or trading volume of our shares include:</w:t>
      </w:r>
    </w:p>
    <w:p>
      <w:pPr>
        <w:spacing w:after="0" w:line="64"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failure of securities analysts to cover our ordinary shares;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prevailing interest rates or rates of return being paid by other comparable companies and the market for securities similar to our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additional issuances of preferred shares;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whether we declare distributions on our preferred shares;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ordinary and preferred shares.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increase in market interest rates may have an adverse effect on the market price of our shares.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6"/>
          <w:szCs w:val="16"/>
          <w:color w:val="auto"/>
        </w:rPr>
        <w:t>One of the factors that investors may consider in deciding whether to buy or sell our shares is our distribution rate as a percentage of our share price relative to market interest rates. If the market price of our shares is based primarily on the earnings and return that we derive from our investments and income with respect to our investments and our related distributions to shareholders, and not from the market value of the investments themselves, then interest rate fluctuations and capital market conditions will likely affect the market price of our shares. For instance, if market interest rates rise without an increase in our distribution rate, the market price of our shares could decrease, as potential investors may require a higher distribution yield on our shares or seek other securities paying higher distributions or interest. In addition, rising interest rates would result in increased interest expense on our outstanding and future (variable and fixed) rate debt, thereby adversely affecting cash flows and our ability to service our indebtedness and pay distributions.</w:t>
      </w:r>
    </w:p>
    <w:p>
      <w:pPr>
        <w:spacing w:after="0" w:line="84"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a public company, we are required to comply with Section 404 (“Section 404”) of the Sarbanes-Oxley Act. Section 404 requires that we evaluate the effectiveness of our internal control over financial reporting at the end of each fiscal year and to include a management report assessing the effectiveness of our internal controls over financial reporting in our Annual Report on Form 10-K for that fiscal year. Section 404 also requires an independent registered public accounting firm to attest to, and report on, management’s assessment of our internal controls over financial reporting. The outcome of our review and the report of our independent registered public accounting firm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discover a material weakness in our internal control over financial reporting, our share price could decline and our ability to raise capital could be impaired.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Your percentage ownership in FTAI Aviation Ltd. may be diluted in the future because of equity awards granted and may be granted to our Manager pursuant to the Management Agreement and the Incentive Plan. Since 2015, we granted our Manager an option to acquire 3,903,010 ordinary shares in connection with equity offerings. In the future, upon the successful completion of additional offerings of our ordinary shares or other equity securities (including securities issued as consideration in an acquisition), we will grant to our Manager options to purchase ordinary shares in an amount equal to 10% of the number of ordinary shares being sold in such offerings (or if the issuance relates to equity securities other than our ordinary shares, options to purchase a number of ordinary shares equal to 10% of the gross capital raised in the equity issuance divided by the fair market value of an ordinary share as of the date of the issuance), with an exercise price equal to the offering price per share paid by the public or other ultimate purchaser or attributed to such securities in connection with an acquisition (or the fair market value of an ordinary share as of the date of the equity issuance if it relates to equity securities other than our ordinary shares), and any such offering or the exercise of the option in connection with such offering would cause dilution.</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board of directors has adopted the Incentive Plan, which provides for the grant of equity-based awards, including restricted shares, stock options, stock appreciation rights, performance awards, restricted share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ordinary shares for issuance under the Incentive Plan. As of December 31, 2023, rights relating to 616,177 of our ordinary shares were outstanding under the Incentive Plan. In the future on the date of any equity issuance by us during the remaining portion of the ten-year term of the Incentive Plan (including in respect of securities issued as consideration in an acquisition), the maximum number of shares available for issuance under the Plan will be increased to include an additional number of ordinary shares equal to ten percent (10%) of either (i) the total number of ordinary shares newly issued by us in such equity issuance or (ii) if such equity issuance relates to equity securities other than our ordinary shares, a number of our ordinary shares equal to 10% of (A) the gross capital raised in an equity issuance of equity securities other than ordinary shares during the ten-year term of the Incentive Plan, divided by (B) the fair market value of an ordinary share as of the date of such equity issuance.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our ordinary shares could adversely affect the market price of our ordinary shares.</w:t>
      </w:r>
    </w:p>
    <w:p>
      <w:pPr>
        <w:spacing w:after="0" w:line="12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Sales of substantial amounts of our ordinary shares in the public market, or the perception that such sales might occur, could adversely affect the market price of our ordinary shares. The issuance of our ordinary shares in connection with property, portfolio or business acquisitions or the exercise of outstanding options or otherwise could also have an adverse effect on the market price of our ordinary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6" w:name="page27"/>
    <w:bookmarkEnd w:id="26"/>
    <w:p>
      <w:pPr>
        <w:jc w:val="both"/>
        <w:spacing w:after="0" w:line="279"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ordinary shares upon our liquidation, and future issuances of equity or equity-related securities, which would dilute the holdings of our existing ordinary shareholders and may be senior to our ordinary shares for the purposes of making distributions, periodically or upon liquidation, may negatively affect the market price of our ordinary shares.</w:t>
      </w:r>
    </w:p>
    <w:p>
      <w:pPr>
        <w:spacing w:after="0" w:line="4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acquisitions or investments. Upon our liquidation, lenders and holders of our debt and holders of our preferred shares (if any) would receive a distribution of our available assets before ordinary shareholders. Any future incurrence or issuance of debt would increase our interest cost and could adversely affect our results of operations and cash flows. We are not required to offer any additional equity securities to existing ordinary shareholders on a preemptive basis. Therefore, additional issuances of ordinary shares, directly or through convertible or exchangeable securities warrants or options, will dilute the holdings of our existing ordinary shareholders and such issuances, or the perception of such issuances, may reduce the market price of our ordinary shares. Any preferred shares issued by us would likely have a preference on distribution payments, periodically or upon liquidation, which could eliminate or otherwise limit our ability to make distributions to ordinary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ordinary shareholders bear the risk that our future incurrence or issuance of debt or issuance of equity or equity-related securities will adversely affect the market price of our ordinary shares.</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2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Although we currently intend to pay regular quarterly dividends to holders of our ordinary shares, we may change our dividend policy at any time. Our net cash provided by operating activities has been less than the amount of distributions to our shareholders. The declaration and payment of dividends to holders of our ordinary shares are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Our indirect intermediate holding company subsidiary FTAI LLC is currently, and may in the future be, subject to certain covenants included in its financing agreements that limit its ability to make distributions to us. In addition, our existing indebtedness does, and our future indebtedness may, limit our ability to pay dividends on our ordinary and preferred shares. Moreover, pursuant to the Services and Profit Sharing Agreement, Master GP is entitled to receive incentive payments before any amounts are distributed by us based both on our consolidated net income and capital gains income in each fiscal quarter and for each fiscal year, respectively. Furthermore, the terms of our preferred shares generally prevent us from declaring or paying dividends on or repurchasing our ordinary shares or other junior capital unless all accrued distributions on such preferred shares have been paid in full.</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Articles could delay or prevent a change in control.</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Provisions in our Articles may make it more difficult and expensive for a third party to acquire control of us even if a change of control would be beneficial to the interests of our shareholders. For example, our Articles provides for a staggered board, requires advance notice for proposals by shareholders and nominations, places limitations on convening shareholder meetings, and authorizes the issuance of preferred shares that could be issued by our board of directors to thwart a takeover attempt. The market price of our shares could be adversely affected to the extent that provisions of our operating agreement discourage potential takeover attempts that our shareholders may favor.</w:t>
      </w:r>
    </w:p>
    <w:p>
      <w:pPr>
        <w:spacing w:after="0" w:line="8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ordinary shares, our share price and trading volume could decline.</w:t>
      </w:r>
    </w:p>
    <w:p>
      <w:pPr>
        <w:spacing w:after="0" w:line="3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trading market for our ordinary shares are influenced by the research and reports that industry or securities analysts publish about us or our business. If any of the analysts who cover us downgrades our ordinary units or publishes inaccurate or unfavorable research about our business, our ordinary share price may decline. If analysts cease coverage of us or fail to regularly publish reports on us, we could lose visibility in the financial markets, which in turn could cause our ordinary share price or trading volume to decline and our ordinary shares to be less liquid.</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1B. Unresolved Staff Comments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have no unresolved staff comments.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00497F"/>
        </w:rPr>
        <w:t>Item 1C. Cybersecurity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Risk Management and Strategy</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Company’s cybersecurity is overseen by the Chief Executive Officer, who receives reports directly from other officers and individuals who perform services for the Company, including, but not limited to, the Manager’s Information Security Steering Committee (“ISSC”), employing a risk-based methodology designed to safeguard the security, confidentiality, integrity, and availability of its information. The ISSC is tasked with developing an effective cyber strategy, establishing policies, and managing cyber risks within the organization. The Manager’s Chief Financial Officer and General Counsel, along with the Chief Operating Officer, Chief Human Resources Officer, Chief Compliance Officer, Chief Technology Officer, Chief Information Security Officer and Chief of Intelligence collaborate with the Company’s Chief Financial Officer to formulate, implement, and enforce these policies. They help ensure that the ISSC considers best practices in its decision-making, and convenes quarterly or as needed to assess cybersecurity issues and supervise matters related to information security, fraud, vendors, data protection, and privacy risks.</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 help identify and assess risks, we and our Manager engage third-party advisors, leveraging standards such as the National Institute of Standards and Technology security framework (“NIST”). The results of these assessments inform the development of cybersecurity controls and risk mitigation strategies, which are then implemented throughout the Company.</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taken proactive measures intended to minimize the likelihood of successful cyberattacks, including the establishment of incident response procedures designed to address potential cyber threats that may arise. These response procedures are structured with the aim to identify, analyze, contain, and remediate any cyber incidents that occur. We also have risk management processes to oversee and help identify risks from cybersecurity threats associated with our use of third-party providers.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To date, cybersecurity threats, including as a result of any previous cybersecurity incidents, have not materially affected and we believe are not reasonably likely to affect the Company, including its business strategy, results of operations or financial condition. Refer to the risk factor captioned “A cyberattack that bypasses our information technology (“IT”), security systems or the IT security systems of our third-party providers, causing an IT security breach, may lead to a disruption of our IT systems and the loss of business information which may hinder our ability to conduct our business effectively and may result in lost revenues and additional costs.” in Part I, Item 1A. “Risk Factors” for additional description of cybersecurity risks and potential related impacts on the Company.</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006EBF"/>
        </w:rPr>
        <w:t>Governance</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Material risks are identified and prioritized by management, and material risks are discussed periodically or as needed with the Board of Directors. The Board of Directors regularly reviews information regarding the Company’s credit, liquidity and operations, including risks and contingencies associated with each area, including cybersecurity. In addition to the formal compliance program, the Board of Directors encourages management to promote a corporate culture that incorporates risk management into the Company’s corporate strategy and day-to-day business operations.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2. Properties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An affiliate of our Manager leases principal executive offices at 1345 Avenue of the Americas, New York, NY 10105. We also lease office space from an affiliate of our Manager in Ireland and Dubai. Additionally, our aviation leasing business and offshore energy business lease office space in New York, Florida, Wales and Singapore, respectively, and we own and/or lease maintenance facilities in Florida and Canada for our aerospace products business. We believe that our office facilities and properties are suitable and adequate for our business as it is contemplated to be conducted.</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3. Legal Proceedings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4. Mine Safety Disclosures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8" w:name="page29"/>
    <w:bookmarkEnd w:id="28"/>
    <w:p>
      <w:pPr>
        <w:ind w:left="5340"/>
        <w:spacing w:after="0"/>
        <w:rPr>
          <w:sz w:val="20"/>
          <w:szCs w:val="20"/>
          <w:color w:val="auto"/>
        </w:rPr>
      </w:pPr>
      <w:r>
        <w:rPr>
          <w:rFonts w:ascii="Arial" w:cs="Arial" w:eastAsia="Arial" w:hAnsi="Arial"/>
          <w:sz w:val="16"/>
          <w:szCs w:val="16"/>
          <w:b w:val="1"/>
          <w:bCs w:val="1"/>
          <w:color w:val="00497F"/>
        </w:rPr>
        <w:t>PART II</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5. Market for Registrant's Common Equity, Related Stockholder Matters and Issuer Purchases of Equity Securities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ordinary shares are listed on The Nasdaq Global Select Market under the ticker symbol “FTAI”. As of February 22, 2024, there were approximately 14 record holders of our ordinary shares. This figure does not reflect the beneficial ownership of shares held in nominee name.</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Although we currently intend to continue to pay regular quarterly dividends to holders of our ordinary shares, we may change our dividend policy at any time and no assurances can be given that any future dividends will be paid or, if paid, as to the amounts or timing. The declaration and payment of dividends to holders of our ordinary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In addition, our existing indebtedness does, and our future indebtedness may, limit our ability to pay dividends on our ordinary and preferred shares.</w:t>
      </w:r>
    </w:p>
    <w:p>
      <w:pPr>
        <w:spacing w:after="0" w:line="6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February 22, 2024, our Board of Directors declared a cash dividend on our ordinary shares of $0.30 per share for the quarter ended December 31, 2023, payable on March 20, 2024 to the holders of record on March 8, 2024.</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Nonqualified Stock Option and Incentive Award Plan</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2015, in connection with our IPO, we established a Nonqualified Stock Option and Incentive Award Plan (“Incentive Plan”) referred to then as the Fortress Transportation and Infrastructure Investors LLC Nonqualified Stock Option and Incentive Award Plan, which provides for the ability to award equity compensation awards in the form of stock options, stock appreciation rights, restricted stock, and performance awards to eligible employees, consultants, directors, and other individuals who provide services to us, each as determined by the Compensation Committee of the Board of Directors. On November 10, 2022, in connection with the Merger, the Incentive Plan was assumed by FTAI Aviation Ltd. and renamed the FTAI Aviation Ltd. Nonqualified Stock Option and Incentive Award Plan, and on February 23, 2023, the Incentive Plan was amended to provide for the ability to award equity compensation awards in the form of restricted stock units in addition to the other forms of award described above. As of December 31, 2023, the Incentive Plan provides for the issuance of up to 29.8 million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00497F"/>
        </w:rPr>
        <w:t>Performance Graph</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following graph compares the cumulative total return for our ordinary shares (share price change plus reinvested dividends) with the comparable return of three indices: S&amp;P Mid Cap 400, Russell 2000, and Dow Jones US Transportation Services. The graph assumes an investment of $100 in our ordinary shares and in each of the indices on December 31, 2018, and that all dividends were reinvested. The past performance of our shares is not an indication of future performance.</w:t>
      </w:r>
    </w:p>
    <w:p>
      <w:pPr>
        <w:spacing w:after="0" w:line="59" w:lineRule="exact"/>
        <w:rPr>
          <w:sz w:val="20"/>
          <w:szCs w:val="20"/>
          <w:color w:val="auto"/>
        </w:rPr>
      </w:pPr>
    </w:p>
    <w:p>
      <w:pPr>
        <w:jc w:val="center"/>
        <w:ind w:left="480"/>
        <w:spacing w:after="0"/>
        <w:rPr>
          <w:sz w:val="20"/>
          <w:szCs w:val="20"/>
          <w:color w:val="auto"/>
        </w:rPr>
      </w:pPr>
      <w:r>
        <w:rPr>
          <w:rFonts w:ascii="Arial" w:cs="Arial" w:eastAsia="Arial" w:hAnsi="Arial"/>
          <w:sz w:val="22"/>
          <w:szCs w:val="22"/>
          <w:b w:val="1"/>
          <w:bCs w:val="1"/>
          <w:color w:val="auto"/>
        </w:rPr>
        <w:t>COMPARISON OF CUMULATIVE TOTAL RETURN*</w:t>
      </w:r>
    </w:p>
    <w:p>
      <w:pPr>
        <w:spacing w:after="0" w:line="108" w:lineRule="exact"/>
        <w:rPr>
          <w:sz w:val="20"/>
          <w:szCs w:val="20"/>
          <w:color w:val="auto"/>
        </w:rPr>
      </w:pPr>
    </w:p>
    <w:p>
      <w:pPr>
        <w:jc w:val="center"/>
        <w:ind w:left="800" w:right="60"/>
        <w:spacing w:after="0" w:line="296" w:lineRule="auto"/>
        <w:rPr>
          <w:sz w:val="20"/>
          <w:szCs w:val="20"/>
          <w:color w:val="auto"/>
        </w:rPr>
      </w:pPr>
      <w:r>
        <w:rPr>
          <w:rFonts w:ascii="Arial" w:cs="Arial" w:eastAsia="Arial" w:hAnsi="Arial"/>
          <w:sz w:val="18"/>
          <w:szCs w:val="18"/>
          <w:b w:val="1"/>
          <w:bCs w:val="1"/>
          <w:color w:val="auto"/>
        </w:rPr>
        <w:t>Among FTAI Aviation Ltd., the S&amp;P Midcap 400 Index, the Russell 2000 Index and the Dow Jones US Transportation Services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30480</wp:posOffset>
            </wp:positionV>
            <wp:extent cx="5837555" cy="32575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3755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*$100 each invested on December 31, 2018 in stock and index, including reinvestment of dividends. Fiscal year ending December 31.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60" w:type="dxa"/>
            <w:vAlign w:val="bottom"/>
          </w:tcPr>
          <w:p>
            <w:pPr>
              <w:ind w:left="20"/>
              <w:spacing w:after="0"/>
              <w:rPr>
                <w:sz w:val="20"/>
                <w:szCs w:val="20"/>
                <w:color w:val="auto"/>
              </w:rPr>
            </w:pPr>
            <w:r>
              <w:rPr>
                <w:rFonts w:ascii="Arial" w:cs="Arial" w:eastAsia="Arial" w:hAnsi="Arial"/>
                <w:sz w:val="14"/>
                <w:szCs w:val="14"/>
                <w:i w:val="1"/>
                <w:iCs w:val="1"/>
                <w:color w:val="auto"/>
              </w:rPr>
              <w:t>(in whole dollars)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7"/>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Index</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r>
      <w:tr>
        <w:trPr>
          <w:trHeight w:val="197"/>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Aviation Ltd.</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204.40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559.43</w:t>
            </w:r>
          </w:p>
        </w:tc>
      </w:tr>
      <w:tr>
        <w:trPr>
          <w:trHeight w:val="198"/>
        </w:trPr>
        <w:tc>
          <w:tcPr>
            <w:tcW w:w="4360" w:type="dxa"/>
            <w:vAlign w:val="bottom"/>
          </w:tcPr>
          <w:p>
            <w:pPr>
              <w:ind w:left="20"/>
              <w:spacing w:after="0"/>
              <w:rPr>
                <w:sz w:val="20"/>
                <w:szCs w:val="20"/>
                <w:color w:val="auto"/>
              </w:rPr>
            </w:pPr>
            <w:r>
              <w:rPr>
                <w:rFonts w:ascii="Arial" w:cs="Arial" w:eastAsia="Arial" w:hAnsi="Arial"/>
                <w:sz w:val="14"/>
                <w:szCs w:val="14"/>
                <w:color w:val="auto"/>
              </w:rPr>
              <w:t>S&amp;P Midcap 400</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126.20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143.44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178.95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155.58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181.15</w:t>
            </w:r>
          </w:p>
        </w:tc>
      </w:tr>
      <w:tr>
        <w:trPr>
          <w:trHeight w:val="207"/>
        </w:trPr>
        <w:tc>
          <w:tcPr>
            <w:tcW w:w="4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Russell 2000</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172.90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160.85</w:t>
            </w:r>
          </w:p>
        </w:tc>
      </w:tr>
      <w:tr>
        <w:trPr>
          <w:trHeight w:val="195"/>
        </w:trPr>
        <w:tc>
          <w:tcPr>
            <w:tcW w:w="4360" w:type="dxa"/>
            <w:vAlign w:val="bottom"/>
          </w:tcPr>
          <w:p>
            <w:pPr>
              <w:ind w:left="20"/>
              <w:spacing w:after="0"/>
              <w:rPr>
                <w:sz w:val="20"/>
                <w:szCs w:val="20"/>
                <w:color w:val="auto"/>
              </w:rPr>
            </w:pPr>
            <w:r>
              <w:rPr>
                <w:rFonts w:ascii="Arial" w:cs="Arial" w:eastAsia="Arial" w:hAnsi="Arial"/>
                <w:sz w:val="14"/>
                <w:szCs w:val="14"/>
                <w:color w:val="auto"/>
              </w:rPr>
              <w:t>Dow Jones US Transportation Services</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135.60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162.47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243.23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194.36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00497F"/>
        </w:rPr>
        <w:t>Item 6. [Reserved]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7. Management’s Discussion and Analysis of Financial Condition and Results of Operations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FTAI Aviation Ltd. Our MD&amp;A should be read in conjunction with our consolidated financial statements and the accompanying notes, and with Part I, Item 1A, “Risk Factors” and “Forward-Looking Statements” included elsewhere in this Annual Report on Form 10-K.</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discussion of our cash flows for 2022 compared to 2021 is included in our Annual Report on Form 10-K for the year ended December 31, 2022, under Part II, Item 7, Management's Discussion and Analysis of Financial Condition and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own, lease and sell aviation equipment. We also develop and manufacture through a joint venture, and repair and sell, through our maintenance facility and exclusivity arrangements, aftermarket components for aircraft engines. Additionally, we own and lease offshore energy equipment. We target assets that, on a combined basis, generate strong cash flows with potential for earnings growth and asset appreciation. We believe that there is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assets since 2002. As of December 31, 2023, we had total consolidated assets of $3.0 billion and total equity of $175.9 million.</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Impact of Russia’s Invasion of Ukraine</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Economic sanctions and export controls against Russia and Russia’s aviation industry were imposed due to its invasion of Ukraine during the three months ended March 31, 2022. As a result of the sanctions imposed on Russian airlines, we terminated all lease agreements with Russian airlines. We determined that it is unlikely that we will regain possession of the aircraft and engines that had not yet been recovered from Ukraine and Russia. As a result, we recognized an impairment charge totaling $120.0 million, net of maintenance deposits for the year ended December 31, 2022, to write-off the entire carrying value of leasing equipment assets that we did not expect to recover from Ukraine and Russia. As of December 31, 2023, eight aircraft and seventeen engines were still located in Russia.</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lessees are required to provide insurance coverage with respect to leased aircraft and engines, and we are named as insureds under those policies in the event of a total loss of an aircraft or engine. We also purchase insurance which provides us with coverage when our aircraft or engines are not subject to a lease or where a lessee’s policy fails to indemnify us. The insured value of the aircraft and engines that remain in Russia is approximately $210.7 million. We intend to pursue all our claims under these policies. However, the timing and amount of any recoveries under these policies are uncertain.</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extent of the impact of Russia’s invasion of Ukraine and the related sanctions on our operational and financial performance, including the ability for us to recover our leasing equipment in the region, will depend on future developments, including the duration of the conflict, sanctions and restrictions imposed by Russian and international governments, all of which remain uncertain.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Spin-Off of FTAI Infrastructure Inc. (“FTAI Infrastructure”)</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August 1, 2022, Fortress Transportation and Infrastructure Investors LLC (“we”, “us”, “our”, “FTAI” or the “Company” pre-Merger, as defined below, and FTAI Aviation Ltd. post-Merger) effected a spin-off of the Company’s infrastructure business held by FTAI Infrastructure (a wholly-owned subsidiary of the Company) as a distribution of all of the shares owned by the Company of common stock of FTAI Infrastructure to the holders of the Company’s ordinary shares as of July 21, 2022.</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FTAI Infrastructure is a corporation for U.S. federal income tax purposes and holds, among other things, the Company’s previously held interests in the (i) Jefferson Terminal business, (ii) Repauno business, (iii) Long Ridge investment, and (iv) Transtar business. FTAI Infrastructure retained all related project-level debt of those entities. In connection with the spin-off, FTAI Infrastructure paid a dividend of $730.3 million to the Company. The Company used these proceeds to repay all outstanding borrowings under its 2021 bridge loans, $200.0 million of its 6.50% senior unsecured notes due 2025, and approximately $175.0 million of the outstanding borrowings under its revolving credit facility. FTAI retained the aviation business and certain other assets, and FTAI’s remaining outstanding corporate indebtedness.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connection with the spin-off, the Company and the Manager assigned the Company’s then-existing management agreement to FTAI Infrastructure, and FTAI Infrastructure and the Manager executed an amended and restated agreement. The Company and certain of its subsidiaries executed a new management agreement with the Manager. The new management agreement has an initial term of six years. The Manager is entitled to a management fee and reimbursement of certain expenses on substantially similar terms as the previous arrangements with the Manager, which were assigned to FTAI Infrastructure. Prior to the Merger described below, our Manager remained entitled to incentive allocations (comprised of income incentive allocation and capital gains incentive allocation) on the same terms as they existed prior to spin-off. Following the Merger, the Company entered into a Services and Profit Sharing Agreement (the “Services and Profit Sharing Agreement”), with a subsidiary of the Company and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1" w:name="page32"/>
    <w:bookmarkEnd w:id="31"/>
    <w:p>
      <w:pPr>
        <w:jc w:val="both"/>
        <w:spacing w:after="0" w:line="286" w:lineRule="auto"/>
        <w:rPr>
          <w:sz w:val="20"/>
          <w:szCs w:val="20"/>
          <w:color w:val="auto"/>
        </w:rPr>
      </w:pPr>
      <w:r>
        <w:rPr>
          <w:rFonts w:ascii="Arial" w:cs="Arial" w:eastAsia="Arial" w:hAnsi="Arial"/>
          <w:sz w:val="16"/>
          <w:szCs w:val="16"/>
          <w:color w:val="auto"/>
        </w:rPr>
        <w:t>Fortress Worldwide Transportation and Infrastructure Master GP LLC (“Master GP”), pursuant to which Master GP is entitled to incentive payments on substantially similar terms as the previous arrangements.</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November 10, 2022, the Company completed the transactions set forth in the Agreement and Plan of Merger (the “Merger”) between Fortress Transportation and Infrastructure Investors LLC (“FTAI”) and FTAI Aviation Ltd. (“FTAI Aviation”) and certain other parties, with FTAI becoming a subsidiary of the Company. As a result of the merger, the FTAI became a Cayman Islands exempted company. Upon merger completion, Fortress Transportation and Infrastructure Investors LLC public common shareholders’ shares of the Company were exchanged automatically for shares of FTAI Aviation Ltd. without any further action from the shareholders.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The key factors used to identify the reportable segments are the organization and alignment of our internal operations and the nature of our products and services. Our two reportable segments are (i) Aviation Leasing and (ii) Aerospace Products. The Aviation Leasing segment owns and manages aviation assets, including aircraft and aircraft engines, which it leases and sells to customers. The Aerospace Products segment develops and manufactures through a joint venture, repairs and sells, through our maintenance facility and exclusivity arrangements, aircraft engines and aftermarket components for aircraft engines. During the fourth quarter of 2023, the Company changed the composition of its operating segments to include product offerings for V2500 engines within the Aerospace Products segment. Prior periods have been restated to reflect the change in accordance with the requirements of ASC 280, </w:t>
      </w:r>
      <w:r>
        <w:rPr>
          <w:rFonts w:ascii="Arial" w:cs="Arial" w:eastAsia="Arial" w:hAnsi="Arial"/>
          <w:sz w:val="16"/>
          <w:szCs w:val="16"/>
          <w:i w:val="1"/>
          <w:iCs w:val="1"/>
          <w:color w:val="auto"/>
        </w:rPr>
        <w:t>Segment</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See Note 2 for additional information.</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shared services costs, and management fees. Additionally, Corporate and Other also includes offshore energy related assets, which consist of vessels and equipment that support offshore oil and gas activities and production which are typically subject to operating leases.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Manager</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May 22, 2023, Fortress and Mubadala Investment Company, through its wholly owned asset management subsidiary Mubadala Capital (“Mubadala”), announced that they have entered into definitive agreements pursuant to which, among other things, certain members of Fortress management and affiliates of Mubadala will acquire 100% of the equity of Fortress that is currently indirectly held by SoftBank Group Corp. (“SoftBank”). After the closing of the transaction, Fortress will continue to operate as an independent investment manager under the Fortress brand, with autonomy over investment processes and decision making, personnel and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chief operating decision maker (“CODM”) utilizes Adjusted EBITDA as the key performance measure. Adjusted EBITDA is not a financial measure in accordance with U.S. generally accepted accounting principles (“U.S. GAAP”). This performance measure provides the CODM with the information necessary to assess operational performance and make resource and allocation decisions. We believe Adjusted EBITDA is a useful metric for investors and analysts for similar purposes of assessing our operational performance.</w:t>
      </w:r>
    </w:p>
    <w:p>
      <w:pPr>
        <w:spacing w:after="0" w:line="6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dividends on preferred shares and interest expense, (b) to include the impact of our pro-rata share of Adjusted EBITDA from unconsolidated entities and (c) to exclude the impact of equity in earnings (losses) of unconsolidated entities and the non-controlling share of Adjusted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The following table presents our consolidated results of operations: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r>
      <w:tr>
        <w:trPr>
          <w:trHeight w:val="197"/>
        </w:trPr>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'23 vs '22</w:t>
            </w:r>
          </w:p>
        </w:tc>
        <w:tc>
          <w:tcPr>
            <w:tcW w:w="260" w:type="dxa"/>
            <w:vAlign w:val="bottom"/>
          </w:tcPr>
          <w:p>
            <w:pPr>
              <w:spacing w:after="0"/>
              <w:rPr>
                <w:sz w:val="17"/>
                <w:szCs w:val="17"/>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'22 vs '21</w:t>
            </w:r>
          </w:p>
        </w:tc>
      </w:tr>
      <w:tr>
        <w:trPr>
          <w:trHeight w:val="184"/>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201"/>
        </w:trPr>
        <w:tc>
          <w:tcPr>
            <w:tcW w:w="452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207,936</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179,314</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173,864</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28,622</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5,450</w:t>
            </w:r>
          </w:p>
        </w:tc>
      </w:tr>
      <w:tr>
        <w:trPr>
          <w:trHeight w:val="204"/>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191,347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148,846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20,027</w:t>
            </w:r>
          </w:p>
        </w:tc>
      </w:tr>
      <w:tr>
        <w:trPr>
          <w:trHeight w:val="201"/>
        </w:trPr>
        <w:tc>
          <w:tcPr>
            <w:tcW w:w="4520" w:type="dxa"/>
            <w:vAlign w:val="bottom"/>
          </w:tcPr>
          <w:p>
            <w:pPr>
              <w:ind w:left="20"/>
              <w:spacing w:after="0"/>
              <w:rPr>
                <w:sz w:val="20"/>
                <w:szCs w:val="20"/>
                <w:color w:val="auto"/>
              </w:rPr>
            </w:pPr>
            <w:r>
              <w:rPr>
                <w:rFonts w:ascii="Arial" w:cs="Arial" w:eastAsia="Arial" w:hAnsi="Arial"/>
                <w:sz w:val="14"/>
                <w:szCs w:val="14"/>
                <w:color w:val="auto"/>
              </w:rPr>
              <w:t>Asset sales revenue</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303,141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183,535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119,606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183,535</w:t>
            </w:r>
          </w:p>
        </w:tc>
      </w:tr>
      <w:tr>
        <w:trPr>
          <w:trHeight w:val="204"/>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Aerospace products revenue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454,970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178,515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276,455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155,214</w:t>
            </w:r>
          </w:p>
        </w:tc>
      </w:tr>
      <w:tr>
        <w:trPr>
          <w:trHeight w:val="201"/>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13,502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18,201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8,602</w:t>
            </w:r>
          </w:p>
        </w:tc>
      </w:tr>
      <w:tr>
        <w:trPr>
          <w:trHeight w:val="196"/>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1,170,896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708,411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335,583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462,485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372,828</w:t>
            </w:r>
          </w:p>
        </w:tc>
      </w:tr>
      <w:tr>
        <w:trPr>
          <w:trHeight w:val="210"/>
        </w:trPr>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502,132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248,385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253,747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234,077</w:t>
            </w: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110,163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132,264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72,649</w:t>
            </w: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13,700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14,164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13,448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716</w:t>
            </w: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15,194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(4,704)</w:t>
            </w: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18,037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3,562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14,475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2,878</w:t>
            </w: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169,877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152,917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16,960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w:t>
            </w: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2,121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137,219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(135,098)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126,756</w:t>
            </w: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161,639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169,194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155,017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14,177</w:t>
            </w:r>
          </w:p>
        </w:tc>
      </w:tr>
      <w:tr>
        <w:trPr>
          <w:trHeight w:val="195"/>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992,863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870,912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419,186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121,951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451,726</w:t>
            </w:r>
          </w:p>
        </w:tc>
      </w:tr>
      <w:tr>
        <w:trPr>
          <w:trHeight w:val="211"/>
        </w:trPr>
        <w:tc>
          <w:tcPr>
            <w:tcW w:w="4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w:t>
            </w:r>
          </w:p>
        </w:tc>
      </w:tr>
      <w:tr>
        <w:trPr>
          <w:trHeight w:val="201"/>
        </w:trPr>
        <w:tc>
          <w:tcPr>
            <w:tcW w:w="452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77,211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49,015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(77,211)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28,196</w:t>
            </w:r>
          </w:p>
        </w:tc>
      </w:tr>
      <w:tr>
        <w:trPr>
          <w:trHeight w:val="204"/>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19,859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(16,605)</w:t>
            </w:r>
          </w:p>
        </w:tc>
      </w:tr>
      <w:tr>
        <w:trPr>
          <w:trHeight w:val="201"/>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7,590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7,383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w:t>
            </w:r>
          </w:p>
        </w:tc>
      </w:tr>
      <w:tr>
        <w:trPr>
          <w:trHeight w:val="197"/>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income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5,984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57,190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43,868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(51,206)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13,322</w:t>
            </w:r>
          </w:p>
        </w:tc>
      </w:tr>
      <w:tr>
        <w:trPr>
          <w:trHeight w:val="195"/>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Income (loss) from continuing operations before income taxes</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184,017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(105,311)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(39,735)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289,328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(65,576)</w:t>
            </w: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(59,800)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5,300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(65,100)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2,174</w:t>
            </w:r>
          </w:p>
        </w:tc>
      </w:tr>
      <w:tr>
        <w:trPr>
          <w:trHeight w:val="195"/>
        </w:trPr>
        <w:tc>
          <w:tcPr>
            <w:tcW w:w="4520" w:type="dxa"/>
            <w:vAlign w:val="bottom"/>
          </w:tcPr>
          <w:p>
            <w:pPr>
              <w:ind w:left="140"/>
              <w:spacing w:after="0"/>
              <w:rPr>
                <w:sz w:val="20"/>
                <w:szCs w:val="20"/>
                <w:color w:val="auto"/>
              </w:rPr>
            </w:pPr>
            <w:r>
              <w:rPr>
                <w:rFonts w:ascii="Arial" w:cs="Arial" w:eastAsia="Arial" w:hAnsi="Arial"/>
                <w:sz w:val="14"/>
                <w:szCs w:val="14"/>
                <w:color w:val="auto"/>
              </w:rPr>
              <w:t>Net income (loss) from continuing operations</w:t>
            </w:r>
          </w:p>
        </w:tc>
        <w:tc>
          <w:tcPr>
            <w:tcW w:w="28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243,817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(110,611)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(42,861)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354,428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(67,750)</w:t>
            </w:r>
          </w:p>
        </w:tc>
      </w:tr>
      <w:tr>
        <w:trPr>
          <w:trHeight w:val="203"/>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from discontinued operations, net of income taxes</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(87,845)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101,416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(13,571)</w:t>
            </w:r>
          </w:p>
        </w:tc>
      </w:tr>
      <w:tr>
        <w:trPr>
          <w:trHeight w:val="195"/>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243,817</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(212,027)</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(130,706)</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455,844</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(81,321)</w:t>
            </w:r>
          </w:p>
        </w:tc>
      </w:tr>
      <w:tr>
        <w:trPr>
          <w:trHeight w:val="134"/>
        </w:trPr>
        <w:tc>
          <w:tcPr>
            <w:tcW w:w="45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Less: Net income (loss) attributable to non-controlling interest in</w:t>
            </w: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85"/>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2"/>
        </w:trPr>
        <w:tc>
          <w:tcPr>
            <w:tcW w:w="452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7,655</w:t>
            </w:r>
          </w:p>
        </w:tc>
      </w:tr>
      <w:tr>
        <w:trPr>
          <w:trHeight w:val="202"/>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on preferred shares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31,795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27,164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4,631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2,406</w:t>
            </w:r>
          </w:p>
        </w:tc>
      </w:tr>
      <w:tr>
        <w:trPr>
          <w:trHeight w:val="222"/>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212,022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(220,374)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(128,992)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432,396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(91,382)</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The following table sets forth a reconciliation of net income (loss) attributable to shareholders from continuing operations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'23 vs '22</w:t>
            </w:r>
          </w:p>
        </w:tc>
        <w:tc>
          <w:tcPr>
            <w:tcW w:w="260" w:type="dxa"/>
            <w:vAlign w:val="bottom"/>
          </w:tcPr>
          <w:p>
            <w:pPr>
              <w:spacing w:after="0"/>
              <w:rPr>
                <w:sz w:val="17"/>
                <w:szCs w:val="17"/>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'22 vs '21</w:t>
            </w:r>
          </w:p>
        </w:tc>
        <w:tc>
          <w:tcPr>
            <w:tcW w:w="0" w:type="dxa"/>
            <w:vAlign w:val="bottom"/>
          </w:tcPr>
          <w:p>
            <w:pPr>
              <w:spacing w:after="0"/>
              <w:rPr>
                <w:sz w:val="1"/>
                <w:szCs w:val="1"/>
                <w:color w:val="auto"/>
              </w:rPr>
            </w:pPr>
          </w:p>
        </w:tc>
      </w:tr>
      <w:tr>
        <w:trPr>
          <w:trHeight w:val="134"/>
        </w:trPr>
        <w:tc>
          <w:tcPr>
            <w:tcW w:w="452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4"/>
                <w:szCs w:val="14"/>
                <w:b w:val="1"/>
                <w:bCs w:val="1"/>
                <w:color w:val="auto"/>
              </w:rPr>
              <w:t>Net income (loss) attributable to shareholders from continuing</w:t>
            </w: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212,022</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(137,775)</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(67,619)</w:t>
            </w: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349,797</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(70,156)</w:t>
            </w:r>
          </w:p>
        </w:tc>
        <w:tc>
          <w:tcPr>
            <w:tcW w:w="0" w:type="dxa"/>
            <w:vAlign w:val="bottom"/>
          </w:tcPr>
          <w:p>
            <w:pPr>
              <w:spacing w:after="0"/>
              <w:rPr>
                <w:sz w:val="1"/>
                <w:szCs w:val="1"/>
                <w:color w:val="auto"/>
              </w:rPr>
            </w:pPr>
          </w:p>
        </w:tc>
      </w:tr>
      <w:tr>
        <w:trPr>
          <w:trHeight w:val="185"/>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w:t>
            </w:r>
          </w:p>
        </w:tc>
        <w:tc>
          <w:tcPr>
            <w:tcW w:w="28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520" w:type="dxa"/>
            <w:vAlign w:val="bottom"/>
          </w:tcPr>
          <w:p>
            <w:pPr>
              <w:ind w:left="20"/>
              <w:spacing w:after="0"/>
              <w:rPr>
                <w:sz w:val="20"/>
                <w:szCs w:val="20"/>
                <w:color w:val="auto"/>
              </w:rPr>
            </w:pPr>
            <w:r>
              <w:rPr>
                <w:rFonts w:ascii="Arial" w:cs="Arial" w:eastAsia="Arial" w:hAnsi="Arial"/>
                <w:sz w:val="14"/>
                <w:szCs w:val="14"/>
                <w:color w:val="auto"/>
              </w:rPr>
              <w:t>Add: (Benefit from) provision for income taxes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(59,800)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(65,100)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2,174</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1,638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15,194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13,207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1,987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(4,704)</w:t>
            </w:r>
          </w:p>
        </w:tc>
        <w:tc>
          <w:tcPr>
            <w:tcW w:w="0" w:type="dxa"/>
            <w:vAlign w:val="bottom"/>
          </w:tcPr>
          <w:p>
            <w:pPr>
              <w:spacing w:after="0"/>
              <w:rPr>
                <w:sz w:val="1"/>
                <w:szCs w:val="1"/>
                <w:color w:val="auto"/>
              </w:rPr>
            </w:pPr>
          </w:p>
        </w:tc>
      </w:tr>
      <w:tr>
        <w:trPr>
          <w:trHeight w:val="154"/>
        </w:trPr>
        <w:tc>
          <w:tcPr>
            <w:tcW w:w="452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19,859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(19,859)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16,605</w:t>
            </w:r>
          </w:p>
        </w:tc>
        <w:tc>
          <w:tcPr>
            <w:tcW w:w="0" w:type="dxa"/>
            <w:vAlign w:val="bottom"/>
          </w:tcPr>
          <w:p>
            <w:pPr>
              <w:spacing w:after="0"/>
              <w:rPr>
                <w:sz w:val="1"/>
                <w:szCs w:val="1"/>
                <w:color w:val="auto"/>
              </w:rPr>
            </w:pPr>
          </w:p>
        </w:tc>
      </w:tr>
      <w:tr>
        <w:trPr>
          <w:trHeight w:val="185"/>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2,121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137,219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(135,098)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126,756</w:t>
            </w:r>
          </w:p>
        </w:tc>
        <w:tc>
          <w:tcPr>
            <w:tcW w:w="0" w:type="dxa"/>
            <w:vAlign w:val="bottom"/>
          </w:tcPr>
          <w:p>
            <w:pPr>
              <w:spacing w:after="0"/>
              <w:rPr>
                <w:sz w:val="1"/>
                <w:szCs w:val="1"/>
                <w:color w:val="auto"/>
              </w:rPr>
            </w:pP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17,116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13,627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3,489</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Depreciation &amp; amortization expense </w:t>
            </w:r>
            <w:r>
              <w:rPr>
                <w:rFonts w:ascii="Arial" w:cs="Arial" w:eastAsia="Arial" w:hAnsi="Arial"/>
                <w:sz w:val="9"/>
                <w:szCs w:val="9"/>
                <w:color w:val="auto"/>
              </w:rPr>
              <w:t>(1)</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213,641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190,031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23,610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14,313</w:t>
            </w:r>
          </w:p>
        </w:tc>
        <w:tc>
          <w:tcPr>
            <w:tcW w:w="0" w:type="dxa"/>
            <w:vAlign w:val="bottom"/>
          </w:tcPr>
          <w:p>
            <w:pPr>
              <w:spacing w:after="0"/>
              <w:rPr>
                <w:sz w:val="1"/>
                <w:szCs w:val="1"/>
                <w:color w:val="auto"/>
              </w:rPr>
            </w:pPr>
          </w:p>
        </w:tc>
      </w:tr>
      <w:tr>
        <w:trPr>
          <w:trHeight w:val="202"/>
        </w:trPr>
        <w:tc>
          <w:tcPr>
            <w:tcW w:w="4520" w:type="dxa"/>
            <w:vAlign w:val="bottom"/>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193,434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196,358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179,775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16,583</w:t>
            </w:r>
          </w:p>
        </w:tc>
        <w:tc>
          <w:tcPr>
            <w:tcW w:w="0" w:type="dxa"/>
            <w:vAlign w:val="bottom"/>
          </w:tcPr>
          <w:p>
            <w:pPr>
              <w:spacing w:after="0"/>
              <w:rPr>
                <w:sz w:val="1"/>
                <w:szCs w:val="1"/>
                <w:color w:val="auto"/>
              </w:rPr>
            </w:pPr>
          </w:p>
        </w:tc>
      </w:tr>
      <w:tr>
        <w:trPr>
          <w:trHeight w:val="150"/>
        </w:trPr>
        <w:tc>
          <w:tcPr>
            <w:tcW w:w="4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 entities</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520" w:type="dxa"/>
            <w:vAlign w:val="bottom"/>
            <w:tcBorders>
              <w:bottom w:val="single" w:sz="8" w:color="CCEEFF"/>
            </w:tcBorders>
            <w:shd w:val="clear" w:color="auto" w:fill="CCEEFF"/>
          </w:tcPr>
          <w:p>
            <w:pPr>
              <w:ind w:left="20"/>
              <w:spacing w:after="0" w:line="95" w:lineRule="exact"/>
              <w:rPr>
                <w:sz w:val="20"/>
                <w:szCs w:val="20"/>
                <w:color w:val="auto"/>
              </w:rPr>
            </w:pPr>
            <w:r>
              <w:rPr>
                <w:rFonts w:ascii="Arial" w:cs="Arial" w:eastAsia="Arial" w:hAnsi="Arial"/>
                <w:sz w:val="9"/>
                <w:szCs w:val="9"/>
                <w:color w:val="auto"/>
              </w:rPr>
              <w:t>(2)</w:t>
            </w:r>
          </w:p>
        </w:tc>
        <w:tc>
          <w:tcPr>
            <w:tcW w:w="2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ind w:right="8"/>
              <w:spacing w:after="0" w:line="129" w:lineRule="exact"/>
              <w:rPr>
                <w:sz w:val="20"/>
                <w:szCs w:val="20"/>
                <w:color w:val="auto"/>
              </w:rPr>
            </w:pPr>
            <w:r>
              <w:rPr>
                <w:rFonts w:ascii="Arial" w:cs="Arial" w:eastAsia="Arial" w:hAnsi="Arial"/>
                <w:sz w:val="14"/>
                <w:szCs w:val="14"/>
                <w:b w:val="1"/>
                <w:bCs w:val="1"/>
                <w:color w:val="auto"/>
              </w:rPr>
              <w:t>310</w:t>
            </w: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(1,203)</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rPr>
              <w:t>270</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1,243</w:t>
            </w:r>
          </w:p>
        </w:tc>
        <w:tc>
          <w:tcPr>
            <w:tcW w:w="0" w:type="dxa"/>
            <w:vAlign w:val="bottom"/>
          </w:tcPr>
          <w:p>
            <w:pPr>
              <w:spacing w:after="0"/>
              <w:rPr>
                <w:sz w:val="1"/>
                <w:szCs w:val="1"/>
                <w:color w:val="auto"/>
              </w:rPr>
            </w:pPr>
          </w:p>
        </w:tc>
      </w:tr>
      <w:tr>
        <w:trPr>
          <w:trHeight w:val="201"/>
        </w:trPr>
        <w:tc>
          <w:tcPr>
            <w:tcW w:w="452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1,606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597,282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428,097</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322,828</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169,185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105,269</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261" w:lineRule="exact"/>
        <w:rPr>
          <w:sz w:val="20"/>
          <w:szCs w:val="20"/>
          <w:color w:val="auto"/>
        </w:rPr>
      </w:pPr>
    </w:p>
    <w:p>
      <w:pPr>
        <w:ind w:left="180" w:hanging="172"/>
        <w:spacing w:after="0" w:line="230" w:lineRule="auto"/>
        <w:tabs>
          <w:tab w:leader="none" w:pos="172"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2023, 2022 and 2021: (i) depreciation and amortization expense of $169,877, $152,917 and $147,740, (ii) lease intangible amortization of $15,126, $13,913 and $4,993 and (iii) amortization for lease incentives of $28,638, $23,201 and $22,985, respectively.</w:t>
      </w:r>
    </w:p>
    <w:p>
      <w:pPr>
        <w:spacing w:after="0" w:line="1" w:lineRule="exact"/>
        <w:rPr>
          <w:rFonts w:ascii="Arial" w:cs="Arial" w:eastAsia="Arial" w:hAnsi="Arial"/>
          <w:sz w:val="19"/>
          <w:szCs w:val="19"/>
          <w:color w:val="auto"/>
          <w:vertAlign w:val="superscript"/>
        </w:rPr>
      </w:pPr>
    </w:p>
    <w:p>
      <w:pPr>
        <w:ind w:left="180" w:right="20" w:hanging="172"/>
        <w:spacing w:after="0" w:line="213" w:lineRule="auto"/>
        <w:tabs>
          <w:tab w:leader="none" w:pos="18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2023, 2022 and 2021: (i) net loss of $1,606, $369 and $1,403, (ii) depreciation and amortization expense of $1,488, $409 and $200 and (iii) acquisition and transaction expense of $428, $0 and $0,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Presentation of assets sales</w:t>
      </w:r>
    </w:p>
    <w:p>
      <w:pPr>
        <w:spacing w:after="0" w:line="100"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During the third quarter of 2022, we updated our corporate strategy based on the opportunities available in the market such that the sale of aircraft and engines is now an output of our recurring, ordinary activities. As a result of this update, the transaction price allocated to the sale of assets is included in</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Revenues in the Consolidated Statement of Operations beginning in the third quarter of 2022 and is accounted for in accordance with ASC 606. The corresponding net book values of the assets sold are recorded in Cost of sales in the Consolidated Statement of Operations beginning in the third quarter of</w:t>
      </w:r>
    </w:p>
    <w:p>
      <w:pPr>
        <w:jc w:val="both"/>
        <w:spacing w:after="0" w:line="238" w:lineRule="auto"/>
        <w:rPr>
          <w:sz w:val="20"/>
          <w:szCs w:val="20"/>
          <w:color w:val="auto"/>
        </w:rPr>
      </w:pPr>
      <w:r>
        <w:rPr>
          <w:rFonts w:ascii="Arial" w:cs="Arial" w:eastAsia="Arial" w:hAnsi="Arial"/>
          <w:sz w:val="16"/>
          <w:szCs w:val="16"/>
          <w:color w:val="auto"/>
        </w:rPr>
        <w:t xml:space="preserve">2022. Sales transactions of aircraft and engines prior to the third quarter of 2022 were accounted for in accordance with ASC 610-20, </w:t>
      </w:r>
      <w:r>
        <w:rPr>
          <w:rFonts w:ascii="Arial" w:cs="Arial" w:eastAsia="Arial" w:hAnsi="Arial"/>
          <w:sz w:val="16"/>
          <w:szCs w:val="16"/>
          <w:i w:val="1"/>
          <w:iCs w:val="1"/>
          <w:color w:val="auto"/>
        </w:rPr>
        <w:t>Gains and losses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derecognition of nonfinancial assets </w:t>
      </w:r>
      <w:r>
        <w:rPr>
          <w:rFonts w:ascii="Arial" w:cs="Arial" w:eastAsia="Arial" w:hAnsi="Arial"/>
          <w:sz w:val="16"/>
          <w:szCs w:val="16"/>
          <w:color w:val="auto"/>
        </w:rPr>
        <w:t>and were included in Gain (loss) on sale of assets, net on the Consolidated Statement of Operations, as we were</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only occasionally selling these assets. Generally, assets sold were included in Leasing equipment, net, on the Consolidated Balance Sheets.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2023 and 2022</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Total revenues increased $462.5 million, primarily due to an increase in Aerospace Products revenue, Asset sales revenue, maintenance revenue and lease income.</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Aerospace Products revenue increased $276.5 million driven by an increase in sales relating to the CFM56-7B, CFM56-5B and V2500 engines, engine modules, spare parts and used material inventory as operations continued to ramp-up in 2023. See above discussion regarding presentation of asset sales.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Asset sales revenue increased $119.6 million primarily due to an increase in the sale of commercial aircraft and engines in our Aviation Leasing segment during 2023. See above discussion regarding presentation of asset sales.</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Lease income increased $28.6 million primarily due to an increase in the number of aircraft and engines placed on lease during the year and an increase in the Offshore Energy business as one of our vessels was on-hire longer in 2023 compared to 2022 and at higher rates.</w:t>
      </w:r>
    </w:p>
    <w:p>
      <w:pPr>
        <w:spacing w:after="0" w:line="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Maintenance revenue increased $42.5 million primarily due to the recognition of maintenance deposits due to the early redelivery of five aircraft, an increase in the number of aircraft and engines placed on lease, higher aircraft and engine utilization and higher end-of-lease return compensation.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Other revenue decreased $4.7 million primarily due to a decrease in end-of-lease redelivery 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Total expenses increased $122.0 million primarily due to higher (i) cost of sales, (ii) management fees and incentive allocation to affiliate and(iii) depreciation and amortization, partially offset by lower (iv) asset impairment, (v) operating expenses and (vi) interest expense.</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Cost of sales increased $253.7 million primarily as a result of an increase in asset sales and Aerospace Product sales and the gross presentation of Asset sales revenue and Aerospace products revenues as described above.</w:t>
      </w:r>
    </w:p>
    <w:p>
      <w:pPr>
        <w:spacing w:after="0" w:line="4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Management fees and incentive allocation to affiliate increased $14.5 million primarily due to an increase in incentive fee due to the Manager driven by an increase in net income.</w:t>
      </w:r>
    </w:p>
    <w:p>
      <w:pPr>
        <w:spacing w:after="0" w:line="3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Depreciation and amortization increased $17.0 million primarily driven by an increase in the number of assets owned and on lease, partially offset by an increase in the number of aircraft redelivered and parted out into our engine leasing pool.</w:t>
      </w:r>
    </w:p>
    <w:p>
      <w:pPr>
        <w:spacing w:after="0" w:line="3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Asset impairment decreased $135.1 million primarily due to the 2022 write down of aircraft and engines located in Russia and Ukraine that were deemed not recoverable. See Note 5 to the consolidated financial statements for additional information.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decreased $22.1 million primarily due to:</w:t>
      </w:r>
    </w:p>
    <w:p>
      <w:pPr>
        <w:spacing w:after="0" w:line="113" w:lineRule="exact"/>
        <w:rPr>
          <w:sz w:val="20"/>
          <w:szCs w:val="20"/>
          <w:color w:val="auto"/>
        </w:rPr>
      </w:pPr>
    </w:p>
    <w:p>
      <w:pPr>
        <w:jc w:val="both"/>
        <w:ind w:left="660" w:hanging="328"/>
        <w:spacing w:after="0" w:line="275" w:lineRule="auto"/>
        <w:tabs>
          <w:tab w:leader="none" w:pos="649" w:val="left"/>
        </w:tabs>
        <w:numPr>
          <w:ilvl w:val="0"/>
          <w:numId w:val="11"/>
        </w:numPr>
        <w:rPr>
          <w:rFonts w:ascii="Arial" w:cs="Arial" w:eastAsia="Arial" w:hAnsi="Arial"/>
          <w:sz w:val="16"/>
          <w:szCs w:val="16"/>
          <w:color w:val="00497F"/>
        </w:rPr>
      </w:pPr>
      <w:r>
        <w:rPr>
          <w:rFonts w:ascii="Arial" w:cs="Arial" w:eastAsia="Arial" w:hAnsi="Arial"/>
          <w:sz w:val="16"/>
          <w:szCs w:val="16"/>
          <w:color w:val="auto"/>
        </w:rPr>
        <w:t>an decrease of $43.4 million in the Aviation Leasing segment primarily as a result of decrease in provision for credit losses as a result of the sanctions imposed on Russian airlines in 2022, shipping and storage fees and repairs and maintenance expenses, partially offset by increases in insurance expenses.</w:t>
      </w:r>
    </w:p>
    <w:p>
      <w:pPr>
        <w:spacing w:after="0" w:line="56" w:lineRule="exact"/>
        <w:rPr>
          <w:rFonts w:ascii="Arial" w:cs="Arial" w:eastAsia="Arial" w:hAnsi="Arial"/>
          <w:sz w:val="16"/>
          <w:szCs w:val="16"/>
          <w:color w:val="00497F"/>
        </w:rPr>
      </w:pPr>
    </w:p>
    <w:p>
      <w:pPr>
        <w:ind w:left="660" w:hanging="328"/>
        <w:spacing w:after="0" w:line="304"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increase of $12.8 million in the Offshore Energy business which reflects increases in offshore crew expenses, project costs and other operating expenses as our vessels were on-hire longer in 2023 compared to 2022.</w:t>
      </w:r>
    </w:p>
    <w:p>
      <w:pPr>
        <w:spacing w:after="0" w:line="3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increase of $8.5 million in the Aerospace Products segment primarily due to an increase in commission expenses due to the increase in sales from the used material program as well as an increase in shipping and storage fees as operations continued to ramp-up in 2023.</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Interest expense decreased $7.6 million, which reflects a decrease in the average outstanding debt of approximately $183.8 million primarily due to decreases in (i) the 2021 Bridge Loans of $178.3 million and (ii) the Senior Notes due 2025 of $116.7 million, which were partially redeemed in August 2022, partially offset by increases in (iii) the Revolving Credit Facility of $28.7 million and (iv) the Senior Notes due 2030 of $82.8 million, which were issued in November 2023.</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Total other income decreased $51.2 million primarily due to (i) a decrease of $77.2 million in Gain on sale of assets, net in the Aviation Leasing and Aerospace Products segments due to the change in presentation of asset sales described above, partially offset by (ii) Loss on extinguishment of debt of $19.9 million recognized during 2022 related to the pay-down of the 2021 Bridge Loan issued in December 2021 and February 2022 and the partial redemption of Senior Notes due 2025.</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(Benefit from) provision for income taxes</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benefit from income taxes increased $65.1 million primarily due to the Company establishing a deferred tax asset of $72.2 million in connection with a tax law change in Bermuda, which was recorded as a benefit from income taxes during the fourth quarter of 2023. See Note 11 to the consolidated financial statements for additional information.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income (loss) from continuing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Net income from continuing operations increased $354.4 million primarily due to the changes noted above.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 from discontinued operations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loss from discontinued operations decreased $101.4 million for the year ended December 31, 2023, compared to the prior year as these businesses have spun off and there is no corresponding activity in the current period.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$169.2 million primarily due to the changes noted above.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2022 and 2021</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Total revenues increased $372.8 million, primarily due to an increase in Asset sales revenue, Aerospace Products revenue, maintenance revenue and other revenue.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5" w:name="page36"/>
    <w:bookmarkEnd w:id="35"/>
    <w:p>
      <w:pPr>
        <w:jc w:val="both"/>
        <w:ind w:right="20"/>
        <w:spacing w:after="0" w:line="286" w:lineRule="auto"/>
        <w:rPr>
          <w:sz w:val="20"/>
          <w:szCs w:val="20"/>
          <w:color w:val="auto"/>
        </w:rPr>
      </w:pPr>
      <w:r>
        <w:rPr>
          <w:rFonts w:ascii="Arial" w:cs="Arial" w:eastAsia="Arial" w:hAnsi="Arial"/>
          <w:sz w:val="16"/>
          <w:szCs w:val="16"/>
          <w:color w:val="auto"/>
        </w:rPr>
        <w:t>Asset sales revenue increased $183.5 million primarily due to an increase in the sale of commercial aircraft and engines in our Aviation Leasing segment during 2022. See above discussion regarding presentation of asset sales.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Aerospace Products revenue increased $155.2 million driven by an increase in sales relating to the CFM56-7B, CFM56-5B and V2500 engines, engine modules, spare parts and used material inventory as operations ramped up in 2022. See above discussion regarding presentation of asset sales.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Maintenance revenue increased $20.0 million primarily due to an increase in the number of aircraft and engines placed on lease, higher aircraft and engine utilization and higher end-of-lease return compensation, partially offset by a decrease in the recognition of maintenance deposits due to the early redelivery of aircraft in the prior year and lower maintenance billings from early termination of aircraft leases with Russian airlines as a result of the sanctions imposed on Russian airlines during the first quarter of 2022.</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Other revenue increased $8.6 million primarily due to an increase in end-of lease redelivery compensation.</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Lease income decreased $5.5 million primarily due to a $4.7 million decrease in the Aviation leasing segment driven by the early termination of aircraft and engine leases as a result of the sanctions imposed on Russian airlines during the first quarter of 2022. Basic lease revenues from our owned aircraft and engines leased to Russian airlines was approximately $39.8 million for the year ended December 31, 2021. This decrease is partially offset by an increase in the number of aircraft and engines placed on lease during the year, and a $10.1 million increase in the Offshore Energy business as two of our vessels were on-hire longer in 2022 compared to 2021.</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$451.7 million primarily due to higher (i) cost of sales, (ii) asset impairment charges, (iii) operating expenses, (iv) interest expense,</w:t>
      </w:r>
    </w:p>
    <w:p>
      <w:pPr>
        <w:spacing w:after="0" w:line="21" w:lineRule="exact"/>
        <w:rPr>
          <w:sz w:val="20"/>
          <w:szCs w:val="20"/>
          <w:color w:val="auto"/>
        </w:rPr>
      </w:pPr>
    </w:p>
    <w:p>
      <w:pPr>
        <w:ind w:firstLine="8"/>
        <w:spacing w:after="0" w:line="283" w:lineRule="auto"/>
        <w:tabs>
          <w:tab w:leader="none" w:pos="258"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depreciation and amortization, and (vi) management fees and incentive allocation to affiliate partially offset by lower (vii) acquisition and transaction expenses.</w:t>
      </w:r>
    </w:p>
    <w:p>
      <w:pPr>
        <w:spacing w:after="0" w:line="5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Cost of sales increased $234.1 million primarily as a result of an increase in asset sales and Aerospace Product sales and the gross presentation of asset sales revenue and Aerospace Product revenues as described above.</w:t>
      </w:r>
    </w:p>
    <w:p>
      <w:pPr>
        <w:spacing w:after="0" w:line="6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Asset impairment increased $126.8 million primarily due to the 2022 write down of aircraft and engines located in Russia and Ukraine that were deemed not recoverable. See Note 5 to the consolidated financial statements for additional information.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increased $72.6 million primarily due to:</w:t>
      </w:r>
    </w:p>
    <w:p>
      <w:pPr>
        <w:spacing w:after="0" w:line="113" w:lineRule="exact"/>
        <w:rPr>
          <w:sz w:val="20"/>
          <w:szCs w:val="20"/>
          <w:color w:val="auto"/>
        </w:rPr>
      </w:pPr>
    </w:p>
    <w:p>
      <w:pPr>
        <w:jc w:val="both"/>
        <w:ind w:left="660" w:hanging="328"/>
        <w:spacing w:after="0" w:line="275" w:lineRule="auto"/>
        <w:tabs>
          <w:tab w:leader="none" w:pos="649" w:val="left"/>
        </w:tabs>
        <w:numPr>
          <w:ilvl w:val="0"/>
          <w:numId w:val="13"/>
        </w:numPr>
        <w:rPr>
          <w:rFonts w:ascii="Arial" w:cs="Arial" w:eastAsia="Arial" w:hAnsi="Arial"/>
          <w:sz w:val="16"/>
          <w:szCs w:val="16"/>
          <w:color w:val="00497F"/>
        </w:rPr>
      </w:pPr>
      <w:r>
        <w:rPr>
          <w:rFonts w:ascii="Arial" w:cs="Arial" w:eastAsia="Arial" w:hAnsi="Arial"/>
          <w:sz w:val="16"/>
          <w:szCs w:val="16"/>
          <w:color w:val="auto"/>
        </w:rPr>
        <w:t>an increase of $48.5 million in the Aviation Leasing segment primarily as a result of an increase in provision for credit losses as a result of the sanctions imposed on Russian airlines in 2022, and increases in insurance expense, shipping and storage fees, professional fees, and repairs and maintenance expenses.</w:t>
      </w:r>
    </w:p>
    <w:p>
      <w:pPr>
        <w:spacing w:after="0" w:line="56" w:lineRule="exact"/>
        <w:rPr>
          <w:rFonts w:ascii="Arial" w:cs="Arial" w:eastAsia="Arial" w:hAnsi="Arial"/>
          <w:sz w:val="16"/>
          <w:szCs w:val="16"/>
          <w:color w:val="00497F"/>
        </w:rPr>
      </w:pPr>
    </w:p>
    <w:p>
      <w:pPr>
        <w:ind w:left="660" w:hanging="328"/>
        <w:spacing w:after="0" w:line="304"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of $17.6 million in the Offshore Energy business which reflects increases in offshore crew expenses, project costs and other operating expenses as our vessels were on-hire longer in 2022 compared to 2021, as well as crane repairs on one of our vessels.</w:t>
      </w:r>
    </w:p>
    <w:p>
      <w:pPr>
        <w:spacing w:after="0" w:line="33" w:lineRule="exact"/>
        <w:rPr>
          <w:rFonts w:ascii="Arial" w:cs="Arial" w:eastAsia="Arial" w:hAnsi="Arial"/>
          <w:sz w:val="16"/>
          <w:szCs w:val="16"/>
          <w:color w:val="auto"/>
        </w:rPr>
      </w:pPr>
    </w:p>
    <w:p>
      <w:pPr>
        <w:jc w:val="both"/>
        <w:ind w:left="660" w:hanging="328"/>
        <w:spacing w:after="0" w:line="287"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of $6.5 million in the Aerospace Products segment primarily due to an increase in commission expenses due to the increase in sales from the used material program as well as an increase in professional fees and other operating expenses due to the ramp-up of Aerospace Products.</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Interest expense increased $14.2 million, which reflects an increase in the average outstanding debt of approximately $354.7 million due to increases in (i) the Senior Notes due 2028 of $459.7 million, (ii) the 2021 Bridge Loans issued in December 2021 and February 2022 of $169.9 million and (iii) the Revolving Credit Facility of $49.7 million, partially offset by a decrease in (iv) the Bridge Loans of $108.3 million, (v) the Senior Notes due 2022 of $133.1 million, which was redeemed in full in May 2021, and (vi) the Senior Notes due 2025 of $83.2 million, which were partially redeemed in August 2022.</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Depreciation and amortization increased $5.2 million primarily driven by an increase in the number of assets owned and on lease, partially offset by an increase in the number of aircraft redelivered and parted out into our engine leasing pool.</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Management fees and incentive allocation to affiliate increased $2.9 million primarily due to an increase in incentive fee due to the Manager.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Acquisition and transaction expenses decreased $4.7 million primarily due to a decrease in professional fees related to the Transtar acquisition in 2021.</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Total other income increased $13.3 million primarily due to (i) an increase of $28.2 million in Gain on sale of assets, net in the Aviation Leasing and Aerospace Products segments from more opportunistic asset sales transactions, partially offset by (ii) an increase of $16.6 million in loss on extinguishment of debt primarily related to the 2022 paydown of the 2021 Bridge Loan and the partial redemption of the Senior Notes due 2025 in connection with the spin-off of FTAI Infrastructure. See above discussion regarding presentation of asset sales and impact on Gain on sales of assets, net.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Provision for 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increased $2.2 million primarily due to a higher provision in the Aerospace Products segment.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00497F"/>
        </w:rPr>
        <w:t>Net loss from continuing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Net loss from continuing operations increased $67.8 million primarily due to the changes noted above.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 from discontinued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Net loss from discontinued operations increased $13.6 million primarily due to:</w:t>
      </w:r>
    </w:p>
    <w:p>
      <w:pPr>
        <w:spacing w:after="0" w:line="127" w:lineRule="exact"/>
        <w:rPr>
          <w:sz w:val="20"/>
          <w:szCs w:val="20"/>
          <w:color w:val="auto"/>
        </w:rPr>
      </w:pPr>
    </w:p>
    <w:p>
      <w:pPr>
        <w:ind w:left="660" w:hanging="328"/>
        <w:spacing w:after="0" w:line="28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in net loss of $34.7 million in the Ports and Terminals business in 2022 of which $32.6 million relates to our equity pick-up in net losses for the Long Ridge investment.</w:t>
      </w:r>
    </w:p>
    <w:p>
      <w:pPr>
        <w:spacing w:after="0" w:line="47"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in acquisition and transaction expense of $11.9 million during 2022 related to the spin-off of the infrastructure business;</w:t>
      </w:r>
    </w:p>
    <w:p>
      <w:pPr>
        <w:spacing w:after="0" w:line="12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Offset by a decrease in net loss of $22.6 million in the Jefferson business in 2022 which is primarily driven by seven months of activity during 2022 compared to a full year of activity in 2021; and</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in net income of $8.4 million on the Transtar business, which was acquired on July 28, 2021.</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$105.3 million primarily due to the changes noted above.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Aviation Leasing Segment</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2023, in our Aviation Leasing segment, we own and manage 363 aviation assets, consisting of 96 commercial aircraft and 267 engines, including eight aircraft and seventeen engines that were still located in Russia.</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December 31, 2023, 76 of our commercial aircraft and 175 of our engines were leased to operators or other third parties. Aviation assets currently off lease are either undergoing repair and/or maintenance, being prepared to go on lease or held in short term storage awaiting a future lease. Our aviation equipment was approximately 77% utilized during the three months ended December 31, 2023, based on the percent of days on-lease in the quarter weighted by the monthly average equity value of our aviation leasing equipment, excluding airframes. Our aircraft currently have a weighted average remaining lease term of 47 months, and our engines currently on-lease have an average remaining lease term of 16 months. The table below provides additional information on the assets in our Aviation Leasing segment: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shd w:val="clear" w:color="auto" w:fill="00497F"/>
          </w:tcPr>
          <w:p>
            <w:pPr>
              <w:spacing w:after="0"/>
              <w:rPr>
                <w:sz w:val="17"/>
                <w:szCs w:val="17"/>
                <w:color w:val="auto"/>
              </w:rPr>
            </w:pPr>
          </w:p>
        </w:tc>
        <w:tc>
          <w:tcPr>
            <w:tcW w:w="4460" w:type="dxa"/>
            <w:vAlign w:val="bottom"/>
            <w:gridSpan w:val="3"/>
            <w:shd w:val="clear" w:color="auto" w:fill="00497F"/>
          </w:tcPr>
          <w:p>
            <w:pPr>
              <w:spacing w:after="0"/>
              <w:rPr>
                <w:sz w:val="20"/>
                <w:szCs w:val="20"/>
                <w:color w:val="auto"/>
              </w:rPr>
            </w:pPr>
            <w:r>
              <w:rPr>
                <w:rFonts w:ascii="Arial" w:cs="Arial" w:eastAsia="Arial" w:hAnsi="Arial"/>
                <w:sz w:val="14"/>
                <w:szCs w:val="14"/>
                <w:b w:val="1"/>
                <w:bCs w:val="1"/>
                <w:color w:val="FFFFFF"/>
              </w:rPr>
              <w:t>Aviation Assets</w:t>
            </w:r>
          </w:p>
        </w:tc>
        <w:tc>
          <w:tcPr>
            <w:tcW w:w="1680" w:type="dxa"/>
            <w:vAlign w:val="bottom"/>
            <w:shd w:val="clear" w:color="auto" w:fill="00497F"/>
          </w:tcPr>
          <w:p>
            <w:pPr>
              <w:ind w:left="760"/>
              <w:spacing w:after="0"/>
              <w:rPr>
                <w:sz w:val="20"/>
                <w:szCs w:val="20"/>
                <w:color w:val="auto"/>
              </w:rPr>
            </w:pPr>
            <w:r>
              <w:rPr>
                <w:rFonts w:ascii="Arial" w:cs="Arial" w:eastAsia="Arial" w:hAnsi="Arial"/>
                <w:sz w:val="14"/>
                <w:szCs w:val="14"/>
                <w:b w:val="1"/>
                <w:bCs w:val="1"/>
                <w:color w:val="FFFFFF"/>
              </w:rPr>
              <w:t>Widebody</w:t>
            </w:r>
          </w:p>
        </w:tc>
        <w:tc>
          <w:tcPr>
            <w:tcW w:w="500" w:type="dxa"/>
            <w:vAlign w:val="bottom"/>
            <w:shd w:val="clear" w:color="auto" w:fill="00497F"/>
          </w:tcPr>
          <w:p>
            <w:pPr>
              <w:spacing w:after="0"/>
              <w:rPr>
                <w:sz w:val="17"/>
                <w:szCs w:val="17"/>
                <w:color w:val="auto"/>
              </w:rPr>
            </w:pPr>
          </w:p>
        </w:tc>
        <w:tc>
          <w:tcPr>
            <w:tcW w:w="120" w:type="dxa"/>
            <w:vAlign w:val="bottom"/>
            <w:shd w:val="clear" w:color="auto" w:fill="00497F"/>
          </w:tcPr>
          <w:p>
            <w:pPr>
              <w:spacing w:after="0"/>
              <w:rPr>
                <w:sz w:val="17"/>
                <w:szCs w:val="17"/>
                <w:color w:val="auto"/>
              </w:rPr>
            </w:pPr>
          </w:p>
        </w:tc>
        <w:tc>
          <w:tcPr>
            <w:tcW w:w="1680" w:type="dxa"/>
            <w:vAlign w:val="bottom"/>
            <w:shd w:val="clear" w:color="auto" w:fill="00497F"/>
          </w:tcPr>
          <w:p>
            <w:pPr>
              <w:ind w:left="660"/>
              <w:spacing w:after="0"/>
              <w:rPr>
                <w:sz w:val="20"/>
                <w:szCs w:val="20"/>
                <w:color w:val="auto"/>
              </w:rPr>
            </w:pPr>
            <w:r>
              <w:rPr>
                <w:rFonts w:ascii="Arial" w:cs="Arial" w:eastAsia="Arial" w:hAnsi="Arial"/>
                <w:sz w:val="14"/>
                <w:szCs w:val="14"/>
                <w:b w:val="1"/>
                <w:bCs w:val="1"/>
                <w:color w:val="FFFFFF"/>
              </w:rPr>
              <w:t>Narrowbody</w:t>
            </w:r>
          </w:p>
        </w:tc>
        <w:tc>
          <w:tcPr>
            <w:tcW w:w="500" w:type="dxa"/>
            <w:vAlign w:val="bottom"/>
            <w:shd w:val="clear" w:color="auto" w:fill="00497F"/>
          </w:tcPr>
          <w:p>
            <w:pPr>
              <w:spacing w:after="0"/>
              <w:rPr>
                <w:sz w:val="17"/>
                <w:szCs w:val="17"/>
                <w:color w:val="auto"/>
              </w:rPr>
            </w:pPr>
          </w:p>
        </w:tc>
        <w:tc>
          <w:tcPr>
            <w:tcW w:w="100" w:type="dxa"/>
            <w:vAlign w:val="bottom"/>
            <w:shd w:val="clear" w:color="auto" w:fill="00497F"/>
          </w:tcPr>
          <w:p>
            <w:pPr>
              <w:spacing w:after="0"/>
              <w:rPr>
                <w:sz w:val="17"/>
                <w:szCs w:val="17"/>
                <w:color w:val="auto"/>
              </w:rPr>
            </w:pPr>
          </w:p>
        </w:tc>
        <w:tc>
          <w:tcPr>
            <w:tcW w:w="218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162"/>
        </w:trPr>
        <w:tc>
          <w:tcPr>
            <w:tcW w:w="20" w:type="dxa"/>
            <w:vAlign w:val="bottom"/>
          </w:tcPr>
          <w:p>
            <w:pPr>
              <w:spacing w:after="0"/>
              <w:rPr>
                <w:sz w:val="14"/>
                <w:szCs w:val="14"/>
                <w:color w:val="auto"/>
              </w:rPr>
            </w:pPr>
          </w:p>
        </w:tc>
        <w:tc>
          <w:tcPr>
            <w:tcW w:w="44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Aircraft</w:t>
            </w:r>
          </w:p>
        </w:tc>
        <w:tc>
          <w:tcPr>
            <w:tcW w:w="1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January 1, 2023</w:t>
            </w:r>
          </w:p>
        </w:tc>
        <w:tc>
          <w:tcPr>
            <w:tcW w:w="16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106</w:t>
            </w:r>
          </w:p>
        </w:tc>
      </w:tr>
      <w:tr>
        <w:trPr>
          <w:trHeight w:val="198"/>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Arial" w:cs="Arial" w:eastAsia="Arial" w:hAnsi="Arial"/>
                <w:sz w:val="14"/>
                <w:szCs w:val="14"/>
                <w:color w:val="auto"/>
              </w:rPr>
              <w:t>Purchases</w:t>
            </w:r>
          </w:p>
        </w:tc>
        <w:tc>
          <w:tcPr>
            <w:tcW w:w="1680" w:type="dxa"/>
            <w:vAlign w:val="bottom"/>
          </w:tcPr>
          <w:p>
            <w:pPr>
              <w:spacing w:after="0"/>
              <w:rPr>
                <w:sz w:val="17"/>
                <w:szCs w:val="17"/>
                <w:color w:val="auto"/>
              </w:rPr>
            </w:pPr>
          </w:p>
        </w:tc>
        <w:tc>
          <w:tcPr>
            <w:tcW w:w="2300" w:type="dxa"/>
            <w:vAlign w:val="bottom"/>
            <w:gridSpan w:val="3"/>
          </w:tcPr>
          <w:p>
            <w:pPr>
              <w:jc w:val="right"/>
              <w:ind w:right="17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7"/>
        </w:trPr>
        <w:tc>
          <w:tcPr>
            <w:tcW w:w="2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Sales</w:t>
            </w:r>
          </w:p>
        </w:tc>
        <w:tc>
          <w:tcPr>
            <w:tcW w:w="16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98"/>
        </w:trPr>
        <w:tc>
          <w:tcPr>
            <w:tcW w:w="20" w:type="dxa"/>
            <w:vAlign w:val="bottom"/>
            <w:tcBorders>
              <w:bottom w:val="single" w:sz="8" w:color="CCEEFF"/>
            </w:tcBorders>
          </w:tcPr>
          <w:p>
            <w:pPr>
              <w:spacing w:after="0"/>
              <w:rPr>
                <w:sz w:val="17"/>
                <w:szCs w:val="17"/>
                <w:color w:val="auto"/>
              </w:rPr>
            </w:pPr>
          </w:p>
        </w:tc>
        <w:tc>
          <w:tcPr>
            <w:tcW w:w="446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Transfers</w:t>
            </w:r>
          </w:p>
        </w:tc>
        <w:tc>
          <w:tcPr>
            <w:tcW w:w="16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199"/>
        </w:trPr>
        <w:tc>
          <w:tcPr>
            <w:tcW w:w="2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December 31, 2023</w:t>
            </w:r>
          </w:p>
        </w:tc>
        <w:tc>
          <w:tcPr>
            <w:tcW w:w="16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shd w:val="clear" w:color="auto" w:fill="CCEEFF"/>
          </w:tcPr>
          <w:p>
            <w:pPr>
              <w:spacing w:after="0"/>
              <w:rPr>
                <w:sz w:val="17"/>
                <w:szCs w:val="17"/>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w:t>
            </w:r>
          </w:p>
        </w:tc>
      </w:tr>
      <w:tr>
        <w:trPr>
          <w:trHeight w:val="251"/>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162"/>
        </w:trPr>
        <w:tc>
          <w:tcPr>
            <w:tcW w:w="20" w:type="dxa"/>
            <w:vAlign w:val="bottom"/>
            <w:shd w:val="clear" w:color="auto" w:fill="CCEEFF"/>
          </w:tcPr>
          <w:p>
            <w:pPr>
              <w:spacing w:after="0"/>
              <w:rPr>
                <w:sz w:val="14"/>
                <w:szCs w:val="14"/>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i w:val="1"/>
                <w:iCs w:val="1"/>
                <w:color w:val="auto"/>
              </w:rPr>
              <w:t>Engines</w:t>
            </w:r>
          </w:p>
        </w:tc>
        <w:tc>
          <w:tcPr>
            <w:tcW w:w="1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2023</w:t>
            </w:r>
          </w:p>
        </w:tc>
        <w:tc>
          <w:tcPr>
            <w:tcW w:w="16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184</w:t>
            </w:r>
          </w:p>
        </w:tc>
        <w:tc>
          <w:tcPr>
            <w:tcW w:w="10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224</w:t>
            </w:r>
          </w:p>
        </w:tc>
      </w:tr>
      <w:tr>
        <w:trPr>
          <w:trHeight w:val="203"/>
        </w:trPr>
        <w:tc>
          <w:tcPr>
            <w:tcW w:w="2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Purchases</w:t>
            </w:r>
          </w:p>
        </w:tc>
        <w:tc>
          <w:tcPr>
            <w:tcW w:w="16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98"/>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Arial" w:cs="Arial" w:eastAsia="Arial" w:hAnsi="Arial"/>
                <w:sz w:val="14"/>
                <w:szCs w:val="14"/>
                <w:color w:val="auto"/>
              </w:rPr>
              <w:t>Sales</w:t>
            </w:r>
          </w:p>
        </w:tc>
        <w:tc>
          <w:tcPr>
            <w:tcW w:w="16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07"/>
        </w:trPr>
        <w:tc>
          <w:tcPr>
            <w:tcW w:w="20" w:type="dxa"/>
            <w:vAlign w:val="bottom"/>
            <w:shd w:val="clear" w:color="auto" w:fill="CCEEFF"/>
          </w:tcPr>
          <w:p>
            <w:pPr>
              <w:spacing w:after="0"/>
              <w:rPr>
                <w:sz w:val="17"/>
                <w:szCs w:val="17"/>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Transfers</w:t>
            </w:r>
          </w:p>
        </w:tc>
        <w:tc>
          <w:tcPr>
            <w:tcW w:w="16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5"/>
        </w:trPr>
        <w:tc>
          <w:tcPr>
            <w:tcW w:w="20" w:type="dxa"/>
            <w:vAlign w:val="bottom"/>
          </w:tcPr>
          <w:p>
            <w:pPr>
              <w:spacing w:after="0"/>
              <w:rPr>
                <w:sz w:val="16"/>
                <w:szCs w:val="16"/>
                <w:color w:val="auto"/>
              </w:rPr>
            </w:pPr>
          </w:p>
        </w:tc>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Assets at December 31, 2023</w:t>
            </w:r>
          </w:p>
        </w:tc>
        <w:tc>
          <w:tcPr>
            <w:tcW w:w="1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w:t>
            </w:r>
          </w:p>
        </w:tc>
        <w:tc>
          <w:tcPr>
            <w:tcW w:w="12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16"/>
                <w:szCs w:val="16"/>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The following table presents our results of operations for our Aviation Leasing segment: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'23 vs '22</w:t>
            </w:r>
          </w:p>
        </w:tc>
        <w:tc>
          <w:tcPr>
            <w:tcW w:w="260" w:type="dxa"/>
            <w:vAlign w:val="bottom"/>
          </w:tcPr>
          <w:p>
            <w:pPr>
              <w:spacing w:after="0"/>
              <w:rPr>
                <w:sz w:val="17"/>
                <w:szCs w:val="17"/>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'22 vs '21</w:t>
            </w:r>
          </w:p>
        </w:tc>
        <w:tc>
          <w:tcPr>
            <w:tcW w:w="0" w:type="dxa"/>
            <w:vAlign w:val="bottom"/>
          </w:tcPr>
          <w:p>
            <w:pPr>
              <w:spacing w:after="0"/>
              <w:rPr>
                <w:sz w:val="1"/>
                <w:szCs w:val="1"/>
                <w:color w:val="auto"/>
              </w:rPr>
            </w:pPr>
          </w:p>
        </w:tc>
      </w:tr>
      <w:tr>
        <w:trPr>
          <w:trHeight w:val="184"/>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179,704</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159,068</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163,733</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20,636</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(4,665)</w:t>
            </w: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191,347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148,846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42,501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20,027</w:t>
            </w:r>
          </w:p>
        </w:tc>
        <w:tc>
          <w:tcPr>
            <w:tcW w:w="0" w:type="dxa"/>
            <w:vAlign w:val="bottom"/>
          </w:tcPr>
          <w:p>
            <w:pPr>
              <w:spacing w:after="0"/>
              <w:rPr>
                <w:sz w:val="1"/>
                <w:szCs w:val="1"/>
                <w:color w:val="auto"/>
              </w:rPr>
            </w:pP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Asset sales revenue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303,141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183,535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119,606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183,535</w:t>
            </w: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7,419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5,930</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681,611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502,948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298,121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178,663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204,827</w:t>
            </w:r>
          </w:p>
        </w:tc>
        <w:tc>
          <w:tcPr>
            <w:tcW w:w="0" w:type="dxa"/>
            <w:vAlign w:val="bottom"/>
          </w:tcPr>
          <w:p>
            <w:pPr>
              <w:spacing w:after="0"/>
              <w:rPr>
                <w:sz w:val="1"/>
                <w:szCs w:val="1"/>
                <w:color w:val="auto"/>
              </w:rPr>
            </w:pPr>
          </w:p>
        </w:tc>
      </w:tr>
      <w:tr>
        <w:trPr>
          <w:trHeight w:val="211"/>
        </w:trPr>
        <w:tc>
          <w:tcPr>
            <w:tcW w:w="4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221,852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138,904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82,948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138,904</w:t>
            </w:r>
          </w:p>
        </w:tc>
        <w:tc>
          <w:tcPr>
            <w:tcW w:w="0" w:type="dxa"/>
            <w:vAlign w:val="bottom"/>
          </w:tcPr>
          <w:p>
            <w:pPr>
              <w:spacing w:after="0"/>
              <w:rPr>
                <w:sz w:val="1"/>
                <w:szCs w:val="1"/>
                <w:color w:val="auto"/>
              </w:rPr>
            </w:pP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37,876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81,232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32,757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(43,356)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48,475</w:t>
            </w: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7,150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5,227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158,354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144,258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139,678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14,096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4,580</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137,219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(135,098)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126,756</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427,353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503,536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183,880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(76,183)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319,656</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earnings of unconsolidated entities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202"/>
        </w:trPr>
        <w:tc>
          <w:tcPr>
            <w:tcW w:w="454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59,048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28,631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(59,048)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30,417</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1,300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195"/>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60,034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28,104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(58,882)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31,930</w:t>
            </w:r>
          </w:p>
        </w:tc>
        <w:tc>
          <w:tcPr>
            <w:tcW w:w="0" w:type="dxa"/>
            <w:vAlign w:val="bottom"/>
          </w:tcPr>
          <w:p>
            <w:pPr>
              <w:spacing w:after="0"/>
              <w:rPr>
                <w:sz w:val="1"/>
                <w:szCs w:val="1"/>
                <w:color w:val="auto"/>
              </w:rPr>
            </w:pPr>
          </w:p>
        </w:tc>
      </w:tr>
      <w:tr>
        <w:trPr>
          <w:trHeight w:val="197"/>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255,410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59,446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142,345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195,964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(82,899)</w:t>
            </w:r>
          </w:p>
        </w:tc>
        <w:tc>
          <w:tcPr>
            <w:tcW w:w="0" w:type="dxa"/>
            <w:vAlign w:val="bottom"/>
          </w:tcPr>
          <w:p>
            <w:pPr>
              <w:spacing w:after="0"/>
              <w:rPr>
                <w:sz w:val="1"/>
                <w:szCs w:val="1"/>
                <w:color w:val="auto"/>
              </w:rPr>
            </w:pPr>
          </w:p>
        </w:tc>
      </w:tr>
      <w:tr>
        <w:trPr>
          <w:trHeight w:val="202"/>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(36,193)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(38,695)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97"/>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291,603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56,944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140,272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234,659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(83,328)</w:t>
            </w:r>
          </w:p>
        </w:tc>
        <w:tc>
          <w:tcPr>
            <w:tcW w:w="0" w:type="dxa"/>
            <w:vAlign w:val="bottom"/>
          </w:tcPr>
          <w:p>
            <w:pPr>
              <w:spacing w:after="0"/>
              <w:rPr>
                <w:sz w:val="1"/>
                <w:szCs w:val="1"/>
                <w:color w:val="auto"/>
              </w:rPr>
            </w:pPr>
          </w:p>
        </w:tc>
      </w:tr>
      <w:tr>
        <w:trPr>
          <w:trHeight w:val="133"/>
        </w:trPr>
        <w:tc>
          <w:tcPr>
            <w:tcW w:w="454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8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54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291,603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234,659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(83,328)</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8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'23 vs '22</w:t>
            </w:r>
          </w:p>
        </w:tc>
        <w:tc>
          <w:tcPr>
            <w:tcW w:w="260" w:type="dxa"/>
            <w:vAlign w:val="bottom"/>
          </w:tcPr>
          <w:p>
            <w:pPr>
              <w:spacing w:after="0"/>
              <w:rPr>
                <w:sz w:val="17"/>
                <w:szCs w:val="17"/>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b w:val="1"/>
                <w:bCs w:val="1"/>
                <w:color w:val="auto"/>
              </w:rPr>
              <w:t>'22 vs '21</w:t>
            </w:r>
          </w:p>
        </w:tc>
        <w:tc>
          <w:tcPr>
            <w:tcW w:w="0" w:type="dxa"/>
            <w:vAlign w:val="bottom"/>
          </w:tcPr>
          <w:p>
            <w:pPr>
              <w:spacing w:after="0"/>
              <w:rPr>
                <w:sz w:val="1"/>
                <w:szCs w:val="1"/>
                <w:color w:val="auto"/>
              </w:rPr>
            </w:pPr>
          </w:p>
        </w:tc>
      </w:tr>
      <w:tr>
        <w:trPr>
          <w:trHeight w:val="197"/>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291,603</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56,944</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140,272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234,659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(83,328)</w:t>
            </w:r>
          </w:p>
        </w:tc>
        <w:tc>
          <w:tcPr>
            <w:tcW w:w="0" w:type="dxa"/>
            <w:vAlign w:val="bottom"/>
          </w:tcPr>
          <w:p>
            <w:pPr>
              <w:spacing w:after="0"/>
              <w:rPr>
                <w:sz w:val="1"/>
                <w:szCs w:val="1"/>
                <w:color w:val="auto"/>
              </w:rPr>
            </w:pPr>
          </w:p>
        </w:tc>
      </w:tr>
      <w:tr>
        <w:trPr>
          <w:trHeight w:val="202"/>
        </w:trPr>
        <w:tc>
          <w:tcPr>
            <w:tcW w:w="4480" w:type="dxa"/>
            <w:vAlign w:val="bottom"/>
          </w:tcPr>
          <w:p>
            <w:pPr>
              <w:ind w:left="20"/>
              <w:spacing w:after="0"/>
              <w:rPr>
                <w:sz w:val="20"/>
                <w:szCs w:val="20"/>
                <w:color w:val="auto"/>
              </w:rPr>
            </w:pPr>
            <w:r>
              <w:rPr>
                <w:rFonts w:ascii="Arial" w:cs="Arial" w:eastAsia="Arial" w:hAnsi="Arial"/>
                <w:sz w:val="14"/>
                <w:szCs w:val="14"/>
                <w:color w:val="auto"/>
              </w:rPr>
              <w:t>Add: (Benefit from) provision for income taxes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(36,193)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2,073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(38,695)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48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7,150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941</w:t>
            </w:r>
          </w:p>
        </w:tc>
        <w:tc>
          <w:tcPr>
            <w:tcW w:w="0" w:type="dxa"/>
            <w:vAlign w:val="bottom"/>
          </w:tcPr>
          <w:p>
            <w:pPr>
              <w:spacing w:after="0"/>
              <w:rPr>
                <w:sz w:val="1"/>
                <w:szCs w:val="1"/>
                <w:color w:val="auto"/>
              </w:rPr>
            </w:pPr>
          </w:p>
        </w:tc>
      </w:tr>
      <w:tr>
        <w:trPr>
          <w:trHeight w:val="154"/>
        </w:trPr>
        <w:tc>
          <w:tcPr>
            <w:tcW w:w="448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48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2,121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137,219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(135,098)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126,756</w:t>
            </w:r>
          </w:p>
        </w:tc>
        <w:tc>
          <w:tcPr>
            <w:tcW w:w="0" w:type="dxa"/>
            <w:vAlign w:val="bottom"/>
          </w:tcPr>
          <w:p>
            <w:pPr>
              <w:spacing w:after="0"/>
              <w:rPr>
                <w:sz w:val="1"/>
                <w:szCs w:val="1"/>
                <w:color w:val="auto"/>
              </w:rPr>
            </w:pPr>
          </w:p>
        </w:tc>
      </w:tr>
      <w:tr>
        <w:trPr>
          <w:trHeight w:val="202"/>
        </w:trPr>
        <w:tc>
          <w:tcPr>
            <w:tcW w:w="448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9"/>
                <w:szCs w:val="9"/>
                <w:color w:val="auto"/>
              </w:rPr>
              <w:t>(1)</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202,118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181,372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167,656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20,746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13,716</w:t>
            </w:r>
          </w:p>
        </w:tc>
        <w:tc>
          <w:tcPr>
            <w:tcW w:w="0" w:type="dxa"/>
            <w:vAlign w:val="bottom"/>
          </w:tcPr>
          <w:p>
            <w:pPr>
              <w:spacing w:after="0"/>
              <w:rPr>
                <w:sz w:val="1"/>
                <w:szCs w:val="1"/>
                <w:color w:val="auto"/>
              </w:rPr>
            </w:pPr>
          </w:p>
        </w:tc>
      </w:tr>
      <w:tr>
        <w:trPr>
          <w:trHeight w:val="202"/>
        </w:trPr>
        <w:tc>
          <w:tcPr>
            <w:tcW w:w="4480" w:type="dxa"/>
            <w:vAlign w:val="bottom"/>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4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 entities</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480" w:type="dxa"/>
            <w:vAlign w:val="bottom"/>
            <w:tcBorders>
              <w:bottom w:val="single" w:sz="8" w:color="CCEEFF"/>
            </w:tcBorders>
            <w:shd w:val="clear" w:color="auto" w:fill="CCEEFF"/>
          </w:tcPr>
          <w:p>
            <w:pPr>
              <w:ind w:left="20"/>
              <w:spacing w:after="0" w:line="95" w:lineRule="exact"/>
              <w:rPr>
                <w:sz w:val="20"/>
                <w:szCs w:val="20"/>
                <w:color w:val="auto"/>
              </w:rPr>
            </w:pPr>
            <w:r>
              <w:rPr>
                <w:rFonts w:ascii="Arial" w:cs="Arial" w:eastAsia="Arial" w:hAnsi="Arial"/>
                <w:sz w:val="9"/>
                <w:szCs w:val="9"/>
                <w:color w:val="auto"/>
              </w:rPr>
              <w:t>(2)</w:t>
            </w:r>
          </w:p>
        </w:tc>
        <w:tc>
          <w:tcPr>
            <w:tcW w:w="2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ind w:right="8"/>
              <w:spacing w:after="0" w:line="129" w:lineRule="exact"/>
              <w:rPr>
                <w:sz w:val="20"/>
                <w:szCs w:val="20"/>
                <w:color w:val="auto"/>
              </w:rPr>
            </w:pPr>
            <w:r>
              <w:rPr>
                <w:rFonts w:ascii="Arial" w:cs="Arial" w:eastAsia="Arial" w:hAnsi="Arial"/>
                <w:sz w:val="14"/>
                <w:szCs w:val="14"/>
                <w:b w:val="1"/>
                <w:bCs w:val="1"/>
                <w:color w:val="auto"/>
              </w:rPr>
              <w:t>104</w:t>
            </w:r>
          </w:p>
        </w:tc>
        <w:tc>
          <w:tcPr>
            <w:tcW w:w="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925</w:t>
            </w:r>
          </w:p>
        </w:tc>
        <w:tc>
          <w:tcPr>
            <w:tcW w:w="1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1"/>
                <w:szCs w:val="11"/>
                <w:color w:val="auto"/>
              </w:rPr>
            </w:pPr>
          </w:p>
        </w:tc>
        <w:tc>
          <w:tcPr>
            <w:tcW w:w="10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(821)</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01"/>
        </w:trPr>
        <w:tc>
          <w:tcPr>
            <w:tcW w:w="4480" w:type="dxa"/>
            <w:vAlign w:val="bottom"/>
          </w:tcPr>
          <w:p>
            <w:pPr>
              <w:ind w:left="20"/>
              <w:spacing w:after="0"/>
              <w:rPr>
                <w:sz w:val="20"/>
                <w:szCs w:val="20"/>
                <w:color w:val="auto"/>
              </w:rPr>
            </w:pPr>
            <w:r>
              <w:rPr>
                <w:rFonts w:ascii="Arial" w:cs="Arial" w:eastAsia="Arial" w:hAnsi="Arial"/>
                <w:sz w:val="14"/>
                <w:szCs w:val="14"/>
                <w:color w:val="auto"/>
              </w:rPr>
              <w:t>Less: Equity in losses (earnings) of unconsolidated entities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148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48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467,388</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380,145</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321,446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87,243</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58,699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72" w:lineRule="exact"/>
        <w:rPr>
          <w:sz w:val="20"/>
          <w:szCs w:val="20"/>
          <w:color w:val="auto"/>
        </w:rPr>
      </w:pPr>
    </w:p>
    <w:p>
      <w:pPr>
        <w:ind w:left="180" w:hanging="172"/>
        <w:spacing w:after="0" w:line="231" w:lineRule="auto"/>
        <w:tabs>
          <w:tab w:leader="none" w:pos="172"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Includes the following items for the years ended December 31, 2023, 2022 and 2021: (i) depreciation expense of $158,354, $144,258 and $139,678, (ii) lease intangible amortization of $15,126, $13,913 and $4,993 and (iii) amortization for lease incentives of $28,638, $23,201 and $22,985, respectively.</w:t>
      </w:r>
    </w:p>
    <w:p>
      <w:pPr>
        <w:spacing w:after="0" w:line="39" w:lineRule="exact"/>
        <w:rPr>
          <w:rFonts w:ascii="Arial" w:cs="Arial" w:eastAsia="Arial" w:hAnsi="Arial"/>
          <w:sz w:val="19"/>
          <w:szCs w:val="19"/>
          <w:color w:val="auto"/>
          <w:vertAlign w:val="superscript"/>
        </w:rPr>
      </w:pPr>
    </w:p>
    <w:p>
      <w:pPr>
        <w:ind w:left="180" w:hanging="172"/>
        <w:spacing w:after="0" w:line="229" w:lineRule="auto"/>
        <w:tabs>
          <w:tab w:leader="none" w:pos="158"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years ended December 31, 2023, 2022 and 2021: (i) net (loss) income of $(148), $740 and $0 and (ii) depreciation and amortization of $252, $185 and $0, respectively.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2023 and 2022</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Total revenues increased $178.7 million driven by an increase in asset sales revenue, maintenance revenue and lease income, partially offset by a decrease in other revenue.</w:t>
      </w:r>
    </w:p>
    <w:p>
      <w:pPr>
        <w:spacing w:after="0" w:line="61" w:lineRule="exact"/>
        <w:rPr>
          <w:sz w:val="20"/>
          <w:szCs w:val="20"/>
          <w:color w:val="auto"/>
        </w:rPr>
      </w:pPr>
    </w:p>
    <w:p>
      <w:pPr>
        <w:ind w:left="660" w:right="20" w:hanging="328"/>
        <w:spacing w:after="0" w:line="28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Asset sales revenue increased $119.6 million primarily due to an increase in the sale of commercial aircraft and engines. See above discussion regarding presentation of asset sales.</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Maintenance revenue increased $42.5 million primarily due to the recognition of maintenance deposits due to the early redelivery of five aircraft, an increase in the number of aircraft and engines placed on lease, higher aircraft and engine utilization and higher end-of-lease return compensation.</w:t>
      </w:r>
    </w:p>
    <w:p>
      <w:pPr>
        <w:spacing w:after="0" w:line="47"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Lease income increased $20.6 million primarily due to an increase in the number of aircraft and engines placed on lease during the year, partially offset by an increase in the number of aircraft and engines redelivered.</w:t>
      </w:r>
    </w:p>
    <w:p>
      <w:pPr>
        <w:spacing w:after="0" w:line="33"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revenue decreased $4.1 million primarily due to a decrease in end-of-lease redelivery compensation.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Total expenses decreased $76.2 million primarily driven by a decrease in asset impairment and operating expenses, partially offset by an increase in cost of sales, depreciation and amortization and acquisition and transaction expenses.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9" w:name="page40"/>
    <w:bookmarkEnd w:id="39"/>
    <w:p>
      <w:pPr>
        <w:ind w:left="660" w:right="20" w:hanging="328"/>
        <w:spacing w:after="0" w:line="28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Asset impairment decreased $135.1 million primarily due to the 2022 write down of aircraft and engines located in Russia and Ukraine that were deemed not recoverable. See Note 5 to the consolidated financial statements for additional information.</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17"/>
        </w:numPr>
        <w:rPr>
          <w:rFonts w:ascii="Arial" w:cs="Arial" w:eastAsia="Arial" w:hAnsi="Arial"/>
          <w:sz w:val="16"/>
          <w:szCs w:val="16"/>
          <w:color w:val="00497F"/>
        </w:rPr>
      </w:pPr>
      <w:r>
        <w:rPr>
          <w:rFonts w:ascii="Arial" w:cs="Arial" w:eastAsia="Arial" w:hAnsi="Arial"/>
          <w:sz w:val="16"/>
          <w:szCs w:val="16"/>
          <w:color w:val="auto"/>
        </w:rPr>
        <w:t>Operating expenses decreased $43.4 million primarily as a result of decreases in provision for credit losses as a result of the sanctions imposed on Russian airlines in 2022, shipping and storage fees and repairs and maintenance expenses, partially offset by an increase in insurance expense.</w:t>
      </w:r>
    </w:p>
    <w:p>
      <w:pPr>
        <w:spacing w:after="0" w:line="61" w:lineRule="exact"/>
        <w:rPr>
          <w:rFonts w:ascii="Arial" w:cs="Arial" w:eastAsia="Arial" w:hAnsi="Arial"/>
          <w:sz w:val="16"/>
          <w:szCs w:val="16"/>
          <w:color w:val="00497F"/>
        </w:rPr>
      </w:pPr>
    </w:p>
    <w:p>
      <w:pPr>
        <w:ind w:left="660" w:hanging="328"/>
        <w:spacing w:after="0" w:line="28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Cost of sales increased $82.9 million primarily as a result of an increase in asset sales and the gross presentation of asset sales revenues and related costs of sales as described above.</w:t>
      </w:r>
    </w:p>
    <w:p>
      <w:pPr>
        <w:spacing w:after="0" w:line="47"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Depreciation and amortization expense increased $14.1 million driven by an increase in the number of assets owned and on lease, partially offset by an increase in the number of aircraft redelivered and parted out into our engine leasing pool.</w:t>
      </w:r>
    </w:p>
    <w:p>
      <w:pPr>
        <w:spacing w:after="0" w:line="3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Acquisition and transaction expenses increased $5.2 million driven by higher compensation and related costs associated with the acquisition of aviation leasing equipment.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1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Total other income decreased $58.9 million primarily due to a decrease of $59.0 million in Gain on sale of assets, net due to the change in presentation of asset sales.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(Benefit from) provision for income taxes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benefit from income taxes increased $38.7 million primarily due to the Company establishing a deferred tax asset of $46.6 million in connection with a tax law change in Bermuda, which was recorded as a benefit from income taxes during the fourth quarter of 2023. See Note 11 to the consolidated financial statements for additional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$87.2 million primarily due to the changes noted above.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2022 and 2021</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Total revenues increased $204.8 million driven by an increase in asset sales revenue, maintenance revenue and other revenue, partially offset by a decrease in lease income.</w:t>
      </w:r>
    </w:p>
    <w:p>
      <w:pPr>
        <w:spacing w:after="0" w:line="33" w:lineRule="exact"/>
        <w:rPr>
          <w:sz w:val="20"/>
          <w:szCs w:val="20"/>
          <w:color w:val="auto"/>
        </w:rPr>
      </w:pPr>
    </w:p>
    <w:p>
      <w:pPr>
        <w:ind w:left="660" w:hanging="328"/>
        <w:spacing w:after="0" w:line="28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Asset sales revenue increased $183.5 million primarily due to an increase in the sale of commercial aircraft and engines during 2022. See above discussion regarding presentation of asset sales.</w:t>
      </w:r>
    </w:p>
    <w:p>
      <w:pPr>
        <w:spacing w:after="0" w:line="61"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Maintenance revenue increased $20.0 million primarily due to an increase in the number of aircraft and engines placed on lease, higher aircraft and engine utilization and higher end-of-lease return compensation, partially offset by a decrease in the recognition of maintenance deposits due to the early redelivery of aircraft in the prior year and lower maintenance billings from the early termination of aircraft leases with Russian airlines as a result of the sanctions imposed on Russian airlines during the first quarter of 2022.</w:t>
      </w:r>
    </w:p>
    <w:p>
      <w:pPr>
        <w:spacing w:after="0" w:line="64"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revenue increased $5.9 million primarily due to an increase in end-of-lease redelivery compensation.</w:t>
      </w:r>
    </w:p>
    <w:p>
      <w:pPr>
        <w:spacing w:after="0" w:line="126"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Lease income decreased $4.7 million primarily due to the early termination of aircraft and engine leases as a result of the sanctions imposed on Russian airlines during the first quarter of 2022. Basic lease revenues from our owned aircraft and engines leased to Russian airlines was approximately $39.8 million for the year ended December 31, 2021. This decrease is partially offset by an increase in the number of aircraft and engines placed on lease during the year.</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0" w:name="page41"/>
    <w:bookmarkEnd w:id="40"/>
    <w:p>
      <w:pPr>
        <w:spacing w:after="0" w:line="286" w:lineRule="auto"/>
        <w:rPr>
          <w:sz w:val="20"/>
          <w:szCs w:val="20"/>
          <w:color w:val="auto"/>
        </w:rPr>
      </w:pPr>
      <w:r>
        <w:rPr>
          <w:rFonts w:ascii="Arial" w:cs="Arial" w:eastAsia="Arial" w:hAnsi="Arial"/>
          <w:sz w:val="16"/>
          <w:szCs w:val="16"/>
          <w:color w:val="auto"/>
        </w:rPr>
        <w:t>Total expenses increased $319.7 million primarily driven by an increase in cost of sales, asset impairment, operating expenses and depreciation and amortization expense.</w:t>
      </w:r>
    </w:p>
    <w:p>
      <w:pPr>
        <w:spacing w:after="0" w:line="61" w:lineRule="exact"/>
        <w:rPr>
          <w:sz w:val="20"/>
          <w:szCs w:val="20"/>
          <w:color w:val="auto"/>
        </w:rPr>
      </w:pPr>
    </w:p>
    <w:p>
      <w:pPr>
        <w:ind w:left="660" w:hanging="328"/>
        <w:spacing w:after="0" w:line="28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Cost of sales increased $138.9 million primarily as a result of an increase in asset sales and the gross presentation of asset sales revenues and related costs of sales as described above.</w:t>
      </w:r>
    </w:p>
    <w:p>
      <w:pPr>
        <w:spacing w:after="0" w:line="61"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Asset impairment increased $126.8 million primarily due to the 2022 write down of aircraft and engines located in Russia and Ukraine that were deemed not recoverable. See Note 5 to the consolidated financial statements for additional information.</w:t>
      </w:r>
    </w:p>
    <w:p>
      <w:pPr>
        <w:spacing w:after="0" w:line="47" w:lineRule="exact"/>
        <w:rPr>
          <w:rFonts w:ascii="Arial" w:cs="Arial" w:eastAsia="Arial" w:hAnsi="Arial"/>
          <w:sz w:val="16"/>
          <w:szCs w:val="16"/>
          <w:color w:val="auto"/>
        </w:rPr>
      </w:pPr>
    </w:p>
    <w:p>
      <w:pPr>
        <w:jc w:val="both"/>
        <w:ind w:left="660" w:hanging="328"/>
        <w:spacing w:after="0" w:line="287" w:lineRule="auto"/>
        <w:tabs>
          <w:tab w:leader="none" w:pos="649" w:val="left"/>
        </w:tabs>
        <w:numPr>
          <w:ilvl w:val="0"/>
          <w:numId w:val="19"/>
        </w:numPr>
        <w:rPr>
          <w:rFonts w:ascii="Arial" w:cs="Arial" w:eastAsia="Arial" w:hAnsi="Arial"/>
          <w:sz w:val="16"/>
          <w:szCs w:val="16"/>
          <w:color w:val="00497F"/>
        </w:rPr>
      </w:pPr>
      <w:r>
        <w:rPr>
          <w:rFonts w:ascii="Arial" w:cs="Arial" w:eastAsia="Arial" w:hAnsi="Arial"/>
          <w:sz w:val="16"/>
          <w:szCs w:val="16"/>
          <w:color w:val="auto"/>
        </w:rPr>
        <w:t>Operating expenses increased $48.5 million primarily as a result of an increase in provision for credit losses as a result of the sanctions imposed on Russian airlines in 2022, and increases in insurance expense, shipping and storage fees, professional fees, and repairs and maintenance expenses.</w:t>
      </w:r>
    </w:p>
    <w:p>
      <w:pPr>
        <w:spacing w:after="0" w:line="261" w:lineRule="exact"/>
        <w:rPr>
          <w:rFonts w:ascii="Arial" w:cs="Arial" w:eastAsia="Arial" w:hAnsi="Arial"/>
          <w:sz w:val="16"/>
          <w:szCs w:val="16"/>
          <w:color w:val="00497F"/>
        </w:rPr>
      </w:pPr>
    </w:p>
    <w:p>
      <w:pPr>
        <w:ind w:left="660" w:hanging="328"/>
        <w:spacing w:after="0" w:line="28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Depreciation and amortization expense increased $4.6 million driven by an increase in the number of assets owned and on lease, partially offset by an increase in the number of aircraft redelivered and parted out into our engine leasing pool.</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2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Total other income increased $31.9 million primarily due to an increase of $30.4 million in Gain on the sale of assets, net due to more opportunistic sales transactions.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$58.7 million primarily due to the changes noted above.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Aerospace Products Segment</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Aerospace Products segment develops and manufactures through a joint venture, repairs and sells, through our maintenance facility and exclusivity arrangements, aircraft engines and aftermarket components primarily for the CFM56-7B, CFM56-5B and V2500 commercial aircraft engines. Our engine and module sales are facilitated through The Module Factory, a dedicated commercial maintenance program, designed to focus on modular repair and refurbishment of CFM56-7B and CFM56-5B engines, performed by a third party. Used serviceable material is sold through our exclusive partnership with AAR Corp, who is responsible for the teardown, repair, marketing and sales of spare parts from our CFM56 engine pool. In December 2023, we acquired the remaining interest in Quick Turn Engine Center LLC or “QuickTurn” (previously iAero Thrust LLC), a hospital maintenance and testing facility dedicated to the CFM56 engine. Refer to Note 4 “Acquisition of QuickTurn”, for additional information. We also hold a 25% interest in the Advanced Engine Repair JV which focuses on developing new cost savings programs for engine repairs.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'23 vs '22</w:t>
            </w:r>
          </w:p>
        </w:tc>
        <w:tc>
          <w:tcPr>
            <w:tcW w:w="280" w:type="dxa"/>
            <w:vAlign w:val="bottom"/>
          </w:tcPr>
          <w:p>
            <w:pPr>
              <w:spacing w:after="0"/>
              <w:rPr>
                <w:sz w:val="17"/>
                <w:szCs w:val="17"/>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'22 vs '21</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Aerospace products revenue</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454,970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178,515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23,301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276,455</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155,214</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280,280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109,481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14,308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170,799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95,173</w:t>
            </w:r>
          </w:p>
        </w:tc>
        <w:tc>
          <w:tcPr>
            <w:tcW w:w="0" w:type="dxa"/>
            <w:vAlign w:val="bottom"/>
          </w:tcPr>
          <w:p>
            <w:pPr>
              <w:spacing w:after="0"/>
              <w:rPr>
                <w:sz w:val="1"/>
                <w:szCs w:val="1"/>
                <w:color w:val="auto"/>
              </w:rPr>
            </w:pPr>
          </w:p>
        </w:tc>
      </w:tr>
      <w:tr>
        <w:trPr>
          <w:trHeight w:val="204"/>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20,459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11,967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8,492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6,538</w:t>
            </w:r>
          </w:p>
        </w:tc>
        <w:tc>
          <w:tcPr>
            <w:tcW w:w="0" w:type="dxa"/>
            <w:vAlign w:val="bottom"/>
          </w:tcPr>
          <w:p>
            <w:pPr>
              <w:spacing w:after="0"/>
              <w:rPr>
                <w:sz w:val="1"/>
                <w:szCs w:val="1"/>
                <w:color w:val="auto"/>
              </w:rPr>
            </w:pPr>
          </w:p>
        </w:tc>
      </w:tr>
      <w:tr>
        <w:trPr>
          <w:trHeight w:val="201"/>
        </w:trPr>
        <w:tc>
          <w:tcPr>
            <w:tcW w:w="4580" w:type="dxa"/>
            <w:vAlign w:val="bottom"/>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1,722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1,479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04"/>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303,122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121,949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19,803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181,173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102,146</w:t>
            </w:r>
          </w:p>
        </w:tc>
        <w:tc>
          <w:tcPr>
            <w:tcW w:w="0" w:type="dxa"/>
            <w:vAlign w:val="bottom"/>
          </w:tcPr>
          <w:p>
            <w:pPr>
              <w:spacing w:after="0"/>
              <w:rPr>
                <w:sz w:val="1"/>
                <w:szCs w:val="1"/>
                <w:color w:val="auto"/>
              </w:rPr>
            </w:pPr>
          </w:p>
        </w:tc>
      </w:tr>
      <w:tr>
        <w:trPr>
          <w:trHeight w:val="211"/>
        </w:trPr>
        <w:tc>
          <w:tcPr>
            <w:tcW w:w="4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202"/>
        </w:trPr>
        <w:tc>
          <w:tcPr>
            <w:tcW w:w="458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18,163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20,384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(18,163)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(2,221)</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5,347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5,347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w:t>
            </w: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3,889</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17,054</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18,981</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(13,165)</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(1,927)</w:t>
            </w:r>
          </w:p>
        </w:tc>
        <w:tc>
          <w:tcPr>
            <w:tcW w:w="0" w:type="dxa"/>
            <w:vAlign w:val="bottom"/>
          </w:tcPr>
          <w:p>
            <w:pPr>
              <w:spacing w:after="0"/>
              <w:rPr>
                <w:sz w:val="1"/>
                <w:szCs w:val="1"/>
                <w:color w:val="auto"/>
              </w:rPr>
            </w:pPr>
          </w:p>
        </w:tc>
      </w:tr>
      <w:tr>
        <w:trPr>
          <w:trHeight w:val="197"/>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155,737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73,620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82,117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51,141</w:t>
            </w:r>
          </w:p>
        </w:tc>
        <w:tc>
          <w:tcPr>
            <w:tcW w:w="0" w:type="dxa"/>
            <w:vAlign w:val="bottom"/>
          </w:tcPr>
          <w:p>
            <w:pPr>
              <w:spacing w:after="0"/>
              <w:rPr>
                <w:sz w:val="1"/>
                <w:szCs w:val="1"/>
                <w:color w:val="auto"/>
              </w:rPr>
            </w:pPr>
          </w:p>
        </w:tc>
      </w:tr>
      <w:tr>
        <w:trPr>
          <w:trHeight w:val="202"/>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(24,440)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2,961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(27,401)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1,826</w:t>
            </w:r>
          </w:p>
        </w:tc>
        <w:tc>
          <w:tcPr>
            <w:tcW w:w="0" w:type="dxa"/>
            <w:vAlign w:val="bottom"/>
          </w:tcPr>
          <w:p>
            <w:pPr>
              <w:spacing w:after="0"/>
              <w:rPr>
                <w:sz w:val="1"/>
                <w:szCs w:val="1"/>
                <w:color w:val="auto"/>
              </w:rPr>
            </w:pPr>
          </w:p>
        </w:tc>
      </w:tr>
      <w:tr>
        <w:trPr>
          <w:trHeight w:val="197"/>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180,177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70,659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21,344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109,518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49,315</w:t>
            </w:r>
          </w:p>
        </w:tc>
        <w:tc>
          <w:tcPr>
            <w:tcW w:w="0" w:type="dxa"/>
            <w:vAlign w:val="bottom"/>
          </w:tcPr>
          <w:p>
            <w:pPr>
              <w:spacing w:after="0"/>
              <w:rPr>
                <w:sz w:val="1"/>
                <w:szCs w:val="1"/>
                <w:color w:val="auto"/>
              </w:rPr>
            </w:pPr>
          </w:p>
        </w:tc>
      </w:tr>
      <w:tr>
        <w:trPr>
          <w:trHeight w:val="133"/>
        </w:trPr>
        <w:tc>
          <w:tcPr>
            <w:tcW w:w="4580" w:type="dxa"/>
            <w:vAlign w:val="bottom"/>
          </w:tcPr>
          <w:p>
            <w:pPr>
              <w:ind w:left="20"/>
              <w:spacing w:after="0" w:line="133"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8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58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180,177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70,659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109,518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49,315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The following table sets forth a reconciliation of net income attributable to shareholders to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'23 vs '22</w:t>
            </w:r>
          </w:p>
        </w:tc>
        <w:tc>
          <w:tcPr>
            <w:tcW w:w="260" w:type="dxa"/>
            <w:vAlign w:val="bottom"/>
          </w:tcPr>
          <w:p>
            <w:pPr>
              <w:spacing w:after="0"/>
              <w:rPr>
                <w:sz w:val="17"/>
                <w:szCs w:val="17"/>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'22 vs '21</w:t>
            </w:r>
          </w:p>
        </w:tc>
        <w:tc>
          <w:tcPr>
            <w:tcW w:w="0" w:type="dxa"/>
            <w:vAlign w:val="bottom"/>
          </w:tcPr>
          <w:p>
            <w:pPr>
              <w:spacing w:after="0"/>
              <w:rPr>
                <w:sz w:val="1"/>
                <w:szCs w:val="1"/>
                <w:color w:val="auto"/>
              </w:rPr>
            </w:pPr>
          </w:p>
        </w:tc>
      </w:tr>
      <w:tr>
        <w:trPr>
          <w:trHeight w:val="197"/>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shareholders</w:t>
            </w: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180,177</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70,659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21,344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109,518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49,315</w:t>
            </w:r>
          </w:p>
        </w:tc>
        <w:tc>
          <w:tcPr>
            <w:tcW w:w="0" w:type="dxa"/>
            <w:vAlign w:val="bottom"/>
          </w:tcPr>
          <w:p>
            <w:pPr>
              <w:spacing w:after="0"/>
              <w:rPr>
                <w:sz w:val="1"/>
                <w:szCs w:val="1"/>
                <w:color w:val="auto"/>
              </w:rPr>
            </w:pP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Add: (Benefit from) provision for income taxes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(24,440)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(27,401)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1,826</w:t>
            </w: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1,722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1,479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54"/>
        </w:trPr>
        <w:tc>
          <w:tcPr>
            <w:tcW w:w="454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54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45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Add: Pro-rata share of Adjusted EBITDA from unconsolidated entities</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540" w:type="dxa"/>
            <w:vAlign w:val="bottom"/>
            <w:tcBorders>
              <w:bottom w:val="single" w:sz="8" w:color="CCEEFF"/>
            </w:tcBorders>
            <w:shd w:val="clear" w:color="auto" w:fill="CCEEFF"/>
          </w:tcPr>
          <w:p>
            <w:pPr>
              <w:ind w:left="20"/>
              <w:spacing w:after="0" w:line="95" w:lineRule="exact"/>
              <w:rPr>
                <w:sz w:val="20"/>
                <w:szCs w:val="20"/>
                <w:color w:val="auto"/>
              </w:rPr>
            </w:pPr>
            <w:r>
              <w:rPr>
                <w:rFonts w:ascii="Arial" w:cs="Arial" w:eastAsia="Arial" w:hAnsi="Arial"/>
                <w:sz w:val="9"/>
                <w:szCs w:val="9"/>
                <w:color w:val="auto"/>
              </w:rPr>
              <w:t>(1)</w:t>
            </w:r>
          </w:p>
        </w:tc>
        <w:tc>
          <w:tcPr>
            <w:tcW w:w="2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206</w:t>
            </w:r>
          </w:p>
        </w:tc>
        <w:tc>
          <w:tcPr>
            <w:tcW w:w="1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(885)</w:t>
            </w:r>
          </w:p>
        </w:tc>
        <w:tc>
          <w:tcPr>
            <w:tcW w:w="1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(1,203)</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rPr>
              <w:t>1,091</w:t>
            </w: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01"/>
        </w:trPr>
        <w:tc>
          <w:tcPr>
            <w:tcW w:w="4540" w:type="dxa"/>
            <w:vAlign w:val="bottom"/>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1,458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160,009</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74,345</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22,745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85,664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51,600</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261" w:lineRule="exact"/>
        <w:rPr>
          <w:sz w:val="20"/>
          <w:szCs w:val="20"/>
          <w:color w:val="auto"/>
        </w:rPr>
      </w:pPr>
    </w:p>
    <w:p>
      <w:pPr>
        <w:ind w:left="180" w:right="20" w:hanging="172"/>
        <w:spacing w:after="0" w:line="238" w:lineRule="auto"/>
        <w:tabs>
          <w:tab w:leader="none" w:pos="158"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the following items for the years ended December 31, 2023, 2022 and 2021: (i) net loss of $1,458, $1,109 and $1,403 (ii) depreciation and amortization of $1,236, $224 and $200 and (iii) acquisition and transaction expense of $428, $0, $0, respectively.</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2023 and 2022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Total Aerospace Products revenue increased $276.5 million primarily driven by an increase in sales relating to the CFM56-7B, CFM56-5B and V2500 engines, engine modules, spare parts and used material inventory as operations continued to ramp-up in 2023. See above discussion regarding presentation of asset sales.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$181.2 million primarily due to an increase in costs of sales and operating expenses.</w:t>
      </w:r>
    </w:p>
    <w:p>
      <w:pPr>
        <w:spacing w:after="0" w:line="113"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Cost of sales increased $170.8 million primarily as a result of an increase in Aerospace Product sales and the gross presentation described above.</w:t>
      </w:r>
    </w:p>
    <w:p>
      <w:pPr>
        <w:spacing w:after="0" w:line="12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1"/>
        </w:numPr>
        <w:rPr>
          <w:rFonts w:ascii="Arial" w:cs="Arial" w:eastAsia="Arial" w:hAnsi="Arial"/>
          <w:sz w:val="16"/>
          <w:szCs w:val="16"/>
          <w:color w:val="00497F"/>
        </w:rPr>
      </w:pPr>
      <w:r>
        <w:rPr>
          <w:rFonts w:ascii="Arial" w:cs="Arial" w:eastAsia="Arial" w:hAnsi="Arial"/>
          <w:sz w:val="16"/>
          <w:szCs w:val="16"/>
          <w:color w:val="auto"/>
        </w:rPr>
        <w:t>Operating expenses increased $8.5 million primarily due to an increase in commission expenses due to the increase in sales from the used material program as well as an increase in shipping and storage fees as operations continued to ramp-up in 2023.</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Total other income decreased $13.2 million which primarily reflects a decrease of $18.2 million in Gain on sale of assets, net, partially offset by an increase of $5.3 million in gain on consolidation of investment in connection with the QuickTurn acquisition, and an increase of $0.3 million in our proportionate share of unconsolidated entities’ net loss. See above discussion regarding presentation of asset sales.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(Benefit from) provision for income taxes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benefit from income taxes increased $27.4 million primarily due to the Company establishing a deferred tax asset of $25.6 million in connection with a tax law change in Bermuda, which was recorded as a benefit from income taxes during the fourth quarter of 2023. See Note 11 to the consolidated financial statements for additional information.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$85.7 million primarily due to the changes noted above.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i w:val="1"/>
          <w:iCs w:val="1"/>
          <w:color w:val="00497F"/>
        </w:rPr>
        <w:t>Comparison of the years ended December 31, 2022 and 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Total Aerospace Products revenue increased $155.2 million primarily driven by an increase in sales relating to the CFM56-7B, CFM56-5B and V2500 engines, engine modules, spare parts and used material inventory as operations ramped up in 2022. See above discussion regarding presentation of asset sales.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Total expenses increased $102.1 million primarily due to an increase in costs of sales and operating expenses.</w:t>
      </w:r>
    </w:p>
    <w:p>
      <w:pPr>
        <w:spacing w:after="0" w:line="127"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Cost of sales increased $95.2 million primarily as a result of an increase in Aerospace Product sales and the gross presentation described above.</w:t>
      </w:r>
    </w:p>
    <w:p>
      <w:pPr>
        <w:spacing w:after="0" w:line="113" w:lineRule="exact"/>
        <w:rPr>
          <w:rFonts w:ascii="Arial" w:cs="Arial" w:eastAsia="Arial" w:hAnsi="Arial"/>
          <w:sz w:val="16"/>
          <w:szCs w:val="16"/>
          <w:color w:val="auto"/>
        </w:rPr>
      </w:pPr>
    </w:p>
    <w:p>
      <w:pPr>
        <w:ind w:left="660" w:hanging="328"/>
        <w:spacing w:after="0" w:line="235" w:lineRule="auto"/>
        <w:tabs>
          <w:tab w:leader="none" w:pos="656" w:val="left"/>
        </w:tabs>
        <w:numPr>
          <w:ilvl w:val="0"/>
          <w:numId w:val="22"/>
        </w:numPr>
        <w:rPr>
          <w:rFonts w:ascii="Arial" w:cs="Arial" w:eastAsia="Arial" w:hAnsi="Arial"/>
          <w:sz w:val="21"/>
          <w:szCs w:val="21"/>
          <w:b w:val="1"/>
          <w:bCs w:val="1"/>
          <w:i w:val="1"/>
          <w:iCs w:val="1"/>
          <w:color w:val="00497F"/>
          <w:vertAlign w:val="superscript"/>
        </w:rPr>
      </w:pPr>
      <w:r>
        <w:rPr>
          <w:rFonts w:ascii="Arial" w:cs="Arial" w:eastAsia="Arial" w:hAnsi="Arial"/>
          <w:sz w:val="16"/>
          <w:szCs w:val="16"/>
          <w:color w:val="auto"/>
        </w:rPr>
        <w:t>Operating expenses increased $6.5 million primarily due to an increase in commission expenses due to the increase in sales from the used material program as well as an increase in professional fees and other operating expenses due to the ramp-up of Aerospace Products.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1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Total other income decreased $1.9 million, which primarily reflects a decrease of $2.2 million in Gain on sale of assets, net. See above discussion regarding presentation of asset sales.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$51.6 million primarily due to the changes noted above.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Corporate and Other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results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'23 vs '22</w:t>
            </w:r>
          </w:p>
        </w:tc>
        <w:tc>
          <w:tcPr>
            <w:tcW w:w="280" w:type="dxa"/>
            <w:vAlign w:val="bottom"/>
          </w:tcPr>
          <w:p>
            <w:pPr>
              <w:spacing w:after="0"/>
              <w:rPr>
                <w:sz w:val="17"/>
                <w:szCs w:val="17"/>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'22 vs '21</w:t>
            </w:r>
          </w:p>
        </w:tc>
        <w:tc>
          <w:tcPr>
            <w:tcW w:w="0" w:type="dxa"/>
            <w:vAlign w:val="bottom"/>
          </w:tcPr>
          <w:p>
            <w:pPr>
              <w:spacing w:after="0"/>
              <w:rPr>
                <w:sz w:val="1"/>
                <w:szCs w:val="1"/>
                <w:color w:val="auto"/>
              </w:rPr>
            </w:pPr>
          </w:p>
        </w:tc>
      </w:tr>
      <w:tr>
        <w:trPr>
          <w:trHeight w:val="18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6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28,232</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20,246</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10,131</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7,986</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10,115</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6,083</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6,702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2,672</w:t>
            </w:r>
          </w:p>
        </w:tc>
        <w:tc>
          <w:tcPr>
            <w:tcW w:w="0" w:type="dxa"/>
            <w:vAlign w:val="bottom"/>
          </w:tcPr>
          <w:p>
            <w:pPr>
              <w:spacing w:after="0"/>
              <w:rPr>
                <w:sz w:val="1"/>
                <w:szCs w:val="1"/>
                <w:color w:val="auto"/>
              </w:rPr>
            </w:pPr>
          </w:p>
        </w:tc>
      </w:tr>
      <w:tr>
        <w:trPr>
          <w:trHeight w:val="195"/>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34,315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26,948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14,161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12,787</w:t>
            </w:r>
          </w:p>
        </w:tc>
        <w:tc>
          <w:tcPr>
            <w:tcW w:w="0" w:type="dxa"/>
            <w:vAlign w:val="bottom"/>
          </w:tcPr>
          <w:p>
            <w:pPr>
              <w:spacing w:after="0"/>
              <w:rPr>
                <w:sz w:val="1"/>
                <w:szCs w:val="1"/>
                <w:color w:val="auto"/>
              </w:rPr>
            </w:pPr>
          </w:p>
        </w:tc>
      </w:tr>
      <w:tr>
        <w:trPr>
          <w:trHeight w:val="238"/>
        </w:trPr>
        <w:tc>
          <w:tcPr>
            <w:tcW w:w="4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51,828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39,065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17,636</w:t>
            </w:r>
          </w:p>
        </w:tc>
        <w:tc>
          <w:tcPr>
            <w:tcW w:w="0" w:type="dxa"/>
            <w:vAlign w:val="bottom"/>
          </w:tcPr>
          <w:p>
            <w:pPr>
              <w:spacing w:after="0"/>
              <w:rPr>
                <w:sz w:val="1"/>
                <w:szCs w:val="1"/>
                <w:color w:val="auto"/>
              </w:rPr>
            </w:pPr>
          </w:p>
        </w:tc>
      </w:tr>
      <w:tr>
        <w:trPr>
          <w:trHeight w:val="202"/>
        </w:trPr>
        <w:tc>
          <w:tcPr>
            <w:tcW w:w="45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13,700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14,164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13,448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6,322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(5,888)</w:t>
            </w:r>
          </w:p>
        </w:tc>
        <w:tc>
          <w:tcPr>
            <w:tcW w:w="0" w:type="dxa"/>
            <w:vAlign w:val="bottom"/>
          </w:tcPr>
          <w:p>
            <w:pPr>
              <w:spacing w:after="0"/>
              <w:rPr>
                <w:sz w:val="1"/>
                <w:szCs w:val="1"/>
                <w:color w:val="auto"/>
              </w:rPr>
            </w:pPr>
          </w:p>
        </w:tc>
      </w:tr>
      <w:tr>
        <w:trPr>
          <w:trHeight w:val="202"/>
        </w:trPr>
        <w:tc>
          <w:tcPr>
            <w:tcW w:w="456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18,037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3,562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14,475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2,878</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10,862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202"/>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161,639</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169,194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155,017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(7,555)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14,177</w:t>
            </w:r>
          </w:p>
        </w:tc>
        <w:tc>
          <w:tcPr>
            <w:tcW w:w="0" w:type="dxa"/>
            <w:vAlign w:val="bottom"/>
          </w:tcPr>
          <w:p>
            <w:pPr>
              <w:spacing w:after="0"/>
              <w:rPr>
                <w:sz w:val="1"/>
                <w:szCs w:val="1"/>
                <w:color w:val="auto"/>
              </w:rPr>
            </w:pPr>
          </w:p>
        </w:tc>
      </w:tr>
      <w:tr>
        <w:trPr>
          <w:trHeight w:val="196"/>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262,388</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245,427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215,503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16,961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29,924</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(19,859)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19,859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(16,605)</w:t>
            </w:r>
          </w:p>
        </w:tc>
        <w:tc>
          <w:tcPr>
            <w:tcW w:w="0" w:type="dxa"/>
            <w:vAlign w:val="bottom"/>
          </w:tcPr>
          <w:p>
            <w:pPr>
              <w:spacing w:after="0"/>
              <w:rPr>
                <w:sz w:val="1"/>
                <w:szCs w:val="1"/>
                <w:color w:val="auto"/>
              </w:rPr>
            </w:pPr>
          </w:p>
        </w:tc>
      </w:tr>
      <w:tr>
        <w:trPr>
          <w:trHeight w:val="204"/>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943</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95"/>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income (expense)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943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(19,898)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20,841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(16,681)</w:t>
            </w:r>
          </w:p>
        </w:tc>
        <w:tc>
          <w:tcPr>
            <w:tcW w:w="0" w:type="dxa"/>
            <w:vAlign w:val="bottom"/>
          </w:tcPr>
          <w:p>
            <w:pPr>
              <w:spacing w:after="0"/>
              <w:rPr>
                <w:sz w:val="1"/>
                <w:szCs w:val="1"/>
                <w:color w:val="auto"/>
              </w:rPr>
            </w:pPr>
          </w:p>
        </w:tc>
      </w:tr>
      <w:tr>
        <w:trPr>
          <w:trHeight w:val="197"/>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(227,130)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(238,377)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(204,559)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(33,818)</w:t>
            </w:r>
          </w:p>
        </w:tc>
        <w:tc>
          <w:tcPr>
            <w:tcW w:w="0" w:type="dxa"/>
            <w:vAlign w:val="bottom"/>
          </w:tcPr>
          <w:p>
            <w:pPr>
              <w:spacing w:after="0"/>
              <w:rPr>
                <w:sz w:val="1"/>
                <w:szCs w:val="1"/>
                <w:color w:val="auto"/>
              </w:rPr>
            </w:pPr>
          </w:p>
        </w:tc>
      </w:tr>
      <w:tr>
        <w:trPr>
          <w:trHeight w:val="202"/>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833</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97"/>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(227,963)</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(238,214)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(204,477)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10,251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(33,737)</w:t>
            </w:r>
          </w:p>
        </w:tc>
        <w:tc>
          <w:tcPr>
            <w:tcW w:w="0" w:type="dxa"/>
            <w:vAlign w:val="bottom"/>
          </w:tcPr>
          <w:p>
            <w:pPr>
              <w:spacing w:after="0"/>
              <w:rPr>
                <w:sz w:val="1"/>
                <w:szCs w:val="1"/>
                <w:color w:val="auto"/>
              </w:rPr>
            </w:pPr>
          </w:p>
        </w:tc>
      </w:tr>
      <w:tr>
        <w:trPr>
          <w:trHeight w:val="128"/>
        </w:trPr>
        <w:tc>
          <w:tcPr>
            <w:tcW w:w="4560" w:type="dxa"/>
            <w:vAlign w:val="bottom"/>
          </w:tcPr>
          <w:p>
            <w:pPr>
              <w:ind w:left="20"/>
              <w:spacing w:after="0" w:line="129" w:lineRule="exact"/>
              <w:rPr>
                <w:sz w:val="20"/>
                <w:szCs w:val="20"/>
                <w:color w:val="auto"/>
              </w:rPr>
            </w:pPr>
            <w:r>
              <w:rPr>
                <w:rFonts w:ascii="Arial" w:cs="Arial" w:eastAsia="Arial" w:hAnsi="Arial"/>
                <w:sz w:val="14"/>
                <w:szCs w:val="14"/>
                <w:color w:val="auto"/>
              </w:rPr>
              <w:t>Less: Net loss attributable to non-controlling interest in consolidated</w:t>
            </w:r>
          </w:p>
        </w:tc>
        <w:tc>
          <w:tcPr>
            <w:tcW w:w="28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4"/>
                <w:szCs w:val="14"/>
                <w:color w:val="auto"/>
              </w:rPr>
              <w:t>subsidiaries</w:t>
            </w: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31,795</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27,164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24,758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2,406</w:t>
            </w:r>
          </w:p>
        </w:tc>
        <w:tc>
          <w:tcPr>
            <w:tcW w:w="0" w:type="dxa"/>
            <w:vAlign w:val="bottom"/>
          </w:tcPr>
          <w:p>
            <w:pPr>
              <w:spacing w:after="0"/>
              <w:rPr>
                <w:sz w:val="1"/>
                <w:szCs w:val="1"/>
                <w:color w:val="auto"/>
              </w:rPr>
            </w:pP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 from continuing operations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(259,758)</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(265,378)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(229,235)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(36,143)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'23 vs '22</w:t>
            </w:r>
          </w:p>
        </w:tc>
        <w:tc>
          <w:tcPr>
            <w:tcW w:w="280" w:type="dxa"/>
            <w:vAlign w:val="bottom"/>
          </w:tcPr>
          <w:p>
            <w:pPr>
              <w:spacing w:after="0"/>
              <w:rPr>
                <w:sz w:val="17"/>
                <w:szCs w:val="17"/>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b w:val="1"/>
                <w:bCs w:val="1"/>
                <w:color w:val="auto"/>
              </w:rPr>
              <w:t>'22 vs '21</w:t>
            </w:r>
          </w:p>
        </w:tc>
        <w:tc>
          <w:tcPr>
            <w:tcW w:w="0" w:type="dxa"/>
            <w:vAlign w:val="bottom"/>
          </w:tcPr>
          <w:p>
            <w:pPr>
              <w:spacing w:after="0"/>
              <w:rPr>
                <w:sz w:val="1"/>
                <w:szCs w:val="1"/>
                <w:color w:val="auto"/>
              </w:rPr>
            </w:pPr>
          </w:p>
        </w:tc>
      </w:tr>
      <w:tr>
        <w:trPr>
          <w:trHeight w:val="197"/>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shareholders from continuing operations</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(259,758)</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(265,378)</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(229,235)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(36,143)</w:t>
            </w:r>
          </w:p>
        </w:tc>
        <w:tc>
          <w:tcPr>
            <w:tcW w:w="0" w:type="dxa"/>
            <w:vAlign w:val="bottom"/>
          </w:tcPr>
          <w:p>
            <w:pPr>
              <w:spacing w:after="0"/>
              <w:rPr>
                <w:sz w:val="1"/>
                <w:szCs w:val="1"/>
                <w:color w:val="auto"/>
              </w:rPr>
            </w:pPr>
          </w:p>
        </w:tc>
      </w:tr>
      <w:tr>
        <w:trPr>
          <w:trHeight w:val="201"/>
        </w:trPr>
        <w:tc>
          <w:tcPr>
            <w:tcW w:w="4560" w:type="dxa"/>
            <w:vAlign w:val="bottom"/>
          </w:tcPr>
          <w:p>
            <w:pPr>
              <w:ind w:left="20"/>
              <w:spacing w:after="0"/>
              <w:rPr>
                <w:sz w:val="20"/>
                <w:szCs w:val="20"/>
                <w:color w:val="auto"/>
              </w:rPr>
            </w:pPr>
            <w:r>
              <w:rPr>
                <w:rFonts w:ascii="Arial" w:cs="Arial" w:eastAsia="Arial" w:hAnsi="Arial"/>
                <w:sz w:val="14"/>
                <w:szCs w:val="14"/>
                <w:color w:val="auto"/>
              </w:rPr>
              <w:t>Add: Provision for (benefit from) income taxes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833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4"/>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Equity-based compensation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1,076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4560" w:type="dxa"/>
            <w:vAlign w:val="bottom"/>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6,322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11,041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16,929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(4,719)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(5,888)</w:t>
            </w:r>
          </w:p>
        </w:tc>
        <w:tc>
          <w:tcPr>
            <w:tcW w:w="0" w:type="dxa"/>
            <w:vAlign w:val="bottom"/>
          </w:tcPr>
          <w:p>
            <w:pPr>
              <w:spacing w:after="0"/>
              <w:rPr>
                <w:sz w:val="1"/>
                <w:szCs w:val="1"/>
                <w:color w:val="auto"/>
              </w:rPr>
            </w:pPr>
          </w:p>
        </w:tc>
      </w:tr>
      <w:tr>
        <w:trPr>
          <w:trHeight w:val="154"/>
        </w:trPr>
        <w:tc>
          <w:tcPr>
            <w:tcW w:w="456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Add: Losses on the modification or extinguishment of debt and capital</w:t>
            </w:r>
          </w:p>
        </w:tc>
        <w:tc>
          <w:tcPr>
            <w:tcW w:w="2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19,859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(19,859)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16,605</w:t>
            </w:r>
          </w:p>
        </w:tc>
        <w:tc>
          <w:tcPr>
            <w:tcW w:w="0" w:type="dxa"/>
            <w:vAlign w:val="bottom"/>
          </w:tcPr>
          <w:p>
            <w:pPr>
              <w:spacing w:after="0"/>
              <w:rPr>
                <w:sz w:val="1"/>
                <w:szCs w:val="1"/>
                <w:color w:val="auto"/>
              </w:rPr>
            </w:pPr>
          </w:p>
        </w:tc>
      </w:tr>
      <w:tr>
        <w:trPr>
          <w:trHeight w:val="185"/>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2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560" w:type="dxa"/>
            <w:vAlign w:val="bottom"/>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Asset impairment charges</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4560" w:type="dxa"/>
            <w:vAlign w:val="bottom"/>
          </w:tcPr>
          <w:p>
            <w:pPr>
              <w:ind w:left="20"/>
              <w:spacing w:after="0"/>
              <w:rPr>
                <w:sz w:val="20"/>
                <w:szCs w:val="20"/>
                <w:color w:val="auto"/>
              </w:rPr>
            </w:pPr>
            <w:r>
              <w:rPr>
                <w:rFonts w:ascii="Arial" w:cs="Arial" w:eastAsia="Arial" w:hAnsi="Arial"/>
                <w:sz w:val="14"/>
                <w:szCs w:val="14"/>
                <w:color w:val="auto"/>
              </w:rPr>
              <w:t>Add: Incentive allocations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17,116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3,489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13,627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3,489</w:t>
            </w:r>
          </w:p>
        </w:tc>
        <w:tc>
          <w:tcPr>
            <w:tcW w:w="0" w:type="dxa"/>
            <w:vAlign w:val="bottom"/>
          </w:tcPr>
          <w:p>
            <w:pPr>
              <w:spacing w:after="0"/>
              <w:rPr>
                <w:sz w:val="1"/>
                <w:szCs w:val="1"/>
                <w:color w:val="auto"/>
              </w:rPr>
            </w:pPr>
          </w:p>
        </w:tc>
      </w:tr>
      <w:tr>
        <w:trPr>
          <w:trHeight w:val="204"/>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10,862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201"/>
        </w:trPr>
        <w:tc>
          <w:tcPr>
            <w:tcW w:w="4560" w:type="dxa"/>
            <w:vAlign w:val="bottom"/>
          </w:tcPr>
          <w:p>
            <w:pPr>
              <w:ind w:left="20"/>
              <w:spacing w:after="0"/>
              <w:rPr>
                <w:sz w:val="20"/>
                <w:szCs w:val="20"/>
                <w:color w:val="auto"/>
              </w:rPr>
            </w:pPr>
            <w:r>
              <w:rPr>
                <w:rFonts w:ascii="Arial" w:cs="Arial" w:eastAsia="Arial" w:hAnsi="Arial"/>
                <w:sz w:val="14"/>
                <w:szCs w:val="14"/>
                <w:color w:val="auto"/>
              </w:rPr>
              <w:t>Add: Interest expense and dividends on preferred shares</w:t>
            </w:r>
          </w:p>
        </w:tc>
        <w:tc>
          <w:tcPr>
            <w:tcW w:w="28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193,434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196,358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179,775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16,583</w:t>
            </w:r>
          </w:p>
        </w:tc>
        <w:tc>
          <w:tcPr>
            <w:tcW w:w="0" w:type="dxa"/>
            <w:vAlign w:val="bottom"/>
          </w:tcPr>
          <w:p>
            <w:pPr>
              <w:spacing w:after="0"/>
              <w:rPr>
                <w:sz w:val="1"/>
                <w:szCs w:val="1"/>
                <w:color w:val="auto"/>
              </w:rPr>
            </w:pPr>
          </w:p>
        </w:tc>
      </w:tr>
      <w:tr>
        <w:trPr>
          <w:trHeight w:val="204"/>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4560" w:type="dxa"/>
            <w:vAlign w:val="bottom"/>
          </w:tcPr>
          <w:p>
            <w:pPr>
              <w:ind w:left="20"/>
              <w:spacing w:after="0"/>
              <w:rPr>
                <w:sz w:val="20"/>
                <w:szCs w:val="20"/>
                <w:color w:val="auto"/>
              </w:rPr>
            </w:pPr>
            <w:r>
              <w:rPr>
                <w:rFonts w:ascii="Arial" w:cs="Arial" w:eastAsia="Arial" w:hAnsi="Arial"/>
                <w:sz w:val="14"/>
                <w:szCs w:val="14"/>
                <w:color w:val="auto"/>
              </w:rPr>
              <w:t>Less: Equity in (earnings) losses of unconsolidated entities</w:t>
            </w:r>
          </w:p>
        </w:tc>
        <w:tc>
          <w:tcPr>
            <w:tcW w:w="2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Non-controlling share of Adjusted EBITDA</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(30,115)</w:t>
            </w: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(26,393)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(21,363)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(3,722)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(5,030)</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2023 and 2022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Total revenues increased $7.4 million primarily due to an increase in the Offshore Energy business, as one of our vessels was on-hire longer in 2023 compared to 2022, and at higher rates.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Total expenses increased $17.0 million primarily due to higher management fees and incentive allocation to affiliate, operating expenses, depreciation and amortization, partially offset by lower interest expense and lower acquisition and transaction expenses.</w:t>
      </w:r>
    </w:p>
    <w:p>
      <w:pPr>
        <w:spacing w:after="0" w:line="61" w:lineRule="exact"/>
        <w:rPr>
          <w:sz w:val="20"/>
          <w:szCs w:val="20"/>
          <w:color w:val="auto"/>
        </w:rPr>
      </w:pPr>
    </w:p>
    <w:p>
      <w:pPr>
        <w:ind w:left="660" w:hanging="328"/>
        <w:spacing w:after="0" w:line="286" w:lineRule="auto"/>
        <w:tabs>
          <w:tab w:leader="none" w:pos="649" w:val="left"/>
        </w:tabs>
        <w:numPr>
          <w:ilvl w:val="0"/>
          <w:numId w:val="23"/>
        </w:numPr>
        <w:rPr>
          <w:rFonts w:ascii="Arial" w:cs="Arial" w:eastAsia="Arial" w:hAnsi="Arial"/>
          <w:sz w:val="16"/>
          <w:szCs w:val="16"/>
          <w:b w:val="1"/>
          <w:bCs w:val="1"/>
          <w:color w:val="00497F"/>
        </w:rPr>
      </w:pPr>
      <w:r>
        <w:rPr>
          <w:rFonts w:ascii="Arial" w:cs="Arial" w:eastAsia="Arial" w:hAnsi="Arial"/>
          <w:sz w:val="16"/>
          <w:szCs w:val="16"/>
          <w:color w:val="auto"/>
        </w:rPr>
        <w:t>Management fees and incentive allocation to affiliate increased $14.5 million primarily due to an increase in incentive fee due to the Manager driven by an increase in net income.</w:t>
      </w:r>
    </w:p>
    <w:p>
      <w:pPr>
        <w:spacing w:after="0" w:line="61" w:lineRule="exact"/>
        <w:rPr>
          <w:rFonts w:ascii="Arial" w:cs="Arial" w:eastAsia="Arial" w:hAnsi="Arial"/>
          <w:sz w:val="16"/>
          <w:szCs w:val="16"/>
          <w:b w:val="1"/>
          <w:bCs w:val="1"/>
          <w:color w:val="00497F"/>
        </w:rPr>
      </w:pPr>
    </w:p>
    <w:p>
      <w:pPr>
        <w:jc w:val="both"/>
        <w:ind w:left="660" w:hanging="328"/>
        <w:spacing w:after="0" w:line="266"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Operating expenses increased $12.8 million which reflects increases in offshore crew expenses, project costs and other operating expenses for one of our vessels driven by increased cost of operations based on the operating location of the vessel, as well as increased number of days on-hire. Additionally, repairs and maintenance expense increased due to repairs on one of our vessels.</w:t>
      </w:r>
    </w:p>
    <w:p>
      <w:pPr>
        <w:spacing w:after="0" w:line="76"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Depreciation and amortization increased $2.5 million primarily due to new assets being placed into service in the Offshore Energy business.</w:t>
      </w:r>
    </w:p>
    <w:p>
      <w:pPr>
        <w:spacing w:after="0" w:line="113"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Interest expense decreased $7.6 million, which reflects a decrease in the average outstanding debt of approximately $183.8 million primarily due to decreases in (i) the 2021 Bridge Loans of $178.3 million and (ii) the Senior Notes due 2025 of $116.7 million, which were partially redeemed in August 2022, partially offset by increases in (iii) the Revolving Credit Facility of $28.7 million and (iv) the Senior Notes due 2030 of $82.8 million, which were issued in November 2023.</w:t>
      </w:r>
    </w:p>
    <w:p>
      <w:pPr>
        <w:spacing w:after="0" w:line="78"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Acquisition and transaction expenses decreased $4.7 million primarily due to lower professional fees related to strategic transactions.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1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Total other expense decreased $20.8 million which primarily reflects $19.9 million decrease in loss on extinguishment of debt primarily related to the 2022 pay-down of the 2021 Bridge Loans and the partial redemption of the Senior Notes due 2025.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$3.7 million primarily due to the changes noted above.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2022 and 2021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4" w:name="page45"/>
    <w:bookmarkEnd w:id="44"/>
    <w:p>
      <w:pPr>
        <w:spacing w:after="0" w:line="286" w:lineRule="auto"/>
        <w:rPr>
          <w:sz w:val="20"/>
          <w:szCs w:val="20"/>
          <w:color w:val="auto"/>
        </w:rPr>
      </w:pPr>
      <w:r>
        <w:rPr>
          <w:rFonts w:ascii="Arial" w:cs="Arial" w:eastAsia="Arial" w:hAnsi="Arial"/>
          <w:sz w:val="16"/>
          <w:szCs w:val="16"/>
          <w:color w:val="auto"/>
        </w:rPr>
        <w:t>Total revenues increased $12.8 million primarily due to an increase in the Offshore Energy business as two of our vessels were on-hire longer in 2022 compared to 2021.</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Total expenses increased $29.9 million primarily due to higher interest expense, operating expenses, management fees and incentive allocation to affiliate partially offset by lower acquisition and transaction expenses.</w:t>
      </w:r>
    </w:p>
    <w:p>
      <w:pPr>
        <w:spacing w:after="0" w:line="33" w:lineRule="exact"/>
        <w:rPr>
          <w:sz w:val="20"/>
          <w:szCs w:val="20"/>
          <w:color w:val="auto"/>
        </w:rPr>
      </w:pPr>
    </w:p>
    <w:p>
      <w:pPr>
        <w:jc w:val="both"/>
        <w:ind w:left="660" w:hanging="328"/>
        <w:spacing w:after="0" w:line="265"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Interest expense increased $14.2 million, which reflects an increase in the average outstanding debt of approximately $354.7 million due to increases in (i) the Senior Notes due 2028 of $459.7 million, (ii) the 2021 Bridge Loans issued in December 2021 and February 2022 of $169.9 million and (iii) the Revolving Credit Facility of $49.7 million, partially offset by a decrease in (iv) the Bridge Loans of $108.3 million, (v) the Senior Notes due 2022 of $133.1 million, which was redeemed in full in May 2021, and (vi) the Senior Notes due 2025 of $83.2 million, which were partially redeemed in August 2022.</w:t>
      </w:r>
    </w:p>
    <w:p>
      <w:pPr>
        <w:spacing w:after="0" w:line="64"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Operating expenses increased $17.6 million which reflects increases in offshore crew expenses, project costs and other operating expenses as our vessels were on-hire longer in 2022 compared to 2021, as well as crane repairs on one of our vessels.</w:t>
      </w:r>
    </w:p>
    <w:p>
      <w:pPr>
        <w:spacing w:after="0" w:line="61"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Management fees and incentive allocation to affiliate increased $2.9 million primarily due to an increase in incentive fee due to the Manager.</w:t>
      </w:r>
    </w:p>
    <w:p>
      <w:pPr>
        <w:spacing w:after="0" w:line="113"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Acquisition and transaction expenses decreased $5.9 million primarily due to a decrease in professional fees related to the Transtar acquisition in 2021.</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 (expense)</w:t>
      </w:r>
    </w:p>
    <w:p>
      <w:pPr>
        <w:spacing w:after="0" w:line="11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Total other expense increased $16.7 million which primarily reflects a $16.6 million increase in loss on extinguishment of debt primarily related to the 2022 pay-down of the 2021 Bridge Loans and the partial redemption of the Senior Notes due 2025.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decreased $5.0 million primarily due to the changes noted above.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Transactions with Affiliates and Affiliated Entities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are managed by the Manager, an affiliate of Fortress, pursuant to the Management Agreement which provides for us to bear obligations for management fees and expense reimbursements payable to the Manager. Our Management Agreement requires our Manager to manage our business affairs in conformity with a broad asset acquisition strategy adopted and monitored by our board of directors. From time to time, we may engage (subject to our strategy) in material transactions with our Manager or another entity managed by our Manager or one of its affiliates or other affiliates of Fortress, which may include, but are not limited to, certain financing arrangements, acquisition of assets, acquisition of debt obligations, debt, co-investments, and other assets that present an actual, potential or perceived conflict of interest. Please see Note 12 to our consolidated financial statements included elsewhere in this filing for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Geographic Information</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Please refer to Note 13 of our consolidated financial statements included in Item 8 in this Annual Report on Form 10-K for a report, by geographic area for each segment, of revenues from our external customers, for the years ended December 31, 2023, 2022 and 2021, as well as a report of our total property, plant and equipment as of December 31, 2023 and 2022.</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November 21, 2023, we issued $500 million aggregate principal amount of 2030 Notes. We used a portion of the proceeds to repay $250 million of outstanding borrowings under the Revolving Credit Facility, and used the remaining proceeds for general corporate purposes, and the funding of acquisitions and investments.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believe we have sufficient liquidity to satisfy our cash needs, however, we continue to evaluate and take action, as necessary, to preserve adequate liquidity and ensure that our business can continue to operate during various environments. This includes limiting discretionary spending across the organization and re-prioritizing our investments as necessary.</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Our principal uses of liquidity have been and continue to be (i) acquisitions of aircraft and engines, (ii) dividends to our ordinary and preferred shareholders,</w:t>
      </w:r>
    </w:p>
    <w:p>
      <w:pPr>
        <w:spacing w:after="0" w:line="31"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expenses associated with our operating activities, and (iv) debt service obligations associated with our investments.</w:t>
      </w:r>
    </w:p>
    <w:p>
      <w:pPr>
        <w:spacing w:after="0" w:line="100" w:lineRule="exact"/>
        <w:rPr>
          <w:rFonts w:ascii="Arial" w:cs="Arial" w:eastAsia="Arial" w:hAnsi="Arial"/>
          <w:sz w:val="16"/>
          <w:szCs w:val="16"/>
          <w:color w:val="auto"/>
        </w:rPr>
      </w:pPr>
    </w:p>
    <w:p>
      <w:pPr>
        <w:ind w:left="660" w:hanging="328"/>
        <w:spacing w:after="0" w:line="286" w:lineRule="auto"/>
        <w:tabs>
          <w:tab w:leader="none" w:pos="649" w:val="left"/>
        </w:tabs>
        <w:numPr>
          <w:ilvl w:val="1"/>
          <w:numId w:val="25"/>
        </w:numPr>
        <w:rPr>
          <w:rFonts w:ascii="Arial" w:cs="Arial" w:eastAsia="Arial" w:hAnsi="Arial"/>
          <w:sz w:val="16"/>
          <w:szCs w:val="16"/>
          <w:color w:val="auto"/>
        </w:rPr>
      </w:pPr>
      <w:r>
        <w:rPr>
          <w:rFonts w:ascii="Arial" w:cs="Arial" w:eastAsia="Arial" w:hAnsi="Arial"/>
          <w:sz w:val="16"/>
          <w:szCs w:val="16"/>
          <w:color w:val="auto"/>
        </w:rPr>
        <w:t>Cash used for the purpose of making investments was $861.5 million, $831.5 million and $1.5 billion during the years ended December 31, 2023, 2022, and 2021, respectively.</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Distributions to shareholders, including cash dividends, were $151.6 million, $155.6 million and $142.8 million during the years ended December 31, 2023, 2022 and 2021, respectively.</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1"/>
          <w:numId w:val="25"/>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45" w:name="page46"/>
    <w:bookmarkEnd w:id="45"/>
    <w:p>
      <w:pPr>
        <w:jc w:val="both"/>
        <w:spacing w:after="0" w:line="287"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aviation assets (including finance lease collections and maintenance reserve collections) net of operating expenses, (ii) proceeds from borrowings or the issuance of securities and (iii) proceeds from asset sales.</w:t>
      </w:r>
    </w:p>
    <w:p>
      <w:pPr>
        <w:spacing w:after="0" w:line="248" w:lineRule="exact"/>
        <w:rPr>
          <w:sz w:val="20"/>
          <w:szCs w:val="20"/>
          <w:color w:val="auto"/>
        </w:rPr>
      </w:pPr>
    </w:p>
    <w:p>
      <w:pPr>
        <w:ind w:left="660" w:hanging="328"/>
        <w:spacing w:after="0" w:line="304"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Cash flows from operating activities, plus the principal collections on finance leases and maintenance reserve collections were $163.0 million, $29.4 million and $16.9 million during the years ended December 31, 2023, 2022, and 2021, respectively.</w:t>
      </w:r>
    </w:p>
    <w:p>
      <w:pPr>
        <w:spacing w:after="0" w:line="33"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the year ended December 31, 2023, additional borrowings were obtained in connection with the (i) Revolving Credit Facility of $455.0 million and (ii) Senior Notes Due 2030 of $500.0 million. We made total principal repayments of $605.0 million relating to the Revolving Credit Facility.</w:t>
      </w:r>
    </w:p>
    <w:p>
      <w:pPr>
        <w:spacing w:after="0" w:line="61" w:lineRule="exact"/>
        <w:rPr>
          <w:rFonts w:ascii="Arial" w:cs="Arial" w:eastAsia="Arial" w:hAnsi="Arial"/>
          <w:sz w:val="16"/>
          <w:szCs w:val="16"/>
          <w:color w:val="auto"/>
        </w:rPr>
      </w:pPr>
    </w:p>
    <w:p>
      <w:pPr>
        <w:jc w:val="both"/>
        <w:ind w:left="660"/>
        <w:spacing w:after="0" w:line="265" w:lineRule="auto"/>
        <w:rPr>
          <w:rFonts w:ascii="Arial" w:cs="Arial" w:eastAsia="Arial" w:hAnsi="Arial"/>
          <w:sz w:val="16"/>
          <w:szCs w:val="16"/>
          <w:color w:val="auto"/>
        </w:rPr>
      </w:pPr>
      <w:r>
        <w:rPr>
          <w:rFonts w:ascii="Arial" w:cs="Arial" w:eastAsia="Arial" w:hAnsi="Arial"/>
          <w:sz w:val="16"/>
          <w:szCs w:val="16"/>
          <w:color w:val="auto"/>
        </w:rPr>
        <w:t>During the year ended December 31, 2022, additional borrowings were obtained in connection with the (i) 2021 Bridge Loans of $239.5 million (ii) Revolving Credit Facility of $565.0 million and (iii) EB-5 Loan Agreement of $9.5 million. We made total principal repayments of (i) $604.5 million relating to the Revolving Credit Facility, (ii) $340.0 million related to the 2021 Bridge Loans and (iii) $200.0 million related to the Senior Notes due 2025.</w:t>
      </w:r>
    </w:p>
    <w:p>
      <w:pPr>
        <w:spacing w:after="0" w:line="64" w:lineRule="exact"/>
        <w:rPr>
          <w:rFonts w:ascii="Arial" w:cs="Arial" w:eastAsia="Arial" w:hAnsi="Arial"/>
          <w:sz w:val="16"/>
          <w:szCs w:val="16"/>
          <w:color w:val="auto"/>
        </w:rPr>
      </w:pPr>
    </w:p>
    <w:p>
      <w:pPr>
        <w:jc w:val="both"/>
        <w:ind w:left="660"/>
        <w:spacing w:after="0" w:line="265" w:lineRule="auto"/>
        <w:rPr>
          <w:rFonts w:ascii="Arial" w:cs="Arial" w:eastAsia="Arial" w:hAnsi="Arial"/>
          <w:sz w:val="16"/>
          <w:szCs w:val="16"/>
          <w:color w:val="auto"/>
        </w:rPr>
      </w:pPr>
      <w:r>
        <w:rPr>
          <w:rFonts w:ascii="Arial" w:cs="Arial" w:eastAsia="Arial" w:hAnsi="Arial"/>
          <w:sz w:val="16"/>
          <w:szCs w:val="16"/>
          <w:color w:val="auto"/>
        </w:rPr>
        <w:t>During the year ended December 31, 2021, additional borrowings were obtained in connection with the (i) Senior Notes due 2028 of $1.0 billion, (ii) Revolving Credit Facility of $690.0 million, (iii) Bridge Loan Agreement of $650.0 million, (iv) Series 2021 Bonds of $425.0 million, (v) 2021 Bridge Loans of $100.5 million and (vi) EB-5 Loan Agreement of $26.1 million. We made principal payments of $1.6 billion related to the Bridge Loan Agreement, Revolving Credit Facility and Senior Notes due 2022.</w:t>
      </w:r>
    </w:p>
    <w:p>
      <w:pPr>
        <w:spacing w:after="0" w:line="78"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Proceeds from the sale of assets were $477.9 million, $414.2 million and $163.4 million during the years ended December 31, 2023, 2022, and 2021, respectively.</w:t>
      </w:r>
    </w:p>
    <w:p>
      <w:pPr>
        <w:spacing w:after="0" w:line="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Proceeds from the issuance of ordinary shares, net of issuance costs were $323.1 million during the year ended December 31, 2021. There were no issuances of ordinary shares in 2023 or 2022.</w:t>
      </w:r>
    </w:p>
    <w:p>
      <w:pPr>
        <w:spacing w:after="0" w:line="47"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Proceeds from the issuance of preferred shares, net of underwriters discount and issuance costs, were $61.7 million and $101.2 million during the years ended December 31, 2023 and 2021, respectively. There were no issuances of preferred shares during the year ended December 31, 2022.</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currently evaluating several potential transactions and related financings, including, but not limited to, certain additional debt and equity financings, which could occur within the next 12 months. None of these potential transactions, negotiations, or financings are definitive or included within our planned liquidity needs. We cannot assure if or when any such transaction will be consummated or the terms of any such transaction or related financing.</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historical cash flow from both continuing and discontinued operations: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6"/>
          </w:tcPr>
          <w:p>
            <w:pPr>
              <w:jc w:val="right"/>
              <w:ind w:right="228"/>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r>
      <w:tr>
        <w:trPr>
          <w:trHeight w:val="183"/>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 data:</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2"/>
        </w:trPr>
        <w:tc>
          <w:tcPr>
            <w:tcW w:w="6520" w:type="dxa"/>
            <w:vAlign w:val="bottom"/>
          </w:tcPr>
          <w:p>
            <w:pPr>
              <w:ind w:left="20"/>
              <w:spacing w:after="0"/>
              <w:rPr>
                <w:sz w:val="20"/>
                <w:szCs w:val="20"/>
                <w:color w:val="auto"/>
              </w:rPr>
            </w:pPr>
            <w:r>
              <w:rPr>
                <w:rFonts w:ascii="Arial" w:cs="Arial" w:eastAsia="Arial" w:hAnsi="Arial"/>
                <w:sz w:val="14"/>
                <w:szCs w:val="14"/>
                <w:color w:val="auto"/>
              </w:rPr>
              <w:t>Net cash used in operating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center"/>
              <w:ind w:left="468"/>
              <w:spacing w:after="0"/>
              <w:rPr>
                <w:sz w:val="20"/>
                <w:szCs w:val="20"/>
                <w:color w:val="auto"/>
              </w:rPr>
            </w:pPr>
            <w:r>
              <w:rPr>
                <w:rFonts w:ascii="Arial" w:cs="Arial" w:eastAsia="Arial" w:hAnsi="Arial"/>
                <w:sz w:val="14"/>
                <w:szCs w:val="14"/>
                <w:b w:val="1"/>
                <w:bCs w:val="1"/>
                <w:color w:val="auto"/>
              </w:rPr>
              <w:t>128,982</w:t>
            </w:r>
          </w:p>
        </w:tc>
        <w:tc>
          <w:tcPr>
            <w:tcW w:w="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(20,657)</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(22,044)</w:t>
            </w:r>
          </w:p>
        </w:tc>
      </w:tr>
      <w:tr>
        <w:trPr>
          <w:trHeight w:val="203"/>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left="408"/>
              <w:spacing w:after="0"/>
              <w:rPr>
                <w:sz w:val="20"/>
                <w:szCs w:val="20"/>
                <w:color w:val="auto"/>
              </w:rPr>
            </w:pPr>
            <w:r>
              <w:rPr>
                <w:rFonts w:ascii="Arial" w:cs="Arial" w:eastAsia="Arial" w:hAnsi="Arial"/>
                <w:sz w:val="14"/>
                <w:szCs w:val="14"/>
                <w:b w:val="1"/>
                <w:bCs w:val="1"/>
                <w:color w:val="auto"/>
              </w:rPr>
              <w:t>(373,349)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(411,253)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(1,286,958)</w:t>
            </w:r>
          </w:p>
        </w:tc>
      </w:tr>
      <w:tr>
        <w:trPr>
          <w:trHeight w:val="200"/>
        </w:trPr>
        <w:tc>
          <w:tcPr>
            <w:tcW w:w="652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Pr>
          <w:p>
            <w:pPr>
              <w:spacing w:after="0"/>
              <w:rPr>
                <w:sz w:val="17"/>
                <w:szCs w:val="17"/>
                <w:color w:val="auto"/>
              </w:rPr>
            </w:pPr>
          </w:p>
        </w:tc>
        <w:tc>
          <w:tcPr>
            <w:tcW w:w="1100" w:type="dxa"/>
            <w:vAlign w:val="bottom"/>
          </w:tcPr>
          <w:p>
            <w:pPr>
              <w:jc w:val="center"/>
              <w:ind w:left="468"/>
              <w:spacing w:after="0"/>
              <w:rPr>
                <w:sz w:val="20"/>
                <w:szCs w:val="20"/>
                <w:color w:val="auto"/>
              </w:rPr>
            </w:pPr>
            <w:r>
              <w:rPr>
                <w:rFonts w:ascii="Arial" w:cs="Arial" w:eastAsia="Arial" w:hAnsi="Arial"/>
                <w:sz w:val="14"/>
                <w:szCs w:val="14"/>
                <w:b w:val="1"/>
                <w:bCs w:val="1"/>
                <w:color w:val="auto"/>
              </w:rPr>
              <w:t>282,208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44,914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1,587,645</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years ended December 31, 2023 and 2022</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cash used in operating activities decreased $149.6 million, which primarily reflects (i) a decrease in our Net loss of $455.8 million and (ii) Changes in working capital of $52.8 million, partially offset by certain adjustments to reconcile net income to cash used in operating activities including decreases in (i) Asset impairment of $135.1 million, (ii) Equity in losses of unconsolidated entities of $45.4 million, (iii) Provision for credit losses of $41.4 million, (iv) Depreciation and amortization of $23.4 million, (v) Loss on extinguishment of debt of $19.9 million, and (vi) an increase in gain on sale of assets of $19.1 million.</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Net cash used in investing activities decreased $37.9 million primarily due to (i) a decrease in Acquisition of property, plant and equipment of $138.0 million and (ii) higher Proceeds from the sale of leasing equipment of $68.9 million, partially offset by increases in (i) Acquisition of leasing equipment of $111.5 million, (ii) Acquisition of business, net of cash acquired, of $25.8 million, (iii) Purchase deposit for acquisitions of $17.3 million, and (iv) Investment of unconsolidated entities of $12.2 million.</w:t>
      </w:r>
    </w:p>
    <w:p>
      <w:pPr>
        <w:spacing w:after="0" w:line="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cash provided by financing activities increased $237.3 million primarily due to (i) a decrease in Repayment of debt of $539.5 million, (ii) an increase in Proceeds from debt of $137.7 million and (iii) an increase in Proceeds from issuance of preferred shares, net of underwriter's discount and issuance costs of $61.7 million, partially offset by a decrease in the one-time Dividend from spin-off of FTAI Infrastructure, net of cash transferred of $500.6 million.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i w:val="1"/>
          <w:iCs w:val="1"/>
          <w:color w:val="00497F"/>
        </w:rPr>
        <w:t>Cash Flows of Discontinued Operations</w:t>
      </w:r>
    </w:p>
    <w:p>
      <w:pPr>
        <w:spacing w:after="0" w:line="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cash flows related to discontinued operations have not been segregated and are included in the Consolidated Statements of Cash Flows for all periods presented. Cash used in operating activities from discontinued operations were $63.9 million, and $61.7 million for the years ended December 31, 2022 and 2021, respectively. Cash used in investing activities from discontinued operations were $136.3 million, and $828.7 million for the years ended December 31, 2022 and 2021, respectively.</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absence of cash flows from discontinued operations is not expected to adversely affect our liquidity or our ability to fund capital expenditures or working capital needs.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Contractual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Our material cash requirements include the following contractual and other obligations: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Debt Obligations</w:t>
      </w:r>
      <w:r>
        <w:rPr>
          <w:rFonts w:ascii="Arial" w:cs="Arial" w:eastAsia="Arial" w:hAnsi="Arial"/>
          <w:sz w:val="16"/>
          <w:szCs w:val="16"/>
          <w:i w:val="1"/>
          <w:iCs w:val="1"/>
          <w:color w:val="000000"/>
        </w:rPr>
        <w:t>—</w:t>
      </w:r>
      <w:r>
        <w:rPr>
          <w:rFonts w:ascii="Arial" w:cs="Arial" w:eastAsia="Arial" w:hAnsi="Arial"/>
          <w:sz w:val="16"/>
          <w:szCs w:val="16"/>
          <w:color w:val="000000"/>
        </w:rPr>
        <w:t>As of December 31, 2023, we had outstanding principal and interest payment obligations of $2.6 billion and $728.6 million through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maturity date of the debt, respectively, of which only interest payments of $177.4 million are due in the next twelve months. See Note 8 to the consolidated financial statements for additional information about our debt obligations.</w:t>
      </w:r>
    </w:p>
    <w:p>
      <w:pPr>
        <w:spacing w:after="0" w:line="5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b w:val="1"/>
          <w:bCs w:val="1"/>
          <w:i w:val="1"/>
          <w:iCs w:val="1"/>
          <w:color w:val="00497F"/>
        </w:rPr>
        <w:t>Lease Obligations</w:t>
      </w:r>
      <w:r>
        <w:rPr>
          <w:rFonts w:ascii="Arial" w:cs="Arial" w:eastAsia="Arial" w:hAnsi="Arial"/>
          <w:sz w:val="16"/>
          <w:szCs w:val="16"/>
          <w:i w:val="1"/>
          <w:iCs w:val="1"/>
          <w:color w:val="000000"/>
        </w:rPr>
        <w:t>—</w:t>
      </w:r>
      <w:r>
        <w:rPr>
          <w:rFonts w:ascii="Arial" w:cs="Arial" w:eastAsia="Arial" w:hAnsi="Arial"/>
          <w:sz w:val="16"/>
          <w:szCs w:val="16"/>
          <w:color w:val="000000"/>
        </w:rPr>
        <w:t>As of December 31, 2023, we had outstanding operating and finance lease obligations of $2.0 million, of which, $0.9 million is due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next twelve months.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Other Cash Requirements</w:t>
      </w:r>
      <w:r>
        <w:rPr>
          <w:rFonts w:ascii="Arial" w:cs="Arial" w:eastAsia="Arial" w:hAnsi="Arial"/>
          <w:sz w:val="16"/>
          <w:szCs w:val="16"/>
          <w:i w:val="1"/>
          <w:iCs w:val="1"/>
          <w:color w:val="000000"/>
        </w:rPr>
        <w:t>—</w:t>
      </w:r>
      <w:r>
        <w:rPr>
          <w:rFonts w:ascii="Arial" w:cs="Arial" w:eastAsia="Arial" w:hAnsi="Arial"/>
          <w:sz w:val="16"/>
          <w:szCs w:val="16"/>
          <w:color w:val="000000"/>
        </w:rPr>
        <w:t>In addition to our contractual obligations, we pay quarterly cash dividends on our ordinary shares and preferred shares, which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are subject to change at the discretion of our Board of Directors. During 2023, we declared cash dividends of $119.8 million and $31.8 million on our ordinary shares and preferred shares, respectively.</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expect to meet our future short-term liquidity requirements through cash on hand, unused borrowing capacity or future financings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Critical Accounting Estimates and Policies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 Note 2 to the consolidated financial statements describes the significant accounting policies and methods used in the preparation of our consolidated financial statements.</w:t>
      </w:r>
    </w:p>
    <w:p>
      <w:pPr>
        <w:spacing w:after="0" w:line="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Operating Leases</w:t>
      </w:r>
      <w:r>
        <w:rPr>
          <w:rFonts w:ascii="Arial" w:cs="Arial" w:eastAsia="Arial" w:hAnsi="Arial"/>
          <w:sz w:val="16"/>
          <w:szCs w:val="16"/>
          <w:i w:val="1"/>
          <w:iCs w:val="1"/>
          <w:color w:val="000000"/>
        </w:rPr>
        <w:t>—</w:t>
      </w:r>
      <w:r>
        <w:rPr>
          <w:rFonts w:ascii="Arial" w:cs="Arial" w:eastAsia="Arial" w:hAnsi="Arial"/>
          <w:sz w:val="16"/>
          <w:szCs w:val="16"/>
          <w:color w:val="000000"/>
        </w:rPr>
        <w:t>We lease equipment pursuant to operating leases. Operating leases with fixed rentals and step rentals are recognized on a straight-line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cost of maintenance paid by the lessee. In the event the total cost of maintenance events over the term of a lease is less than the cumulative maintenance payments, we are not required to return any unused or excess maintenance payments to the lessee.</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purchase and lease back transactions, we account for the transaction as a single arrangement. We allocate the consideration paid based on the relative fair value of the aircraft and lease. The fair value of the lease may include a lease premium or discount, which is recorded as a favorable or unfavorable lease intangible.</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00497F"/>
        </w:rPr>
        <w:t>Asset sales revenue</w:t>
      </w:r>
      <w:r>
        <w:rPr>
          <w:rFonts w:ascii="Arial" w:cs="Arial" w:eastAsia="Arial" w:hAnsi="Arial"/>
          <w:sz w:val="16"/>
          <w:szCs w:val="16"/>
          <w:color w:val="000000"/>
        </w:rPr>
        <w:t>—Asset sales revenue primarily consists of the transaction price related to the sale of aircraft and aircraft engines from our Aviation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Leasing segment. From time to time, the Company may also assign the related lease agreements to the customer as part of the sale of these assets. We routinely sell leasing equipment to customers and such transactions are considered recurring and ordinary in nature to our business. As such, these sales are accounted for within the scope of ASC 606. Revenue is recognized when a performance obligation is satisfied by transferring control over an asset to a customer. Revenue is recorded with corresponding costs of sales, presented on a gross basis in the Consolidated Statements of Operations. See Note 10 for additional information.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6"/>
          <w:szCs w:val="16"/>
          <w:b w:val="1"/>
          <w:bCs w:val="1"/>
          <w:i w:val="1"/>
          <w:iCs w:val="1"/>
          <w:color w:val="00497F"/>
        </w:rPr>
        <w:t>Aerospace Products revenue</w:t>
      </w:r>
      <w:r>
        <w:rPr>
          <w:rFonts w:ascii="Arial" w:cs="Arial" w:eastAsia="Arial" w:hAnsi="Arial"/>
          <w:sz w:val="16"/>
          <w:szCs w:val="16"/>
          <w:color w:val="000000"/>
        </w:rPr>
        <w:t>—Aerospace Products revenue primarily consists of the transaction price related to the sale of repaired CFM56-7B, CFM56-5B and V2500 engines, engine modules, spare parts and used material inventory, and are accounted for within the scope of ASC 606. Revenue is recognized when a performance obligation is satisfied by transferring control over the related asset to a customer. Revenue is recorded with corresponding costs of sales, presented on a gross basis in the Consolidated Statements of Operations. Shipping costs to deliver assets to customers are included in cost of sales. Aerospace products revenue also consists of engine management service contracts, where the Company has a stand-ready obligation to provide replacement CFM56-7B and CFM56-5B engines to customers as they become unserviceable during the contract term. The Company recognizes revenue over time using a straight-line attribution method and the costs related to fulfilling the performance obligation are expensed as incurred.</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00497F"/>
        </w:rPr>
        <w:t>Maintenance Payments</w:t>
      </w:r>
      <w:r>
        <w:rPr>
          <w:rFonts w:ascii="Arial" w:cs="Arial" w:eastAsia="Arial" w:hAnsi="Arial"/>
          <w:sz w:val="16"/>
          <w:szCs w:val="16"/>
          <w:color w:val="000000"/>
        </w:rPr>
        <w:t>—Typically, under an operating lease of aircraft, the lessee is responsible for performing all maintenance and is generally required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to make maintenance payments to us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we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record the portion of maintenance payments paid by the lessee that are expected to be reimbursed as maintenance deposits in the Consolidated Balance Sheets. Reimbursements made to the lessee upon the receipt of evidence of qualifying maintenance work are recorded against the maintenance deposit liability.</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certain acquired leases, we or the lessee may be obligated to make a payment to the other party at lease termination based on redelivery conditions stipulated at the inception of the lease. When the lessee is required to return the aircraft in an improved maintenance condition, we record a maintenance right asset, as a component of other assets in the Consolidated Balance sheets, for the estimated value of the end-of-life maintenance payment at acquisition. We recognize payments received as end-of-lease compensation adjustments, within lease income or as a reduction to the maintenance right asset, when payment is received or collectability is assured. In the event we are required to make payments at the end of the lease for redelivery conditions, amounts are accrued as additional maintenance liability and expensed when we are obligated and can reasonably estimate such payments.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Property, Plant and Equipment, Leasing Equipment and Depreciation</w:t>
      </w:r>
      <w:r>
        <w:rPr>
          <w:rFonts w:ascii="Arial" w:cs="Arial" w:eastAsia="Arial" w:hAnsi="Arial"/>
          <w:sz w:val="16"/>
          <w:szCs w:val="16"/>
          <w:color w:val="000000"/>
        </w:rPr>
        <w:t>—Property, plant and equipment and leasing equipment are stated at cost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(inclusive of capitalized acquisition costs, where applicable) and depreciated using the straight-line method, over estimated useful lives, to estimated residual values which are summarized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0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Asset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Range of Estimated Useful Lives</w:t>
            </w:r>
          </w:p>
        </w:tc>
        <w:tc>
          <w:tcPr>
            <w:tcW w:w="140" w:type="dxa"/>
            <w:vAlign w:val="bottom"/>
            <w:tcBorders>
              <w:bottom w:val="single" w:sz="8" w:color="CCEEFF"/>
            </w:tcBorders>
          </w:tcPr>
          <w:p>
            <w:pPr>
              <w:spacing w:after="0"/>
              <w:rPr>
                <w:sz w:val="17"/>
                <w:szCs w:val="17"/>
                <w:color w:val="auto"/>
              </w:rPr>
            </w:pPr>
          </w:p>
        </w:tc>
        <w:tc>
          <w:tcPr>
            <w:tcW w:w="34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Residual Value Estimates</w:t>
            </w:r>
          </w:p>
        </w:tc>
      </w:tr>
      <w:tr>
        <w:trPr>
          <w:trHeight w:val="143"/>
        </w:trPr>
        <w:tc>
          <w:tcPr>
            <w:tcW w:w="42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Aircraft</w:t>
            </w:r>
          </w:p>
        </w:tc>
        <w:tc>
          <w:tcPr>
            <w:tcW w:w="3520" w:type="dxa"/>
            <w:vAlign w:val="bottom"/>
            <w:gridSpan w:val="3"/>
            <w:shd w:val="clear" w:color="auto" w:fill="CCEEFF"/>
          </w:tcPr>
          <w:p>
            <w:pPr>
              <w:ind w:left="20"/>
              <w:spacing w:after="0" w:line="143" w:lineRule="exact"/>
              <w:rPr>
                <w:sz w:val="20"/>
                <w:szCs w:val="20"/>
                <w:color w:val="auto"/>
              </w:rPr>
            </w:pPr>
            <w:r>
              <w:rPr>
                <w:rFonts w:ascii="Arial" w:cs="Arial" w:eastAsia="Arial" w:hAnsi="Arial"/>
                <w:sz w:val="14"/>
                <w:szCs w:val="14"/>
                <w:color w:val="auto"/>
              </w:rPr>
              <w:t>25 years from date of manufacture</w:t>
            </w:r>
          </w:p>
        </w:tc>
        <w:tc>
          <w:tcPr>
            <w:tcW w:w="346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Generally not to exceed 15% of manufacturer’s list</w:t>
            </w:r>
          </w:p>
        </w:tc>
      </w:tr>
      <w:tr>
        <w:trPr>
          <w:trHeight w:val="189"/>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 when new</w:t>
            </w:r>
          </w:p>
        </w:tc>
      </w:tr>
      <w:tr>
        <w:trPr>
          <w:trHeight w:val="149"/>
        </w:trPr>
        <w:tc>
          <w:tcPr>
            <w:tcW w:w="42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Aircraft engines</w:t>
            </w:r>
          </w:p>
        </w:tc>
        <w:tc>
          <w:tcPr>
            <w:tcW w:w="120" w:type="dxa"/>
            <w:vAlign w:val="bottom"/>
          </w:tcPr>
          <w:p>
            <w:pPr>
              <w:ind w:left="20"/>
              <w:spacing w:after="0" w:line="149" w:lineRule="exact"/>
              <w:rPr>
                <w:sz w:val="20"/>
                <w:szCs w:val="20"/>
                <w:color w:val="auto"/>
              </w:rPr>
            </w:pPr>
            <w:r>
              <w:rPr>
                <w:rFonts w:ascii="Arial" w:cs="Arial" w:eastAsia="Arial" w:hAnsi="Arial"/>
                <w:sz w:val="14"/>
                <w:szCs w:val="14"/>
                <w:color w:val="auto"/>
              </w:rPr>
              <w:t>2</w:t>
            </w:r>
          </w:p>
        </w:tc>
        <w:tc>
          <w:tcPr>
            <w:tcW w:w="34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- 6 years, based on maintenance adjusted service</w:t>
            </w:r>
          </w:p>
        </w:tc>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Sum of engine core salvage value plus the estimated</w:t>
            </w:r>
          </w:p>
        </w:tc>
      </w:tr>
      <w:tr>
        <w:trPr>
          <w:trHeight w:val="189"/>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life</w:t>
            </w:r>
          </w:p>
        </w:tc>
        <w:tc>
          <w:tcPr>
            <w:tcW w:w="3460" w:type="dxa"/>
            <w:vAlign w:val="bottom"/>
          </w:tcPr>
          <w:p>
            <w:pPr>
              <w:ind w:left="20"/>
              <w:spacing w:after="0"/>
              <w:rPr>
                <w:sz w:val="20"/>
                <w:szCs w:val="20"/>
                <w:color w:val="auto"/>
              </w:rPr>
            </w:pPr>
            <w:r>
              <w:rPr>
                <w:rFonts w:ascii="Arial" w:cs="Arial" w:eastAsia="Arial" w:hAnsi="Arial"/>
                <w:sz w:val="14"/>
                <w:szCs w:val="14"/>
                <w:color w:val="auto"/>
              </w:rPr>
              <w:t>fair value of life limited parts</w:t>
            </w:r>
          </w:p>
        </w:tc>
      </w:tr>
      <w:tr>
        <w:trPr>
          <w:trHeight w:val="203"/>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Aviation tooling and equipment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- 6 years from date of purchase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98"/>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Offshore energy vessels</w:t>
            </w: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25 years from date of manufacture</w:t>
            </w:r>
          </w:p>
        </w:tc>
        <w:tc>
          <w:tcPr>
            <w:tcW w:w="3460" w:type="dxa"/>
            <w:vAlign w:val="bottom"/>
          </w:tcPr>
          <w:p>
            <w:pPr>
              <w:ind w:left="20"/>
              <w:spacing w:after="0"/>
              <w:rPr>
                <w:sz w:val="20"/>
                <w:szCs w:val="20"/>
                <w:color w:val="auto"/>
              </w:rPr>
            </w:pPr>
            <w:r>
              <w:rPr>
                <w:rFonts w:ascii="Arial" w:cs="Arial" w:eastAsia="Arial" w:hAnsi="Arial"/>
                <w:sz w:val="14"/>
                <w:szCs w:val="14"/>
                <w:color w:val="auto"/>
              </w:rPr>
              <w:t>10% of new build cost</w:t>
            </w:r>
          </w:p>
        </w:tc>
      </w:tr>
      <w:tr>
        <w:trPr>
          <w:trHeight w:val="207"/>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40 to 50 years</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98"/>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Machinery and equipment</w:t>
            </w:r>
          </w:p>
        </w:tc>
        <w:tc>
          <w:tcPr>
            <w:tcW w:w="120" w:type="dxa"/>
            <w:vAlign w:val="bottom"/>
          </w:tcPr>
          <w:p>
            <w:pPr>
              <w:ind w:left="20"/>
              <w:spacing w:after="0"/>
              <w:rPr>
                <w:sz w:val="20"/>
                <w:szCs w:val="20"/>
                <w:color w:val="auto"/>
              </w:rPr>
            </w:pPr>
            <w:r>
              <w:rPr>
                <w:rFonts w:ascii="Arial" w:cs="Arial" w:eastAsia="Arial" w:hAnsi="Arial"/>
                <w:sz w:val="14"/>
                <w:szCs w:val="14"/>
                <w:color w:val="auto"/>
              </w:rPr>
              <w:t>6</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- 23 years</w:t>
            </w:r>
          </w:p>
        </w:tc>
        <w:tc>
          <w:tcPr>
            <w:tcW w:w="346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07"/>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- 6 years from date of purchase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None</w:t>
            </w:r>
          </w:p>
        </w:tc>
      </w:tr>
      <w:tr>
        <w:trPr>
          <w:trHeight w:val="198"/>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Computer hardware and software</w:t>
            </w:r>
          </w:p>
        </w:tc>
        <w:tc>
          <w:tcPr>
            <w:tcW w:w="120" w:type="dxa"/>
            <w:vAlign w:val="bottom"/>
          </w:tcPr>
          <w:p>
            <w:pPr>
              <w:ind w:left="20"/>
              <w:spacing w:after="0"/>
              <w:rPr>
                <w:sz w:val="20"/>
                <w:szCs w:val="20"/>
                <w:color w:val="auto"/>
              </w:rPr>
            </w:pPr>
            <w:r>
              <w:rPr>
                <w:rFonts w:ascii="Arial" w:cs="Arial" w:eastAsia="Arial" w:hAnsi="Arial"/>
                <w:sz w:val="14"/>
                <w:szCs w:val="14"/>
                <w:color w:val="auto"/>
              </w:rPr>
              <w:t>2</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- 5 years from date of purchase</w:t>
            </w:r>
          </w:p>
        </w:tc>
        <w:tc>
          <w:tcPr>
            <w:tcW w:w="3460" w:type="dxa"/>
            <w:vAlign w:val="bottom"/>
          </w:tcPr>
          <w:p>
            <w:pPr>
              <w:ind w:left="20"/>
              <w:spacing w:after="0"/>
              <w:rPr>
                <w:sz w:val="20"/>
                <w:szCs w:val="20"/>
                <w:color w:val="auto"/>
              </w:rPr>
            </w:pPr>
            <w:r>
              <w:rPr>
                <w:rFonts w:ascii="Arial" w:cs="Arial" w:eastAsia="Arial" w:hAnsi="Arial"/>
                <w:sz w:val="14"/>
                <w:szCs w:val="14"/>
                <w:color w:val="auto"/>
              </w:rPr>
              <w:t>None</w:t>
            </w:r>
          </w:p>
        </w:tc>
      </w:tr>
      <w:tr>
        <w:trPr>
          <w:trHeight w:val="207"/>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w:t>
            </w:r>
          </w:p>
        </w:tc>
      </w:tr>
      <w:tr>
        <w:trPr>
          <w:trHeight w:val="198"/>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Construction in progress</w:t>
            </w: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N/A</w:t>
            </w:r>
          </w:p>
        </w:tc>
        <w:tc>
          <w:tcPr>
            <w:tcW w:w="3460" w:type="dxa"/>
            <w:vAlign w:val="bottom"/>
          </w:tcPr>
          <w:p>
            <w:pPr>
              <w:ind w:left="20"/>
              <w:spacing w:after="0"/>
              <w:rPr>
                <w:sz w:val="20"/>
                <w:szCs w:val="20"/>
                <w:color w:val="auto"/>
              </w:rPr>
            </w:pPr>
            <w:r>
              <w:rPr>
                <w:rFonts w:ascii="Arial" w:cs="Arial" w:eastAsia="Arial" w:hAnsi="Arial"/>
                <w:sz w:val="14"/>
                <w:szCs w:val="14"/>
                <w:color w:val="auto"/>
              </w:rPr>
              <w:t>N/A</w:t>
            </w:r>
          </w:p>
        </w:tc>
      </w:tr>
      <w:tr>
        <w:trPr>
          <w:trHeight w:val="207"/>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5</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- 7 years</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w:t>
            </w:r>
          </w:p>
        </w:tc>
      </w:tr>
    </w:tbl>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00497F"/>
        </w:rPr>
        <w:t>Impairment of Long-Lived Assets</w:t>
      </w:r>
      <w:r>
        <w:rPr>
          <w:rFonts w:ascii="Arial" w:cs="Arial" w:eastAsia="Arial" w:hAnsi="Arial"/>
          <w:sz w:val="16"/>
          <w:szCs w:val="16"/>
          <w:color w:val="000000"/>
        </w:rPr>
        <w:t>—We perform a recoverability assessment of each of our long-lived assets whenever events or changes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circumstances, or indicators, indicate that the carrying amount or net book value of an asset may not be recoverable. Indicators may include, but are not limited to, a significant lease restructuring or early lease termination; significant traffic decline; a significant change in market conditions; or the introduction of newer technology aircraft, vessels or engines. When performing a recoverability assessment, we measure whether the estimated future undiscounted net cash flows expected to be generated by the asset exceeds its net book value. The undiscounted cash flows consist of cash flows from currently contracted leases and contracts, future projected leases, transition costs, estimated down time and estimated residual or scrap values. In the event that an asset does not meet the recoverability test, the carrying value of the asset will be adjusted to fair value resulting in an impairment charge.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8" w:name="page49"/>
    <w:bookmarkEnd w:id="48"/>
    <w:p>
      <w:pPr>
        <w:jc w:val="both"/>
        <w:spacing w:after="0" w:line="265" w:lineRule="auto"/>
        <w:rPr>
          <w:sz w:val="20"/>
          <w:szCs w:val="20"/>
          <w:color w:val="auto"/>
        </w:rPr>
      </w:pPr>
      <w:r>
        <w:rPr>
          <w:rFonts w:ascii="Arial" w:cs="Arial" w:eastAsia="Arial" w:hAnsi="Arial"/>
          <w:sz w:val="16"/>
          <w:szCs w:val="16"/>
          <w:color w:val="auto"/>
        </w:rPr>
        <w:t>Management develops the assumptions used in the recoverability analysis based on its knowledge of active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residual values, economic conditions, technology, demand for a particular asset type and other factors.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Recent Accounting Pronouncements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Please see Note 2 to our consolidated financial statements included elsewhere in this filing for recent accounting pronouncements.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7A. Quantitative and Qualitative Disclosures About Market Risk</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LIBOR and other indices which are deemed “benchmarks” are the subject of recent national, international, and other regulatory guidance and proposals for reform. The ICE Benchmark Administration ceased publication of one-week and two-month USD LIBOR settings after December 31, 2021 and the remaining USD LIBOR settings after June 30, 2023, other than certain USD LIBOR settings that are expected to continue to be published under a synthetic methodology until September 2024. In anticipation of LIBOR’s phase out, we amended our revolving credit facility to incorporate SOFR as the successor rate to LIBOR. We continue to monitor related reform proposals and evaluate the related risks; however, it is not possible to predict the effects of any of these developments, and any future initiatives to regulate, reform or change the manner of administration of LIBOR, SOFR or other benchmark indices could result in adverse consequences to the rate of interest payable and receivable on, market value of and market liquidity for financial instruments tied to variable interest rate indices.</w:t>
      </w:r>
    </w:p>
    <w:p>
      <w:pPr>
        <w:spacing w:after="0" w:line="8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SOFR. Therefore, to the extent our borrowing costs are not fixed, increases in interest rates may reduce our net income by increasing the cost of our debt without any corresponding increase in rents or cash flow from our leases. We may elect to manage our exposure to interest rate movements through the use of interest rate derivatives (interest rate swaps and caps).</w:t>
      </w:r>
    </w:p>
    <w:p>
      <w:pPr>
        <w:spacing w:after="0" w:line="26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if any. It also does not include a variety of other potential factors that could affect our business as a result of changes in interest rates. In addition, the following discussion does not take into account our Series A and Series B preferred shares, on which distributions currently accrue interest at a fixed rate but will accrue interest at a floating rate based on a certain variable interest rate index plus a spread from and after September 15, 2024.</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December 31, 2023, assuming we do not hedge our exposure to interest rate fluctuations related to our outstanding floating rate debt, a hypothetical 100-basis point increase/decrease in our variable interest rate on our borrowings would not have increased or decreased interest expense over the next 12 months.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00497F"/>
        </w:rPr>
        <w:t>Item 8. Financial Statements and Supplementary Data</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Index to Financial Statements: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9280" w:type="dxa"/>
            <w:vAlign w:val="bottom"/>
          </w:tcPr>
          <w:p>
            <w:pPr>
              <w:spacing w:after="0"/>
              <w:rPr>
                <w:sz w:val="20"/>
                <w:szCs w:val="20"/>
                <w:color w:val="auto"/>
              </w:rPr>
            </w:pPr>
            <w:r>
              <w:rPr>
                <w:rFonts w:ascii="Arial" w:cs="Arial" w:eastAsia="Arial" w:hAnsi="Arial"/>
                <w:sz w:val="14"/>
                <w:szCs w:val="14"/>
                <w:b w:val="1"/>
                <w:bCs w:val="1"/>
                <w:color w:val="auto"/>
              </w:rPr>
              <w:t>Consolidated Financial Statements of FTAI Aviation Ltd.:</w:t>
            </w:r>
          </w:p>
        </w:tc>
        <w:tc>
          <w:tcPr>
            <w:tcW w:w="1660" w:type="dxa"/>
            <w:vAlign w:val="bottom"/>
          </w:tcPr>
          <w:p>
            <w:pPr>
              <w:spacing w:after="0"/>
              <w:rPr>
                <w:sz w:val="17"/>
                <w:szCs w:val="17"/>
                <w:color w:val="auto"/>
              </w:rPr>
            </w:pPr>
          </w:p>
        </w:tc>
      </w:tr>
      <w:tr>
        <w:trPr>
          <w:trHeight w:val="196"/>
        </w:trPr>
        <w:tc>
          <w:tcPr>
            <w:tcW w:w="9280" w:type="dxa"/>
            <w:vAlign w:val="bottom"/>
          </w:tcPr>
          <w:p>
            <w:pPr>
              <w:ind w:left="420"/>
              <w:spacing w:after="0"/>
              <w:rPr>
                <w:sz w:val="20"/>
                <w:szCs w:val="20"/>
                <w:color w:val="auto"/>
              </w:rPr>
            </w:pPr>
            <w:r>
              <w:rPr>
                <w:rFonts w:ascii="Arial" w:cs="Arial" w:eastAsia="Arial" w:hAnsi="Arial"/>
                <w:sz w:val="14"/>
                <w:szCs w:val="14"/>
                <w:color w:val="0E32E1"/>
              </w:rPr>
              <w:t>Report of Independent Registered Public Accounting Firm (PCAOB ID: 42)</w:t>
            </w:r>
          </w:p>
        </w:tc>
        <w:tc>
          <w:tcPr>
            <w:tcW w:w="1660" w:type="dxa"/>
            <w:vAlign w:val="bottom"/>
          </w:tcPr>
          <w:p>
            <w:pPr>
              <w:jc w:val="right"/>
              <w:spacing w:after="0"/>
              <w:rPr>
                <w:sz w:val="20"/>
                <w:szCs w:val="20"/>
                <w:color w:val="auto"/>
              </w:rPr>
            </w:pPr>
            <w:r>
              <w:rPr>
                <w:rFonts w:ascii="Arial" w:cs="Arial" w:eastAsia="Arial" w:hAnsi="Arial"/>
                <w:sz w:val="14"/>
                <w:szCs w:val="14"/>
                <w:color w:val="0E32E1"/>
              </w:rPr>
              <w:t>51</w:t>
            </w:r>
          </w:p>
        </w:tc>
      </w:tr>
      <w:tr>
        <w:trPr>
          <w:trHeight w:val="203"/>
        </w:trPr>
        <w:tc>
          <w:tcPr>
            <w:tcW w:w="9280" w:type="dxa"/>
            <w:vAlign w:val="bottom"/>
          </w:tcPr>
          <w:p>
            <w:pPr>
              <w:ind w:left="420"/>
              <w:spacing w:after="0"/>
              <w:rPr>
                <w:sz w:val="20"/>
                <w:szCs w:val="20"/>
                <w:color w:val="auto"/>
              </w:rPr>
            </w:pPr>
            <w:r>
              <w:rPr>
                <w:rFonts w:ascii="Arial" w:cs="Arial" w:eastAsia="Arial" w:hAnsi="Arial"/>
                <w:sz w:val="14"/>
                <w:szCs w:val="14"/>
                <w:color w:val="0E32E1"/>
              </w:rPr>
              <w:t>Consolidated Balance Sheets as of December 31, 2023 and 2022</w:t>
            </w:r>
          </w:p>
        </w:tc>
        <w:tc>
          <w:tcPr>
            <w:tcW w:w="1660" w:type="dxa"/>
            <w:vAlign w:val="bottom"/>
          </w:tcPr>
          <w:p>
            <w:pPr>
              <w:jc w:val="right"/>
              <w:spacing w:after="0"/>
              <w:rPr>
                <w:sz w:val="20"/>
                <w:szCs w:val="20"/>
                <w:color w:val="auto"/>
              </w:rPr>
            </w:pPr>
            <w:r>
              <w:rPr>
                <w:rFonts w:ascii="Arial" w:cs="Arial" w:eastAsia="Arial" w:hAnsi="Arial"/>
                <w:sz w:val="14"/>
                <w:szCs w:val="14"/>
                <w:color w:val="0E32E1"/>
              </w:rPr>
              <w:t>53</w:t>
            </w:r>
          </w:p>
        </w:tc>
      </w:tr>
      <w:tr>
        <w:trPr>
          <w:trHeight w:val="203"/>
        </w:trPr>
        <w:tc>
          <w:tcPr>
            <w:tcW w:w="9280" w:type="dxa"/>
            <w:vAlign w:val="bottom"/>
          </w:tcPr>
          <w:p>
            <w:pPr>
              <w:ind w:left="420"/>
              <w:spacing w:after="0"/>
              <w:rPr>
                <w:sz w:val="20"/>
                <w:szCs w:val="20"/>
                <w:color w:val="auto"/>
              </w:rPr>
            </w:pPr>
            <w:r>
              <w:rPr>
                <w:rFonts w:ascii="Arial" w:cs="Arial" w:eastAsia="Arial" w:hAnsi="Arial"/>
                <w:sz w:val="14"/>
                <w:szCs w:val="14"/>
                <w:color w:val="0E32E1"/>
              </w:rPr>
              <w:t>Consolidated Statements of Operations for the years ended December 31, 2023, 2022 and 2021</w:t>
            </w:r>
          </w:p>
        </w:tc>
        <w:tc>
          <w:tcPr>
            <w:tcW w:w="1660" w:type="dxa"/>
            <w:vAlign w:val="bottom"/>
          </w:tcPr>
          <w:p>
            <w:pPr>
              <w:jc w:val="right"/>
              <w:spacing w:after="0"/>
              <w:rPr>
                <w:sz w:val="20"/>
                <w:szCs w:val="20"/>
                <w:color w:val="auto"/>
              </w:rPr>
            </w:pPr>
            <w:r>
              <w:rPr>
                <w:rFonts w:ascii="Arial" w:cs="Arial" w:eastAsia="Arial" w:hAnsi="Arial"/>
                <w:sz w:val="14"/>
                <w:szCs w:val="14"/>
                <w:color w:val="0E32E1"/>
              </w:rPr>
              <w:t>54</w:t>
            </w:r>
          </w:p>
        </w:tc>
      </w:tr>
      <w:tr>
        <w:trPr>
          <w:trHeight w:val="203"/>
        </w:trPr>
        <w:tc>
          <w:tcPr>
            <w:tcW w:w="9280" w:type="dxa"/>
            <w:vAlign w:val="bottom"/>
          </w:tcPr>
          <w:p>
            <w:pPr>
              <w:ind w:left="420"/>
              <w:spacing w:after="0"/>
              <w:rPr>
                <w:sz w:val="20"/>
                <w:szCs w:val="20"/>
                <w:color w:val="auto"/>
              </w:rPr>
            </w:pPr>
            <w:r>
              <w:rPr>
                <w:rFonts w:ascii="Arial" w:cs="Arial" w:eastAsia="Arial" w:hAnsi="Arial"/>
                <w:sz w:val="14"/>
                <w:szCs w:val="14"/>
                <w:color w:val="0E32E1"/>
              </w:rPr>
              <w:t>Consolidated Statements of Comprehensive Income (loss) for the years ended December 31, 2023, 2022 and 2021</w:t>
            </w:r>
          </w:p>
        </w:tc>
        <w:tc>
          <w:tcPr>
            <w:tcW w:w="1660" w:type="dxa"/>
            <w:vAlign w:val="bottom"/>
          </w:tcPr>
          <w:p>
            <w:pPr>
              <w:jc w:val="right"/>
              <w:spacing w:after="0"/>
              <w:rPr>
                <w:sz w:val="20"/>
                <w:szCs w:val="20"/>
                <w:color w:val="auto"/>
              </w:rPr>
            </w:pPr>
            <w:r>
              <w:rPr>
                <w:rFonts w:ascii="Arial" w:cs="Arial" w:eastAsia="Arial" w:hAnsi="Arial"/>
                <w:sz w:val="14"/>
                <w:szCs w:val="14"/>
                <w:color w:val="0E32E1"/>
              </w:rPr>
              <w:t>55</w:t>
            </w:r>
          </w:p>
        </w:tc>
      </w:tr>
      <w:tr>
        <w:trPr>
          <w:trHeight w:val="203"/>
        </w:trPr>
        <w:tc>
          <w:tcPr>
            <w:tcW w:w="9280" w:type="dxa"/>
            <w:vAlign w:val="bottom"/>
          </w:tcPr>
          <w:p>
            <w:pPr>
              <w:ind w:left="420"/>
              <w:spacing w:after="0"/>
              <w:rPr>
                <w:sz w:val="20"/>
                <w:szCs w:val="20"/>
                <w:color w:val="auto"/>
              </w:rPr>
            </w:pPr>
            <w:r>
              <w:rPr>
                <w:rFonts w:ascii="Arial" w:cs="Arial" w:eastAsia="Arial" w:hAnsi="Arial"/>
                <w:sz w:val="14"/>
                <w:szCs w:val="14"/>
                <w:color w:val="0E32E1"/>
              </w:rPr>
              <w:t>Consolidated Statement of Changes in Equity for the years ended December 31, 2023, 2022 and 2021</w:t>
            </w:r>
          </w:p>
        </w:tc>
        <w:tc>
          <w:tcPr>
            <w:tcW w:w="1660" w:type="dxa"/>
            <w:vAlign w:val="bottom"/>
          </w:tcPr>
          <w:p>
            <w:pPr>
              <w:jc w:val="right"/>
              <w:spacing w:after="0"/>
              <w:rPr>
                <w:sz w:val="20"/>
                <w:szCs w:val="20"/>
                <w:color w:val="auto"/>
              </w:rPr>
            </w:pPr>
            <w:r>
              <w:rPr>
                <w:rFonts w:ascii="Arial" w:cs="Arial" w:eastAsia="Arial" w:hAnsi="Arial"/>
                <w:sz w:val="14"/>
                <w:szCs w:val="14"/>
                <w:color w:val="0E32E1"/>
              </w:rPr>
              <w:t>56</w:t>
            </w:r>
          </w:p>
        </w:tc>
      </w:tr>
      <w:tr>
        <w:trPr>
          <w:trHeight w:val="203"/>
        </w:trPr>
        <w:tc>
          <w:tcPr>
            <w:tcW w:w="9280" w:type="dxa"/>
            <w:vAlign w:val="bottom"/>
          </w:tcPr>
          <w:p>
            <w:pPr>
              <w:ind w:left="420"/>
              <w:spacing w:after="0"/>
              <w:rPr>
                <w:sz w:val="20"/>
                <w:szCs w:val="20"/>
                <w:color w:val="auto"/>
              </w:rPr>
            </w:pPr>
            <w:r>
              <w:rPr>
                <w:rFonts w:ascii="Arial" w:cs="Arial" w:eastAsia="Arial" w:hAnsi="Arial"/>
                <w:sz w:val="14"/>
                <w:szCs w:val="14"/>
                <w:color w:val="0E32E1"/>
              </w:rPr>
              <w:t>Consolidated Statements of Cash Flows for the years ended December 31, 2023, 2022 and 2021</w:t>
            </w:r>
          </w:p>
        </w:tc>
        <w:tc>
          <w:tcPr>
            <w:tcW w:w="1660" w:type="dxa"/>
            <w:vAlign w:val="bottom"/>
          </w:tcPr>
          <w:p>
            <w:pPr>
              <w:jc w:val="right"/>
              <w:spacing w:after="0"/>
              <w:rPr>
                <w:sz w:val="20"/>
                <w:szCs w:val="20"/>
                <w:color w:val="auto"/>
              </w:rPr>
            </w:pPr>
            <w:r>
              <w:rPr>
                <w:rFonts w:ascii="Arial" w:cs="Arial" w:eastAsia="Arial" w:hAnsi="Arial"/>
                <w:sz w:val="14"/>
                <w:szCs w:val="14"/>
                <w:color w:val="0E32E1"/>
              </w:rPr>
              <w:t>57</w:t>
            </w:r>
          </w:p>
        </w:tc>
      </w:tr>
      <w:tr>
        <w:trPr>
          <w:trHeight w:val="203"/>
        </w:trPr>
        <w:tc>
          <w:tcPr>
            <w:tcW w:w="9280" w:type="dxa"/>
            <w:vAlign w:val="bottom"/>
          </w:tcPr>
          <w:p>
            <w:pPr>
              <w:ind w:left="420"/>
              <w:spacing w:after="0"/>
              <w:rPr>
                <w:sz w:val="20"/>
                <w:szCs w:val="20"/>
                <w:color w:val="auto"/>
              </w:rPr>
            </w:pPr>
            <w:r>
              <w:rPr>
                <w:rFonts w:ascii="Arial" w:cs="Arial" w:eastAsia="Arial" w:hAnsi="Arial"/>
                <w:sz w:val="14"/>
                <w:szCs w:val="14"/>
                <w:color w:val="0E32E1"/>
              </w:rPr>
              <w:t>Notes to Consolidated Financial Statements</w:t>
            </w:r>
          </w:p>
        </w:tc>
        <w:tc>
          <w:tcPr>
            <w:tcW w:w="1660" w:type="dxa"/>
            <w:vAlign w:val="bottom"/>
          </w:tcPr>
          <w:p>
            <w:pPr>
              <w:jc w:val="right"/>
              <w:spacing w:after="0"/>
              <w:rPr>
                <w:sz w:val="20"/>
                <w:szCs w:val="20"/>
                <w:color w:val="auto"/>
              </w:rPr>
            </w:pPr>
            <w:r>
              <w:rPr>
                <w:rFonts w:ascii="Arial" w:cs="Arial" w:eastAsia="Arial" w:hAnsi="Arial"/>
                <w:sz w:val="14"/>
                <w:szCs w:val="14"/>
                <w:color w:val="0E32E1"/>
              </w:rPr>
              <w:t>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35" w:right="619" w:bottom="1440" w:gutter="0" w:footer="0" w:header="0"/>
        </w:sectPr>
      </w:pPr>
    </w:p>
    <w:bookmarkStart w:id="50" w:name="page51"/>
    <w:bookmarkEnd w:id="50"/>
    <w:p>
      <w:pPr>
        <w:ind w:right="3380" w:firstLine="3379"/>
        <w:spacing w:after="0" w:line="481"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Shareholders and the Board of Directors of FTAI Aviation Ltd. </w:t>
      </w:r>
      <w:r>
        <w:rPr>
          <w:rFonts w:ascii="Arial" w:cs="Arial" w:eastAsia="Arial" w:hAnsi="Arial"/>
          <w:sz w:val="16"/>
          <w:szCs w:val="16"/>
          <w:b w:val="1"/>
          <w:bCs w:val="1"/>
          <w:color w:val="auto"/>
        </w:rPr>
        <w:t>Opinion on the Financial Statements</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audited the accompanying consolidated balance sheets of FTAI Aviation Ltd. (the Company) as of December 31, 2023 and 2022, the related consolidated statements of operations, comprehensive income (loss), changes in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6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26, 2024 expressed an unqualified opinion thereon.</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PCAOB.</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3"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Recognition of Maintenance Revenue for Aircraft Leases</w:t>
      </w:r>
    </w:p>
    <w:p>
      <w:pPr>
        <w:spacing w:after="0" w:line="397"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6"/>
          <w:szCs w:val="16"/>
          <w:i w:val="1"/>
          <w:iCs w:val="1"/>
          <w:color w:val="auto"/>
        </w:rPr>
        <w:t>Description of the</w:t>
      </w:r>
      <w:r>
        <w:rPr>
          <w:sz w:val="20"/>
          <w:szCs w:val="20"/>
          <w:color w:val="auto"/>
        </w:rPr>
        <w:tab/>
      </w:r>
      <w:r>
        <w:rPr>
          <w:rFonts w:ascii="Arial" w:cs="Arial" w:eastAsia="Arial" w:hAnsi="Arial"/>
          <w:sz w:val="16"/>
          <w:szCs w:val="16"/>
          <w:color w:val="auto"/>
        </w:rPr>
        <w:t>As described in Note 2 to the consolidated financial statements, the Company recognizes maintenance revenue for aircraft leases</w:t>
      </w:r>
    </w:p>
    <w:p>
      <w:pPr>
        <w:spacing w:after="0" w:line="21" w:lineRule="exact"/>
        <w:rPr>
          <w:sz w:val="20"/>
          <w:szCs w:val="20"/>
          <w:color w:val="auto"/>
        </w:rPr>
      </w:pPr>
    </w:p>
    <w:p>
      <w:pPr>
        <w:jc w:val="both"/>
        <w:ind w:left="1600" w:right="20" w:hanging="1579"/>
        <w:spacing w:after="0" w:line="247" w:lineRule="auto"/>
        <w:tabs>
          <w:tab w:leader="none" w:pos="1580" w:val="left"/>
        </w:tabs>
        <w:rPr>
          <w:sz w:val="20"/>
          <w:szCs w:val="20"/>
          <w:color w:val="auto"/>
        </w:rPr>
      </w:pPr>
      <w:r>
        <w:rPr>
          <w:rFonts w:ascii="Arial" w:cs="Arial" w:eastAsia="Arial" w:hAnsi="Arial"/>
          <w:sz w:val="16"/>
          <w:szCs w:val="16"/>
          <w:i w:val="1"/>
          <w:iCs w:val="1"/>
          <w:color w:val="auto"/>
        </w:rPr>
        <w:t>Matter</w:t>
      </w:r>
      <w:r>
        <w:rPr>
          <w:sz w:val="20"/>
          <w:szCs w:val="20"/>
          <w:color w:val="auto"/>
        </w:rPr>
        <w:tab/>
      </w:r>
      <w:r>
        <w:rPr>
          <w:rFonts w:ascii="Arial" w:cs="Arial" w:eastAsia="Arial" w:hAnsi="Arial"/>
          <w:sz w:val="16"/>
          <w:szCs w:val="16"/>
          <w:color w:val="auto"/>
        </w:rPr>
        <w:t>related to the portion of maintenance payments received from lessees that are not expected to be reimbursed for maintenance events. Revenue related to maintenance on leased aircraft is recorded as a component of maintenance revenue, which totaled $191.3 million on the Consolidated Statements of Operations for the year ended December 31, 2023.</w:t>
      </w:r>
    </w:p>
    <w:p>
      <w:pPr>
        <w:spacing w:after="0" w:line="131" w:lineRule="exact"/>
        <w:rPr>
          <w:sz w:val="20"/>
          <w:szCs w:val="20"/>
          <w:color w:val="auto"/>
        </w:rPr>
      </w:pPr>
    </w:p>
    <w:p>
      <w:pPr>
        <w:jc w:val="both"/>
        <w:ind w:left="1600" w:right="20"/>
        <w:spacing w:after="0" w:line="248" w:lineRule="auto"/>
        <w:rPr>
          <w:sz w:val="20"/>
          <w:szCs w:val="20"/>
          <w:color w:val="auto"/>
        </w:rPr>
      </w:pPr>
      <w:r>
        <w:rPr>
          <w:rFonts w:ascii="Arial" w:cs="Arial" w:eastAsia="Arial" w:hAnsi="Arial"/>
          <w:sz w:val="16"/>
          <w:szCs w:val="16"/>
          <w:color w:val="auto"/>
        </w:rPr>
        <w:t>Auditing maintenance revenue related to aircraft leases was complex and highly judgmental due to the significant estimation involved in projecting the timing of future major maintenance events. In particular, the estimate is sensitive to the mean time between removal (MTBR) assumption, which is affected by historical usage patterns and overall industry, market and economic conditions. Significant changes to this assumption could have a material effect on the amount of maintenance revenue recognized in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1" w:name="page52"/>
    <w:bookmarkEnd w:id="51"/>
    <w:p>
      <w:pPr>
        <w:spacing w:after="0" w:line="2" w:lineRule="exact"/>
        <w:rPr>
          <w:sz w:val="20"/>
          <w:szCs w:val="20"/>
          <w:color w:val="auto"/>
        </w:rPr>
      </w:pPr>
    </w:p>
    <w:p>
      <w:pPr>
        <w:ind w:left="20"/>
        <w:spacing w:after="0" w:line="253" w:lineRule="auto"/>
        <w:rPr>
          <w:sz w:val="20"/>
          <w:szCs w:val="20"/>
          <w:color w:val="auto"/>
        </w:rPr>
      </w:pPr>
      <w:r>
        <w:rPr>
          <w:rFonts w:ascii="Arial" w:cs="Arial" w:eastAsia="Arial" w:hAnsi="Arial"/>
          <w:sz w:val="16"/>
          <w:szCs w:val="16"/>
          <w:i w:val="1"/>
          <w:iCs w:val="1"/>
          <w:color w:val="auto"/>
        </w:rPr>
        <w:t>How We Addressed the Matter in Our</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maintenance revenue recognition process, including controls over management’s review of the estimated timing of major maintenance</w:t>
      </w:r>
    </w:p>
    <w:p>
      <w:pPr>
        <w:spacing w:after="0" w:line="1" w:lineRule="exact"/>
        <w:rPr>
          <w:sz w:val="20"/>
          <w:szCs w:val="20"/>
          <w:color w:val="auto"/>
        </w:rPr>
      </w:pPr>
    </w:p>
    <w:p>
      <w:pPr>
        <w:sectPr>
          <w:pgSz w:w="11900" w:h="16838" w:orient="portrait"/>
          <w:cols w:equalWidth="0" w:num="2">
            <w:col w:w="1460" w:space="140"/>
            <w:col w:w="9620"/>
          </w:cols>
          <w:pgMar w:left="320" w:top="1030" w:right="359" w:bottom="1440" w:gutter="0" w:footer="0" w:header="0"/>
        </w:sectPr>
      </w:pPr>
    </w:p>
    <w:p>
      <w:pPr>
        <w:ind w:left="20"/>
        <w:spacing w:after="0"/>
        <w:rPr>
          <w:sz w:val="20"/>
          <w:szCs w:val="20"/>
          <w:color w:val="auto"/>
        </w:rPr>
      </w:pPr>
      <w:r>
        <w:rPr>
          <w:rFonts w:ascii="Arial" w:cs="Arial" w:eastAsia="Arial" w:hAnsi="Arial"/>
          <w:sz w:val="16"/>
          <w:szCs w:val="16"/>
          <w:i w:val="1"/>
          <w:iCs w:val="1"/>
          <w:color w:val="auto"/>
        </w:rPr>
        <w:t>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events as described above.</w:t>
      </w:r>
    </w:p>
    <w:p>
      <w:pPr>
        <w:spacing w:after="0" w:line="141" w:lineRule="exact"/>
        <w:rPr>
          <w:sz w:val="20"/>
          <w:szCs w:val="20"/>
          <w:color w:val="auto"/>
        </w:rPr>
      </w:pPr>
    </w:p>
    <w:p>
      <w:pPr>
        <w:sectPr>
          <w:pgSz w:w="11900" w:h="16838" w:orient="portrait"/>
          <w:cols w:equalWidth="0" w:num="2">
            <w:col w:w="880" w:space="720"/>
            <w:col w:w="9620"/>
          </w:cols>
          <w:pgMar w:left="320" w:top="1030" w:right="359" w:bottom="1440" w:gutter="0" w:footer="0" w:header="0"/>
          <w:type w:val="continuous"/>
        </w:sectPr>
      </w:pPr>
    </w:p>
    <w:p>
      <w:pPr>
        <w:ind w:left="1600"/>
        <w:spacing w:after="0"/>
        <w:rPr>
          <w:sz w:val="20"/>
          <w:szCs w:val="20"/>
          <w:color w:val="auto"/>
        </w:rPr>
      </w:pPr>
      <w:r>
        <w:rPr>
          <w:rFonts w:ascii="Arial" w:cs="Arial" w:eastAsia="Arial" w:hAnsi="Arial"/>
          <w:sz w:val="16"/>
          <w:szCs w:val="16"/>
          <w:color w:val="auto"/>
        </w:rPr>
        <w:t>To test maintenance revenue for aircraft leases, we performed audit procedures that included, among others, assessing the</w:t>
      </w:r>
    </w:p>
    <w:p>
      <w:pPr>
        <w:spacing w:after="0" w:line="21" w:lineRule="exact"/>
        <w:rPr>
          <w:sz w:val="20"/>
          <w:szCs w:val="20"/>
          <w:color w:val="auto"/>
        </w:rPr>
      </w:pPr>
    </w:p>
    <w:p>
      <w:pPr>
        <w:ind w:left="1600"/>
        <w:spacing w:after="0" w:line="237" w:lineRule="auto"/>
        <w:rPr>
          <w:sz w:val="20"/>
          <w:szCs w:val="20"/>
          <w:color w:val="auto"/>
        </w:rPr>
      </w:pPr>
      <w:r>
        <w:rPr>
          <w:rFonts w:ascii="Arial" w:cs="Arial" w:eastAsia="Arial" w:hAnsi="Arial"/>
          <w:sz w:val="16"/>
          <w:szCs w:val="16"/>
          <w:color w:val="auto"/>
        </w:rPr>
        <w:t>Company’s revenue recognition methodology and testing the MTBR assumption described above. For example, we compared the MTBR assumption to third-party estimates and assessed management’s retrospective review of timing of estimated maintenance</w:t>
      </w:r>
    </w:p>
    <w:p>
      <w:pPr>
        <w:spacing w:after="0" w:line="1" w:lineRule="exact"/>
        <w:rPr>
          <w:sz w:val="20"/>
          <w:szCs w:val="20"/>
          <w:color w:val="auto"/>
        </w:rPr>
      </w:pPr>
    </w:p>
    <w:p>
      <w:pPr>
        <w:ind w:left="1600"/>
        <w:spacing w:after="0" w:line="237" w:lineRule="auto"/>
        <w:rPr>
          <w:sz w:val="20"/>
          <w:szCs w:val="20"/>
          <w:color w:val="auto"/>
        </w:rPr>
      </w:pPr>
      <w:r>
        <w:rPr>
          <w:rFonts w:ascii="Arial" w:cs="Arial" w:eastAsia="Arial" w:hAnsi="Arial"/>
          <w:sz w:val="16"/>
          <w:szCs w:val="16"/>
          <w:color w:val="auto"/>
        </w:rPr>
        <w:t>events to actual results to assess the historical accuracy of the MTBR assumption and contrary evidence, if any. We performed testing on the impact, if any, on maintenance revenue recognized in the period due to changes in timing of maintenance events. We also</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involved our valuation specialists to assist in our evaluation of the appropriateness of the MTBR assumption.</w:t>
      </w:r>
    </w:p>
    <w:p>
      <w:pPr>
        <w:sectPr>
          <w:pgSz w:w="11900" w:h="16838" w:orient="portrait"/>
          <w:cols w:equalWidth="0" w:num="1">
            <w:col w:w="11220"/>
          </w:cols>
          <w:pgMar w:left="320" w:top="10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2016.</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2024</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0" w:right="35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 except share and per share data)</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40" w:type="dxa"/>
            <w:vAlign w:val="bottom"/>
          </w:tcPr>
          <w:p>
            <w:pPr>
              <w:spacing w:after="0"/>
              <w:rPr>
                <w:sz w:val="17"/>
                <w:szCs w:val="17"/>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Notes</w:t>
            </w:r>
          </w:p>
        </w:tc>
        <w:tc>
          <w:tcPr>
            <w:tcW w:w="380" w:type="dxa"/>
            <w:vAlign w:val="bottom"/>
          </w:tcPr>
          <w:p>
            <w:pPr>
              <w:spacing w:after="0"/>
              <w:rPr>
                <w:sz w:val="17"/>
                <w:szCs w:val="17"/>
                <w:color w:val="auto"/>
              </w:rPr>
            </w:pPr>
          </w:p>
        </w:tc>
        <w:tc>
          <w:tcPr>
            <w:tcW w:w="1280" w:type="dxa"/>
            <w:vAlign w:val="bottom"/>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4"/>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9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72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90,756</w:t>
            </w:r>
          </w:p>
        </w:tc>
        <w:tc>
          <w:tcPr>
            <w:tcW w:w="120" w:type="dxa"/>
            <w:vAlign w:val="bottom"/>
          </w:tcPr>
          <w:p>
            <w:pPr>
              <w:spacing w:after="0"/>
              <w:rPr>
                <w:sz w:val="17"/>
                <w:szCs w:val="17"/>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33,565</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150</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19,500</w:t>
            </w:r>
          </w:p>
        </w:tc>
        <w:tc>
          <w:tcPr>
            <w:tcW w:w="0" w:type="dxa"/>
            <w:vAlign w:val="bottom"/>
          </w:tcPr>
          <w:p>
            <w:pPr>
              <w:spacing w:after="0"/>
              <w:rPr>
                <w:sz w:val="1"/>
                <w:szCs w:val="1"/>
                <w:color w:val="auto"/>
              </w:rPr>
            </w:pPr>
          </w:p>
        </w:tc>
      </w:tr>
      <w:tr>
        <w:trPr>
          <w:trHeight w:val="201"/>
        </w:trPr>
        <w:tc>
          <w:tcPr>
            <w:tcW w:w="694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115,156</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99,443</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 net</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2,032,413</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1,913,553</w:t>
            </w:r>
          </w:p>
        </w:tc>
        <w:tc>
          <w:tcPr>
            <w:tcW w:w="0" w:type="dxa"/>
            <w:vAlign w:val="bottom"/>
          </w:tcPr>
          <w:p>
            <w:pPr>
              <w:spacing w:after="0"/>
              <w:rPr>
                <w:sz w:val="1"/>
                <w:szCs w:val="1"/>
                <w:color w:val="auto"/>
              </w:rPr>
            </w:pPr>
          </w:p>
        </w:tc>
      </w:tr>
      <w:tr>
        <w:trPr>
          <w:trHeight w:val="201"/>
        </w:trPr>
        <w:tc>
          <w:tcPr>
            <w:tcW w:w="694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45,175</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10,014</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22,722</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22,037</w:t>
            </w:r>
          </w:p>
        </w:tc>
        <w:tc>
          <w:tcPr>
            <w:tcW w:w="0" w:type="dxa"/>
            <w:vAlign w:val="bottom"/>
          </w:tcPr>
          <w:p>
            <w:pPr>
              <w:spacing w:after="0"/>
              <w:rPr>
                <w:sz w:val="1"/>
                <w:szCs w:val="1"/>
                <w:color w:val="auto"/>
              </w:rPr>
            </w:pPr>
          </w:p>
        </w:tc>
      </w:tr>
      <w:tr>
        <w:trPr>
          <w:trHeight w:val="201"/>
        </w:trPr>
        <w:tc>
          <w:tcPr>
            <w:tcW w:w="69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720" w:type="dxa"/>
            <w:vAlign w:val="bottom"/>
          </w:tcPr>
          <w:p>
            <w:pPr>
              <w:jc w:val="center"/>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50,590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41,955</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4,630</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6940" w:type="dxa"/>
            <w:vAlign w:val="bottom"/>
          </w:tcPr>
          <w:p>
            <w:pPr>
              <w:ind w:left="20"/>
              <w:spacing w:after="0"/>
              <w:rPr>
                <w:sz w:val="20"/>
                <w:szCs w:val="20"/>
                <w:color w:val="auto"/>
              </w:rPr>
            </w:pPr>
            <w:r>
              <w:rPr>
                <w:rFonts w:ascii="Arial" w:cs="Arial" w:eastAsia="Arial" w:hAnsi="Arial"/>
                <w:sz w:val="14"/>
                <w:szCs w:val="14"/>
                <w:color w:val="auto"/>
              </w:rPr>
              <w:t>Inventory, net</w:t>
            </w:r>
          </w:p>
        </w:tc>
        <w:tc>
          <w:tcPr>
            <w:tcW w:w="72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316,637</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163,676</w:t>
            </w: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286,456</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125,834</w:t>
            </w:r>
          </w:p>
        </w:tc>
        <w:tc>
          <w:tcPr>
            <w:tcW w:w="0" w:type="dxa"/>
            <w:vAlign w:val="bottom"/>
          </w:tcPr>
          <w:p>
            <w:pPr>
              <w:spacing w:after="0"/>
              <w:rPr>
                <w:sz w:val="1"/>
                <w:szCs w:val="1"/>
                <w:color w:val="auto"/>
              </w:rPr>
            </w:pPr>
          </w:p>
        </w:tc>
      </w:tr>
      <w:tr>
        <w:trPr>
          <w:trHeight w:val="197"/>
        </w:trPr>
        <w:tc>
          <w:tcPr>
            <w:tcW w:w="694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2,964,685</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2,429,577</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112,907</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86,452</w:t>
            </w:r>
          </w:p>
        </w:tc>
        <w:tc>
          <w:tcPr>
            <w:tcW w:w="0" w:type="dxa"/>
            <w:vAlign w:val="bottom"/>
          </w:tcPr>
          <w:p>
            <w:pPr>
              <w:spacing w:after="0"/>
              <w:rPr>
                <w:sz w:val="1"/>
                <w:szCs w:val="1"/>
                <w:color w:val="auto"/>
              </w:rPr>
            </w:pPr>
          </w:p>
        </w:tc>
      </w:tr>
      <w:tr>
        <w:trPr>
          <w:trHeight w:val="201"/>
        </w:trPr>
        <w:tc>
          <w:tcPr>
            <w:tcW w:w="6940" w:type="dxa"/>
            <w:vAlign w:val="bottom"/>
          </w:tcPr>
          <w:p>
            <w:pPr>
              <w:ind w:left="20"/>
              <w:spacing w:after="0"/>
              <w:rPr>
                <w:sz w:val="20"/>
                <w:szCs w:val="20"/>
                <w:color w:val="auto"/>
              </w:rPr>
            </w:pPr>
            <w:r>
              <w:rPr>
                <w:rFonts w:ascii="Arial" w:cs="Arial" w:eastAsia="Arial" w:hAnsi="Arial"/>
                <w:sz w:val="14"/>
                <w:szCs w:val="14"/>
                <w:color w:val="auto"/>
              </w:rPr>
              <w:t>Debt, net</w:t>
            </w:r>
          </w:p>
        </w:tc>
        <w:tc>
          <w:tcPr>
            <w:tcW w:w="72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2,517,343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2,175,727</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deposits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65,387</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78,686</w:t>
            </w:r>
          </w:p>
        </w:tc>
        <w:tc>
          <w:tcPr>
            <w:tcW w:w="0" w:type="dxa"/>
            <w:vAlign w:val="bottom"/>
          </w:tcPr>
          <w:p>
            <w:pPr>
              <w:spacing w:after="0"/>
              <w:rPr>
                <w:sz w:val="1"/>
                <w:szCs w:val="1"/>
                <w:color w:val="auto"/>
              </w:rPr>
            </w:pPr>
          </w:p>
        </w:tc>
      </w:tr>
      <w:tr>
        <w:trPr>
          <w:trHeight w:val="201"/>
        </w:trPr>
        <w:tc>
          <w:tcPr>
            <w:tcW w:w="6940" w:type="dxa"/>
            <w:vAlign w:val="bottom"/>
          </w:tcPr>
          <w:p>
            <w:pPr>
              <w:ind w:left="20"/>
              <w:spacing w:after="0"/>
              <w:rPr>
                <w:sz w:val="20"/>
                <w:szCs w:val="20"/>
                <w:color w:val="auto"/>
              </w:rPr>
            </w:pPr>
            <w:r>
              <w:rPr>
                <w:rFonts w:ascii="Arial" w:cs="Arial" w:eastAsia="Arial" w:hAnsi="Arial"/>
                <w:sz w:val="14"/>
                <w:szCs w:val="14"/>
                <w:color w:val="auto"/>
              </w:rPr>
              <w:t>Security deposits</w:t>
            </w:r>
          </w:p>
        </w:tc>
        <w:tc>
          <w:tcPr>
            <w:tcW w:w="72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b w:val="1"/>
                <w:bCs w:val="1"/>
                <w:color w:val="auto"/>
              </w:rPr>
              <w:t>41,065</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32,842</w:t>
            </w:r>
          </w:p>
        </w:tc>
        <w:tc>
          <w:tcPr>
            <w:tcW w:w="0" w:type="dxa"/>
            <w:vAlign w:val="bottom"/>
          </w:tcPr>
          <w:p>
            <w:pPr>
              <w:spacing w:after="0"/>
              <w:rPr>
                <w:sz w:val="1"/>
                <w:szCs w:val="1"/>
                <w:color w:val="auto"/>
              </w:rPr>
            </w:pPr>
          </w:p>
        </w:tc>
      </w:tr>
      <w:tr>
        <w:trPr>
          <w:trHeight w:val="204"/>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52,100</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36,468</w:t>
            </w:r>
          </w:p>
        </w:tc>
        <w:tc>
          <w:tcPr>
            <w:tcW w:w="0" w:type="dxa"/>
            <w:vAlign w:val="bottom"/>
          </w:tcPr>
          <w:p>
            <w:pPr>
              <w:spacing w:after="0"/>
              <w:rPr>
                <w:sz w:val="1"/>
                <w:szCs w:val="1"/>
                <w:color w:val="auto"/>
              </w:rPr>
            </w:pPr>
          </w:p>
        </w:tc>
      </w:tr>
      <w:tr>
        <w:trPr>
          <w:trHeight w:val="195"/>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liabilities</w:t>
            </w:r>
          </w:p>
        </w:tc>
        <w:tc>
          <w:tcPr>
            <w:tcW w:w="7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2,788,802</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2,410,175</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94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720" w:type="dxa"/>
            <w:vAlign w:val="bottom"/>
          </w:tcPr>
          <w:p>
            <w:pPr>
              <w:jc w:val="center"/>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694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Ordinary shares ($0.01 par value per share; 2,000,000,000 shares authorized; 100,245,905 and 99,716,621</w:t>
            </w: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1,002</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185"/>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and outstanding as of December 31, 2023 and 2022, respectively)</w:t>
            </w: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940" w:type="dxa"/>
            <w:vAlign w:val="bottom"/>
          </w:tcPr>
          <w:p>
            <w:pPr>
              <w:ind w:left="20"/>
              <w:spacing w:after="0" w:line="153" w:lineRule="exact"/>
              <w:rPr>
                <w:sz w:val="20"/>
                <w:szCs w:val="20"/>
                <w:color w:val="auto"/>
              </w:rPr>
            </w:pPr>
            <w:r>
              <w:rPr>
                <w:rFonts w:ascii="Arial" w:cs="Arial" w:eastAsia="Arial" w:hAnsi="Arial"/>
                <w:sz w:val="14"/>
                <w:szCs w:val="14"/>
                <w:color w:val="auto"/>
              </w:rPr>
              <w:t>Preferred shares ($0.01 par value per share; 200,000,000 shares authorized; 15,920,000 and 13,320,000</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159</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85"/>
        </w:trPr>
        <w:tc>
          <w:tcPr>
            <w:tcW w:w="6940" w:type="dxa"/>
            <w:vAlign w:val="bottom"/>
          </w:tcPr>
          <w:p>
            <w:pPr>
              <w:ind w:left="20"/>
              <w:spacing w:after="0"/>
              <w:rPr>
                <w:sz w:val="20"/>
                <w:szCs w:val="20"/>
                <w:color w:val="auto"/>
              </w:rPr>
            </w:pPr>
            <w:r>
              <w:rPr>
                <w:rFonts w:ascii="Arial" w:cs="Arial" w:eastAsia="Arial" w:hAnsi="Arial"/>
                <w:sz w:val="14"/>
                <w:szCs w:val="14"/>
                <w:color w:val="auto"/>
              </w:rPr>
              <w:t>shares issued and outstanding as of December 31, 2023 and 2022, respectively)</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 in capital</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255,973</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343,350</w:t>
            </w:r>
          </w:p>
        </w:tc>
        <w:tc>
          <w:tcPr>
            <w:tcW w:w="0" w:type="dxa"/>
            <w:vAlign w:val="bottom"/>
          </w:tcPr>
          <w:p>
            <w:pPr>
              <w:spacing w:after="0"/>
              <w:rPr>
                <w:sz w:val="1"/>
                <w:szCs w:val="1"/>
                <w:color w:val="auto"/>
              </w:rPr>
            </w:pPr>
          </w:p>
        </w:tc>
      </w:tr>
      <w:tr>
        <w:trPr>
          <w:trHeight w:val="201"/>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(81,785)</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(325,602)</w:t>
            </w:r>
          </w:p>
        </w:tc>
        <w:tc>
          <w:tcPr>
            <w:tcW w:w="0" w:type="dxa"/>
            <w:vAlign w:val="bottom"/>
          </w:tcPr>
          <w:p>
            <w:pPr>
              <w:spacing w:after="0"/>
              <w:rPr>
                <w:sz w:val="1"/>
                <w:szCs w:val="1"/>
                <w:color w:val="auto"/>
              </w:rPr>
            </w:pPr>
          </w:p>
        </w:tc>
      </w:tr>
      <w:tr>
        <w:trPr>
          <w:trHeight w:val="197"/>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175,349</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18,878</w:t>
            </w:r>
          </w:p>
        </w:tc>
        <w:tc>
          <w:tcPr>
            <w:tcW w:w="0" w:type="dxa"/>
            <w:vAlign w:val="bottom"/>
          </w:tcPr>
          <w:p>
            <w:pPr>
              <w:spacing w:after="0"/>
              <w:rPr>
                <w:sz w:val="1"/>
                <w:szCs w:val="1"/>
                <w:color w:val="auto"/>
              </w:rPr>
            </w:pPr>
          </w:p>
        </w:tc>
      </w:tr>
      <w:tr>
        <w:trPr>
          <w:trHeight w:val="202"/>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 in equity of consolidated subsidiaries</w:t>
            </w:r>
          </w:p>
        </w:tc>
        <w:tc>
          <w:tcPr>
            <w:tcW w:w="7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534</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equity</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175,883</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19,402</w:t>
            </w:r>
          </w:p>
        </w:tc>
        <w:tc>
          <w:tcPr>
            <w:tcW w:w="0" w:type="dxa"/>
            <w:vAlign w:val="bottom"/>
          </w:tcPr>
          <w:p>
            <w:pPr>
              <w:spacing w:after="0"/>
              <w:rPr>
                <w:sz w:val="1"/>
                <w:szCs w:val="1"/>
                <w:color w:val="auto"/>
              </w:rPr>
            </w:pPr>
          </w:p>
        </w:tc>
      </w:tr>
      <w:tr>
        <w:trPr>
          <w:trHeight w:val="197"/>
        </w:trPr>
        <w:tc>
          <w:tcPr>
            <w:tcW w:w="6940" w:type="dxa"/>
            <w:vAlign w:val="bottom"/>
          </w:tcPr>
          <w:p>
            <w:pPr>
              <w:ind w:left="20"/>
              <w:spacing w:after="0"/>
              <w:rPr>
                <w:sz w:val="20"/>
                <w:szCs w:val="20"/>
                <w:color w:val="auto"/>
              </w:rPr>
            </w:pPr>
            <w:r>
              <w:rPr>
                <w:rFonts w:ascii="Arial" w:cs="Arial" w:eastAsia="Arial" w:hAnsi="Arial"/>
                <w:sz w:val="14"/>
                <w:szCs w:val="14"/>
                <w:color w:val="auto"/>
              </w:rPr>
              <w:t>Total liabilities and equity</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2,964,685</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2,429,577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 except share and per share data)</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5620" w:type="dxa"/>
            <w:vAlign w:val="bottom"/>
          </w:tcPr>
          <w:p>
            <w:pPr>
              <w:spacing w:after="0"/>
              <w:rPr>
                <w:sz w:val="17"/>
                <w:szCs w:val="17"/>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Notes</w:t>
            </w:r>
          </w:p>
        </w:tc>
        <w:tc>
          <w:tcPr>
            <w:tcW w:w="1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184"/>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r>
      <w:tr>
        <w:trPr>
          <w:trHeight w:val="201"/>
        </w:trPr>
        <w:tc>
          <w:tcPr>
            <w:tcW w:w="562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207,936</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179,314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173,864</w:t>
            </w:r>
          </w:p>
        </w:tc>
      </w:tr>
      <w:tr>
        <w:trPr>
          <w:trHeight w:val="204"/>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191,347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148,846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128,819</w:t>
            </w:r>
          </w:p>
        </w:tc>
      </w:tr>
      <w:tr>
        <w:trPr>
          <w:trHeight w:val="201"/>
        </w:trPr>
        <w:tc>
          <w:tcPr>
            <w:tcW w:w="5620" w:type="dxa"/>
            <w:vAlign w:val="bottom"/>
          </w:tcPr>
          <w:p>
            <w:pPr>
              <w:ind w:left="20"/>
              <w:spacing w:after="0"/>
              <w:rPr>
                <w:sz w:val="20"/>
                <w:szCs w:val="20"/>
                <w:color w:val="auto"/>
              </w:rPr>
            </w:pPr>
            <w:r>
              <w:rPr>
                <w:rFonts w:ascii="Arial" w:cs="Arial" w:eastAsia="Arial" w:hAnsi="Arial"/>
                <w:sz w:val="14"/>
                <w:szCs w:val="14"/>
                <w:color w:val="auto"/>
              </w:rPr>
              <w:t>Asset sales revenue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303,141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183,535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Aerospace products revenue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454,970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178,515</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23,301</w:t>
            </w:r>
          </w:p>
        </w:tc>
      </w:tr>
      <w:tr>
        <w:trPr>
          <w:trHeight w:val="201"/>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6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13,502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18,201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9,599</w:t>
            </w:r>
          </w:p>
        </w:tc>
      </w:tr>
      <w:tr>
        <w:trPr>
          <w:trHeight w:val="197"/>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1,170,896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708,411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335,583</w:t>
            </w:r>
          </w:p>
        </w:tc>
      </w:tr>
      <w:tr>
        <w:trPr>
          <w:trHeight w:val="229"/>
        </w:trPr>
        <w:tc>
          <w:tcPr>
            <w:tcW w:w="5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2"/>
        </w:trPr>
        <w:tc>
          <w:tcPr>
            <w:tcW w:w="56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502,132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248,385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14,308</w:t>
            </w: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110,163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132,264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59,615</w:t>
            </w:r>
          </w:p>
        </w:tc>
      </w:tr>
      <w:tr>
        <w:trPr>
          <w:trHeight w:val="202"/>
        </w:trPr>
        <w:tc>
          <w:tcPr>
            <w:tcW w:w="56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13,700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14,164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13,448</w:t>
            </w: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15,194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13,207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17,911</w:t>
            </w:r>
          </w:p>
        </w:tc>
      </w:tr>
      <w:tr>
        <w:trPr>
          <w:trHeight w:val="202"/>
        </w:trPr>
        <w:tc>
          <w:tcPr>
            <w:tcW w:w="562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660" w:type="dxa"/>
            <w:vAlign w:val="bottom"/>
          </w:tcPr>
          <w:p>
            <w:pPr>
              <w:jc w:val="center"/>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18,037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3,562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684</w:t>
            </w: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5, 7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169,877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152,917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147,740</w:t>
            </w:r>
          </w:p>
        </w:tc>
      </w:tr>
      <w:tr>
        <w:trPr>
          <w:trHeight w:val="202"/>
        </w:trPr>
        <w:tc>
          <w:tcPr>
            <w:tcW w:w="56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2,121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137,219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10,463</w:t>
            </w: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161,639</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169,194</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155,017</w:t>
            </w:r>
          </w:p>
        </w:tc>
      </w:tr>
      <w:tr>
        <w:trPr>
          <w:trHeight w:val="195"/>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992,863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870,912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419,186</w:t>
            </w:r>
          </w:p>
        </w:tc>
      </w:tr>
      <w:tr>
        <w:trPr>
          <w:trHeight w:val="211"/>
        </w:trPr>
        <w:tc>
          <w:tcPr>
            <w:tcW w:w="5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2"/>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r>
      <w:tr>
        <w:trPr>
          <w:trHeight w:val="202"/>
        </w:trPr>
        <w:tc>
          <w:tcPr>
            <w:tcW w:w="562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77,211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49,015</w:t>
            </w: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r>
      <w:tr>
        <w:trPr>
          <w:trHeight w:val="201"/>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w:t>
            </w:r>
          </w:p>
        </w:tc>
        <w:tc>
          <w:tcPr>
            <w:tcW w:w="6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7,590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207</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r>
      <w:tr>
        <w:trPr>
          <w:trHeight w:val="197"/>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5,984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57,190</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43,868</w:t>
            </w:r>
          </w:p>
        </w:tc>
      </w:tr>
      <w:tr>
        <w:trPr>
          <w:trHeight w:val="195"/>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Income (loss) from continuing operations before income taxes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184,017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(105,311)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(39,735)</w:t>
            </w: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(59,800)</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5,300</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3,126</w:t>
            </w:r>
          </w:p>
        </w:tc>
      </w:tr>
      <w:tr>
        <w:trPr>
          <w:trHeight w:val="195"/>
        </w:trPr>
        <w:tc>
          <w:tcPr>
            <w:tcW w:w="5620" w:type="dxa"/>
            <w:vAlign w:val="bottom"/>
          </w:tcPr>
          <w:p>
            <w:pPr>
              <w:ind w:left="140"/>
              <w:spacing w:after="0"/>
              <w:rPr>
                <w:sz w:val="20"/>
                <w:szCs w:val="20"/>
                <w:color w:val="auto"/>
              </w:rPr>
            </w:pPr>
            <w:r>
              <w:rPr>
                <w:rFonts w:ascii="Arial" w:cs="Arial" w:eastAsia="Arial" w:hAnsi="Arial"/>
                <w:sz w:val="14"/>
                <w:szCs w:val="14"/>
                <w:color w:val="auto"/>
              </w:rPr>
              <w:t>Net income (loss) from continuing operations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243,817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(110,611)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(42,861)</w:t>
            </w:r>
          </w:p>
        </w:tc>
      </w:tr>
      <w:tr>
        <w:trPr>
          <w:trHeight w:val="203"/>
        </w:trPr>
        <w:tc>
          <w:tcPr>
            <w:tcW w:w="5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 from discontinued operations, net of income taxes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(101,416)</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(87,845)</w:t>
            </w:r>
          </w:p>
        </w:tc>
      </w:tr>
      <w:tr>
        <w:trPr>
          <w:trHeight w:val="195"/>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6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243,817</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(212,027)</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(130,706)</w:t>
            </w:r>
          </w:p>
        </w:tc>
      </w:tr>
      <w:tr>
        <w:trPr>
          <w:trHeight w:val="184"/>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interests in consolidated subsidiaries:</w:t>
            </w: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01"/>
        </w:trPr>
        <w:tc>
          <w:tcPr>
            <w:tcW w:w="562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(26,472)</w:t>
            </w:r>
          </w:p>
        </w:tc>
      </w:tr>
      <w:tr>
        <w:trPr>
          <w:trHeight w:val="202"/>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on preferred shares</w:t>
            </w:r>
          </w:p>
        </w:tc>
        <w:tc>
          <w:tcPr>
            <w:tcW w:w="6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31,795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27,164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24,758</w:t>
            </w:r>
          </w:p>
        </w:tc>
      </w:tr>
      <w:tr>
        <w:trPr>
          <w:trHeight w:val="217"/>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212,022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(220,374)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(128,992)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(loss) per share: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1"/>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Basic</w:t>
            </w:r>
          </w:p>
        </w:tc>
        <w:tc>
          <w:tcPr>
            <w:tcW w:w="660" w:type="dxa"/>
            <w:vAlign w:val="bottom"/>
          </w:tcPr>
          <w:p>
            <w:pPr>
              <w:jc w:val="center"/>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4"/>
        </w:trPr>
        <w:tc>
          <w:tcPr>
            <w:tcW w:w="5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(0.75)</w:t>
            </w:r>
          </w:p>
        </w:tc>
      </w:tr>
      <w:tr>
        <w:trPr>
          <w:trHeight w:val="201"/>
        </w:trPr>
        <w:tc>
          <w:tcPr>
            <w:tcW w:w="562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(0.83)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(0.68)</w:t>
            </w:r>
          </w:p>
        </w:tc>
      </w:tr>
      <w:tr>
        <w:trPr>
          <w:trHeight w:val="204"/>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w:t>
            </w: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1"/>
        </w:trPr>
        <w:tc>
          <w:tcPr>
            <w:tcW w:w="562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2.11</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(0.75)</w:t>
            </w:r>
          </w:p>
        </w:tc>
      </w:tr>
      <w:tr>
        <w:trPr>
          <w:trHeight w:val="204"/>
        </w:trPr>
        <w:tc>
          <w:tcPr>
            <w:tcW w:w="5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(0.68)</w:t>
            </w:r>
          </w:p>
        </w:tc>
      </w:tr>
      <w:tr>
        <w:trPr>
          <w:trHeight w:val="201"/>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Weighted average shares outstanding:</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4"/>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99,908,214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99,421,008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89,922,088</w:t>
            </w:r>
          </w:p>
        </w:tc>
      </w:tr>
      <w:tr>
        <w:trPr>
          <w:trHeight w:val="200"/>
        </w:trPr>
        <w:tc>
          <w:tcPr>
            <w:tcW w:w="5620" w:type="dxa"/>
            <w:vAlign w:val="bottom"/>
          </w:tcPr>
          <w:p>
            <w:pPr>
              <w:ind w:left="20"/>
              <w:spacing w:after="0"/>
              <w:rPr>
                <w:sz w:val="20"/>
                <w:szCs w:val="20"/>
                <w:color w:val="auto"/>
              </w:rPr>
            </w:pPr>
            <w:r>
              <w:rPr>
                <w:rFonts w:ascii="Arial" w:cs="Arial" w:eastAsia="Arial" w:hAnsi="Arial"/>
                <w:sz w:val="14"/>
                <w:szCs w:val="14"/>
                <w:color w:val="auto"/>
              </w:rPr>
              <w:t>Diluted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100,425,777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99,421,008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89,922,088</w:t>
            </w:r>
          </w:p>
        </w:tc>
      </w:tr>
    </w:tbl>
    <w:p>
      <w:pPr>
        <w:spacing w:after="0" w:line="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6"/>
        </w:trPr>
        <w:tc>
          <w:tcPr>
            <w:tcW w:w="62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19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243,817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(212,027)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(130,706)</w:t>
            </w:r>
          </w:p>
        </w:tc>
      </w:tr>
      <w:tr>
        <w:trPr>
          <w:trHeight w:val="198"/>
        </w:trPr>
        <w:tc>
          <w:tcPr>
            <w:tcW w:w="626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6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Other comprehensive loss related to equity method investees, net </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in discontinued operations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(182,963)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(129,820)</w:t>
            </w:r>
          </w:p>
        </w:tc>
      </w:tr>
      <w:tr>
        <w:trPr>
          <w:trHeight w:val="201"/>
        </w:trPr>
        <w:tc>
          <w:tcPr>
            <w:tcW w:w="6260" w:type="dxa"/>
            <w:vAlign w:val="bottom"/>
          </w:tcPr>
          <w:p>
            <w:pPr>
              <w:ind w:left="140"/>
              <w:spacing w:after="0"/>
              <w:rPr>
                <w:sz w:val="20"/>
                <w:szCs w:val="20"/>
                <w:color w:val="auto"/>
              </w:rPr>
            </w:pPr>
            <w:r>
              <w:rPr>
                <w:rFonts w:ascii="Arial" w:cs="Arial" w:eastAsia="Arial" w:hAnsi="Arial"/>
                <w:sz w:val="14"/>
                <w:szCs w:val="14"/>
                <w:color w:val="auto"/>
              </w:rPr>
              <w:t>Changes in pension and other employee benefit accounts in discontinued operations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(324)</w:t>
            </w:r>
          </w:p>
        </w:tc>
      </w:tr>
      <w:tr>
        <w:trPr>
          <w:trHeight w:val="197"/>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243,817</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(394,990)</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(260,850)</w:t>
            </w:r>
          </w:p>
        </w:tc>
      </w:tr>
      <w:tr>
        <w:trPr>
          <w:trHeight w:val="178"/>
        </w:trPr>
        <w:tc>
          <w:tcPr>
            <w:tcW w:w="6260" w:type="dxa"/>
            <w:vAlign w:val="bottom"/>
          </w:tcPr>
          <w:p>
            <w:pPr>
              <w:ind w:left="2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7"/>
        </w:trPr>
        <w:tc>
          <w:tcPr>
            <w:tcW w:w="62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02"/>
        </w:trPr>
        <w:tc>
          <w:tcPr>
            <w:tcW w:w="62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Discontinued operations</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(18,817)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(26,472)</w:t>
            </w:r>
          </w:p>
        </w:tc>
      </w:tr>
      <w:tr>
        <w:trPr>
          <w:trHeight w:val="217"/>
        </w:trPr>
        <w:tc>
          <w:tcPr>
            <w:tcW w:w="6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 attributable to shareholders</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243,817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(376,173)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(234,378)</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261"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16"/>
          <w:szCs w:val="16"/>
          <w:color w:val="auto"/>
          <w:vertAlign w:val="superscript"/>
        </w:rPr>
      </w:pPr>
      <w:r>
        <w:rPr>
          <w:rFonts w:ascii="Arial" w:cs="Arial" w:eastAsia="Arial" w:hAnsi="Arial"/>
          <w:sz w:val="12"/>
          <w:szCs w:val="12"/>
          <w:color w:val="auto"/>
        </w:rPr>
        <w:t>Net of deferred tax benefit of $0, $0 and $(2,187) for the years ended December 31, 2023, 2022 and 2021, respectively.</w:t>
      </w:r>
    </w:p>
    <w:p>
      <w:pPr>
        <w:sectPr>
          <w:pgSz w:w="11900" w:h="16838" w:orient="portrait"/>
          <w:cols w:equalWidth="0" w:num="1">
            <w:col w:w="11220"/>
          </w:cols>
          <w:pgMar w:left="320" w:top="122"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20"/>
          </w:cols>
          <w:pgMar w:left="320" w:top="122" w:right="359" w:bottom="0" w:gutter="0" w:footer="0" w:header="0"/>
          <w:type w:val="continuous"/>
        </w:sectPr>
      </w:pPr>
    </w:p>
    <w:bookmarkStart w:id="55" w:name="page56"/>
    <w:bookmarkEnd w:id="55"/>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71120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73" w:right="1440"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STATEMENT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Accumulated Other</w:t>
            </w: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Ordinary</w:t>
            </w:r>
          </w:p>
        </w:tc>
        <w:tc>
          <w:tcPr>
            <w:tcW w:w="12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Preferred</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Additional Paid</w:t>
            </w:r>
          </w:p>
        </w:tc>
        <w:tc>
          <w:tcPr>
            <w:tcW w:w="160" w:type="dxa"/>
            <w:vAlign w:val="bottom"/>
          </w:tcPr>
          <w:p>
            <w:pPr>
              <w:spacing w:after="0"/>
              <w:rPr>
                <w:sz w:val="12"/>
                <w:szCs w:val="12"/>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540" w:type="dxa"/>
            <w:vAlign w:val="bottom"/>
            <w:gridSpan w:val="3"/>
            <w:vMerge w:val="continue"/>
          </w:tcPr>
          <w:p>
            <w:pPr>
              <w:spacing w:after="0"/>
              <w:rPr>
                <w:sz w:val="12"/>
                <w:szCs w:val="12"/>
                <w:color w:val="auto"/>
              </w:rPr>
            </w:pPr>
          </w:p>
        </w:tc>
        <w:tc>
          <w:tcPr>
            <w:tcW w:w="134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Interest in Equity</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Comprehensive</w:t>
            </w:r>
          </w:p>
        </w:tc>
        <w:tc>
          <w:tcPr>
            <w:tcW w:w="13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of Consolidated</w:t>
            </w:r>
          </w:p>
        </w:tc>
        <w:tc>
          <w:tcPr>
            <w:tcW w:w="140" w:type="dxa"/>
            <w:vAlign w:val="bottom"/>
          </w:tcPr>
          <w:p>
            <w:pPr>
              <w:spacing w:after="0"/>
              <w:rPr>
                <w:sz w:val="12"/>
                <w:szCs w:val="12"/>
                <w:color w:val="auto"/>
              </w:rPr>
            </w:pP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7"/>
              </w:rPr>
              <w:t>Shares</w:t>
            </w:r>
            <w:r>
              <w:rPr>
                <w:rFonts w:ascii="Arial" w:cs="Arial" w:eastAsia="Arial" w:hAnsi="Arial"/>
                <w:sz w:val="18"/>
                <w:szCs w:val="18"/>
                <w:b w:val="1"/>
                <w:bCs w:val="1"/>
                <w:color w:val="auto"/>
                <w:w w:val="97"/>
                <w:vertAlign w:val="superscript"/>
              </w:rPr>
              <w:t>(1)</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Capital</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Loss</w:t>
            </w:r>
          </w:p>
        </w:tc>
        <w:tc>
          <w:tcPr>
            <w:tcW w:w="14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856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1,130,106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(28,158)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(26,237)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22,663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1,099,321</w:t>
            </w:r>
          </w:p>
        </w:tc>
        <w:tc>
          <w:tcPr>
            <w:tcW w:w="0" w:type="dxa"/>
            <w:vAlign w:val="bottom"/>
          </w:tcPr>
          <w:p>
            <w:pPr>
              <w:spacing w:after="0"/>
              <w:rPr>
                <w:sz w:val="1"/>
                <w:szCs w:val="1"/>
                <w:color w:val="auto"/>
              </w:rPr>
            </w:pPr>
          </w:p>
        </w:tc>
      </w:tr>
      <w:tr>
        <w:trPr>
          <w:trHeight w:val="198"/>
        </w:trPr>
        <w:tc>
          <w:tcPr>
            <w:tcW w:w="246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(104,234)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(26,472)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(130,706)</w:t>
            </w: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(130,144)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(130,144)</w:t>
            </w:r>
          </w:p>
        </w:tc>
        <w:tc>
          <w:tcPr>
            <w:tcW w:w="0" w:type="dxa"/>
            <w:vAlign w:val="bottom"/>
          </w:tcPr>
          <w:p>
            <w:pPr>
              <w:spacing w:after="0"/>
              <w:rPr>
                <w:sz w:val="1"/>
                <w:szCs w:val="1"/>
                <w:color w:val="auto"/>
              </w:rPr>
            </w:pPr>
          </w:p>
        </w:tc>
      </w:tr>
      <w:tr>
        <w:trPr>
          <w:trHeight w:val="192"/>
        </w:trPr>
        <w:tc>
          <w:tcPr>
            <w:tcW w:w="246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(104,234)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(130,144)</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(26,472)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(260,850)</w:t>
            </w:r>
          </w:p>
        </w:tc>
        <w:tc>
          <w:tcPr>
            <w:tcW w:w="0" w:type="dxa"/>
            <w:vAlign w:val="bottom"/>
          </w:tcPr>
          <w:p>
            <w:pPr>
              <w:spacing w:after="0"/>
              <w:rPr>
                <w:sz w:val="1"/>
                <w:szCs w:val="1"/>
                <w:color w:val="auto"/>
              </w:rPr>
            </w:pPr>
          </w:p>
        </w:tc>
      </w:tr>
      <w:tr>
        <w:trPr>
          <w:trHeight w:val="157"/>
        </w:trPr>
        <w:tc>
          <w:tcPr>
            <w:tcW w:w="24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Settlement of equity-based</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85"/>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60" w:type="dxa"/>
            <w:vAlign w:val="bottom"/>
          </w:tcPr>
          <w:p>
            <w:pPr>
              <w:ind w:left="20"/>
              <w:spacing w:after="0"/>
              <w:rPr>
                <w:sz w:val="20"/>
                <w:szCs w:val="20"/>
                <w:color w:val="auto"/>
              </w:rPr>
            </w:pPr>
            <w:r>
              <w:rPr>
                <w:rFonts w:ascii="Arial" w:cs="Arial" w:eastAsia="Arial" w:hAnsi="Arial"/>
                <w:sz w:val="14"/>
                <w:szCs w:val="14"/>
                <w:color w:val="auto"/>
              </w:rPr>
              <w:t>Issuance of ordinary shares</w:t>
            </w: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323,443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323,579</w:t>
            </w: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ordinary shares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(118,009)</w:t>
            </w:r>
          </w:p>
        </w:tc>
        <w:tc>
          <w:tcPr>
            <w:tcW w:w="0" w:type="dxa"/>
            <w:vAlign w:val="bottom"/>
          </w:tcPr>
          <w:p>
            <w:pPr>
              <w:spacing w:after="0"/>
              <w:rPr>
                <w:sz w:val="1"/>
                <w:szCs w:val="1"/>
                <w:color w:val="auto"/>
              </w:rPr>
            </w:pPr>
          </w:p>
        </w:tc>
      </w:tr>
      <w:tr>
        <w:trPr>
          <w:trHeight w:val="199"/>
        </w:trPr>
        <w:tc>
          <w:tcPr>
            <w:tcW w:w="2460" w:type="dxa"/>
            <w:vAlign w:val="bottom"/>
          </w:tcPr>
          <w:p>
            <w:pPr>
              <w:ind w:left="20"/>
              <w:spacing w:after="0"/>
              <w:rPr>
                <w:sz w:val="20"/>
                <w:szCs w:val="20"/>
                <w:color w:val="auto"/>
              </w:rPr>
            </w:pPr>
            <w:r>
              <w:rPr>
                <w:rFonts w:ascii="Arial" w:cs="Arial" w:eastAsia="Arial" w:hAnsi="Arial"/>
                <w:sz w:val="14"/>
                <w:szCs w:val="14"/>
                <w:color w:val="auto"/>
              </w:rPr>
              <w:t>Issuance of preferred shares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101,158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101,200</w:t>
            </w: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preferred shares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(24,758)</w:t>
            </w:r>
          </w:p>
        </w:tc>
        <w:tc>
          <w:tcPr>
            <w:tcW w:w="0" w:type="dxa"/>
            <w:vAlign w:val="bottom"/>
          </w:tcPr>
          <w:p>
            <w:pPr>
              <w:spacing w:after="0"/>
              <w:rPr>
                <w:sz w:val="1"/>
                <w:szCs w:val="1"/>
                <w:color w:val="auto"/>
              </w:rPr>
            </w:pPr>
          </w:p>
        </w:tc>
      </w:tr>
      <w:tr>
        <w:trPr>
          <w:trHeight w:val="199"/>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4,038</w:t>
            </w:r>
          </w:p>
        </w:tc>
        <w:tc>
          <w:tcPr>
            <w:tcW w:w="0" w:type="dxa"/>
            <w:vAlign w:val="bottom"/>
          </w:tcPr>
          <w:p>
            <w:pPr>
              <w:spacing w:after="0"/>
              <w:rPr>
                <w:sz w:val="1"/>
                <w:szCs w:val="1"/>
                <w:color w:val="auto"/>
              </w:rPr>
            </w:pPr>
          </w:p>
        </w:tc>
      </w:tr>
      <w:tr>
        <w:trPr>
          <w:trHeight w:val="20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992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1,411,940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(132,392)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(156,381)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1,124,100</w:t>
            </w:r>
          </w:p>
        </w:tc>
        <w:tc>
          <w:tcPr>
            <w:tcW w:w="0" w:type="dxa"/>
            <w:vAlign w:val="bottom"/>
          </w:tcPr>
          <w:p>
            <w:pPr>
              <w:spacing w:after="0"/>
              <w:rPr>
                <w:sz w:val="1"/>
                <w:szCs w:val="1"/>
                <w:color w:val="auto"/>
              </w:rPr>
            </w:pPr>
          </w:p>
        </w:tc>
      </w:tr>
      <w:tr>
        <w:trPr>
          <w:trHeight w:val="192"/>
        </w:trPr>
        <w:tc>
          <w:tcPr>
            <w:tcW w:w="246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(193,210)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(18,817)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(212,027)</w:t>
            </w:r>
          </w:p>
        </w:tc>
        <w:tc>
          <w:tcPr>
            <w:tcW w:w="0" w:type="dxa"/>
            <w:vAlign w:val="bottom"/>
          </w:tcPr>
          <w:p>
            <w:pPr>
              <w:spacing w:after="0"/>
              <w:rPr>
                <w:sz w:val="1"/>
                <w:szCs w:val="1"/>
                <w:color w:val="auto"/>
              </w:rPr>
            </w:pPr>
          </w:p>
        </w:tc>
      </w:tr>
      <w:tr>
        <w:trPr>
          <w:trHeight w:val="207"/>
        </w:trPr>
        <w:tc>
          <w:tcPr>
            <w:tcW w:w="2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(182,963)</w:t>
            </w:r>
          </w:p>
        </w:tc>
        <w:tc>
          <w:tcPr>
            <w:tcW w:w="0" w:type="dxa"/>
            <w:vAlign w:val="bottom"/>
          </w:tcPr>
          <w:p>
            <w:pPr>
              <w:spacing w:after="0"/>
              <w:rPr>
                <w:sz w:val="1"/>
                <w:szCs w:val="1"/>
                <w:color w:val="auto"/>
              </w:rPr>
            </w:pPr>
          </w:p>
        </w:tc>
      </w:tr>
      <w:tr>
        <w:trPr>
          <w:trHeight w:val="192"/>
        </w:trPr>
        <w:tc>
          <w:tcPr>
            <w:tcW w:w="246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(193,210)</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(182,963)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(18,817)</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(394,990)</w:t>
            </w:r>
          </w:p>
        </w:tc>
        <w:tc>
          <w:tcPr>
            <w:tcW w:w="0" w:type="dxa"/>
            <w:vAlign w:val="bottom"/>
          </w:tcPr>
          <w:p>
            <w:pPr>
              <w:spacing w:after="0"/>
              <w:rPr>
                <w:sz w:val="1"/>
                <w:szCs w:val="1"/>
                <w:color w:val="auto"/>
              </w:rPr>
            </w:pPr>
          </w:p>
        </w:tc>
      </w:tr>
      <w:tr>
        <w:trPr>
          <w:trHeight w:val="157"/>
        </w:trPr>
        <w:tc>
          <w:tcPr>
            <w:tcW w:w="24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Spin-off of FTAI Infrastructure, Inc.,</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(913,342)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339,344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12,817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(561,181)</w:t>
            </w:r>
          </w:p>
        </w:tc>
        <w:tc>
          <w:tcPr>
            <w:tcW w:w="0" w:type="dxa"/>
            <w:vAlign w:val="bottom"/>
          </w:tcPr>
          <w:p>
            <w:pPr>
              <w:spacing w:after="0"/>
              <w:rPr>
                <w:sz w:val="1"/>
                <w:szCs w:val="1"/>
                <w:color w:val="auto"/>
              </w:rPr>
            </w:pPr>
          </w:p>
        </w:tc>
      </w:tr>
      <w:tr>
        <w:trPr>
          <w:trHeight w:val="185"/>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of distributions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20"/>
              <w:spacing w:after="0"/>
              <w:rPr>
                <w:sz w:val="20"/>
                <w:szCs w:val="20"/>
                <w:color w:val="auto"/>
              </w:rPr>
            </w:pPr>
            <w:r>
              <w:rPr>
                <w:rFonts w:ascii="Arial" w:cs="Arial" w:eastAsia="Arial" w:hAnsi="Arial"/>
                <w:sz w:val="14"/>
                <w:szCs w:val="14"/>
                <w:color w:val="auto"/>
              </w:rPr>
              <w:t>Acquisition of consolidated subsidiary</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3,054</w:t>
            </w:r>
          </w:p>
        </w:tc>
        <w:tc>
          <w:tcPr>
            <w:tcW w:w="0" w:type="dxa"/>
            <w:vAlign w:val="bottom"/>
          </w:tcPr>
          <w:p>
            <w:pPr>
              <w:spacing w:after="0"/>
              <w:rPr>
                <w:sz w:val="1"/>
                <w:szCs w:val="1"/>
                <w:color w:val="auto"/>
              </w:rPr>
            </w:pPr>
          </w:p>
        </w:tc>
      </w:tr>
      <w:tr>
        <w:trPr>
          <w:trHeight w:val="157"/>
        </w:trPr>
        <w:tc>
          <w:tcPr>
            <w:tcW w:w="24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Settlement of equity-based</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85"/>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460" w:type="dxa"/>
            <w:vAlign w:val="bottom"/>
          </w:tcPr>
          <w:p>
            <w:pPr>
              <w:ind w:left="20"/>
              <w:spacing w:after="0" w:line="153" w:lineRule="exact"/>
              <w:rPr>
                <w:sz w:val="20"/>
                <w:szCs w:val="20"/>
                <w:color w:val="auto"/>
              </w:rPr>
            </w:pPr>
            <w:r>
              <w:rPr>
                <w:rFonts w:ascii="Arial" w:cs="Arial" w:eastAsia="Arial" w:hAnsi="Arial"/>
                <w:sz w:val="14"/>
                <w:szCs w:val="14"/>
                <w:color w:val="auto"/>
              </w:rPr>
              <w:t>Contributions from non-controlling</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1,187</w:t>
            </w:r>
          </w:p>
        </w:tc>
        <w:tc>
          <w:tcPr>
            <w:tcW w:w="0" w:type="dxa"/>
            <w:vAlign w:val="bottom"/>
          </w:tcPr>
          <w:p>
            <w:pPr>
              <w:spacing w:after="0"/>
              <w:rPr>
                <w:sz w:val="1"/>
                <w:szCs w:val="1"/>
                <w:color w:val="auto"/>
              </w:rPr>
            </w:pPr>
          </w:p>
        </w:tc>
      </w:tr>
      <w:tr>
        <w:trPr>
          <w:trHeight w:val="185"/>
        </w:trPr>
        <w:tc>
          <w:tcPr>
            <w:tcW w:w="2460" w:type="dxa"/>
            <w:vAlign w:val="bottom"/>
          </w:tcPr>
          <w:p>
            <w:pPr>
              <w:ind w:left="20"/>
              <w:spacing w:after="0"/>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98"/>
        </w:trPr>
        <w:tc>
          <w:tcPr>
            <w:tcW w:w="2460" w:type="dxa"/>
            <w:vAlign w:val="bottom"/>
          </w:tcPr>
          <w:p>
            <w:pPr>
              <w:ind w:left="20"/>
              <w:spacing w:after="0"/>
              <w:rPr>
                <w:sz w:val="20"/>
                <w:szCs w:val="20"/>
                <w:color w:val="auto"/>
              </w:rPr>
            </w:pPr>
            <w:r>
              <w:rPr>
                <w:rFonts w:ascii="Arial" w:cs="Arial" w:eastAsia="Arial" w:hAnsi="Arial"/>
                <w:sz w:val="14"/>
                <w:szCs w:val="14"/>
                <w:color w:val="auto"/>
              </w:rPr>
              <w:t>Dividends declared - ordinary shares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(128,483)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(128,483)</w:t>
            </w:r>
          </w:p>
        </w:tc>
        <w:tc>
          <w:tcPr>
            <w:tcW w:w="0" w:type="dxa"/>
            <w:vAlign w:val="bottom"/>
          </w:tcPr>
          <w:p>
            <w:pPr>
              <w:spacing w:after="0"/>
              <w:rPr>
                <w:sz w:val="1"/>
                <w:szCs w:val="1"/>
                <w:color w:val="auto"/>
              </w:rPr>
            </w:pPr>
          </w:p>
        </w:tc>
      </w:tr>
      <w:tr>
        <w:trPr>
          <w:trHeight w:val="206"/>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preferred shares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(27,164)</w:t>
            </w:r>
          </w:p>
        </w:tc>
        <w:tc>
          <w:tcPr>
            <w:tcW w:w="0" w:type="dxa"/>
            <w:vAlign w:val="bottom"/>
          </w:tcPr>
          <w:p>
            <w:pPr>
              <w:spacing w:after="0"/>
              <w:rPr>
                <w:sz w:val="1"/>
                <w:szCs w:val="1"/>
                <w:color w:val="auto"/>
              </w:rPr>
            </w:pPr>
          </w:p>
        </w:tc>
      </w:tr>
      <w:tr>
        <w:trPr>
          <w:trHeight w:val="199"/>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2,623</w:t>
            </w:r>
          </w:p>
        </w:tc>
        <w:tc>
          <w:tcPr>
            <w:tcW w:w="0" w:type="dxa"/>
            <w:vAlign w:val="bottom"/>
          </w:tcPr>
          <w:p>
            <w:pPr>
              <w:spacing w:after="0"/>
              <w:rPr>
                <w:sz w:val="1"/>
                <w:szCs w:val="1"/>
                <w:color w:val="auto"/>
              </w:rPr>
            </w:pPr>
          </w:p>
        </w:tc>
      </w:tr>
      <w:tr>
        <w:trPr>
          <w:trHeight w:val="200"/>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997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343,350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(325,602)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19,402</w:t>
            </w:r>
          </w:p>
        </w:tc>
        <w:tc>
          <w:tcPr>
            <w:tcW w:w="0" w:type="dxa"/>
            <w:vAlign w:val="bottom"/>
          </w:tcPr>
          <w:p>
            <w:pPr>
              <w:spacing w:after="0"/>
              <w:rPr>
                <w:sz w:val="1"/>
                <w:szCs w:val="1"/>
                <w:color w:val="auto"/>
              </w:rPr>
            </w:pPr>
          </w:p>
        </w:tc>
      </w:tr>
      <w:tr>
        <w:trPr>
          <w:trHeight w:val="195"/>
        </w:trPr>
        <w:tc>
          <w:tcPr>
            <w:tcW w:w="246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243,817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243,817</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5"/>
        </w:trPr>
        <w:tc>
          <w:tcPr>
            <w:tcW w:w="2460" w:type="dxa"/>
            <w:vAlign w:val="bottom"/>
          </w:tcPr>
          <w:p>
            <w:pPr>
              <w:ind w:left="20"/>
              <w:spacing w:after="0"/>
              <w:rPr>
                <w:sz w:val="20"/>
                <w:szCs w:val="20"/>
                <w:color w:val="auto"/>
              </w:rPr>
            </w:pPr>
            <w:r>
              <w:rPr>
                <w:rFonts w:ascii="Arial" w:cs="Arial" w:eastAsia="Arial" w:hAnsi="Arial"/>
                <w:sz w:val="14"/>
                <w:szCs w:val="14"/>
                <w:color w:val="auto"/>
              </w:rPr>
              <w:t>Total comprehensive income</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243,817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243,817</w:t>
            </w:r>
          </w:p>
        </w:tc>
        <w:tc>
          <w:tcPr>
            <w:tcW w:w="0" w:type="dxa"/>
            <w:vAlign w:val="bottom"/>
          </w:tcPr>
          <w:p>
            <w:pPr>
              <w:spacing w:after="0"/>
              <w:rPr>
                <w:sz w:val="1"/>
                <w:szCs w:val="1"/>
                <w:color w:val="auto"/>
              </w:rPr>
            </w:pPr>
          </w:p>
        </w:tc>
      </w:tr>
      <w:tr>
        <w:trPr>
          <w:trHeight w:val="154"/>
        </w:trPr>
        <w:tc>
          <w:tcPr>
            <w:tcW w:w="246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Contributions from non-controlling</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85"/>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60" w:type="dxa"/>
            <w:vAlign w:val="bottom"/>
          </w:tcPr>
          <w:p>
            <w:pPr>
              <w:ind w:left="20"/>
              <w:spacing w:after="0"/>
              <w:rPr>
                <w:sz w:val="20"/>
                <w:szCs w:val="20"/>
                <w:color w:val="auto"/>
              </w:rPr>
            </w:pPr>
            <w:r>
              <w:rPr>
                <w:rFonts w:ascii="Arial" w:cs="Arial" w:eastAsia="Arial" w:hAnsi="Arial"/>
                <w:sz w:val="14"/>
                <w:szCs w:val="14"/>
                <w:color w:val="auto"/>
              </w:rPr>
              <w:t>Issuance of ordinary shares</w:t>
            </w:r>
          </w:p>
        </w:tc>
        <w:tc>
          <w:tcPr>
            <w:tcW w:w="12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924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929</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ordinary shares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(119,847)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(119,847)</w:t>
            </w:r>
          </w:p>
        </w:tc>
        <w:tc>
          <w:tcPr>
            <w:tcW w:w="0" w:type="dxa"/>
            <w:vAlign w:val="bottom"/>
          </w:tcPr>
          <w:p>
            <w:pPr>
              <w:spacing w:after="0"/>
              <w:rPr>
                <w:sz w:val="1"/>
                <w:szCs w:val="1"/>
                <w:color w:val="auto"/>
              </w:rPr>
            </w:pPr>
          </w:p>
        </w:tc>
      </w:tr>
      <w:tr>
        <w:trPr>
          <w:trHeight w:val="202"/>
        </w:trPr>
        <w:tc>
          <w:tcPr>
            <w:tcW w:w="2460" w:type="dxa"/>
            <w:vAlign w:val="bottom"/>
          </w:tcPr>
          <w:p>
            <w:pPr>
              <w:ind w:left="20"/>
              <w:spacing w:after="0"/>
              <w:rPr>
                <w:sz w:val="20"/>
                <w:szCs w:val="20"/>
                <w:color w:val="auto"/>
              </w:rPr>
            </w:pPr>
            <w:r>
              <w:rPr>
                <w:rFonts w:ascii="Arial" w:cs="Arial" w:eastAsia="Arial" w:hAnsi="Arial"/>
                <w:sz w:val="14"/>
                <w:szCs w:val="14"/>
                <w:color w:val="auto"/>
              </w:rPr>
              <w:t>Issuance of preferred shares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61,703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61,729</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 preferred shares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(31,795)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(31,795)</w:t>
            </w:r>
          </w:p>
        </w:tc>
        <w:tc>
          <w:tcPr>
            <w:tcW w:w="0" w:type="dxa"/>
            <w:vAlign w:val="bottom"/>
          </w:tcPr>
          <w:p>
            <w:pPr>
              <w:spacing w:after="0"/>
              <w:rPr>
                <w:sz w:val="1"/>
                <w:szCs w:val="1"/>
                <w:color w:val="auto"/>
              </w:rPr>
            </w:pPr>
          </w:p>
        </w:tc>
      </w:tr>
      <w:tr>
        <w:trPr>
          <w:trHeight w:val="202"/>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Equity-based compensation</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1,638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1,638</w:t>
            </w:r>
          </w:p>
        </w:tc>
        <w:tc>
          <w:tcPr>
            <w:tcW w:w="0" w:type="dxa"/>
            <w:vAlign w:val="bottom"/>
          </w:tcPr>
          <w:p>
            <w:pPr>
              <w:spacing w:after="0"/>
              <w:rPr>
                <w:sz w:val="1"/>
                <w:szCs w:val="1"/>
                <w:color w:val="auto"/>
              </w:rPr>
            </w:pPr>
          </w:p>
        </w:tc>
      </w:tr>
      <w:tr>
        <w:trPr>
          <w:trHeight w:val="217"/>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 December 31, 2023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255,973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(81,785)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175,883</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4" w:lineRule="exact"/>
        <w:rPr>
          <w:sz w:val="20"/>
          <w:szCs w:val="20"/>
          <w:color w:val="auto"/>
        </w:rPr>
      </w:pPr>
    </w:p>
    <w:p>
      <w:pPr>
        <w:ind w:left="180" w:hanging="172"/>
        <w:spacing w:after="0" w:line="226" w:lineRule="auto"/>
        <w:tabs>
          <w:tab w:leader="none" w:pos="158"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Common and Preferred Shares of Fortress Transportation and Infrastructure Investors LLC were exchanged for Ordinary and Preferred Shares of FTAI Aviation Ltd. when the Merger, as detailed in Note 1, was completed on November 10, 2022.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r>
      <w:tr>
        <w:trPr>
          <w:trHeight w:val="196"/>
        </w:trPr>
        <w:tc>
          <w:tcPr>
            <w:tcW w:w="7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18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1"/>
        </w:trPr>
        <w:tc>
          <w:tcPr>
            <w:tcW w:w="722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243,817</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(212,027)</w:t>
            </w:r>
          </w:p>
        </w:tc>
        <w:tc>
          <w:tcPr>
            <w:tcW w:w="1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(130,706)</w:t>
            </w:r>
          </w:p>
        </w:tc>
      </w:tr>
      <w:tr>
        <w:trPr>
          <w:trHeight w:val="20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1"/>
        </w:trPr>
        <w:tc>
          <w:tcPr>
            <w:tcW w:w="722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1,606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46,971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12,734</w:t>
            </w:r>
          </w:p>
        </w:tc>
      </w:tr>
      <w:tr>
        <w:trPr>
          <w:trHeight w:val="20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(160,742)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(141,677)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(49,031)</w:t>
            </w:r>
          </w:p>
        </w:tc>
      </w:tr>
      <w:tr>
        <w:trPr>
          <w:trHeight w:val="201"/>
        </w:trPr>
        <w:tc>
          <w:tcPr>
            <w:tcW w:w="7220" w:type="dxa"/>
            <w:vAlign w:val="bottom"/>
          </w:tcPr>
          <w:p>
            <w:pPr>
              <w:ind w:left="20"/>
              <w:spacing w:after="0"/>
              <w:rPr>
                <w:sz w:val="20"/>
                <w:szCs w:val="20"/>
                <w:color w:val="auto"/>
              </w:rPr>
            </w:pPr>
            <w:r>
              <w:rPr>
                <w:rFonts w:ascii="Arial" w:cs="Arial" w:eastAsia="Arial" w:hAnsi="Arial"/>
                <w:sz w:val="14"/>
                <w:szCs w:val="14"/>
                <w:color w:val="auto"/>
              </w:rPr>
              <w:t>Security deposits and maintenance claims included in earnings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(40,535)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(41,845)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(39,067)</w:t>
            </w:r>
          </w:p>
        </w:tc>
      </w:tr>
      <w:tr>
        <w:trPr>
          <w:trHeight w:val="20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r>
      <w:tr>
        <w:trPr>
          <w:trHeight w:val="201"/>
        </w:trPr>
        <w:tc>
          <w:tcPr>
            <w:tcW w:w="722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1,638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2,623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4,038</w:t>
            </w:r>
          </w:p>
        </w:tc>
      </w:tr>
      <w:tr>
        <w:trPr>
          <w:trHeight w:val="20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169,877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193,236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201,756</w:t>
            </w:r>
          </w:p>
        </w:tc>
      </w:tr>
      <w:tr>
        <w:trPr>
          <w:trHeight w:val="201"/>
        </w:trPr>
        <w:tc>
          <w:tcPr>
            <w:tcW w:w="72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2,121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137,219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10,463</w:t>
            </w:r>
          </w:p>
        </w:tc>
      </w:tr>
      <w:tr>
        <w:trPr>
          <w:trHeight w:val="20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deferred income taxes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(63,626)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w:t>
            </w:r>
          </w:p>
        </w:tc>
      </w:tr>
      <w:tr>
        <w:trPr>
          <w:trHeight w:val="201"/>
        </w:trPr>
        <w:tc>
          <w:tcPr>
            <w:tcW w:w="7220" w:type="dxa"/>
            <w:vAlign w:val="bottom"/>
          </w:tcPr>
          <w:p>
            <w:pPr>
              <w:ind w:left="20"/>
              <w:spacing w:after="0"/>
              <w:rPr>
                <w:sz w:val="20"/>
                <w:szCs w:val="20"/>
                <w:color w:val="auto"/>
              </w:rPr>
            </w:pPr>
            <w:r>
              <w:rPr>
                <w:rFonts w:ascii="Arial" w:cs="Arial" w:eastAsia="Arial" w:hAnsi="Arial"/>
                <w:sz w:val="14"/>
                <w:szCs w:val="14"/>
                <w:color w:val="auto"/>
              </w:rPr>
              <w:t>Change in fair value of non-hedge derivatives</w:t>
            </w: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(1,567)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(2,220)</w:t>
            </w:r>
          </w:p>
        </w:tc>
      </w:tr>
      <w:tr>
        <w:trPr>
          <w:trHeight w:val="20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guarantees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7220" w:type="dxa"/>
            <w:vAlign w:val="bottom"/>
          </w:tcPr>
          <w:p>
            <w:pPr>
              <w:ind w:left="20"/>
              <w:spacing w:after="0"/>
              <w:rPr>
                <w:sz w:val="20"/>
                <w:szCs w:val="20"/>
                <w:color w:val="auto"/>
              </w:rPr>
            </w:pPr>
            <w:r>
              <w:rPr>
                <w:rFonts w:ascii="Arial" w:cs="Arial" w:eastAsia="Arial" w:hAnsi="Arial"/>
                <w:sz w:val="14"/>
                <w:szCs w:val="14"/>
                <w:color w:val="auto"/>
              </w:rPr>
              <w:t>Amortization of lease intangibles and incentives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43,764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37,135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27,978</w:t>
            </w:r>
          </w:p>
        </w:tc>
      </w:tr>
      <w:tr>
        <w:trPr>
          <w:trHeight w:val="20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financing costs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8,860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21,723</w:t>
            </w:r>
          </w:p>
        </w:tc>
      </w:tr>
      <w:tr>
        <w:trPr>
          <w:trHeight w:val="201"/>
        </w:trPr>
        <w:tc>
          <w:tcPr>
            <w:tcW w:w="7220" w:type="dxa"/>
            <w:vAlign w:val="bottom"/>
          </w:tcPr>
          <w:p>
            <w:pPr>
              <w:ind w:left="20"/>
              <w:spacing w:after="0"/>
              <w:rPr>
                <w:sz w:val="20"/>
                <w:szCs w:val="20"/>
                <w:color w:val="auto"/>
              </w:rPr>
            </w:pPr>
            <w:r>
              <w:rPr>
                <w:rFonts w:ascii="Arial" w:cs="Arial" w:eastAsia="Arial" w:hAnsi="Arial"/>
                <w:sz w:val="14"/>
                <w:szCs w:val="14"/>
                <w:color w:val="auto"/>
              </w:rPr>
              <w:t>Provision for credit losses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6,583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47,975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12,953</w:t>
            </w:r>
          </w:p>
        </w:tc>
      </w:tr>
      <w:tr>
        <w:trPr>
          <w:trHeight w:val="204"/>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(6,646)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r>
      <w:tr>
        <w:trPr>
          <w:trHeight w:val="198"/>
        </w:trPr>
        <w:tc>
          <w:tcPr>
            <w:tcW w:w="7220" w:type="dxa"/>
            <w:vAlign w:val="bottom"/>
          </w:tcPr>
          <w:p>
            <w:pPr>
              <w:ind w:left="20"/>
              <w:spacing w:after="0"/>
              <w:rPr>
                <w:sz w:val="20"/>
                <w:szCs w:val="20"/>
                <w:color w:val="auto"/>
              </w:rPr>
            </w:pPr>
            <w:r>
              <w:rPr>
                <w:rFonts w:ascii="Arial" w:cs="Arial" w:eastAsia="Arial" w:hAnsi="Arial"/>
                <w:sz w:val="14"/>
                <w:szCs w:val="14"/>
                <w:color w:val="auto"/>
              </w:rPr>
              <w:t>Change in: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72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(40,357)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(65,969)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(88,872)</w:t>
            </w:r>
          </w:p>
        </w:tc>
      </w:tr>
      <w:tr>
        <w:trPr>
          <w:trHeight w:val="201"/>
        </w:trPr>
        <w:tc>
          <w:tcPr>
            <w:tcW w:w="722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(5,627)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(23,037)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(30,789)</w:t>
            </w:r>
          </w:p>
        </w:tc>
      </w:tr>
      <w:tr>
        <w:trPr>
          <w:trHeight w:val="204"/>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Inventory</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(31,884)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7220" w:type="dxa"/>
            <w:vAlign w:val="bottom"/>
          </w:tcPr>
          <w:p>
            <w:pPr>
              <w:ind w:left="160"/>
              <w:spacing w:after="0"/>
              <w:rPr>
                <w:sz w:val="20"/>
                <w:szCs w:val="20"/>
                <w:color w:val="auto"/>
              </w:rPr>
            </w:pPr>
            <w:r>
              <w:rPr>
                <w:rFonts w:ascii="Arial" w:cs="Arial" w:eastAsia="Arial" w:hAnsi="Arial"/>
                <w:sz w:val="14"/>
                <w:szCs w:val="14"/>
                <w:color w:val="auto"/>
              </w:rPr>
              <w:t>Accounts payable and accrued liabilities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1,254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(19,599)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25,079</w:t>
            </w:r>
          </w:p>
        </w:tc>
      </w:tr>
      <w:tr>
        <w:trPr>
          <w:trHeight w:val="204"/>
        </w:trPr>
        <w:tc>
          <w:tcPr>
            <w:tcW w:w="7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Management fees payable to affiliate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w:t>
            </w:r>
          </w:p>
        </w:tc>
      </w:tr>
      <w:tr>
        <w:trPr>
          <w:trHeight w:val="201"/>
        </w:trPr>
        <w:tc>
          <w:tcPr>
            <w:tcW w:w="72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liabilities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r>
      <w:tr>
        <w:trPr>
          <w:trHeight w:val="196"/>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128,982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(20,657)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(22,044)</w:t>
            </w:r>
          </w:p>
        </w:tc>
      </w:tr>
      <w:tr>
        <w:trPr>
          <w:trHeight w:val="197"/>
        </w:trPr>
        <w:tc>
          <w:tcPr>
            <w:tcW w:w="7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2"/>
        </w:trPr>
        <w:tc>
          <w:tcPr>
            <w:tcW w:w="7220" w:type="dxa"/>
            <w:vAlign w:val="bottom"/>
          </w:tcPr>
          <w:p>
            <w:pPr>
              <w:ind w:left="20"/>
              <w:spacing w:after="0"/>
              <w:rPr>
                <w:sz w:val="20"/>
                <w:szCs w:val="20"/>
                <w:color w:val="auto"/>
              </w:rPr>
            </w:pPr>
            <w:r>
              <w:rPr>
                <w:rFonts w:ascii="Arial" w:cs="Arial" w:eastAsia="Arial" w:hAnsi="Arial"/>
                <w:sz w:val="14"/>
                <w:szCs w:val="14"/>
                <w:color w:val="auto"/>
              </w:rPr>
              <w:t>Investment in unconsolidated entities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(19,500)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(7,344)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(54,655)</w:t>
            </w:r>
          </w:p>
        </w:tc>
      </w:tr>
      <w:tr>
        <w:trPr>
          <w:trHeight w:val="203"/>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collections on finance leases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3,638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7,387</w:t>
            </w:r>
          </w:p>
        </w:tc>
      </w:tr>
      <w:tr>
        <w:trPr>
          <w:trHeight w:val="202"/>
        </w:trPr>
        <w:tc>
          <w:tcPr>
            <w:tcW w:w="7220" w:type="dxa"/>
            <w:vAlign w:val="bottom"/>
          </w:tcPr>
          <w:p>
            <w:pPr>
              <w:ind w:left="20"/>
              <w:spacing w:after="0"/>
              <w:rPr>
                <w:sz w:val="20"/>
                <w:szCs w:val="20"/>
                <w:color w:val="auto"/>
              </w:rPr>
            </w:pPr>
            <w:r>
              <w:rPr>
                <w:rFonts w:ascii="Arial" w:cs="Arial" w:eastAsia="Arial" w:hAnsi="Arial"/>
                <w:sz w:val="14"/>
                <w:szCs w:val="14"/>
                <w:color w:val="auto"/>
              </w:rPr>
              <w:t>Principal collections on notes receivable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4,875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business, net of cash acquired</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(29,632)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(627,090)</w:t>
            </w:r>
          </w:p>
        </w:tc>
      </w:tr>
      <w:tr>
        <w:trPr>
          <w:trHeight w:val="202"/>
        </w:trPr>
        <w:tc>
          <w:tcPr>
            <w:tcW w:w="7220" w:type="dxa"/>
            <w:vAlign w:val="bottom"/>
          </w:tcPr>
          <w:p>
            <w:pPr>
              <w:ind w:left="20"/>
              <w:spacing w:after="0"/>
              <w:rPr>
                <w:sz w:val="20"/>
                <w:szCs w:val="20"/>
                <w:color w:val="auto"/>
              </w:rPr>
            </w:pPr>
            <w:r>
              <w:rPr>
                <w:rFonts w:ascii="Arial" w:cs="Arial" w:eastAsia="Arial" w:hAnsi="Arial"/>
                <w:sz w:val="14"/>
                <w:szCs w:val="14"/>
                <w:color w:val="auto"/>
              </w:rPr>
              <w:t>Acquisition of leasing equipment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(749,780)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(638,329)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(572,624)</w:t>
            </w:r>
          </w:p>
        </w:tc>
      </w:tr>
      <w:tr>
        <w:trPr>
          <w:trHeight w:val="203"/>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(6,148)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(144,196)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(157,332)</w:t>
            </w:r>
          </w:p>
        </w:tc>
      </w:tr>
      <w:tr>
        <w:trPr>
          <w:trHeight w:val="202"/>
        </w:trPr>
        <w:tc>
          <w:tcPr>
            <w:tcW w:w="7220" w:type="dxa"/>
            <w:vAlign w:val="bottom"/>
          </w:tcPr>
          <w:p>
            <w:pPr>
              <w:ind w:left="20"/>
              <w:spacing w:after="0"/>
              <w:rPr>
                <w:sz w:val="20"/>
                <w:szCs w:val="20"/>
                <w:color w:val="auto"/>
              </w:rPr>
            </w:pPr>
            <w:r>
              <w:rPr>
                <w:rFonts w:ascii="Arial" w:cs="Arial" w:eastAsia="Arial" w:hAnsi="Arial"/>
                <w:sz w:val="14"/>
                <w:szCs w:val="14"/>
                <w:color w:val="auto"/>
              </w:rPr>
              <w:t>Acquisition of lease intangibles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(20,964)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(31,127)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(24,017)</w:t>
            </w:r>
          </w:p>
        </w:tc>
      </w:tr>
      <w:tr>
        <w:trPr>
          <w:trHeight w:val="203"/>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convertible promissory notes</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r>
      <w:tr>
        <w:trPr>
          <w:trHeight w:val="202"/>
        </w:trPr>
        <w:tc>
          <w:tcPr>
            <w:tcW w:w="7220" w:type="dxa"/>
            <w:vAlign w:val="bottom"/>
          </w:tcPr>
          <w:p>
            <w:pPr>
              <w:ind w:left="20"/>
              <w:spacing w:after="0"/>
              <w:rPr>
                <w:sz w:val="20"/>
                <w:szCs w:val="20"/>
                <w:color w:val="auto"/>
              </w:rPr>
            </w:pPr>
            <w:r>
              <w:rPr>
                <w:rFonts w:ascii="Arial" w:cs="Arial" w:eastAsia="Arial" w:hAnsi="Arial"/>
                <w:sz w:val="14"/>
                <w:szCs w:val="14"/>
                <w:color w:val="auto"/>
              </w:rPr>
              <w:t>Investment in promissory notes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(11,500)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deposit for acquisitions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(23,937)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(13,658)</w:t>
            </w:r>
          </w:p>
        </w:tc>
      </w:tr>
      <w:tr>
        <w:trPr>
          <w:trHeight w:val="202"/>
        </w:trPr>
        <w:tc>
          <w:tcPr>
            <w:tcW w:w="7220" w:type="dxa"/>
            <w:vAlign w:val="bottom"/>
          </w:tcPr>
          <w:p>
            <w:pPr>
              <w:ind w:left="20"/>
              <w:spacing w:after="0"/>
              <w:rPr>
                <w:sz w:val="20"/>
                <w:szCs w:val="20"/>
                <w:color w:val="auto"/>
              </w:rPr>
            </w:pPr>
            <w:r>
              <w:rPr>
                <w:rFonts w:ascii="Arial" w:cs="Arial" w:eastAsia="Arial" w:hAnsi="Arial"/>
                <w:sz w:val="14"/>
                <w:szCs w:val="14"/>
                <w:color w:val="auto"/>
              </w:rPr>
              <w:t>Proceeds from sale of leasing equipment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477,886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408,937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158,927</w:t>
            </w:r>
          </w:p>
        </w:tc>
      </w:tr>
      <w:tr>
        <w:trPr>
          <w:trHeight w:val="203"/>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4,494</w:t>
            </w:r>
          </w:p>
        </w:tc>
      </w:tr>
      <w:tr>
        <w:trPr>
          <w:trHeight w:val="202"/>
        </w:trPr>
        <w:tc>
          <w:tcPr>
            <w:tcW w:w="7220" w:type="dxa"/>
            <w:vAlign w:val="bottom"/>
          </w:tcPr>
          <w:p>
            <w:pPr>
              <w:ind w:left="20"/>
              <w:spacing w:after="0"/>
              <w:rPr>
                <w:sz w:val="20"/>
                <w:szCs w:val="20"/>
                <w:color w:val="auto"/>
              </w:rPr>
            </w:pPr>
            <w:r>
              <w:rPr>
                <w:rFonts w:ascii="Arial" w:cs="Arial" w:eastAsia="Arial" w:hAnsi="Arial"/>
                <w:sz w:val="14"/>
                <w:szCs w:val="14"/>
                <w:color w:val="auto"/>
              </w:rPr>
              <w:t>Proceeds for deposit on sale of aircraft and engine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1,413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3,780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600</w:t>
            </w:r>
          </w:p>
        </w:tc>
      </w:tr>
      <w:tr>
        <w:trPr>
          <w:trHeight w:val="203"/>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Return of purchase deposits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r>
      <w:tr>
        <w:trPr>
          <w:trHeight w:val="195"/>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(373,349)</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(411,253)</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(1,286,958)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Proceeds from debt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951,665</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813,980</w:t>
            </w:r>
          </w:p>
        </w:tc>
        <w:tc>
          <w:tcPr>
            <w:tcW w:w="1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2,894,127</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debt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(605,000)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(1,144,529)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(1,553,231)</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Payment of deferred financing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(12,180)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(18,607)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(52,739)</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security deposits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9,927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8,770</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Return of security deposits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(2,385)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(2,141)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Receipt of maintenance deposits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30,354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47,846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31,507</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Release of maintenance deposits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(1,471)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(20,724)</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ordinary shares, net of underwriter's discount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323,124</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Proceeds from issuance of preferred shares, net of underwriter's discount and issuance costs</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61,729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101,200</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contributions from non-controlling interests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Dividend from spin-off of FTAI Infrastructure, net of cash transferred</w:t>
            </w: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500,562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equity-based compensation</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Cash dividends - ordinary shares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(119,847)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(128,483)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(118,009)</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 preferred shares</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(31,795)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(27,164)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(24,758)</w:t>
            </w:r>
          </w:p>
        </w:tc>
        <w:tc>
          <w:tcPr>
            <w:tcW w:w="0" w:type="dxa"/>
            <w:vAlign w:val="bottom"/>
          </w:tcPr>
          <w:p>
            <w:pPr>
              <w:spacing w:after="0"/>
              <w:rPr>
                <w:sz w:val="1"/>
                <w:szCs w:val="1"/>
                <w:color w:val="auto"/>
              </w:rPr>
            </w:pPr>
          </w:p>
        </w:tc>
      </w:tr>
      <w:tr>
        <w:trPr>
          <w:trHeight w:val="195"/>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282,208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1,587,645</w:t>
            </w:r>
          </w:p>
        </w:tc>
        <w:tc>
          <w:tcPr>
            <w:tcW w:w="0" w:type="dxa"/>
            <w:vAlign w:val="bottom"/>
          </w:tcPr>
          <w:p>
            <w:pPr>
              <w:spacing w:after="0"/>
              <w:rPr>
                <w:sz w:val="1"/>
                <w:szCs w:val="1"/>
                <w:color w:val="auto"/>
              </w:rPr>
            </w:pPr>
          </w:p>
        </w:tc>
      </w:tr>
      <w:tr>
        <w:trPr>
          <w:trHeight w:val="197"/>
        </w:trPr>
        <w:tc>
          <w:tcPr>
            <w:tcW w:w="7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37,841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(386,996)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278,643</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53,065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440,061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161,418</w:t>
            </w:r>
          </w:p>
        </w:tc>
        <w:tc>
          <w:tcPr>
            <w:tcW w:w="0" w:type="dxa"/>
            <w:vAlign w:val="bottom"/>
          </w:tcPr>
          <w:p>
            <w:pPr>
              <w:spacing w:after="0"/>
              <w:rPr>
                <w:sz w:val="1"/>
                <w:szCs w:val="1"/>
                <w:color w:val="auto"/>
              </w:rPr>
            </w:pPr>
          </w:p>
        </w:tc>
      </w:tr>
      <w:tr>
        <w:trPr>
          <w:trHeight w:val="197"/>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90,906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53,065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440,061</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 net of capitalized interest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150,622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185,144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142,200</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Cash paid for taxes</w:t>
            </w:r>
          </w:p>
        </w:tc>
        <w:tc>
          <w:tcPr>
            <w:tcW w:w="28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1,393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3,279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217"/>
        </w:trPr>
        <w:tc>
          <w:tcPr>
            <w:tcW w:w="7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leasing equipment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(105,313)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(74,706)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(44,552)</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(699)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Transfers from leasing equipment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224,218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121,855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91,266</w:t>
            </w:r>
          </w:p>
        </w:tc>
        <w:tc>
          <w:tcPr>
            <w:tcW w:w="0" w:type="dxa"/>
            <w:vAlign w:val="bottom"/>
          </w:tcPr>
          <w:p>
            <w:pPr>
              <w:spacing w:after="0"/>
              <w:rPr>
                <w:sz w:val="1"/>
                <w:szCs w:val="1"/>
                <w:color w:val="auto"/>
              </w:rPr>
            </w:pPr>
          </w:p>
        </w:tc>
      </w:tr>
      <w:tr>
        <w:trPr>
          <w:trHeight w:val="153"/>
        </w:trPr>
        <w:tc>
          <w:tcPr>
            <w:tcW w:w="7160" w:type="dxa"/>
            <w:vAlign w:val="bottom"/>
          </w:tcPr>
          <w:p>
            <w:pPr>
              <w:ind w:left="20"/>
              <w:spacing w:after="0" w:line="153" w:lineRule="exact"/>
              <w:rPr>
                <w:sz w:val="20"/>
                <w:szCs w:val="20"/>
                <w:color w:val="auto"/>
              </w:rPr>
            </w:pPr>
            <w:r>
              <w:rPr>
                <w:rFonts w:ascii="Arial" w:cs="Arial" w:eastAsia="Arial" w:hAnsi="Arial"/>
                <w:sz w:val="14"/>
                <w:szCs w:val="14"/>
                <w:color w:val="auto"/>
              </w:rPr>
              <w:t>Security deposits, maintenance deposits, other assets and other liabilities settled in the sale of leasing</w:t>
            </w:r>
          </w:p>
        </w:tc>
        <w:tc>
          <w:tcPr>
            <w:tcW w:w="280" w:type="dxa"/>
            <w:vAlign w:val="bottom"/>
          </w:tcPr>
          <w:p>
            <w:pPr>
              <w:spacing w:after="0"/>
              <w:rPr>
                <w:sz w:val="13"/>
                <w:szCs w:val="13"/>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24,116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18,385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85"/>
        </w:trPr>
        <w:tc>
          <w:tcPr>
            <w:tcW w:w="7160" w:type="dxa"/>
            <w:vAlign w:val="bottom"/>
          </w:tcPr>
          <w:p>
            <w:pPr>
              <w:ind w:left="20"/>
              <w:spacing w:after="0"/>
              <w:rPr>
                <w:sz w:val="20"/>
                <w:szCs w:val="20"/>
                <w:color w:val="auto"/>
              </w:rPr>
            </w:pPr>
            <w:r>
              <w:rPr>
                <w:rFonts w:ascii="Arial" w:cs="Arial" w:eastAsia="Arial" w:hAnsi="Arial"/>
                <w:sz w:val="14"/>
                <w:szCs w:val="14"/>
                <w:color w:val="auto"/>
              </w:rPr>
              <w:t>equipment</w:t>
            </w: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Settled and assumed security deposits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823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(4,041)</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Billed, assumed and settled maintenance deposits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(18,907)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(47,993)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(21,710)</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change in equity method investment</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(182,963)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(129,907)</w:t>
            </w:r>
          </w:p>
        </w:tc>
        <w:tc>
          <w:tcPr>
            <w:tcW w:w="0" w:type="dxa"/>
            <w:vAlign w:val="bottom"/>
          </w:tcPr>
          <w:p>
            <w:pPr>
              <w:spacing w:after="0"/>
              <w:rPr>
                <w:sz w:val="1"/>
                <w:szCs w:val="1"/>
                <w:color w:val="auto"/>
              </w:rPr>
            </w:pPr>
          </w:p>
        </w:tc>
      </w:tr>
      <w:tr>
        <w:trPr>
          <w:trHeight w:val="202"/>
        </w:trPr>
        <w:tc>
          <w:tcPr>
            <w:tcW w:w="7160" w:type="dxa"/>
            <w:vAlign w:val="bottom"/>
          </w:tcPr>
          <w:p>
            <w:pPr>
              <w:ind w:left="20"/>
              <w:spacing w:after="0"/>
              <w:rPr>
                <w:sz w:val="20"/>
                <w:szCs w:val="20"/>
                <w:color w:val="auto"/>
              </w:rPr>
            </w:pPr>
            <w:r>
              <w:rPr>
                <w:rFonts w:ascii="Arial" w:cs="Arial" w:eastAsia="Arial" w:hAnsi="Arial"/>
                <w:sz w:val="14"/>
                <w:szCs w:val="14"/>
                <w:color w:val="auto"/>
              </w:rPr>
              <w:t>Conversion of interests in unconsolidated entities</w:t>
            </w:r>
          </w:p>
        </w:tc>
        <w:tc>
          <w:tcPr>
            <w:tcW w:w="2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(21,302)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ordinary shares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924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 ORGANIZATION</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FTAI Aviation Ltd. (“we”, “us”, “our” or the “Company” and formerly “Fortress Transportation and Infrastructure Investors LLC”) is a Cayman Islands exempted company which through its subsidiaries owns, leases, and sells aviation equipment and also develops and manufactures, through a joint venture, and repairs and sells, through our maintenance facility and exclusivity arrangements, aftermarket components for aircraft engines. Additionally, we own and lease offshore energy equipment. We have two reportable segments, (i) Aviation Leasing and (ii) Aerospace Products (see Note 13).</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August 1, 2022, the Company completed the spin-off of its infrastructure business into an independent publicly traded company. Accordingly, the operating results of, and costs to separate, the infrastructure business are reported in Net loss from discontinued operations, net of income taxes in the Consolidated Statements of Operations for all periods presented. All amounts and disclosures included in the Notes to Consolidated Financial Statements reflect only the Company's continuing operations unless otherwise noted. For additional information, see Note 3, "Discontinued Operations."</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November 10, 2022, the Company completed a reverse merger transaction pursuant to the Agreement and Plan of Merger (the “Merger”) between Fortress Transportation and Infrastructure Investors LLC (“FTAI”) and the Company and the parties thereto, with FTAI becoming a subsidiary of the Company. This reverse merger represents a transaction between entities under common control. Upon merger completion, FTAI’s shareholders received one share of the Company’s ordinary shares, Series A Preferred Shares, Series B Preferred Shares and Series C Preferred Shares in exchange for each share of FTAI’s common shares, Series A Preferred Shares, Series B Preferred Shares and Series C Preferred Shares, respectively, with the new Shares of FTAI Aviation having substantially similar rights and privileges as the respective FTAI shares being converted. All exchanges were completed without any further action from the shareholders.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2. SUMMARY OF SIGNIFICANT ACCOUNTING POLICIES</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0000"/>
        </w:rPr>
        <w:t>—The accompanying consolidated financial statements are prepared in accordance with U.S. generally accepted accounting principles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(“U.S. GAAP”) and include the accounts of us and our subsidiaries.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0000"/>
        </w:rPr>
        <w:t>—We consolidate all entities in which we have a controlling financial interest and control over significant operating decisions.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ownership interest of other investors in consolidated subsidiaries is recorded as non-controlling interest.</w:t>
      </w:r>
    </w:p>
    <w:p>
      <w:pPr>
        <w:spacing w:after="0" w:line="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use the equity method of accounting for investments in entities in which we exercise significant influence, but which do not meet the requirements for consolidation. Under the equity method, we record our proportionate share of the underlying net income (loss) of these entities as well as the proportionate interest in adjustments to other comprehensive income (loss).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 xml:space="preserve">Use of Estimates </w:t>
      </w:r>
      <w:r>
        <w:rPr>
          <w:rFonts w:ascii="Arial" w:cs="Arial" w:eastAsia="Arial" w:hAnsi="Arial"/>
          <w:sz w:val="16"/>
          <w:szCs w:val="16"/>
          <w:color w:val="000000"/>
        </w:rPr>
        <w:t>—The preparation of financial statements in conformity with U.S. GAAP requires management to make estimates and assumptions that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6"/>
          <w:szCs w:val="16"/>
          <w:b w:val="1"/>
          <w:bCs w:val="1"/>
          <w:i w:val="1"/>
          <w:iCs w:val="1"/>
          <w:color w:val="00497F"/>
        </w:rPr>
        <w:t>Risks and Uncertainties</w:t>
      </w:r>
      <w:r>
        <w:rPr>
          <w:rFonts w:ascii="Arial" w:cs="Arial" w:eastAsia="Arial" w:hAnsi="Arial"/>
          <w:sz w:val="16"/>
          <w:szCs w:val="16"/>
          <w:color w:val="000000"/>
        </w:rPr>
        <w:t>—In the normal course of business, we encounter several significant types of economic risk including credit, market, and capital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market risks. Credit risk is the risk of the inability or unwillingness of a lessee or customer to make contractually required payments or to fulfill its other contractual obligations. Market risk reflects the risk of a downturn or volatility in the underlying industry segments in which we operate, which could adversely impact the pricing of the services offered by us or a lessee’s or customer’s ability to make payments, increase the risk of unscheduled lease terminations and depress lease rates and the value of our leasing equipment or operating assets. Capital market risk is the risk that we are unable to obtain capital at reasonable rates to fund the growth of our business or to refinance existing debt facilities. We, through our subsidiaries, also conduct operations outside of the United States; such international operations are subject to the same risks as those associated with our United States operations as well as additional risks, including unexpected changes in regulatory requirements, heightened risk of political and economic instability, potentially adverse tax consequences and the burden of complying with foreign laws. We do not have significant exposure to foreign currency risk as all of our leasing arrangements are denominated in U.S. dollars.</w:t>
      </w:r>
    </w:p>
    <w:p>
      <w:pPr>
        <w:spacing w:after="0" w:line="89" w:lineRule="exact"/>
        <w:rPr>
          <w:sz w:val="20"/>
          <w:szCs w:val="20"/>
          <w:color w:val="auto"/>
        </w:rPr>
      </w:pPr>
    </w:p>
    <w:p>
      <w:pPr>
        <w:spacing w:after="0" w:line="263"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0000"/>
        </w:rPr>
        <w:t>—We consider all highly liquid short-term investments with a maturity of 90 days or less when purchased to be cash</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equivalents.</w:t>
      </w:r>
    </w:p>
    <w:p>
      <w:pPr>
        <w:spacing w:after="0" w:line="284" w:lineRule="exact"/>
        <w:rPr>
          <w:sz w:val="20"/>
          <w:szCs w:val="20"/>
          <w:color w:val="auto"/>
        </w:rPr>
      </w:pPr>
    </w:p>
    <w:p>
      <w:pPr>
        <w:spacing w:after="0" w:line="304"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0000"/>
        </w:rPr>
        <w:t>—Restricted cash is $0.2 million and $19.5 million as of December 31, 2023 and 2022, respectively. The balance as of December 31, 2022</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consisted of funds required for the Company’s investment in QuickTurn, as described in Note 4.</w:t>
      </w:r>
    </w:p>
    <w:p>
      <w:pPr>
        <w:spacing w:after="0" w:line="33" w:lineRule="exact"/>
        <w:rPr>
          <w:sz w:val="20"/>
          <w:szCs w:val="20"/>
          <w:color w:val="auto"/>
        </w:rPr>
      </w:pPr>
    </w:p>
    <w:p>
      <w:pPr>
        <w:spacing w:after="0" w:line="304" w:lineRule="auto"/>
        <w:rPr>
          <w:sz w:val="20"/>
          <w:szCs w:val="20"/>
          <w:color w:val="auto"/>
        </w:rPr>
      </w:pPr>
      <w:r>
        <w:rPr>
          <w:rFonts w:ascii="Arial" w:cs="Arial" w:eastAsia="Arial" w:hAnsi="Arial"/>
          <w:sz w:val="16"/>
          <w:szCs w:val="16"/>
          <w:b w:val="1"/>
          <w:bCs w:val="1"/>
          <w:i w:val="1"/>
          <w:iCs w:val="1"/>
          <w:color w:val="00497F"/>
        </w:rPr>
        <w:t>Inventory</w:t>
      </w:r>
      <w:r>
        <w:rPr>
          <w:rFonts w:ascii="Arial" w:cs="Arial" w:eastAsia="Arial" w:hAnsi="Arial"/>
          <w:sz w:val="16"/>
          <w:szCs w:val="16"/>
          <w:color w:val="000000"/>
        </w:rPr>
        <w:t>—We hold aircraft engine modules, spare parts and used material inventory for trading, repairs and to support operations. Inventory is carried at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lower of cost or net realizable value on our consolidated balance sheets.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Property, Plant and Equipment, Leasing Equipment and Depreciation</w:t>
      </w:r>
      <w:r>
        <w:rPr>
          <w:rFonts w:ascii="Arial" w:cs="Arial" w:eastAsia="Arial" w:hAnsi="Arial"/>
          <w:sz w:val="16"/>
          <w:szCs w:val="16"/>
          <w:color w:val="000000"/>
        </w:rPr>
        <w:t>—Property, plant and equipment and leasing equipment are stated at cost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(inclusive of capitalized acquisition costs, where applicable) and depreciated using the straight-line method, over estimated useful lives, to estimated residual values which are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0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Asset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Range of Estimated Useful Lives</w:t>
            </w:r>
          </w:p>
        </w:tc>
        <w:tc>
          <w:tcPr>
            <w:tcW w:w="140" w:type="dxa"/>
            <w:vAlign w:val="bottom"/>
            <w:tcBorders>
              <w:bottom w:val="single" w:sz="8" w:color="CCEEFF"/>
            </w:tcBorders>
          </w:tcPr>
          <w:p>
            <w:pPr>
              <w:spacing w:after="0"/>
              <w:rPr>
                <w:sz w:val="17"/>
                <w:szCs w:val="17"/>
                <w:color w:val="auto"/>
              </w:rPr>
            </w:pPr>
          </w:p>
        </w:tc>
        <w:tc>
          <w:tcPr>
            <w:tcW w:w="34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Residual Value Estimates</w:t>
            </w:r>
          </w:p>
        </w:tc>
      </w:tr>
      <w:tr>
        <w:trPr>
          <w:trHeight w:val="147"/>
        </w:trPr>
        <w:tc>
          <w:tcPr>
            <w:tcW w:w="424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color w:val="auto"/>
              </w:rPr>
              <w:t>Aircraft</w:t>
            </w:r>
          </w:p>
        </w:tc>
        <w:tc>
          <w:tcPr>
            <w:tcW w:w="3520" w:type="dxa"/>
            <w:vAlign w:val="bottom"/>
            <w:gridSpan w:val="3"/>
            <w:shd w:val="clear" w:color="auto" w:fill="CCEEFF"/>
          </w:tcPr>
          <w:p>
            <w:pPr>
              <w:ind w:left="20"/>
              <w:spacing w:after="0" w:line="147" w:lineRule="exact"/>
              <w:rPr>
                <w:sz w:val="20"/>
                <w:szCs w:val="20"/>
                <w:color w:val="auto"/>
              </w:rPr>
            </w:pPr>
            <w:r>
              <w:rPr>
                <w:rFonts w:ascii="Arial" w:cs="Arial" w:eastAsia="Arial" w:hAnsi="Arial"/>
                <w:sz w:val="14"/>
                <w:szCs w:val="14"/>
                <w:color w:val="auto"/>
              </w:rPr>
              <w:t>25 years from date of manufacture</w:t>
            </w:r>
          </w:p>
        </w:tc>
        <w:tc>
          <w:tcPr>
            <w:tcW w:w="34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Generally not to exceed 15% of manufacturer’s list</w:t>
            </w:r>
          </w:p>
        </w:tc>
      </w:tr>
      <w:tr>
        <w:trPr>
          <w:trHeight w:val="185"/>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price when new</w:t>
            </w:r>
          </w:p>
        </w:tc>
      </w:tr>
      <w:tr>
        <w:trPr>
          <w:trHeight w:val="153"/>
        </w:trPr>
        <w:tc>
          <w:tcPr>
            <w:tcW w:w="42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Aircraft engines</w:t>
            </w:r>
          </w:p>
        </w:tc>
        <w:tc>
          <w:tcPr>
            <w:tcW w:w="120" w:type="dxa"/>
            <w:vAlign w:val="bottom"/>
          </w:tcPr>
          <w:p>
            <w:pPr>
              <w:ind w:left="20"/>
              <w:spacing w:after="0" w:line="153" w:lineRule="exact"/>
              <w:rPr>
                <w:sz w:val="20"/>
                <w:szCs w:val="20"/>
                <w:color w:val="auto"/>
              </w:rPr>
            </w:pPr>
            <w:r>
              <w:rPr>
                <w:rFonts w:ascii="Arial" w:cs="Arial" w:eastAsia="Arial" w:hAnsi="Arial"/>
                <w:sz w:val="14"/>
                <w:szCs w:val="14"/>
                <w:color w:val="auto"/>
              </w:rPr>
              <w:t>2</w:t>
            </w:r>
          </w:p>
        </w:tc>
        <w:tc>
          <w:tcPr>
            <w:tcW w:w="340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- 6 years, based on maintenance adjusted service</w:t>
            </w:r>
          </w:p>
        </w:tc>
        <w:tc>
          <w:tcPr>
            <w:tcW w:w="3460" w:type="dxa"/>
            <w:vAlign w:val="bottom"/>
          </w:tcPr>
          <w:p>
            <w:pPr>
              <w:ind w:left="20"/>
              <w:spacing w:after="0" w:line="153" w:lineRule="exact"/>
              <w:rPr>
                <w:sz w:val="20"/>
                <w:szCs w:val="20"/>
                <w:color w:val="auto"/>
              </w:rPr>
            </w:pPr>
            <w:r>
              <w:rPr>
                <w:rFonts w:ascii="Arial" w:cs="Arial" w:eastAsia="Arial" w:hAnsi="Arial"/>
                <w:sz w:val="14"/>
                <w:szCs w:val="14"/>
                <w:color w:val="auto"/>
              </w:rPr>
              <w:t>Sum of engine core salvage value plus the estimated</w:t>
            </w:r>
          </w:p>
        </w:tc>
      </w:tr>
      <w:tr>
        <w:trPr>
          <w:trHeight w:val="185"/>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life</w:t>
            </w:r>
          </w:p>
        </w:tc>
        <w:tc>
          <w:tcPr>
            <w:tcW w:w="3460" w:type="dxa"/>
            <w:vAlign w:val="bottom"/>
          </w:tcPr>
          <w:p>
            <w:pPr>
              <w:ind w:left="20"/>
              <w:spacing w:after="0"/>
              <w:rPr>
                <w:sz w:val="20"/>
                <w:szCs w:val="20"/>
                <w:color w:val="auto"/>
              </w:rPr>
            </w:pPr>
            <w:r>
              <w:rPr>
                <w:rFonts w:ascii="Arial" w:cs="Arial" w:eastAsia="Arial" w:hAnsi="Arial"/>
                <w:sz w:val="14"/>
                <w:szCs w:val="14"/>
                <w:color w:val="auto"/>
              </w:rPr>
              <w:t>fair value of life limited parts</w:t>
            </w:r>
          </w:p>
        </w:tc>
      </w:tr>
      <w:tr>
        <w:trPr>
          <w:trHeight w:val="203"/>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Aviation tooling and equipment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- 6 years from date of purchase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98"/>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Offshore energy vessels</w:t>
            </w: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25 years from date of manufacture</w:t>
            </w:r>
          </w:p>
        </w:tc>
        <w:tc>
          <w:tcPr>
            <w:tcW w:w="3460" w:type="dxa"/>
            <w:vAlign w:val="bottom"/>
          </w:tcPr>
          <w:p>
            <w:pPr>
              <w:ind w:left="20"/>
              <w:spacing w:after="0"/>
              <w:rPr>
                <w:sz w:val="20"/>
                <w:szCs w:val="20"/>
                <w:color w:val="auto"/>
              </w:rPr>
            </w:pPr>
            <w:r>
              <w:rPr>
                <w:rFonts w:ascii="Arial" w:cs="Arial" w:eastAsia="Arial" w:hAnsi="Arial"/>
                <w:sz w:val="14"/>
                <w:szCs w:val="14"/>
                <w:color w:val="auto"/>
              </w:rPr>
              <w:t>10% of new build cost</w:t>
            </w:r>
          </w:p>
        </w:tc>
      </w:tr>
      <w:tr>
        <w:trPr>
          <w:trHeight w:val="207"/>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40 to 50 years</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198"/>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Machinery and equipment</w:t>
            </w:r>
          </w:p>
        </w:tc>
        <w:tc>
          <w:tcPr>
            <w:tcW w:w="120" w:type="dxa"/>
            <w:vAlign w:val="bottom"/>
          </w:tcPr>
          <w:p>
            <w:pPr>
              <w:ind w:left="20"/>
              <w:spacing w:after="0"/>
              <w:rPr>
                <w:sz w:val="20"/>
                <w:szCs w:val="20"/>
                <w:color w:val="auto"/>
              </w:rPr>
            </w:pPr>
            <w:r>
              <w:rPr>
                <w:rFonts w:ascii="Arial" w:cs="Arial" w:eastAsia="Arial" w:hAnsi="Arial"/>
                <w:sz w:val="14"/>
                <w:szCs w:val="14"/>
                <w:color w:val="auto"/>
              </w:rPr>
              <w:t>6</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- 23 years</w:t>
            </w:r>
          </w:p>
        </w:tc>
        <w:tc>
          <w:tcPr>
            <w:tcW w:w="3460" w:type="dxa"/>
            <w:vAlign w:val="bottom"/>
          </w:tcPr>
          <w:p>
            <w:pPr>
              <w:ind w:left="20"/>
              <w:spacing w:after="0"/>
              <w:rPr>
                <w:sz w:val="20"/>
                <w:szCs w:val="20"/>
                <w:color w:val="auto"/>
              </w:rPr>
            </w:pPr>
            <w:r>
              <w:rPr>
                <w:rFonts w:ascii="Arial" w:cs="Arial" w:eastAsia="Arial" w:hAnsi="Arial"/>
                <w:sz w:val="14"/>
                <w:szCs w:val="14"/>
                <w:color w:val="auto"/>
              </w:rPr>
              <w:t>Scrap value at end of useful life</w:t>
            </w:r>
          </w:p>
        </w:tc>
      </w:tr>
      <w:tr>
        <w:trPr>
          <w:trHeight w:val="207"/>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- 6 years from date of purchase</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None</w:t>
            </w:r>
          </w:p>
        </w:tc>
      </w:tr>
      <w:tr>
        <w:trPr>
          <w:trHeight w:val="198"/>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Computer hardware and software</w:t>
            </w:r>
          </w:p>
        </w:tc>
        <w:tc>
          <w:tcPr>
            <w:tcW w:w="120" w:type="dxa"/>
            <w:vAlign w:val="bottom"/>
          </w:tcPr>
          <w:p>
            <w:pPr>
              <w:ind w:left="20"/>
              <w:spacing w:after="0"/>
              <w:rPr>
                <w:sz w:val="20"/>
                <w:szCs w:val="20"/>
                <w:color w:val="auto"/>
              </w:rPr>
            </w:pPr>
            <w:r>
              <w:rPr>
                <w:rFonts w:ascii="Arial" w:cs="Arial" w:eastAsia="Arial" w:hAnsi="Arial"/>
                <w:sz w:val="14"/>
                <w:szCs w:val="14"/>
                <w:color w:val="auto"/>
              </w:rPr>
              <w:t>2</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- 5 years from date of purchase</w:t>
            </w:r>
          </w:p>
        </w:tc>
        <w:tc>
          <w:tcPr>
            <w:tcW w:w="3460" w:type="dxa"/>
            <w:vAlign w:val="bottom"/>
          </w:tcPr>
          <w:p>
            <w:pPr>
              <w:ind w:left="20"/>
              <w:spacing w:after="0"/>
              <w:rPr>
                <w:sz w:val="20"/>
                <w:szCs w:val="20"/>
                <w:color w:val="auto"/>
              </w:rPr>
            </w:pPr>
            <w:r>
              <w:rPr>
                <w:rFonts w:ascii="Arial" w:cs="Arial" w:eastAsia="Arial" w:hAnsi="Arial"/>
                <w:sz w:val="14"/>
                <w:szCs w:val="14"/>
                <w:color w:val="auto"/>
              </w:rPr>
              <w:t>None</w:t>
            </w:r>
          </w:p>
        </w:tc>
      </w:tr>
      <w:tr>
        <w:trPr>
          <w:trHeight w:val="207"/>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w:t>
            </w:r>
          </w:p>
        </w:tc>
      </w:tr>
      <w:tr>
        <w:trPr>
          <w:trHeight w:val="198"/>
        </w:trPr>
        <w:tc>
          <w:tcPr>
            <w:tcW w:w="4240" w:type="dxa"/>
            <w:vAlign w:val="bottom"/>
            <w:gridSpan w:val="2"/>
          </w:tcPr>
          <w:p>
            <w:pPr>
              <w:ind w:left="20"/>
              <w:spacing w:after="0"/>
              <w:rPr>
                <w:sz w:val="20"/>
                <w:szCs w:val="20"/>
                <w:color w:val="auto"/>
              </w:rPr>
            </w:pPr>
            <w:r>
              <w:rPr>
                <w:rFonts w:ascii="Arial" w:cs="Arial" w:eastAsia="Arial" w:hAnsi="Arial"/>
                <w:sz w:val="14"/>
                <w:szCs w:val="14"/>
                <w:color w:val="auto"/>
              </w:rPr>
              <w:t>Construction in progress</w:t>
            </w:r>
          </w:p>
        </w:tc>
        <w:tc>
          <w:tcPr>
            <w:tcW w:w="3520" w:type="dxa"/>
            <w:vAlign w:val="bottom"/>
            <w:gridSpan w:val="3"/>
          </w:tcPr>
          <w:p>
            <w:pPr>
              <w:ind w:left="20"/>
              <w:spacing w:after="0"/>
              <w:rPr>
                <w:sz w:val="20"/>
                <w:szCs w:val="20"/>
                <w:color w:val="auto"/>
              </w:rPr>
            </w:pPr>
            <w:r>
              <w:rPr>
                <w:rFonts w:ascii="Arial" w:cs="Arial" w:eastAsia="Arial" w:hAnsi="Arial"/>
                <w:sz w:val="14"/>
                <w:szCs w:val="14"/>
                <w:color w:val="auto"/>
              </w:rPr>
              <w:t>N/A</w:t>
            </w:r>
          </w:p>
        </w:tc>
        <w:tc>
          <w:tcPr>
            <w:tcW w:w="3460" w:type="dxa"/>
            <w:vAlign w:val="bottom"/>
          </w:tcPr>
          <w:p>
            <w:pPr>
              <w:ind w:left="20"/>
              <w:spacing w:after="0"/>
              <w:rPr>
                <w:sz w:val="20"/>
                <w:szCs w:val="20"/>
                <w:color w:val="auto"/>
              </w:rPr>
            </w:pPr>
            <w:r>
              <w:rPr>
                <w:rFonts w:ascii="Arial" w:cs="Arial" w:eastAsia="Arial" w:hAnsi="Arial"/>
                <w:sz w:val="14"/>
                <w:szCs w:val="14"/>
                <w:color w:val="auto"/>
              </w:rPr>
              <w:t>N/A</w:t>
            </w:r>
          </w:p>
        </w:tc>
      </w:tr>
      <w:tr>
        <w:trPr>
          <w:trHeight w:val="207"/>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5</w:t>
            </w:r>
          </w:p>
        </w:tc>
        <w:tc>
          <w:tcPr>
            <w:tcW w:w="3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- 7 years</w:t>
            </w:r>
          </w:p>
        </w:tc>
        <w:tc>
          <w:tcPr>
            <w:tcW w:w="3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w:t>
            </w:r>
          </w:p>
        </w:tc>
      </w:tr>
    </w:tbl>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Major improvements and modifications incurred in connection with the acquisition of property, plant and equipment and leasing equipment that are required to get the asset ready for initial service are capitalized and depreciated over the remaining life of the asset. Project costs of major additions and betterments, including capitalizable engineering costs and other costs directly related to the development or construction of project, are capitalized and depreciation commences once it is placed into service. Interest costs directly related to and incurred during the construction period of property, plant and equipment are capitalized.</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review our depreciation policies on a regular basis to determine whether changes have taken place that would suggest that a change in our depreciation policies, useful lives of our equipment or the assigned residual values is warranted.</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planned major maintenance or component overhaul activities for aviation equipment off lease, the cost of such major maintenance or component overhaul event is capitalized and depreciated on a straight-line basis over the period until the next maintenance or component overhaul event is required.</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offshore energy vessels are required to be drydocked periodically for recertifications or major repairs and maintenance that cannot be performed while the vessels are operating. Normal repairs and maintenance are expensed as incurred. We capitalize the costs associated with the drydockings and amortize them on a straight-line basis over the period between drydockings, usually during a 60 month time span.</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accounting for leasing equipment, we make estimates about the expected useful lives, residual values and the fair value of acquired in-place leases and acquired maintenance liabilities (for aviation equipment). In making these estimates, we rely upon observable market data for the same or similar types of equipment and, in the case of aviation equipment, our own estimates with respect to a lessee’s anticipated utilization of the aircraft or engine. When we acquire leasing equipment subject to an in-place lease, determining the fair value of the in-place lease requires us to make assumptions regarding the current fair values of leases for identical or similar equipment, in order to determine if the in-place lease is within a fair value range of current lease rates. If a lease is below or above the range of current lease rates, the resulting lease discount or premium is recognized as a lease intangible and amortized into lease income over the remaining term of the lease.</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Capitalized Interest</w:t>
      </w:r>
      <w:r>
        <w:rPr>
          <w:rFonts w:ascii="Arial" w:cs="Arial" w:eastAsia="Arial" w:hAnsi="Arial"/>
          <w:sz w:val="16"/>
          <w:szCs w:val="16"/>
          <w:color w:val="000000"/>
        </w:rPr>
        <w:t>—The interest cost associated with major development and construction projects are capitalized and included in the cost of the project.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Interest capitalization ceases once a project is substantially complete or no longer undergoing construction activities to prepare it for its intended use. We capitalized interest of $0.7 million, $2.7 million and $2.4 million during the years ended December 31, 2023, 2022 and 2021, respectively.</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Repairs and Maintenance</w:t>
      </w:r>
      <w:r>
        <w:rPr>
          <w:rFonts w:ascii="Arial" w:cs="Arial" w:eastAsia="Arial" w:hAnsi="Arial"/>
          <w:sz w:val="16"/>
          <w:szCs w:val="16"/>
          <w:color w:val="000000"/>
        </w:rPr>
        <w:t>—Repair and maintenance costs that do not extend the lives of the assets are expensed as incurred. Our repairs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maintenance expense was $7.7 million, $7.2 million and $3.2 million during the years ended December 31, 2023, 2022 and 2021, respectively, and are included in Operating expenses in the Consolidated Statements of Operations.</w:t>
      </w:r>
    </w:p>
    <w:p>
      <w:pPr>
        <w:spacing w:after="0" w:line="7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00497F"/>
        </w:rPr>
        <w:t>Impairment of Long-Lived Assets</w:t>
      </w:r>
      <w:r>
        <w:rPr>
          <w:rFonts w:ascii="Arial" w:cs="Arial" w:eastAsia="Arial" w:hAnsi="Arial"/>
          <w:sz w:val="16"/>
          <w:szCs w:val="16"/>
          <w:color w:val="000000"/>
        </w:rPr>
        <w:t>—We perform a recoverability assessment of each of our long-lived assets whenever events or changes in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circumstances, or indicators, indicate that the carrying amount or net book value of an asset may not be recoverable. Indicators may include, but are not limited to, a significant lease restructuring or early lease termination; significant traffic decline; a significant change in market conditions; or the introduction of newer technology aircraft, vessels or engines. When performing a recoverability assessment, we measure whether the estimated future undiscounted net cash flows expected to be generated by the asset exceeds its net book value. The undiscounted cash flows consist of cash flows from currently contracted leases and contracts, future projected leases, transition costs, estimated down time and estimated residual or scrap values. In the event that an asset does not meet the recoverability test, the carrying value of the asset will be adjusted to fair value resulting in an impairment charge.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Management develops the assumptions used in the recoverability analysis based on its knowledge of active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residual values, economic conditions, technology, demand for a particular asset type and other factors.</w:t>
      </w:r>
    </w:p>
    <w:p>
      <w:pPr>
        <w:spacing w:after="0" w:line="7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b w:val="1"/>
          <w:bCs w:val="1"/>
          <w:i w:val="1"/>
          <w:iCs w:val="1"/>
          <w:color w:val="00497F"/>
        </w:rPr>
        <w:t>Security Deposits</w:t>
      </w:r>
      <w:r>
        <w:rPr>
          <w:rFonts w:ascii="Arial" w:cs="Arial" w:eastAsia="Arial" w:hAnsi="Arial"/>
          <w:sz w:val="16"/>
          <w:szCs w:val="16"/>
          <w:color w:val="000000"/>
        </w:rPr>
        <w:t>—Our operating leases generally require the lessee to pay a security deposit or provide a letter of credit. Security deposits are held until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specified return dates stipulated in the lease or lease expiration.</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00497F"/>
        </w:rPr>
        <w:t>Maintenance Payments</w:t>
      </w:r>
      <w:r>
        <w:rPr>
          <w:rFonts w:ascii="Arial" w:cs="Arial" w:eastAsia="Arial" w:hAnsi="Arial"/>
          <w:sz w:val="16"/>
          <w:szCs w:val="16"/>
          <w:color w:val="000000"/>
        </w:rPr>
        <w:t>—Typically, under an operating lease of aircraft, the lessee is responsible for performing all maintenance and is generally required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to make maintenance payments to us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we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record the portion of maintenance payments paid by the lessee that are expected to be reimbursed as maintenance deposit liabilities in the Consolidated Balance Sheets. Reimbursements made to the lessee upon the receipt of evidence of qualifying maintenance work are recorded against the maintenance deposit liability.</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certain acquired leases, we or the lessee may be obligated to make a payment to the other party at lease termination based on redelivery conditions stipulated at the inception of the lease. When the lessee is required to return the aircraft in an improved maintenance condition, we record a maintenance right asset, as a component of other assets, for the estimated value of the end-of-life maintenance payment at acquisition. We recognize payments received as end-of-lease compensation adjustments, within lease income or as a reduction to the maintenance right asset, when payment is received or collectability is assured. In the event we are required to make payments at the end of the lease for redelivery conditions, amounts are accrued as additional maintenance liability and expensed when we are obligated and can reasonably estimate such payments.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Lease Incentives and Amortization</w:t>
      </w:r>
      <w:r>
        <w:rPr>
          <w:rFonts w:ascii="Arial" w:cs="Arial" w:eastAsia="Arial" w:hAnsi="Arial"/>
          <w:sz w:val="16"/>
          <w:szCs w:val="16"/>
          <w:color w:val="000000"/>
        </w:rPr>
        <w:t>—Lease incentives, which include lease acquisition costs related to reconfiguration of the aircraft cabin, other lessee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specific modifications and other direct costs, are capitalized and amortized as a reduction of lease income over the primary term of the lease, assuming no lease renewals.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Intangibles and amortization</w:t>
      </w:r>
      <w:r>
        <w:rPr>
          <w:rFonts w:ascii="Arial" w:cs="Arial" w:eastAsia="Arial" w:hAnsi="Arial"/>
          <w:sz w:val="16"/>
          <w:szCs w:val="16"/>
          <w:color w:val="000000"/>
        </w:rPr>
        <w:t>—Intangibles include the value of acquired favorable and unfavorable leases.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accounting for acquired leasing equipment, we make estimates about the fair value of the acquired leases. In determining the fair value of these leases, we make assumptions regarding the current fair values of leases for identical or similar equipment in order to determine if the acquired lease is within a fair value range of current lease rates. If a lease is below or above the range of current lease rates, the resulting lease discount or premium is recognized as a lease intangible and amortized into lease income over the remaining term of the lease. Acquired lease intangibles are amortized on a straight-line basis over the remaining lease terms, which collectively had a weighted-average remaining amortization period of approximately 47 months as of December 31, 2023, and are recorded as a component of revenues in the accompanying Consolidated Statements of Operations.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0000"/>
        </w:rPr>
        <w:t>—Costs incurred in connection with obtaining long term financing are capitalized and amortized to interest expense over the term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underlying loans. Unamortized deferred financing costs of $33.2 million and $29.4 million as of December 31, 2023 and 2022, respectively, are included in Debt, net in the Consolidated Balance Sheets.</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also have unamortized deferred revolver fees related to our revolving debt of $5.1 million and $5.5 million as of December 31, 2023 and 2022, respectively, which are included in Other assets in the Consolidated Balance Sheets.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Amortization expense was $8.9 million, $17.0 million and $19.1 million for the years ended December 31, 2023, 2022 and 2021, respectively, and is included in Interest expense in the Consolidated Statements of Operations.</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Discontinued Operations</w:t>
      </w:r>
      <w:r>
        <w:rPr>
          <w:rFonts w:ascii="Arial" w:cs="Arial" w:eastAsia="Arial" w:hAnsi="Arial"/>
          <w:sz w:val="16"/>
          <w:szCs w:val="16"/>
          <w:i w:val="1"/>
          <w:iCs w:val="1"/>
          <w:color w:val="000000"/>
        </w:rPr>
        <w:t>—</w:t>
      </w:r>
      <w:r>
        <w:rPr>
          <w:rFonts w:ascii="Arial" w:cs="Arial" w:eastAsia="Arial" w:hAnsi="Arial"/>
          <w:sz w:val="16"/>
          <w:szCs w:val="16"/>
          <w:color w:val="000000"/>
        </w:rPr>
        <w:t>A disposal of an entity or component of an entity is reported in discontinued operations if the disposal represents a strategic</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shift that has or will have a material impact on our operations and financial results. See Note 3 for additional information related to our discontinued operations.</w:t>
      </w:r>
    </w:p>
    <w:p>
      <w:pPr>
        <w:spacing w:after="0" w:line="2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Revenues</w:t>
      </w:r>
      <w:r>
        <w:rPr>
          <w:rFonts w:ascii="Arial" w:cs="Arial" w:eastAsia="Arial" w:hAnsi="Arial"/>
          <w:sz w:val="16"/>
          <w:szCs w:val="16"/>
          <w:color w:val="00497F"/>
        </w:rPr>
        <w:t>—</w:t>
      </w:r>
      <w:r>
        <w:rPr>
          <w:rFonts w:ascii="Arial" w:cs="Arial" w:eastAsia="Arial" w:hAnsi="Arial"/>
          <w:sz w:val="16"/>
          <w:szCs w:val="16"/>
          <w:color w:val="000000"/>
        </w:rPr>
        <w:t>We disaggregate our revenue by products and services. Revenues are within the scope of ASC 842,</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Leases,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ASC 606,</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Revenue from</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contracts with customers</w:t>
      </w:r>
      <w:r>
        <w:rPr>
          <w:rFonts w:ascii="Arial" w:cs="Arial" w:eastAsia="Arial" w:hAnsi="Arial"/>
          <w:sz w:val="16"/>
          <w:szCs w:val="16"/>
          <w:color w:val="000000"/>
        </w:rPr>
        <w:t>, unless otherwise noted. We have elected to exclude sales and other similar taxes from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6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During the third quarter of 2022, we updated our corporate strategy based on the opportunities available in the market such that the sale of aircraft and engines is now an output of our recurring, ordinary activities. As a result of this update, the transaction price allocated to the sale of assets is included in</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6"/>
          <w:szCs w:val="16"/>
          <w:color w:val="auto"/>
        </w:rPr>
        <w:t>Asset sales revenue in the Consolidated Statements of Operations beginning in the third quarter of 2022 and are accounted for in accordance with ASC 606. The corresponding net book values of the assets sold are recorded in Cost of sales in the Consolidated Statement of Operations beginning in the third</w:t>
      </w:r>
    </w:p>
    <w:p>
      <w:pPr>
        <w:jc w:val="both"/>
        <w:spacing w:after="0" w:line="236" w:lineRule="auto"/>
        <w:rPr>
          <w:sz w:val="20"/>
          <w:szCs w:val="20"/>
          <w:color w:val="auto"/>
        </w:rPr>
      </w:pPr>
      <w:r>
        <w:rPr>
          <w:rFonts w:ascii="Arial" w:cs="Arial" w:eastAsia="Arial" w:hAnsi="Arial"/>
          <w:sz w:val="16"/>
          <w:szCs w:val="16"/>
          <w:color w:val="auto"/>
        </w:rPr>
        <w:t xml:space="preserve">quarter of 2022. Sales transactions of aircraft and engines prior to the third quarter of 2022 were accounted for in accordance with ASC 610-20, </w:t>
      </w:r>
      <w:r>
        <w:rPr>
          <w:rFonts w:ascii="Arial" w:cs="Arial" w:eastAsia="Arial" w:hAnsi="Arial"/>
          <w:sz w:val="16"/>
          <w:szCs w:val="16"/>
          <w:i w:val="1"/>
          <w:iCs w:val="1"/>
          <w:color w:val="auto"/>
        </w:rPr>
        <w:t>Gains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from the derecognition of nonfinancial assets </w:t>
      </w:r>
      <w:r>
        <w:rPr>
          <w:rFonts w:ascii="Arial" w:cs="Arial" w:eastAsia="Arial" w:hAnsi="Arial"/>
          <w:sz w:val="16"/>
          <w:szCs w:val="16"/>
          <w:color w:val="auto"/>
        </w:rPr>
        <w:t>and were included in Gain on sale of assets, net on the Consolidated Statements of Operations, as we</w:t>
      </w:r>
      <w:r>
        <w:rPr>
          <w:rFonts w:ascii="Arial" w:cs="Arial" w:eastAsia="Arial" w:hAnsi="Arial"/>
          <w:sz w:val="16"/>
          <w:szCs w:val="16"/>
          <w:i w:val="1"/>
          <w:iCs w:val="1"/>
          <w:color w:val="auto"/>
        </w:rPr>
        <w:t xml:space="preserve"> </w:t>
      </w:r>
      <w:r>
        <w:rPr>
          <w:rFonts w:ascii="Arial" w:cs="Arial" w:eastAsia="Arial" w:hAnsi="Arial"/>
          <w:sz w:val="16"/>
          <w:szCs w:val="16"/>
          <w:color w:val="auto"/>
        </w:rPr>
        <w:t>were previously only occasionally selling these assets. Generally, assets sold were under leasing arrangements prior to sales and were included in Leasing equipment, net, on the Consolidated Balance Sheets.</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00497F"/>
        </w:rPr>
        <w:t>Operating Leases</w:t>
      </w:r>
      <w:r>
        <w:rPr>
          <w:rFonts w:ascii="Arial" w:cs="Arial" w:eastAsia="Arial" w:hAnsi="Arial"/>
          <w:sz w:val="16"/>
          <w:szCs w:val="16"/>
          <w:color w:val="000000"/>
        </w:rPr>
        <w:t>—We lease equipment pursuant to operating leases. Operating leases with fixed rentals and step rentals are recognized on a straight-line</w:t>
      </w:r>
      <w:r>
        <w:rPr>
          <w:rFonts w:ascii="Arial" w:cs="Arial" w:eastAsia="Arial" w:hAnsi="Arial"/>
          <w:sz w:val="16"/>
          <w:szCs w:val="16"/>
          <w:i w:val="1"/>
          <w:iCs w:val="1"/>
          <w:color w:val="00497F"/>
        </w:rPr>
        <w:t xml:space="preserve"> </w:t>
      </w:r>
      <w:r>
        <w:rPr>
          <w:rFonts w:ascii="Arial" w:cs="Arial" w:eastAsia="Arial" w:hAnsi="Arial"/>
          <w:sz w:val="16"/>
          <w:szCs w:val="16"/>
          <w:color w:val="000000"/>
        </w:rPr>
        <w:t>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Generally, under our aircraft lease and engine agreements, the lessee is required to make periodic maintenance payments calculated based on the lessee’s utilization of the leased asset or at the end of the lease. Typically, under our aircraft lease agreements, the lessee is responsible for maintenance, repairs and other operating expenses throughout the term of the lease. These periodic maintenance payments accumulate over the term of the lease to fund major maintenance events, and we are contractually obligated to return maintenance payments to the lessee up to the cost of maintenance events paid by the lessee. In the event the total cost of maintenance events over the term of a lease is less than the cumulative maintenance payments, we are not required to return any unused or excess maintenance payments to the lessee.</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Maintenance payments received for which we expect to repay to the lessee are presented as Maintenance deposits in our Consolidated Balance Sheets. All excess maintenance payments received that we do not expect to repay to the lessee are recorded as Maintenance revenue on our Consolidated Statements of Operations. Estimates in recognizing revenue include mean time between removal, projected costs for engine maintenance and forecasted utilization of aircraft which are affected by historical usage patterns and overall industry, market and economic conditions. Significant changes to these estimates could have a material effect on the amount of revenue recognized in the period.</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purchase and lease back transactions, we account for the transaction as a single arrangement. We allocate the consideration paid based on the relative fair value of the aircraft and lease. The fair value of the lease may include a lease premium or discount, which is recorded as a favorable or unfavorable lease intangible.</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i w:val="1"/>
          <w:iCs w:val="1"/>
          <w:color w:val="00497F"/>
        </w:rPr>
        <w:t>Finance Leases</w:t>
      </w:r>
      <w:r>
        <w:rPr>
          <w:rFonts w:ascii="Arial" w:cs="Arial" w:eastAsia="Arial" w:hAnsi="Arial"/>
          <w:sz w:val="16"/>
          <w:szCs w:val="16"/>
          <w:color w:val="000000"/>
        </w:rPr>
        <w:t>—From time to time we enter into finance lease arrangements that include a lessee obligation to purchase the leased equipment at the end</w:t>
      </w:r>
      <w:r>
        <w:rPr>
          <w:rFonts w:ascii="Arial" w:cs="Arial" w:eastAsia="Arial" w:hAnsi="Arial"/>
          <w:sz w:val="16"/>
          <w:szCs w:val="16"/>
          <w:i w:val="1"/>
          <w:iCs w:val="1"/>
          <w:color w:val="00497F"/>
        </w:rPr>
        <w:t xml:space="preserve"> </w:t>
      </w:r>
      <w:r>
        <w:rPr>
          <w:rFonts w:ascii="Arial" w:cs="Arial" w:eastAsia="Arial" w:hAnsi="Arial"/>
          <w:sz w:val="16"/>
          <w:szCs w:val="16"/>
          <w:color w:val="000000"/>
        </w:rPr>
        <w:t>of the lease term, a bargain purchase option, or provides for minimum lease payments with a present value that equals or exceeds substantially all of the fair value of the leased equipment at the date of lease inception. Net investment in finance leases represents the minimum lease payments due from lessee, net of unearned income. The lease payments are segregated into principal and interest components similar to a loan. Unearned income is recognized on an effective interest method over the lease term and is recorded as lease income. The principal component of the lease payment is reflected as a reduction to the net investment in finance leases. Revenue is not recognized when collection is not reasonably assured. When collectability is not reasonably assured, the customer is placed on non-accrual status and revenue is recognized when cash payments are received.</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00497F"/>
        </w:rPr>
        <w:t>Asset sales revenue</w:t>
      </w:r>
      <w:r>
        <w:rPr>
          <w:rFonts w:ascii="Arial" w:cs="Arial" w:eastAsia="Arial" w:hAnsi="Arial"/>
          <w:sz w:val="16"/>
          <w:szCs w:val="16"/>
          <w:color w:val="000000"/>
        </w:rPr>
        <w:t>—Asset sales revenue primarily consists of the transaction price related to the sale of aircraft and aircraft engines from our Aviation</w:t>
      </w:r>
      <w:r>
        <w:rPr>
          <w:rFonts w:ascii="Arial" w:cs="Arial" w:eastAsia="Arial" w:hAnsi="Arial"/>
          <w:sz w:val="16"/>
          <w:szCs w:val="16"/>
          <w:i w:val="1"/>
          <w:iCs w:val="1"/>
          <w:color w:val="00497F"/>
        </w:rPr>
        <w:t xml:space="preserve"> </w:t>
      </w:r>
      <w:r>
        <w:rPr>
          <w:rFonts w:ascii="Arial" w:cs="Arial" w:eastAsia="Arial" w:hAnsi="Arial"/>
          <w:sz w:val="16"/>
          <w:szCs w:val="16"/>
          <w:color w:val="000000"/>
        </w:rPr>
        <w:t>Leasing segment. From time to time, the Company may also assign the related lease agreements to the customer as part of the sale of these assets. We routinely sell leasing equipment to customers and such transactions are considered recurring and ordinary in nature to our business. As such, these sales are accounted for within the scope of ASC 606. Revenue is recognized when a performance obligation is satisfied by transferring control over an asset to a customer. Revenue is recorded with corresponding costs of sales, presented on a gross basis in the Consolidated Statements of Operations.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00497F"/>
        </w:rPr>
        <w:t>Aerospace products revenue</w:t>
      </w:r>
      <w:r>
        <w:rPr>
          <w:rFonts w:ascii="Arial" w:cs="Arial" w:eastAsia="Arial" w:hAnsi="Arial"/>
          <w:sz w:val="16"/>
          <w:szCs w:val="16"/>
          <w:color w:val="000000"/>
        </w:rPr>
        <w:t>—Aerospace products revenue primarily consists of the transaction price related to the sale of repaired CFM56-7B, CFM56-5B</w:t>
      </w:r>
      <w:r>
        <w:rPr>
          <w:rFonts w:ascii="Arial" w:cs="Arial" w:eastAsia="Arial" w:hAnsi="Arial"/>
          <w:sz w:val="16"/>
          <w:szCs w:val="16"/>
          <w:i w:val="1"/>
          <w:iCs w:val="1"/>
          <w:color w:val="00497F"/>
        </w:rPr>
        <w:t xml:space="preserve"> </w:t>
      </w:r>
      <w:r>
        <w:rPr>
          <w:rFonts w:ascii="Arial" w:cs="Arial" w:eastAsia="Arial" w:hAnsi="Arial"/>
          <w:sz w:val="16"/>
          <w:szCs w:val="16"/>
          <w:color w:val="000000"/>
        </w:rPr>
        <w:t>and V2500 engines, engine modules, spare parts and used material inventory, and are accounted for within the scope of ASC 606. Revenue is recognized when a performance obligation is satisfied by transferring control over the related asset to a customer. Revenue is recorded with corresponding costs of sales, presented on a gross basis in the Consolidated Statements of Operations. Aerospace products revenue also consists of engine management service contracts, where the Company has a stand-ready obligation to provide replacement CFM56-7B and CFM56-5B engines to customers as they become unserviceable during the contract term. The Company recognizes revenue over time using a straight-line attribution method and the costs related to fulfilling the performance obligation are expensed as incurred.</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Leasing Arrangements</w:t>
      </w:r>
      <w:r>
        <w:rPr>
          <w:rFonts w:ascii="Arial" w:cs="Arial" w:eastAsia="Arial" w:hAnsi="Arial"/>
          <w:sz w:val="16"/>
          <w:szCs w:val="16"/>
          <w:color w:val="00497F"/>
        </w:rPr>
        <w:t>—</w:t>
      </w:r>
      <w:r>
        <w:rPr>
          <w:rFonts w:ascii="Arial" w:cs="Arial" w:eastAsia="Arial" w:hAnsi="Arial"/>
          <w:sz w:val="16"/>
          <w:szCs w:val="16"/>
          <w:color w:val="000000"/>
        </w:rPr>
        <w:t>At contract inception, we evaluate whether an arrangement is or contains a lease for which we are the lessee (that is,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arrangements which provide us with the right to control a physical asset for a period of time). Operating lease right-of-use (“ROU”) assets and lease liabilities are included in Other assets and Other liabilities in our Consolidated Balance Sheets, respectively. Finance lease ROU assets are recognized in Other assets and lease liabilities are recognized in Other liabilities in our Consolidated Balance Sheets.</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All lease liabilities are measured at the present value of the unpaid lease payments, discounted using our incremental borrowing rate based on the information available at commencement date of the lease. ROU assets, for both operating and finance leases,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are initially measured based on the lease liability, adjusted for prepaid rent and lease incentives. Operating lease ROU assets are subsequently measured at the carrying amount of the lease liability adjusted for prepaid or accrued lease payments and lease incentives. The finance lease ROU assets are subsequently amortized using the straight-line method.</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Operating lease expenses are recognized on a straight-line basis over the lease term. With respect to finance leases, amortization of the ROU asset is presented separately from interest expense related to the finance lease liability and is recorded in Operating expenses in the Consolidated Statements of Operations. Variable lease payments, which are primarily based on usage, are recognized when the associated activity occurs.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elected to combine lease and non-lease components for all lease contracts where we are the lessee. Additionally, for arrangements with lease terms of 12 months or less, we do not recognize ROU assets, and lease liabilities and lease payments are recognized on a straight-line basis over the lease term with variable lease payments recognized in the period in which the obligation is incurred.</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0000"/>
        </w:rPr>
        <w:t>—We are subject to concentrations of credit risk with respect to amounts due from customers. We attempt to limit our credit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risk by performing ongoing credit evaluations. No single customer accounted for greater than 10% of total revenue during the years ended December 31, 2023 and 2022. We earned 11% of our revenue from one customer in the Aviation Leasing segment during the year ended December 31, 2021.</w:t>
      </w:r>
    </w:p>
    <w:p>
      <w:pPr>
        <w:spacing w:after="0" w:line="7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December 31, 2023, no single customer accounted for greater than 10% of total accounts receivable, net. As of December 31, 2022, there were two customers in the Aviation Leasing segment that represented 20% and 12% of total accounts receivable, net.</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maintain cash and restricted cash balances, which generally exceed federally insured limits, and subject us to credit risk, in high credit quality financial institutions. We monitor the financial condition of these institutions and have not experienced any losses associated with these accounts.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00497F"/>
        </w:rPr>
        <w:t>Allowance for Doubtful Accounts</w:t>
      </w:r>
      <w:r>
        <w:rPr>
          <w:rFonts w:ascii="Arial" w:cs="Arial" w:eastAsia="Arial" w:hAnsi="Arial"/>
          <w:sz w:val="16"/>
          <w:szCs w:val="16"/>
          <w:color w:val="000000"/>
        </w:rPr>
        <w:t>—We determine the allowance for doubtful accounts based on our assessment of the collectability of our receivables on</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 customer-by-customer basis. Provision in credit losses is included in Operating expenses in the Consolidated Statements of Operations. The activity in the allowance for doubtful accounts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60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197"/>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at beginning of period</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65,580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4,823</w:t>
            </w:r>
          </w:p>
        </w:tc>
      </w:tr>
      <w:tr>
        <w:trPr>
          <w:trHeight w:val="202"/>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Provision for credit losses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6,583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47,877</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12,880</w:t>
            </w:r>
          </w:p>
        </w:tc>
      </w:tr>
      <w:tr>
        <w:trPr>
          <w:trHeight w:val="222"/>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Allowance at end of period</w:t>
            </w: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72,163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65,580</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17,703</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Economic sanctions and export controls against Russia and Russia’s aviation industry were imposed due to its invasion of Ukraine during the first quarter of 2022. As a result of the sanctions imposed on Russian airlines, we terminated all lease agreements with Russian airlines and our allowance for doubtful accounts at December 31, 2023 includes all accounts receivable exposure to Russian and Ukrainian customers.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497F"/>
        </w:rPr>
        <w:t>—</w:t>
      </w:r>
      <w:r>
        <w:rPr>
          <w:rFonts w:ascii="Arial" w:cs="Arial" w:eastAsia="Arial" w:hAnsi="Arial"/>
          <w:sz w:val="16"/>
          <w:szCs w:val="16"/>
          <w:color w:val="000000"/>
        </w:rPr>
        <w:t>Comprehensive income (loss) is defined as the change in equity of a business enterprise during a period from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transactions and other events and circumstances, excluding those resulting from investments by and distributions to owners. Our comprehensive income (loss) represents net income (loss), as presented in the Consolidated Statements of Operations, adjusted for comprehensive loss related to cash flow hedges of our equity method investees of discontinued operations. The cash flow impact of commodity derivatives held by our consolidated subsidiaries is recognized in Change in fair value of non-hedge derivatives in our Consolidated Statements of Cash Flows.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b w:val="1"/>
          <w:bCs w:val="1"/>
          <w:i w:val="1"/>
          <w:iCs w:val="1"/>
          <w:color w:val="000000"/>
        </w:rPr>
        <w:t>—</w:t>
      </w:r>
      <w:r>
        <w:rPr>
          <w:rFonts w:ascii="Arial" w:cs="Arial" w:eastAsia="Arial" w:hAnsi="Arial"/>
          <w:sz w:val="16"/>
          <w:szCs w:val="16"/>
          <w:color w:val="000000"/>
        </w:rPr>
        <w:t>Other assets is primarily comprised of lease incentives of $43.5 million and $37.9 million, purchase deposits of $23.9 million and $6.7</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million, notes receivable of $102.3 million and $49.2 million, operating lease right-of-use assets, net of $3.4 million and $3.0 million, and finance leases, net of $3.0 million and $6.4 million, maintenance right assets of $16.3 million and $6.8 million, prepaid expenses of $7.8 million and $1.9 million as of December 31, 2023 and 2022, respectively.</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b w:val="1"/>
          <w:bCs w:val="1"/>
          <w:i w:val="1"/>
          <w:iCs w:val="1"/>
          <w:color w:val="000000"/>
        </w:rPr>
        <w:t>—</w:t>
      </w:r>
      <w:r>
        <w:rPr>
          <w:rFonts w:ascii="Arial" w:cs="Arial" w:eastAsia="Arial" w:hAnsi="Arial"/>
          <w:sz w:val="16"/>
          <w:szCs w:val="16"/>
          <w:color w:val="000000"/>
        </w:rPr>
        <w:t>Dividends are recorded if and when declared by the Board of Directors. The Board of Directors declared cash dividends of $1.20, $1.26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$1.32 per ordinary share during each of the years ended December 31, 2023, 2022 and 2021, respectively.</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Additionally, the Board of Directors declared cash dividends on the Series A Preferred Shares of $2.06, $2.06 and $2.06 per share for the years ended December 31, 2023, 2022, and 2021, respectively, the Series B Preferred Shares of $2.00, $2.00 and $2.00 per share for the years ended December 31, 2023, 2022 and 2021, respectively, the Series C Preferred Shares of $2.06, $2.06, $1.49 per share for the year ended December 31, 2023, 2022 and 2021, respectively, and the Series D Preferred Shares of $1.78 per share for the year ended December 31, 2023.</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0000"/>
        </w:rPr>
        <w:t>—In November 2023, the FASB issued ASU 2023-07,</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Segment Reporting (Topic 280) - Improvements to Reportable</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Segment Disclosures</w:t>
      </w:r>
      <w:r>
        <w:rPr>
          <w:rFonts w:ascii="Arial" w:cs="Arial" w:eastAsia="Arial" w:hAnsi="Arial"/>
          <w:sz w:val="16"/>
          <w:szCs w:val="16"/>
          <w:color w:val="000000"/>
        </w:rPr>
        <w:t>. This ASU modifies the disclosure and presentation requirements of reportable segments. The new guidance requires the disclosure of</w:t>
      </w:r>
      <w:r>
        <w:rPr>
          <w:rFonts w:ascii="Arial" w:cs="Arial" w:eastAsia="Arial" w:hAnsi="Arial"/>
          <w:sz w:val="16"/>
          <w:szCs w:val="16"/>
          <w:i w:val="1"/>
          <w:iCs w:val="1"/>
          <w:color w:val="000000"/>
        </w:rPr>
        <w:t xml:space="preserve"> </w:t>
      </w:r>
      <w:r>
        <w:rPr>
          <w:rFonts w:ascii="Arial" w:cs="Arial" w:eastAsia="Arial" w:hAnsi="Arial"/>
          <w:sz w:val="16"/>
          <w:szCs w:val="16"/>
          <w:color w:val="000000"/>
        </w:rPr>
        <w:t>significant segment expenses that are regularly provided to the chief operating decision maker and included within each reported measure of segment profit and loss. In addition, the new guidance enhances interim disclosure requirements, clarifies circumstances in which an entity can disclose multiple segment measures of profit or loss, provides new segment disclosure requirements for entities with a single reportable segment, and contains other disclosure requirements. This standard is effective retrospectively for all public entities for fiscal years beginning after December 15, 2023, and interim periods within fiscal years beginning after December 15, 2024, with early adoption permitted. We are currently assessing the impact this guidance will have on our consolidated financial statements and related disclosures.</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 Improvements to Income Tax Disclosures</w:t>
      </w:r>
      <w:r>
        <w:rPr>
          <w:rFonts w:ascii="Arial" w:cs="Arial" w:eastAsia="Arial" w:hAnsi="Arial"/>
          <w:sz w:val="16"/>
          <w:szCs w:val="16"/>
          <w:color w:val="auto"/>
        </w:rPr>
        <w:t>. This ASU enhances the transparency and decision usefulness of income tax disclosures by expanding the disclosures of an entity’s income tax rate reconciliation and disaggregation of income taxes paid and income tax expense. Under the new guidance, public business entities must annually disclose specific categories in the rate reconciliation and provide additional information for reconciling items that meet a quantitative threshold, if the effect of those reconciling items is equal to or greater than 5 percent of the amount computed by multiplying pretax income (loss) by the applicable statutory income tax rate. This standard is effective prospectively for all public entities for annual periods beginning after December 15, 2024, with early adoption and retrospective application permitted. We are currently assessing the impact this guidance will have on our consolidated financial statements and related disclosures.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3. DISCONTINUED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FTAI Infrastructure Inc. (“FTAI Infrastructure”) Spin-Off</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On April 28, 2022, the Board of Directors of the Company unanimously approved the previously announced spin-off of the Company’s infrastructure business held by FTAI Infrastructure (a wholly owned subsidiary of the Company). The spin-off was effected as a distribution of all of the shares owned by the Company of common stock of FTAI Infrastructure to the holders of the Company’s ordinary shares as of July 21, 2022. The distribution was completed on August 1, 2022. Under ASC 205-20, </w:t>
      </w:r>
      <w:r>
        <w:rPr>
          <w:rFonts w:ascii="Arial" w:cs="Arial" w:eastAsia="Arial" w:hAnsi="Arial"/>
          <w:sz w:val="16"/>
          <w:szCs w:val="16"/>
          <w:i w:val="1"/>
          <w:iCs w:val="1"/>
          <w:color w:val="auto"/>
        </w:rPr>
        <w:t>Presentation of Financial Statements – Discontinued Operations</w:t>
      </w:r>
      <w:r>
        <w:rPr>
          <w:rFonts w:ascii="Arial" w:cs="Arial" w:eastAsia="Arial" w:hAnsi="Arial"/>
          <w:sz w:val="16"/>
          <w:szCs w:val="16"/>
          <w:color w:val="auto"/>
        </w:rPr>
        <w:t>, the spin-off met the criteria to be reported as a discontinued operation. Therefore, FTAI Infrastructure is presented as a discontinued operation within the Company’s financial statements for all periods prior to August 1, 2022.</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FTAI Infrastructure is a corporation for U.S. federal income tax purposes and holds, among other things, the Company’s previously held interests in the (i) Jefferson Terminal business, (ii) Repauno business, (iii) Long Ridge investment, and (iv) Transtar business. FTAI Infrastructure retained all related project-level debt of those businesses. In connection with the spin-off, FTAI Infrastructure paid a dividend of $730.3 million to the Company. The Company used these proceeds to repay all outstanding borrowings under its 2021 bridge loans, $200.0 million of its 6.50% senior unsecured notes due 2025, and approximately $175.0 million of the outstanding borrowings under its revolving credit facility. FTAI retained the aviation business and certain other assets, and FTAI’s remaining outstanding corporate indebtedness.</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connection with the spin-off, the Company and the Manager assigned the Company’s then-existing management agreement to FTAI Infrastructure, and FTAI Infrastructure and the Manager executed an amended and restated agreement. The Company and certain of its subsidiaries executed a new management agreement with the Manager. The new management agreement has an initial term of six years. The Manager is entitled to a management fee and reimbursement of certain expenses on substantially similar terms as the previous arrangements with the Manager, which were assigned to FTAI Infrastructure. Prior to the Merger described below, our Manager remained entitled to incentive allocations (comprised of income incentive allocation and capital gains incentive allocation) on the same terms as they existed prior to spin-off. Following the Merger, the Company entered into a Services and Profit Sharing Agreement (the “Services and Profit Sharing Agreement”), with a subsidiary of the Company and Fortress Worldwide Transportation and Infrastructure Master GP LLC (“Master GP”), pursuant to which Master GP is entitled to incentive payments on substantially similar terms as the previous arrangements.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Critical Accounting Policies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 Recognition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Revenues of discontinued operations consist of the following revenue streams: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00497F"/>
        </w:rPr>
        <w:t>Terminal Services Revenues</w:t>
      </w:r>
      <w:r>
        <w:rPr>
          <w:rFonts w:ascii="Arial" w:cs="Arial" w:eastAsia="Arial" w:hAnsi="Arial"/>
          <w:sz w:val="16"/>
          <w:szCs w:val="16"/>
          <w:color w:val="000000"/>
        </w:rPr>
        <w:t>—Terminal services are provided to customers for the receipt and redelivery of various commodities. These revenues relate to</w:t>
      </w:r>
      <w:r>
        <w:rPr>
          <w:rFonts w:ascii="Arial" w:cs="Arial" w:eastAsia="Arial" w:hAnsi="Arial"/>
          <w:sz w:val="16"/>
          <w:szCs w:val="16"/>
          <w:i w:val="1"/>
          <w:iCs w:val="1"/>
          <w:color w:val="00497F"/>
        </w:rPr>
        <w:t xml:space="preserve"> </w:t>
      </w:r>
      <w:r>
        <w:rPr>
          <w:rFonts w:ascii="Arial" w:cs="Arial" w:eastAsia="Arial" w:hAnsi="Arial"/>
          <w:sz w:val="16"/>
          <w:szCs w:val="16"/>
          <w:color w:val="000000"/>
        </w:rPr>
        <w:t>performance obligations that are recognized over time using the right to invoice practical expedient, i.e., invoiced as the services are rendered and the customer simultaneously receives and consumes the benefit over the contract term. The Company’s performance of service and right to invoice corresponds with the value delivered to our customers. Revenues are typically invoiced and paid on a monthly basis.</w:t>
      </w:r>
    </w:p>
    <w:p>
      <w:pPr>
        <w:spacing w:after="0" w:line="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i w:val="1"/>
          <w:iCs w:val="1"/>
          <w:color w:val="00497F"/>
        </w:rPr>
        <w:t>Rail Revenues</w:t>
      </w:r>
      <w:r>
        <w:rPr>
          <w:rFonts w:ascii="Arial" w:cs="Arial" w:eastAsia="Arial" w:hAnsi="Arial"/>
          <w:sz w:val="16"/>
          <w:szCs w:val="16"/>
          <w:color w:val="000000"/>
        </w:rPr>
        <w:t>—Rail revenues generally consist of the following performance obligations: industrial switching, interline services, demurrage and storage.</w:t>
      </w:r>
      <w:r>
        <w:rPr>
          <w:rFonts w:ascii="Arial" w:cs="Arial" w:eastAsia="Arial" w:hAnsi="Arial"/>
          <w:sz w:val="16"/>
          <w:szCs w:val="16"/>
          <w:i w:val="1"/>
          <w:iCs w:val="1"/>
          <w:color w:val="00497F"/>
        </w:rPr>
        <w:t xml:space="preserve"> </w:t>
      </w:r>
      <w:r>
        <w:rPr>
          <w:rFonts w:ascii="Arial" w:cs="Arial" w:eastAsia="Arial" w:hAnsi="Arial"/>
          <w:sz w:val="16"/>
          <w:szCs w:val="16"/>
          <w:color w:val="000000"/>
        </w:rPr>
        <w:t>Switching revenues are derived from the performance of switching services, which involve the movement of cars from one point to another within the limits of an individual plant, industrial area, or a rail yard. Switching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revenues are recognized as the services are performed, and the services are generally completed on the same day they are initiated.</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Interline revenues are derived from transportation services for railcars that originate or terminate at our railroads and involve one or more other carriers. We record revenue related to interline traffic for transportation service segments provided by carriers along railroads that are not owned or controlled by us on a net basis. Interline revenues are recognized as the transportation movements occur.</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Ancillary services revenue primarily relates to demurrage and storage services. Demurrage represents charges assessed by railroads for the detention of cars by shippers or receivers of freight beyond a specified free time and is recognized on a per day basis. Storage services revenue is earned for the provision of storage of shippers’ railcars and is generally recognized on a per day, per car basis, as the storage services are provided.</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00497F"/>
        </w:rPr>
        <w:t>Lease Income</w:t>
      </w:r>
      <w:r>
        <w:rPr>
          <w:rFonts w:ascii="Arial" w:cs="Arial" w:eastAsia="Arial" w:hAnsi="Arial"/>
          <w:sz w:val="16"/>
          <w:szCs w:val="16"/>
          <w:color w:val="000000"/>
        </w:rPr>
        <w:t>—Lease income consists of rental income from tenants for storage space. Lease income is recognized on a straight-line basis over the terms</w:t>
      </w:r>
      <w:r>
        <w:rPr>
          <w:rFonts w:ascii="Arial" w:cs="Arial" w:eastAsia="Arial" w:hAnsi="Arial"/>
          <w:sz w:val="16"/>
          <w:szCs w:val="16"/>
          <w:i w:val="1"/>
          <w:iCs w:val="1"/>
          <w:color w:val="00497F"/>
        </w:rPr>
        <w:t xml:space="preserve"> </w:t>
      </w:r>
      <w:r>
        <w:rPr>
          <w:rFonts w:ascii="Arial" w:cs="Arial" w:eastAsia="Arial" w:hAnsi="Arial"/>
          <w:sz w:val="16"/>
          <w:szCs w:val="16"/>
          <w:color w:val="000000"/>
        </w:rPr>
        <w:t>of the relevant lease agreement.</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00497F"/>
        </w:rPr>
        <w:t>Other Revenue</w:t>
      </w:r>
      <w:r>
        <w:rPr>
          <w:rFonts w:ascii="Arial" w:cs="Arial" w:eastAsia="Arial" w:hAnsi="Arial"/>
          <w:sz w:val="16"/>
          <w:szCs w:val="16"/>
          <w:color w:val="000000"/>
        </w:rPr>
        <w:t>—Other revenue primarily consists of revenue related to the handling, storage and sale of raw materials. Revenues for the handling and</w:t>
      </w:r>
      <w:r>
        <w:rPr>
          <w:rFonts w:ascii="Arial" w:cs="Arial" w:eastAsia="Arial" w:hAnsi="Arial"/>
          <w:sz w:val="16"/>
          <w:szCs w:val="16"/>
          <w:i w:val="1"/>
          <w:iCs w:val="1"/>
          <w:color w:val="00497F"/>
        </w:rPr>
        <w:t xml:space="preserve"> </w:t>
      </w:r>
      <w:r>
        <w:rPr>
          <w:rFonts w:ascii="Arial" w:cs="Arial" w:eastAsia="Arial" w:hAnsi="Arial"/>
          <w:sz w:val="16"/>
          <w:szCs w:val="16"/>
          <w:color w:val="000000"/>
        </w:rPr>
        <w:t>storage of raw materials relate to performance obligations that are recognized over time using the right to invoice practical expedient, i.e., invoiced as the services are rendered and the customer simultaneously receives and consumes the benefit over the contract term. Our performance of service and right to invoice corresponds with the value delivered to our customers. Revenues for the sale of raw materials relate to contracts that contain performance obligations to deliver the product over the term of the contract. The revenues are recognized when the control of the product is transferred to the customer, based on the volume delivered and the price within the contract. Other revenues are typically invoiced and paid on a monthly basis.</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Additionally, other revenue consists of revenue related to derivative trading activities and also includes revenue related to providing roadside assistance services to customers in the intermodal and over-the-road trucking industries. Revenue is recognized when a performance obligation is satisfied by completing a repair service at a point in time. Revenues are typically invoiced for each repair and generally have 30-day payment terms.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Variable Interest Entity</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assessment of whether an entity is a VIE and the determination of whether to consolidate a VIE requires judgment. VIEs 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64"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During 2021, we held an approximately 98% economic interest, and a 100% voting interest in Delaware River Partners LLC (“DRP”). DRP was solely reliant on us to finance its activities and therefore was a VIE. We concluded that we were the primary beneficiary.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Goodwill</w:t>
      </w:r>
    </w:p>
    <w:p>
      <w:pPr>
        <w:spacing w:after="0" w:line="19"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Goodwill included the excess of the purchase price over the fair value of the net tangible and intangible assets associated with the acquisition of Jefferson Terminal and Transtar.</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reviewed the carrying values of goodwill at least annually to assess impairment since these assets are not amortized. An annual impairment review was conducted as of October 1st of each year. Additionally, we reviewed the carrying value of goodwill whenever events or changes in circumstances indicate that its carrying amount may not be recoverable. The determination of fair value involves significant management judgment.</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goodwill impairment assessment compares the fair value of the respective reporting unit with its carrying amount, including goodwill. The estimate of fair value of the respective reporting unit is based on the best information available as of the date of assessment, which primarily incorporates certain factors including our assumptions about operating results, business plans, income projections, anticipated future cash flows and market data. If the estimated fair value of the reporting unit is less than the carrying amount, a goodwill impairment is recorded to the extent that the carrying value of the reporting unit exceeds its fair value.</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estimated the fair value of the Jefferson and Transtar reporting units using an income approach, specifically a discounted cash flow analysis. The analysis required us to make significant assumptions and estimates about the forecasted revenue growth rates, capital expenditures, the timing of future cash flows, and discount rates. The estimates and assumptions were used to consider historical performance if indicative of future performance and were consistent with the assumptions used in determining future profit plans for the reporting units.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impairments of goodwill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Intangibles and amortization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Intangibles included the value of existing customer relationships acquired in connection with the acquisition of Jefferson Terminal and Transtar.</w:t>
      </w:r>
    </w:p>
    <w:p>
      <w:pPr>
        <w:spacing w:after="0" w:line="12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Customer relationship intangible assets were amortized on a straight-line basis over their useful lives as the pattern in which the asset’s economic benefits are consumed cannot reliably be determined. Customer relationship intangible assets have useful lives ranging from 5 to 15 years, no estimated residual value, and amortization was recorded as a component of Depreciation and amortization in the Consolidated Statements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Financial Information of Discontinued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significant components of net loss from discontinued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Pr>
          <w:p>
            <w:pPr>
              <w:spacing w:after="0"/>
              <w:rPr>
                <w:sz w:val="17"/>
                <w:szCs w:val="17"/>
                <w:color w:val="auto"/>
              </w:rPr>
            </w:pPr>
          </w:p>
        </w:tc>
        <w:tc>
          <w:tcPr>
            <w:tcW w:w="276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7"/>
                <w:szCs w:val="17"/>
                <w:color w:val="auto"/>
              </w:rPr>
            </w:pPr>
          </w:p>
        </w:tc>
      </w:tr>
      <w:tr>
        <w:trPr>
          <w:trHeight w:val="196"/>
        </w:trPr>
        <w:tc>
          <w:tcPr>
            <w:tcW w:w="78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7"/>
                <w:szCs w:val="17"/>
                <w:color w:val="auto"/>
              </w:rPr>
            </w:pPr>
          </w:p>
        </w:tc>
      </w:tr>
      <w:tr>
        <w:trPr>
          <w:trHeight w:val="18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98"/>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revenues</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140,009</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120,219</w:t>
            </w:r>
          </w:p>
        </w:tc>
      </w:tr>
      <w:tr>
        <w:trPr>
          <w:trHeight w:val="18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198"/>
        </w:trPr>
        <w:tc>
          <w:tcPr>
            <w:tcW w:w="786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12,732</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92,478</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98,541</w:t>
            </w:r>
          </w:p>
        </w:tc>
      </w:tr>
      <w:tr>
        <w:trPr>
          <w:trHeight w:val="198"/>
        </w:trPr>
        <w:tc>
          <w:tcPr>
            <w:tcW w:w="786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2,694</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3,961</w:t>
            </w:r>
          </w:p>
        </w:tc>
      </w:tr>
      <w:tr>
        <w:trPr>
          <w:trHeight w:val="20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13,971</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4,030</w:t>
            </w:r>
          </w:p>
        </w:tc>
      </w:tr>
      <w:tr>
        <w:trPr>
          <w:trHeight w:val="198"/>
        </w:trPr>
        <w:tc>
          <w:tcPr>
            <w:tcW w:w="786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8,134</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15,638</w:t>
            </w:r>
          </w:p>
        </w:tc>
      </w:tr>
      <w:tr>
        <w:trPr>
          <w:trHeight w:val="20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40,319</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54,016</w:t>
            </w:r>
          </w:p>
        </w:tc>
      </w:tr>
      <w:tr>
        <w:trPr>
          <w:trHeight w:val="198"/>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15,105</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16,019</w:t>
            </w:r>
          </w:p>
        </w:tc>
      </w:tr>
      <w:tr>
        <w:trPr>
          <w:trHeight w:val="20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9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185,433</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192,205</w:t>
            </w:r>
          </w:p>
        </w:tc>
      </w:tr>
      <w:tr>
        <w:trPr>
          <w:trHeight w:val="192"/>
        </w:trPr>
        <w:tc>
          <w:tcPr>
            <w:tcW w:w="786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(46,600)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(11,331)</w:t>
            </w:r>
          </w:p>
        </w:tc>
      </w:tr>
      <w:tr>
        <w:trPr>
          <w:trHeight w:val="20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sale of assets, net</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98"/>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 income</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(1,423)</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(8,727)</w:t>
            </w:r>
          </w:p>
        </w:tc>
      </w:tr>
      <w:tr>
        <w:trPr>
          <w:trHeight w:val="20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expense</w:t>
            </w:r>
          </w:p>
        </w:tc>
        <w:tc>
          <w:tcPr>
            <w:tcW w:w="9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(47,765)</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(20,042)</w:t>
            </w:r>
          </w:p>
        </w:tc>
      </w:tr>
      <w:tr>
        <w:trPr>
          <w:trHeight w:val="195"/>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9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(93,189)</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(92,028)</w:t>
            </w: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9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8,227</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(4,183)</w:t>
            </w:r>
          </w:p>
        </w:tc>
      </w:tr>
      <w:tr>
        <w:trPr>
          <w:trHeight w:val="19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loss from discontinued operations, net of income taxes</w:t>
            </w:r>
          </w:p>
        </w:tc>
        <w:tc>
          <w:tcPr>
            <w:tcW w:w="9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(101,416)</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(87,845)</w:t>
            </w:r>
          </w:p>
        </w:tc>
      </w:tr>
      <w:tr>
        <w:trPr>
          <w:trHeight w:val="19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attributable to non-controlling interests in consolidated subsidiaries</w:t>
            </w:r>
          </w:p>
        </w:tc>
        <w:tc>
          <w:tcPr>
            <w:tcW w:w="9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(18,817)</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(26,472)</w:t>
            </w:r>
          </w:p>
        </w:tc>
      </w:tr>
      <w:tr>
        <w:trPr>
          <w:trHeight w:val="200"/>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9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(82,599)</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(61,373)</w:t>
            </w:r>
          </w:p>
        </w:tc>
      </w:tr>
      <w:tr>
        <w:trPr>
          <w:trHeight w:val="20"/>
        </w:trPr>
        <w:tc>
          <w:tcPr>
            <w:tcW w:w="7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cash flows related to discontinued operations have not been segregated, and are included in the Consolidated Statements of Cash Flows for the years ended December 31, 2022 and 2021. The following table summarizes depreciation and amortization, capital expenditures, and other significant operating and investing noncash items of discontinued operations for each period presented: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Pr>
          <w:p>
            <w:pPr>
              <w:spacing w:after="0"/>
              <w:rPr>
                <w:sz w:val="17"/>
                <w:szCs w:val="17"/>
                <w:color w:val="auto"/>
              </w:rPr>
            </w:pPr>
          </w:p>
        </w:tc>
        <w:tc>
          <w:tcPr>
            <w:tcW w:w="274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7"/>
                <w:szCs w:val="17"/>
                <w:color w:val="auto"/>
              </w:rPr>
            </w:pPr>
          </w:p>
        </w:tc>
      </w:tr>
      <w:tr>
        <w:trPr>
          <w:trHeight w:val="196"/>
        </w:trPr>
        <w:tc>
          <w:tcPr>
            <w:tcW w:w="78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r>
      <w:tr>
        <w:trPr>
          <w:trHeight w:val="184"/>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98"/>
        </w:trPr>
        <w:tc>
          <w:tcPr>
            <w:tcW w:w="7860" w:type="dxa"/>
            <w:vAlign w:val="bottom"/>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46,601</w:t>
            </w:r>
          </w:p>
        </w:tc>
        <w:tc>
          <w:tcPr>
            <w:tcW w:w="10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11,331</w:t>
            </w:r>
          </w:p>
        </w:tc>
      </w:tr>
      <w:tr>
        <w:trPr>
          <w:trHeight w:val="20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40,319</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54,016</w:t>
            </w:r>
          </w:p>
        </w:tc>
      </w:tr>
      <w:tr>
        <w:trPr>
          <w:trHeight w:val="198"/>
        </w:trPr>
        <w:tc>
          <w:tcPr>
            <w:tcW w:w="7860" w:type="dxa"/>
            <w:vAlign w:val="bottom"/>
          </w:tcPr>
          <w:p>
            <w:pPr>
              <w:ind w:left="20"/>
              <w:spacing w:after="0"/>
              <w:rPr>
                <w:sz w:val="20"/>
                <w:szCs w:val="20"/>
                <w:color w:val="auto"/>
              </w:rPr>
            </w:pPr>
            <w:r>
              <w:rPr>
                <w:rFonts w:ascii="Arial" w:cs="Arial" w:eastAsia="Arial" w:hAnsi="Arial"/>
                <w:sz w:val="14"/>
                <w:szCs w:val="14"/>
                <w:color w:val="auto"/>
              </w:rPr>
              <w:t>Equity-based compensation</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2,623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4,038</w:t>
            </w:r>
          </w:p>
        </w:tc>
      </w:tr>
      <w:tr>
        <w:trPr>
          <w:trHeight w:val="20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8"/>
        </w:trPr>
        <w:tc>
          <w:tcPr>
            <w:tcW w:w="7860" w:type="dxa"/>
            <w:vAlign w:val="bottom"/>
          </w:tcPr>
          <w:p>
            <w:pPr>
              <w:ind w:left="20"/>
              <w:spacing w:after="0"/>
              <w:rPr>
                <w:sz w:val="20"/>
                <w:szCs w:val="20"/>
                <w:color w:val="auto"/>
              </w:rPr>
            </w:pPr>
            <w:r>
              <w:rPr>
                <w:rFonts w:ascii="Arial" w:cs="Arial" w:eastAsia="Arial" w:hAnsi="Arial"/>
                <w:sz w:val="14"/>
                <w:szCs w:val="14"/>
                <w:color w:val="auto"/>
              </w:rPr>
              <w:t>Acquisition of property, plant and equipment</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(129,920)</w:t>
            </w:r>
          </w:p>
        </w:tc>
        <w:tc>
          <w:tcPr>
            <w:tcW w:w="100" w:type="dxa"/>
            <w:vAlign w:val="bottom"/>
          </w:tcPr>
          <w:p>
            <w:pPr>
              <w:spacing w:after="0"/>
              <w:rPr>
                <w:sz w:val="17"/>
                <w:szCs w:val="17"/>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(140,896)</w:t>
            </w:r>
          </w:p>
        </w:tc>
      </w:tr>
      <w:tr>
        <w:trPr>
          <w:trHeight w:val="20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of business, net of cash acquired</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(627,090)</w:t>
            </w:r>
          </w:p>
        </w:tc>
      </w:tr>
      <w:tr>
        <w:trPr>
          <w:trHeight w:val="198"/>
        </w:trPr>
        <w:tc>
          <w:tcPr>
            <w:tcW w:w="7860" w:type="dxa"/>
            <w:vAlign w:val="bottom"/>
          </w:tcPr>
          <w:p>
            <w:pPr>
              <w:ind w:left="20"/>
              <w:spacing w:after="0"/>
              <w:rPr>
                <w:sz w:val="20"/>
                <w:szCs w:val="20"/>
                <w:color w:val="auto"/>
              </w:rPr>
            </w:pPr>
            <w:r>
              <w:rPr>
                <w:rFonts w:ascii="Arial" w:cs="Arial" w:eastAsia="Arial" w:hAnsi="Arial"/>
                <w:sz w:val="14"/>
                <w:szCs w:val="14"/>
                <w:color w:val="auto"/>
              </w:rPr>
              <w:t>Investment in unconsolidated entities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(7,954)</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53,055</w:t>
            </w:r>
          </w:p>
        </w:tc>
      </w:tr>
      <w:tr>
        <w:trPr>
          <w:trHeight w:val="20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5,289</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4,494</w:t>
            </w:r>
          </w:p>
        </w:tc>
      </w:tr>
      <w:tr>
        <w:trPr>
          <w:trHeight w:val="198"/>
        </w:trPr>
        <w:tc>
          <w:tcPr>
            <w:tcW w:w="7860" w:type="dxa"/>
            <w:vAlign w:val="bottom"/>
          </w:tcPr>
          <w:p>
            <w:pPr>
              <w:ind w:left="20"/>
              <w:spacing w:after="0"/>
              <w:rPr>
                <w:sz w:val="20"/>
                <w:szCs w:val="20"/>
                <w:color w:val="auto"/>
              </w:rPr>
            </w:pPr>
            <w:r>
              <w:rPr>
                <w:rFonts w:ascii="Arial" w:cs="Arial" w:eastAsia="Arial" w:hAnsi="Arial"/>
                <w:sz w:val="14"/>
                <w:szCs w:val="14"/>
                <w:color w:val="auto"/>
              </w:rPr>
              <w:t>Non-cash change in equity method investment</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(182,963)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(129,907)</w:t>
            </w:r>
          </w:p>
        </w:tc>
      </w:tr>
      <w:tr>
        <w:trPr>
          <w:trHeight w:val="20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interests in unconsolidated entities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(21,302)</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175"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The Company accounted for Long Ridge Terminal LLC, included in discontinued operations for the years ended December 31, 2022 and 2021 included above, using the equity method of accounting. Summarized financial data for Long Ridge Terminal LLC are shown in the following table.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Income Statement</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196"/>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15,199</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85,638</w:t>
            </w:r>
          </w:p>
        </w:tc>
      </w:tr>
      <w:tr>
        <w:trPr>
          <w:trHeight w:val="251"/>
        </w:trPr>
        <w:tc>
          <w:tcPr>
            <w:tcW w:w="8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2"/>
        </w:trPr>
        <w:tc>
          <w:tcPr>
            <w:tcW w:w="80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36,693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28,310</w:t>
            </w:r>
          </w:p>
        </w:tc>
      </w:tr>
      <w:tr>
        <w:trPr>
          <w:trHeight w:val="20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29,381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24,836</w:t>
            </w:r>
          </w:p>
        </w:tc>
      </w:tr>
      <w:tr>
        <w:trPr>
          <w:trHeight w:val="202"/>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30,622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11,005</w:t>
            </w:r>
          </w:p>
        </w:tc>
      </w:tr>
      <w:tr>
        <w:trPr>
          <w:trHeight w:val="197"/>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96,696</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64,151</w:t>
            </w:r>
          </w:p>
        </w:tc>
      </w:tr>
      <w:tr>
        <w:trPr>
          <w:trHeight w:val="195"/>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other expense</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(44,302)</w:t>
            </w:r>
          </w:p>
        </w:tc>
      </w:tr>
      <w:tr>
        <w:trPr>
          <w:trHeight w:val="222"/>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(81,731)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(22,815)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4. ACQUISITION OF QUICKTURN</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December 1, 2023, we completed the acquisition of the remaining equity interest of Quick Turn Engine Center LLC (“QuickTurn”) from Unical Aviation Inc. (“Unical”) for total cash consideration of $30.3 million to obtain full ownership with a 100% equity interest. The cash consideration included an additional $2.5 million in other assets acquired.</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acquired QuickTurn to better position the Company to have tighter integration over the development and delivery of aerospace products. QuickTurn is a hospital maintenance and testing facility dedicated to the CFM56 engine located in Miami, Florida that operates within our Aerospace Products segment. The results of operations at QuickTurn have been included in the Consolidated Statements of Operations beginning on the acquisition date. In connection with the acquisition, we recorded $0.2 million of acquisition and transaction expense during the year ended December 31, 2023.</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accordance with ASC 805, the following fair values were assigned to assets acquired and liabilities assumed based on management’s estimates and assumptions and are preliminary. The significant assumptions used to estimate the fair value of the property, plant, and equipment included replacement cost estimates and market data for similar assets where available. The significant assumptions used to estimate the value of the customer relationship intangible assets included discount rate and future revenues and operating expenses. The final valuation and related allocation of the purchase price is subject to change as additional information is received and will be completed no later than 12 months after the closing date. The final acquisition accounting adjustments may be materially different and may include (i) changes in fair values of Property, plant and equipment and associated salvage values; (ii) changes in fair values of Inventory; (iii) changes in allocations to Intangible assets, as well as goodwill; and, (iv) other changes to assets and liabilities, including working capital accounts.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preliminary allocation of the Net assets acquired as presented in our 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December 1, 2023</w:t>
            </w:r>
          </w:p>
        </w:tc>
      </w:tr>
      <w:tr>
        <w:trPr>
          <w:trHeight w:val="182"/>
        </w:trPr>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Fair value of assets acquired:</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3"/>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r>
      <w:tr>
        <w:trPr>
          <w:trHeight w:val="198"/>
        </w:trPr>
        <w:tc>
          <w:tcPr>
            <w:tcW w:w="946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07"/>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5,133</w:t>
            </w:r>
          </w:p>
        </w:tc>
      </w:tr>
      <w:tr>
        <w:trPr>
          <w:trHeight w:val="198"/>
        </w:trPr>
        <w:tc>
          <w:tcPr>
            <w:tcW w:w="946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30,559</w:t>
            </w:r>
          </w:p>
        </w:tc>
      </w:tr>
      <w:tr>
        <w:trPr>
          <w:trHeight w:val="207"/>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2,377</w:t>
            </w:r>
          </w:p>
        </w:tc>
      </w:tr>
      <w:tr>
        <w:trPr>
          <w:trHeight w:val="198"/>
        </w:trPr>
        <w:tc>
          <w:tcPr>
            <w:tcW w:w="9460" w:type="dxa"/>
            <w:vAlign w:val="bottom"/>
          </w:tcPr>
          <w:p>
            <w:pPr>
              <w:ind w:left="20"/>
              <w:spacing w:after="0"/>
              <w:rPr>
                <w:sz w:val="20"/>
                <w:szCs w:val="20"/>
                <w:color w:val="auto"/>
              </w:rPr>
            </w:pPr>
            <w:r>
              <w:rPr>
                <w:rFonts w:ascii="Arial" w:cs="Arial" w:eastAsia="Arial" w:hAnsi="Arial"/>
                <w:sz w:val="14"/>
                <w:szCs w:val="14"/>
                <w:color w:val="auto"/>
              </w:rPr>
              <w:t>Inventory, net</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9,332</w:t>
            </w:r>
          </w:p>
        </w:tc>
      </w:tr>
      <w:tr>
        <w:trPr>
          <w:trHeight w:val="207"/>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4,301</w:t>
            </w:r>
          </w:p>
        </w:tc>
      </w:tr>
      <w:tr>
        <w:trPr>
          <w:trHeight w:val="195"/>
        </w:trPr>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52,370</w:t>
            </w:r>
          </w:p>
        </w:tc>
      </w:tr>
      <w:tr>
        <w:trPr>
          <w:trHeight w:val="204"/>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Fair value of liabilities assumed:</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98"/>
        </w:trPr>
        <w:tc>
          <w:tcPr>
            <w:tcW w:w="9460" w:type="dxa"/>
            <w:vAlign w:val="bottom"/>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3,994</w:t>
            </w:r>
          </w:p>
        </w:tc>
      </w:tr>
      <w:tr>
        <w:trPr>
          <w:trHeight w:val="207"/>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2,410</w:t>
            </w:r>
          </w:p>
        </w:tc>
      </w:tr>
      <w:tr>
        <w:trPr>
          <w:trHeight w:val="195"/>
        </w:trPr>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6,404</w:t>
            </w:r>
          </w:p>
        </w:tc>
      </w:tr>
      <w:tr>
        <w:trPr>
          <w:trHeight w:val="199"/>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Goodwill </w:t>
            </w:r>
            <w:r>
              <w:rPr>
                <w:rFonts w:ascii="Arial" w:cs="Arial" w:eastAsia="Arial" w:hAnsi="Arial"/>
                <w:sz w:val="9"/>
                <w:szCs w:val="9"/>
                <w:color w:val="auto"/>
              </w:rPr>
              <w:t>(1)</w:t>
            </w: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4,630</w:t>
            </w:r>
          </w:p>
        </w:tc>
      </w:tr>
      <w:tr>
        <w:trPr>
          <w:trHeight w:val="200"/>
        </w:trPr>
        <w:tc>
          <w:tcPr>
            <w:tcW w:w="9460" w:type="dxa"/>
            <w:vAlign w:val="bottom"/>
          </w:tcPr>
          <w:p>
            <w:pPr>
              <w:ind w:left="20"/>
              <w:spacing w:after="0"/>
              <w:rPr>
                <w:sz w:val="20"/>
                <w:szCs w:val="20"/>
                <w:color w:val="auto"/>
              </w:rPr>
            </w:pPr>
            <w:r>
              <w:rPr>
                <w:rFonts w:ascii="Arial" w:cs="Arial" w:eastAsia="Arial" w:hAnsi="Arial"/>
                <w:sz w:val="14"/>
                <w:szCs w:val="14"/>
                <w:b w:val="1"/>
                <w:bCs w:val="1"/>
                <w:color w:val="auto"/>
              </w:rPr>
              <w:t>Net assets acquired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50,596</w:t>
            </w:r>
          </w:p>
        </w:tc>
      </w:tr>
      <w:tr>
        <w:trPr>
          <w:trHeight w:val="21"/>
        </w:trPr>
        <w:tc>
          <w:tcPr>
            <w:tcW w:w="9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64" w:lineRule="exact"/>
        <w:rPr>
          <w:sz w:val="20"/>
          <w:szCs w:val="20"/>
          <w:color w:val="auto"/>
        </w:rPr>
      </w:pPr>
    </w:p>
    <w:p>
      <w:pPr>
        <w:ind w:left="180" w:hanging="172"/>
        <w:spacing w:after="0" w:line="305" w:lineRule="auto"/>
        <w:tabs>
          <w:tab w:leader="none" w:pos="158" w:val="left"/>
        </w:tabs>
        <w:numPr>
          <w:ilvl w:val="0"/>
          <w:numId w:val="29"/>
        </w:numPr>
        <w:rPr>
          <w:rFonts w:ascii="Arial" w:cs="Arial" w:eastAsia="Arial" w:hAnsi="Arial"/>
          <w:sz w:val="9"/>
          <w:szCs w:val="9"/>
          <w:color w:val="auto"/>
        </w:rPr>
      </w:pPr>
      <w:r>
        <w:rPr>
          <w:rFonts w:ascii="Arial" w:cs="Arial" w:eastAsia="Arial" w:hAnsi="Arial"/>
          <w:sz w:val="14"/>
          <w:szCs w:val="14"/>
          <w:color w:val="auto"/>
        </w:rPr>
        <w:t>Goodwill is primarily attributable to the assembled workforce of QuickTurn and the synergies expected to be achieved. This goodwill is assigned to the Aerospace Products segment and is deductible for income tax purposes.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identifiable intangible assets and their estimated useful lives: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Estimated useful life in</w:t>
            </w:r>
          </w:p>
        </w:tc>
        <w:tc>
          <w:tcPr>
            <w:tcW w:w="12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b w:val="1"/>
                <w:bCs w:val="1"/>
                <w:color w:val="auto"/>
              </w:rPr>
              <w:t>Estimated Fair</w:t>
            </w:r>
          </w:p>
        </w:tc>
      </w:tr>
      <w:tr>
        <w:trPr>
          <w:trHeight w:val="185"/>
        </w:trPr>
        <w:tc>
          <w:tcPr>
            <w:tcW w:w="786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6"/>
                <w:szCs w:val="16"/>
                <w:color w:val="auto"/>
              </w:rPr>
            </w:pPr>
          </w:p>
        </w:tc>
        <w:tc>
          <w:tcPr>
            <w:tcW w:w="1200" w:type="dxa"/>
            <w:vAlign w:val="bottom"/>
          </w:tcPr>
          <w:p>
            <w:pPr>
              <w:jc w:val="right"/>
              <w:ind w:right="408"/>
              <w:spacing w:after="0"/>
              <w:rPr>
                <w:sz w:val="20"/>
                <w:szCs w:val="20"/>
                <w:color w:val="auto"/>
              </w:rPr>
            </w:pPr>
            <w:r>
              <w:rPr>
                <w:rFonts w:ascii="Arial" w:cs="Arial" w:eastAsia="Arial" w:hAnsi="Arial"/>
                <w:sz w:val="14"/>
                <w:szCs w:val="14"/>
                <w:b w:val="1"/>
                <w:bCs w:val="1"/>
                <w:color w:val="auto"/>
              </w:rPr>
              <w:t>value</w:t>
            </w:r>
          </w:p>
        </w:tc>
      </w:tr>
      <w:tr>
        <w:trPr>
          <w:trHeight w:val="196"/>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Above market leases</w:t>
            </w: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w:t>
            </w:r>
          </w:p>
        </w:tc>
      </w:tr>
      <w:tr>
        <w:trPr>
          <w:trHeight w:val="198"/>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19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1,907</w:t>
            </w:r>
          </w:p>
        </w:tc>
      </w:tr>
      <w:tr>
        <w:trPr>
          <w:trHeight w:val="22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property, plant and equipment and their estimated useful lives: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Estimated useful life in</w:t>
            </w:r>
          </w:p>
        </w:tc>
        <w:tc>
          <w:tcPr>
            <w:tcW w:w="120" w:type="dxa"/>
            <w:vAlign w:val="bottom"/>
          </w:tcPr>
          <w:p>
            <w:pPr>
              <w:spacing w:after="0"/>
              <w:rPr>
                <w:sz w:val="14"/>
                <w:szCs w:val="14"/>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b w:val="1"/>
                <w:bCs w:val="1"/>
                <w:color w:val="auto"/>
              </w:rPr>
              <w:t>Estimated Fair</w:t>
            </w:r>
          </w:p>
        </w:tc>
      </w:tr>
      <w:tr>
        <w:trPr>
          <w:trHeight w:val="185"/>
        </w:trPr>
        <w:tc>
          <w:tcPr>
            <w:tcW w:w="786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value</w:t>
            </w:r>
          </w:p>
        </w:tc>
      </w:tr>
      <w:tr>
        <w:trPr>
          <w:trHeight w:val="19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w:t>
            </w:r>
          </w:p>
        </w:tc>
      </w:tr>
      <w:tr>
        <w:trPr>
          <w:trHeight w:val="198"/>
        </w:trPr>
        <w:tc>
          <w:tcPr>
            <w:tcW w:w="7860" w:type="dxa"/>
            <w:vAlign w:val="bottom"/>
          </w:tcPr>
          <w:p>
            <w:pPr>
              <w:ind w:left="20"/>
              <w:spacing w:after="0"/>
              <w:rPr>
                <w:sz w:val="20"/>
                <w:szCs w:val="20"/>
                <w:color w:val="auto"/>
              </w:rPr>
            </w:pPr>
            <w:r>
              <w:rPr>
                <w:rFonts w:ascii="Arial" w:cs="Arial" w:eastAsia="Arial" w:hAnsi="Arial"/>
                <w:sz w:val="14"/>
                <w:szCs w:val="14"/>
                <w:color w:val="auto"/>
              </w:rPr>
              <w:t>Buildings and improvements</w:t>
            </w:r>
          </w:p>
        </w:tc>
        <w:tc>
          <w:tcPr>
            <w:tcW w:w="1960" w:type="dxa"/>
            <w:vAlign w:val="bottom"/>
          </w:tcPr>
          <w:p>
            <w:pPr>
              <w:jc w:val="center"/>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13,790</w:t>
            </w:r>
          </w:p>
        </w:tc>
      </w:tr>
      <w:tr>
        <w:trPr>
          <w:trHeight w:val="20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Machinery and equipment</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6 - 23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13,631</w:t>
            </w:r>
          </w:p>
        </w:tc>
      </w:tr>
      <w:tr>
        <w:trPr>
          <w:trHeight w:val="198"/>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9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9"/>
              </w:rPr>
              <w:t>5 - 7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r>
      <w:tr>
        <w:trPr>
          <w:trHeight w:val="22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30,559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of FTAI and QuickTurn on a pro forma basis. These pro forma results were based on estimates and assumptions which we believe are reasonable. The pro forma adjustments are primarily comprised of the following:</w:t>
      </w:r>
    </w:p>
    <w:p>
      <w:pPr>
        <w:spacing w:after="0" w:line="194" w:lineRule="exact"/>
        <w:rPr>
          <w:sz w:val="20"/>
          <w:szCs w:val="20"/>
          <w:color w:val="auto"/>
        </w:rPr>
      </w:pPr>
    </w:p>
    <w:p>
      <w:pPr>
        <w:ind w:left="660" w:hanging="328"/>
        <w:spacing w:after="0" w:line="290"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allocation of the purchase price and related adjustments, including adjustments to depreciation and amortization expense related to the fair value of property, plant and equipment and intangible assets acquired;</w:t>
      </w: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Associated tax-related impacts of adjustments.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following unaudited pro forma financial information is presented for informational purposes only and is not indicative of the results of operations that would have been achieved if the acquisition had taken place as of January 1,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79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r>
      <w:tr>
        <w:trPr>
          <w:trHeight w:val="197"/>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1,195,899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735,379</w:t>
            </w:r>
          </w:p>
        </w:tc>
      </w:tr>
      <w:tr>
        <w:trPr>
          <w:trHeight w:val="200"/>
        </w:trPr>
        <w:tc>
          <w:tcPr>
            <w:tcW w:w="7960" w:type="dxa"/>
            <w:vAlign w:val="bottom"/>
          </w:tcPr>
          <w:p>
            <w:pPr>
              <w:ind w:left="20"/>
              <w:spacing w:after="0"/>
              <w:rPr>
                <w:sz w:val="20"/>
                <w:szCs w:val="20"/>
                <w:color w:val="auto"/>
              </w:rPr>
            </w:pPr>
            <w:r>
              <w:rPr>
                <w:rFonts w:ascii="Arial" w:cs="Arial" w:eastAsia="Arial" w:hAnsi="Arial"/>
                <w:sz w:val="14"/>
                <w:szCs w:val="14"/>
                <w:color w:val="auto"/>
              </w:rPr>
              <w:t>Net income (loss) attributable to shareholders</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b w:val="1"/>
                <w:bCs w:val="1"/>
                <w:color w:val="auto"/>
              </w:rPr>
              <w:t>206,341</w:t>
            </w:r>
          </w:p>
        </w:tc>
        <w:tc>
          <w:tcPr>
            <w:tcW w:w="8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(236,786)</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5. LEASING EQUIPMENT, NET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Leasing equipment, net is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7"/>
                <w:szCs w:val="17"/>
                <w:color w:val="auto"/>
              </w:rPr>
            </w:pPr>
          </w:p>
        </w:tc>
      </w:tr>
      <w:tr>
        <w:trPr>
          <w:trHeight w:val="196"/>
        </w:trPr>
        <w:tc>
          <w:tcPr>
            <w:tcW w:w="78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Leasing equipment</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2,574,394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2,413,230</w:t>
            </w:r>
          </w:p>
        </w:tc>
      </w:tr>
      <w:tr>
        <w:trPr>
          <w:trHeight w:val="202"/>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(541,981)</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(499,677)</w:t>
            </w:r>
          </w:p>
        </w:tc>
      </w:tr>
      <w:tr>
        <w:trPr>
          <w:trHeight w:val="222"/>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2,032,413</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1,913,553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Economic sanctions and export controls against Russia and Russia’s aviation industry were imposed due to its invasion of Ukraine during the three months ended March 31, 2022. As a result of the sanctions imposed on Russian airlines, we terminated all lease agreements with Russian airlines. We determined that it is unlikely that we will regain possession of the aircrafts and engines that had not yet been recovered from Ukraine and Russia. As a result, we recognized an impairment charge totaling $120.0 million, net of maintenance deposits, to write-off the entire carrying value of leasing equipment assets that we did not expect to recover from Ukraine and Russia. As of December 31, 2023, eight aircraft and seventeen engines were still located in Russia. Additionally, we identified certain assets in our leasing equipment portfolio with indicators of impairment. As a result, we adjusted the carrying value of these assets to fair value and recognized transactional impairment charges of $2.1 million, net of redelivery compensation during the year ended December 31, 2023.</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8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60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197"/>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168,901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152,378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147,444</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6.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ownership interests and carrying values of our investments: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4"/>
          </w:tcPr>
          <w:p>
            <w:pPr>
              <w:jc w:val="right"/>
              <w:ind w:right="1428"/>
              <w:spacing w:after="0"/>
              <w:rPr>
                <w:sz w:val="20"/>
                <w:szCs w:val="20"/>
                <w:color w:val="auto"/>
              </w:rPr>
            </w:pPr>
            <w:r>
              <w:rPr>
                <w:rFonts w:ascii="Arial" w:cs="Arial" w:eastAsia="Arial" w:hAnsi="Arial"/>
                <w:sz w:val="14"/>
                <w:szCs w:val="14"/>
                <w:b w:val="1"/>
                <w:bCs w:val="1"/>
                <w:color w:val="auto"/>
              </w:rPr>
              <w:t>Carrying Value</w:t>
            </w:r>
          </w:p>
        </w:tc>
      </w:tr>
      <w:tr>
        <w:trPr>
          <w:trHeight w:val="197"/>
        </w:trPr>
        <w:tc>
          <w:tcPr>
            <w:tcW w:w="268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Ownership Percentage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December 31, 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December 31, 2022</w:t>
            </w:r>
          </w:p>
        </w:tc>
      </w:tr>
      <w:tr>
        <w:trPr>
          <w:trHeight w:val="197"/>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21,040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20,207</w:t>
            </w:r>
          </w:p>
        </w:tc>
      </w:tr>
      <w:tr>
        <w:trPr>
          <w:trHeight w:val="310"/>
        </w:trPr>
        <w:tc>
          <w:tcPr>
            <w:tcW w:w="2680" w:type="dxa"/>
            <w:vAlign w:val="bottom"/>
          </w:tcPr>
          <w:p>
            <w:pPr>
              <w:ind w:left="20"/>
              <w:spacing w:after="0"/>
              <w:rPr>
                <w:sz w:val="20"/>
                <w:szCs w:val="20"/>
                <w:color w:val="auto"/>
              </w:rPr>
            </w:pPr>
            <w:r>
              <w:rPr>
                <w:rFonts w:ascii="Arial" w:cs="Arial" w:eastAsia="Arial" w:hAnsi="Arial"/>
                <w:sz w:val="14"/>
                <w:szCs w:val="14"/>
                <w:color w:val="auto"/>
              </w:rPr>
              <w:t>Falcon MSN 177 LLC</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tcPr>
          <w:p>
            <w:pPr>
              <w:jc w:val="center"/>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b w:val="1"/>
                <w:bCs w:val="1"/>
                <w:color w:val="auto"/>
              </w:rPr>
              <w:t>1,682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1,830</w:t>
            </w:r>
          </w:p>
        </w:tc>
      </w:tr>
      <w:tr>
        <w:trPr>
          <w:trHeight w:val="20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Quick Turn Engine Center LLC</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22,722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22,037</w:t>
            </w:r>
          </w:p>
        </w:tc>
      </w:tr>
      <w:tr>
        <w:trPr>
          <w:trHeight w:val="22"/>
        </w:trPr>
        <w:tc>
          <w:tcPr>
            <w:tcW w:w="2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 45% pro rata distribution of income until return of JV partner's initial investment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We did not recognize any other-than-temporary impairments for the year ended December 31, 2023.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proportionate share of equity in income (losses):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6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197"/>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Advanced Engine Repair JV</w:t>
            </w: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833</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r>
      <w:tr>
        <w:trPr>
          <w:trHeight w:val="201"/>
        </w:trPr>
        <w:tc>
          <w:tcPr>
            <w:tcW w:w="6100" w:type="dxa"/>
            <w:vAlign w:val="bottom"/>
          </w:tcPr>
          <w:p>
            <w:pPr>
              <w:ind w:left="20"/>
              <w:spacing w:after="0"/>
              <w:rPr>
                <w:sz w:val="20"/>
                <w:szCs w:val="20"/>
                <w:color w:val="auto"/>
              </w:rPr>
            </w:pPr>
            <w:r>
              <w:rPr>
                <w:rFonts w:ascii="Arial" w:cs="Arial" w:eastAsia="Arial" w:hAnsi="Arial"/>
                <w:sz w:val="14"/>
                <w:szCs w:val="14"/>
                <w:color w:val="auto"/>
              </w:rPr>
              <w:t>Falcon MSN 177 LLC</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(148)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ind w:left="1040"/>
              <w:spacing w:after="0"/>
              <w:rPr>
                <w:sz w:val="20"/>
                <w:szCs w:val="20"/>
                <w:color w:val="auto"/>
              </w:rPr>
            </w:pPr>
            <w:r>
              <w:rPr>
                <w:rFonts w:ascii="Arial" w:cs="Arial" w:eastAsia="Arial" w:hAnsi="Arial"/>
                <w:sz w:val="14"/>
                <w:szCs w:val="14"/>
                <w:color w:val="auto"/>
              </w:rPr>
              <w:t>—</w:t>
            </w:r>
          </w:p>
        </w:tc>
      </w:tr>
      <w:tr>
        <w:trPr>
          <w:trHeight w:val="203"/>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Quick Turn Engine Center LLC</w:t>
            </w:r>
          </w:p>
        </w:tc>
        <w:tc>
          <w:tcPr>
            <w:tcW w:w="10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(2,291)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4"/>
                <w:szCs w:val="14"/>
                <w:color w:val="auto"/>
              </w:rPr>
              <w:t>—</w:t>
            </w:r>
          </w:p>
        </w:tc>
      </w:tr>
      <w:tr>
        <w:trPr>
          <w:trHeight w:val="197"/>
        </w:trPr>
        <w:tc>
          <w:tcPr>
            <w:tcW w:w="6100" w:type="dxa"/>
            <w:vAlign w:val="bottom"/>
          </w:tcPr>
          <w:p>
            <w:pPr>
              <w:ind w:left="20"/>
              <w:spacing w:after="0"/>
              <w:rPr>
                <w:sz w:val="20"/>
                <w:szCs w:val="20"/>
                <w:color w:val="auto"/>
              </w:rPr>
            </w:pPr>
            <w:r>
              <w:rPr>
                <w:rFonts w:ascii="Arial" w:cs="Arial" w:eastAsia="Arial" w:hAnsi="Arial"/>
                <w:sz w:val="14"/>
                <w:szCs w:val="14"/>
                <w:color w:val="auto"/>
              </w:rPr>
              <w:t>Total</w:t>
            </w:r>
          </w:p>
        </w:tc>
        <w:tc>
          <w:tcPr>
            <w:tcW w:w="1080" w:type="dxa"/>
            <w:vAlign w:val="bottom"/>
          </w:tcPr>
          <w:p>
            <w:pPr>
              <w:jc w:val="right"/>
              <w:ind w:right="90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(1,606)</w:t>
            </w:r>
          </w:p>
        </w:tc>
        <w:tc>
          <w:tcPr>
            <w:tcW w:w="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(1,403)</w:t>
            </w:r>
          </w:p>
        </w:tc>
      </w:tr>
      <w:tr>
        <w:trPr>
          <w:trHeight w:val="21"/>
        </w:trPr>
        <w:tc>
          <w:tcPr>
            <w:tcW w:w="6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Equity Method Investments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Advanced Engine Repair JV</w:t>
      </w:r>
    </w:p>
    <w:p>
      <w:pPr>
        <w:spacing w:after="0" w:line="11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December 2016, we invested $15 million for a 25% interest in an advanced engine repair joint venture. We focus on developing new cost savings programs for engine repairs. We exercise significant influence over this investment and account for this investment as an equity method investment.</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 August 2019, we expanded the scope of our joint venture and invested an additional $13.5 million and maintained a 25% interest.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Falcon MSN 177 LLC</w:t>
      </w:r>
    </w:p>
    <w:p>
      <w:pPr>
        <w:spacing w:after="0" w:line="1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November 2021, we invested $1.6 million for a 50% interest in Falcon MSN 177 LLC, an entity that consists of one Dassault Falcon 2000 aircraft. Falcon MSN 177 LLC leases the aircraft to charter operators on aircraft, crew, maintenance and insurance contracts. We account for our investment in Falcon as an equity method investment as we have significant influence through our interest.</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color w:val="00497F"/>
        </w:rPr>
        <w:t>Quick Turn Engine Center LLC</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January 4, 2023, we invested $19.5 million for a 50% interest (45% pro rata distribution of income until return of the JV partner’s initial investment) in Quick Turn Engine Center LLC or “QuickTurn” (previously iAero Thrust LLC), a hospital maintenance and testing facility dedicated to the CFM56 engine. We account for our investment in QuickTurn as an equity method investment as we have significant influence through our interest.</w:t>
      </w:r>
    </w:p>
    <w:p>
      <w:pPr>
        <w:spacing w:after="0" w:line="7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December 1, 2023, we purchased the remaining interest in QuickTurn from the joint venture partner for total cash consideration of $30.3 million to obtain full ownership with a 100% equity interest. The cash consideration included an additional $2.5 million in other assets acquired. On the acquisition date, the Company accounted for QuickTurn on a consolidated basis and derecognized it as an equity method investment. The Company remeasured its previously held equity method investment as of the acquisition date to a fair value of $17.2 million, determined using the implied fair value from the transaction price, and recorded a gain of $5.3 million. The gain is included in Other income in the Consolidated Statements of Operations. The results of operations at QuickTurn have been included in the Consolidated Statements of Operations beginning on December 1, 2023. See Notes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7. INTANGIBLE ASSETS AND LIABILITIES, NET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Our intangible assets and liabilities, net are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Pr>
          <w:p>
            <w:pPr>
              <w:spacing w:after="0"/>
              <w:rPr>
                <w:sz w:val="17"/>
                <w:szCs w:val="17"/>
                <w:color w:val="auto"/>
              </w:rPr>
            </w:pPr>
          </w:p>
        </w:tc>
        <w:tc>
          <w:tcPr>
            <w:tcW w:w="176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 2022</w:t>
            </w:r>
          </w:p>
        </w:tc>
      </w:tr>
      <w:tr>
        <w:trPr>
          <w:trHeight w:val="183"/>
        </w:trPr>
        <w:tc>
          <w:tcPr>
            <w:tcW w:w="7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220" w:type="dxa"/>
            <w:vAlign w:val="bottom"/>
            <w:tcBorders>
              <w:top w:val="single" w:sz="8" w:color="auto"/>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r>
      <w:tr>
        <w:trPr>
          <w:trHeight w:val="202"/>
        </w:trPr>
        <w:tc>
          <w:tcPr>
            <w:tcW w:w="720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Pr>
          <w:p>
            <w:pPr>
              <w:jc w:val="right"/>
              <w:ind w:right="8"/>
              <w:spacing w:after="0"/>
              <w:rPr>
                <w:sz w:val="20"/>
                <w:szCs w:val="20"/>
                <w:color w:val="auto"/>
              </w:rPr>
            </w:pPr>
            <w:r>
              <w:rPr>
                <w:rFonts w:ascii="Arial" w:cs="Arial" w:eastAsia="Arial" w:hAnsi="Arial"/>
                <w:sz w:val="14"/>
                <w:szCs w:val="14"/>
                <w:b w:val="1"/>
                <w:bCs w:val="1"/>
                <w:color w:val="auto"/>
              </w:rPr>
              <w:t>68,041</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Pr>
          <w:p>
            <w:pPr>
              <w:jc w:val="right"/>
              <w:spacing w:after="0"/>
              <w:rPr>
                <w:sz w:val="20"/>
                <w:szCs w:val="20"/>
                <w:color w:val="auto"/>
              </w:rPr>
            </w:pPr>
            <w:r>
              <w:rPr>
                <w:rFonts w:ascii="Arial" w:cs="Arial" w:eastAsia="Arial" w:hAnsi="Arial"/>
                <w:sz w:val="14"/>
                <w:szCs w:val="14"/>
                <w:color w:val="auto"/>
              </w:rPr>
              <w:t>64,202</w:t>
            </w:r>
          </w:p>
        </w:tc>
      </w:tr>
      <w:tr>
        <w:trPr>
          <w:trHeight w:val="20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(19,347)</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(22,247)</w:t>
            </w:r>
          </w:p>
        </w:tc>
      </w:tr>
      <w:tr>
        <w:trPr>
          <w:trHeight w:val="195"/>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220" w:type="dxa"/>
            <w:vAlign w:val="bottom"/>
          </w:tcPr>
          <w:p>
            <w:pPr>
              <w:spacing w:after="0"/>
              <w:rPr>
                <w:sz w:val="16"/>
                <w:szCs w:val="16"/>
                <w:color w:val="auto"/>
              </w:rPr>
            </w:pPr>
          </w:p>
        </w:tc>
        <w:tc>
          <w:tcPr>
            <w:tcW w:w="1760" w:type="dxa"/>
            <w:vAlign w:val="bottom"/>
          </w:tcPr>
          <w:p>
            <w:pPr>
              <w:jc w:val="right"/>
              <w:ind w:right="8"/>
              <w:spacing w:after="0"/>
              <w:rPr>
                <w:sz w:val="20"/>
                <w:szCs w:val="20"/>
                <w:color w:val="auto"/>
              </w:rPr>
            </w:pPr>
            <w:r>
              <w:rPr>
                <w:rFonts w:ascii="Arial" w:cs="Arial" w:eastAsia="Arial" w:hAnsi="Arial"/>
                <w:sz w:val="14"/>
                <w:szCs w:val="14"/>
                <w:b w:val="1"/>
                <w:bCs w:val="1"/>
                <w:color w:val="auto"/>
              </w:rPr>
              <w:t>48,694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41,955</w:t>
            </w:r>
          </w:p>
        </w:tc>
      </w:tr>
      <w:tr>
        <w:trPr>
          <w:trHeight w:val="204"/>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customer relationships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1,907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1,896</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50,590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41,955</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7"/>
        </w:trPr>
        <w:tc>
          <w:tcPr>
            <w:tcW w:w="7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02"/>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7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3,151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13,152</w:t>
            </w:r>
          </w:p>
        </w:tc>
      </w:tr>
      <w:tr>
        <w:trPr>
          <w:trHeight w:val="202"/>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(1,389)</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(2,607)</w:t>
            </w:r>
          </w:p>
        </w:tc>
      </w:tr>
      <w:tr>
        <w:trPr>
          <w:trHeight w:val="222"/>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1,762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Intangible assets and liabilities are held within the Aviation Leasing and Aerospace Products segments. Intangible liabilities relate to unfavorable lease intangibles and are included as a component of Other liabilities in the Consolidated Balance Sheets.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intangible assets and liabilities is recorded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80" w:type="dxa"/>
            <w:vAlign w:val="bottom"/>
          </w:tcPr>
          <w:p>
            <w:pPr>
              <w:spacing w:after="0"/>
              <w:rPr>
                <w:sz w:val="17"/>
                <w:szCs w:val="17"/>
                <w:color w:val="auto"/>
              </w:rPr>
            </w:pPr>
          </w:p>
        </w:tc>
        <w:tc>
          <w:tcPr>
            <w:tcW w:w="34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Classification in Consolidated Statements of</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580" w:type="dxa"/>
            <w:vAlign w:val="bottom"/>
          </w:tcPr>
          <w:p>
            <w:pPr>
              <w:spacing w:after="0"/>
              <w:rPr>
                <w:sz w:val="5"/>
                <w:szCs w:val="5"/>
                <w:color w:val="auto"/>
              </w:rPr>
            </w:pPr>
          </w:p>
        </w:tc>
        <w:tc>
          <w:tcPr>
            <w:tcW w:w="348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26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6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5"/>
        </w:trPr>
        <w:tc>
          <w:tcPr>
            <w:tcW w:w="2580" w:type="dxa"/>
            <w:vAlign w:val="bottom"/>
            <w:tcBorders>
              <w:bottom w:val="single" w:sz="8" w:color="CCEEFF"/>
            </w:tcBorders>
          </w:tcPr>
          <w:p>
            <w:pPr>
              <w:spacing w:after="0"/>
              <w:rPr>
                <w:sz w:val="16"/>
                <w:szCs w:val="16"/>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 income</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15,126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4,993</w:t>
            </w:r>
          </w:p>
        </w:tc>
        <w:tc>
          <w:tcPr>
            <w:tcW w:w="0" w:type="dxa"/>
            <w:vAlign w:val="bottom"/>
          </w:tcPr>
          <w:p>
            <w:pPr>
              <w:spacing w:after="0"/>
              <w:rPr>
                <w:sz w:val="1"/>
                <w:szCs w:val="1"/>
                <w:color w:val="auto"/>
              </w:rPr>
            </w:pPr>
          </w:p>
        </w:tc>
      </w:tr>
      <w:tr>
        <w:trPr>
          <w:trHeight w:val="202"/>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34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15,137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4,993</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2023, estimated net annual amortization of intangibles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7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16,012</w:t>
            </w:r>
          </w:p>
        </w:tc>
      </w:tr>
      <w:tr>
        <w:trPr>
          <w:trHeight w:val="198"/>
        </w:trPr>
        <w:tc>
          <w:tcPr>
            <w:tcW w:w="9400" w:type="dxa"/>
            <w:vAlign w:val="bottom"/>
          </w:tcPr>
          <w:p>
            <w:pPr>
              <w:ind w:left="20"/>
              <w:spacing w:after="0"/>
              <w:rPr>
                <w:sz w:val="20"/>
                <w:szCs w:val="20"/>
                <w:color w:val="auto"/>
              </w:rPr>
            </w:pPr>
            <w:r>
              <w:rPr>
                <w:rFonts w:ascii="Arial" w:cs="Arial" w:eastAsia="Arial" w:hAnsi="Arial"/>
                <w:sz w:val="14"/>
                <w:szCs w:val="14"/>
                <w:color w:val="auto"/>
              </w:rPr>
              <w:t>2025</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12,815</w:t>
            </w:r>
          </w:p>
        </w:tc>
      </w:tr>
      <w:tr>
        <w:trPr>
          <w:trHeight w:val="207"/>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7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9,012</w:t>
            </w:r>
          </w:p>
        </w:tc>
      </w:tr>
      <w:tr>
        <w:trPr>
          <w:trHeight w:val="198"/>
        </w:trPr>
        <w:tc>
          <w:tcPr>
            <w:tcW w:w="9400" w:type="dxa"/>
            <w:vAlign w:val="bottom"/>
          </w:tcPr>
          <w:p>
            <w:pPr>
              <w:ind w:left="20"/>
              <w:spacing w:after="0"/>
              <w:rPr>
                <w:sz w:val="20"/>
                <w:szCs w:val="20"/>
                <w:color w:val="auto"/>
              </w:rPr>
            </w:pPr>
            <w:r>
              <w:rPr>
                <w:rFonts w:ascii="Arial" w:cs="Arial" w:eastAsia="Arial" w:hAnsi="Arial"/>
                <w:sz w:val="14"/>
                <w:szCs w:val="14"/>
                <w:color w:val="auto"/>
              </w:rPr>
              <w:t>2027</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4,025</w:t>
            </w:r>
          </w:p>
        </w:tc>
      </w:tr>
      <w:tr>
        <w:trPr>
          <w:trHeight w:val="207"/>
        </w:trPr>
        <w:tc>
          <w:tcPr>
            <w:tcW w:w="9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7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3,434</w:t>
            </w:r>
          </w:p>
        </w:tc>
      </w:tr>
      <w:tr>
        <w:trPr>
          <w:trHeight w:val="198"/>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7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3,530</w:t>
            </w:r>
          </w:p>
        </w:tc>
      </w:tr>
      <w:tr>
        <w:trPr>
          <w:trHeight w:val="225"/>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72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48,828</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8. DEBT, NET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Our debt, net is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December 31, 2023</w:t>
            </w:r>
          </w:p>
        </w:tc>
        <w:tc>
          <w:tcPr>
            <w:tcW w:w="1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47"/>
        </w:trPr>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168"/>
              <w:spacing w:after="0" w:line="147"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2"/>
                <w:szCs w:val="12"/>
                <w:color w:val="auto"/>
              </w:rPr>
            </w:pPr>
          </w:p>
        </w:tc>
        <w:tc>
          <w:tcPr>
            <w:tcW w:w="3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Stated Interest Rate</w:t>
            </w:r>
          </w:p>
        </w:tc>
        <w:tc>
          <w:tcPr>
            <w:tcW w:w="14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Maturity Date</w:t>
            </w:r>
          </w:p>
        </w:tc>
        <w:tc>
          <w:tcPr>
            <w:tcW w:w="1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Outstanding Borrowings</w:t>
            </w:r>
          </w:p>
        </w:tc>
        <w:tc>
          <w:tcPr>
            <w:tcW w:w="0" w:type="dxa"/>
            <w:vAlign w:val="bottom"/>
          </w:tcPr>
          <w:p>
            <w:pPr>
              <w:spacing w:after="0"/>
              <w:rPr>
                <w:sz w:val="1"/>
                <w:szCs w:val="1"/>
                <w:color w:val="auto"/>
              </w:rPr>
            </w:pPr>
          </w:p>
        </w:tc>
      </w:tr>
      <w:tr>
        <w:trPr>
          <w:trHeight w:val="185"/>
        </w:trPr>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208"/>
              <w:spacing w:after="0"/>
              <w:rPr>
                <w:sz w:val="20"/>
                <w:szCs w:val="20"/>
                <w:color w:val="auto"/>
              </w:rPr>
            </w:pPr>
            <w:r>
              <w:rPr>
                <w:rFonts w:ascii="Arial" w:cs="Arial" w:eastAsia="Arial" w:hAnsi="Arial"/>
                <w:sz w:val="14"/>
                <w:szCs w:val="14"/>
                <w:b w:val="1"/>
                <w:bCs w:val="1"/>
                <w:color w:val="auto"/>
              </w:rPr>
              <w:t>Borrowings</w:t>
            </w:r>
          </w:p>
        </w:tc>
        <w:tc>
          <w:tcPr>
            <w:tcW w:w="100" w:type="dxa"/>
            <w:vAlign w:val="bottom"/>
          </w:tcPr>
          <w:p>
            <w:pPr>
              <w:spacing w:after="0"/>
              <w:rPr>
                <w:sz w:val="16"/>
                <w:szCs w:val="16"/>
                <w:color w:val="auto"/>
              </w:rPr>
            </w:pPr>
          </w:p>
        </w:tc>
        <w:tc>
          <w:tcPr>
            <w:tcW w:w="378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payable</w:t>
            </w: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500" w:type="dxa"/>
            <w:vAlign w:val="bottom"/>
            <w:vMerge w:val="restart"/>
          </w:tcPr>
          <w:p>
            <w:pPr>
              <w:ind w:left="20"/>
              <w:spacing w:after="0"/>
              <w:rPr>
                <w:sz w:val="20"/>
                <w:szCs w:val="20"/>
                <w:color w:val="auto"/>
              </w:rPr>
            </w:pPr>
            <w:r>
              <w:rPr>
                <w:rFonts w:ascii="Arial" w:cs="Arial" w:eastAsia="Arial" w:hAnsi="Arial"/>
                <w:sz w:val="14"/>
                <w:szCs w:val="14"/>
                <w:color w:val="auto"/>
              </w:rPr>
              <w:t xml:space="preserve">Revolving Credit Facility </w:t>
            </w:r>
            <w:r>
              <w:rPr>
                <w:rFonts w:ascii="Arial" w:cs="Arial" w:eastAsia="Arial" w:hAnsi="Arial"/>
                <w:sz w:val="9"/>
                <w:szCs w:val="9"/>
                <w:color w:val="auto"/>
              </w:rPr>
              <w:t>(1)</w:t>
            </w: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3780" w:type="dxa"/>
            <w:vAlign w:val="bottom"/>
            <w:gridSpan w:val="2"/>
          </w:tcPr>
          <w:p>
            <w:pPr>
              <w:jc w:val="center"/>
              <w:ind w:right="80"/>
              <w:spacing w:after="0" w:line="153" w:lineRule="exact"/>
              <w:rPr>
                <w:sz w:val="20"/>
                <w:szCs w:val="20"/>
                <w:color w:val="auto"/>
              </w:rPr>
            </w:pPr>
            <w:r>
              <w:rPr>
                <w:rFonts w:ascii="Arial" w:cs="Arial" w:eastAsia="Arial" w:hAnsi="Arial"/>
                <w:sz w:val="14"/>
                <w:szCs w:val="14"/>
                <w:color w:val="auto"/>
              </w:rPr>
              <w:t>(i) Base Rate + 1.75%; or</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9/20/25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85"/>
        </w:trPr>
        <w:tc>
          <w:tcPr>
            <w:tcW w:w="25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(ii) Adjusted Term SOFR Rate + 2.75%</w:t>
            </w:r>
          </w:p>
        </w:tc>
        <w:tc>
          <w:tcPr>
            <w:tcW w:w="13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loans payable</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201"/>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Bonds payable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Senior Notes due 2025 </w:t>
            </w:r>
            <w:r>
              <w:rPr>
                <w:rFonts w:ascii="Arial" w:cs="Arial" w:eastAsia="Arial" w:hAnsi="Arial"/>
                <w:sz w:val="9"/>
                <w:szCs w:val="9"/>
                <w:color w:val="auto"/>
              </w:rPr>
              <w:t>(2)</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652,043</w:t>
            </w:r>
          </w:p>
        </w:tc>
        <w:tc>
          <w:tcPr>
            <w:tcW w:w="37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10/1/25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653,036</w:t>
            </w:r>
          </w:p>
        </w:tc>
        <w:tc>
          <w:tcPr>
            <w:tcW w:w="0" w:type="dxa"/>
            <w:vAlign w:val="bottom"/>
          </w:tcPr>
          <w:p>
            <w:pPr>
              <w:spacing w:after="0"/>
              <w:rPr>
                <w:sz w:val="1"/>
                <w:szCs w:val="1"/>
                <w:color w:val="auto"/>
              </w:rPr>
            </w:pPr>
          </w:p>
        </w:tc>
      </w:tr>
      <w:tr>
        <w:trPr>
          <w:trHeight w:val="201"/>
        </w:trPr>
        <w:tc>
          <w:tcPr>
            <w:tcW w:w="2500" w:type="dxa"/>
            <w:vAlign w:val="bottom"/>
          </w:tcPr>
          <w:p>
            <w:pPr>
              <w:ind w:left="20"/>
              <w:spacing w:after="0"/>
              <w:rPr>
                <w:sz w:val="20"/>
                <w:szCs w:val="20"/>
                <w:color w:val="auto"/>
              </w:rPr>
            </w:pPr>
            <w:r>
              <w:rPr>
                <w:rFonts w:ascii="Arial" w:cs="Arial" w:eastAsia="Arial" w:hAnsi="Arial"/>
                <w:sz w:val="14"/>
                <w:szCs w:val="14"/>
                <w:color w:val="auto"/>
              </w:rPr>
              <w:t>Senior Notes due 2027</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400,000</w:t>
            </w:r>
          </w:p>
        </w:tc>
        <w:tc>
          <w:tcPr>
            <w:tcW w:w="3780" w:type="dxa"/>
            <w:vAlign w:val="bottom"/>
            <w:gridSpan w:val="2"/>
          </w:tcPr>
          <w:p>
            <w:pPr>
              <w:jc w:val="center"/>
              <w:ind w:left="48"/>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8/1/27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204"/>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Senior Notes due 2028 </w:t>
            </w:r>
            <w:r>
              <w:rPr>
                <w:rFonts w:ascii="Arial" w:cs="Arial" w:eastAsia="Arial" w:hAnsi="Arial"/>
                <w:sz w:val="9"/>
                <w:szCs w:val="9"/>
                <w:color w:val="auto"/>
              </w:rPr>
              <w:t>(3)</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1,001,746</w:t>
            </w:r>
          </w:p>
        </w:tc>
        <w:tc>
          <w:tcPr>
            <w:tcW w:w="37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1,002,091</w:t>
            </w:r>
          </w:p>
        </w:tc>
        <w:tc>
          <w:tcPr>
            <w:tcW w:w="0" w:type="dxa"/>
            <w:vAlign w:val="bottom"/>
          </w:tcPr>
          <w:p>
            <w:pPr>
              <w:spacing w:after="0"/>
              <w:rPr>
                <w:sz w:val="1"/>
                <w:szCs w:val="1"/>
                <w:color w:val="auto"/>
              </w:rPr>
            </w:pPr>
          </w:p>
        </w:tc>
      </w:tr>
      <w:tr>
        <w:trPr>
          <w:trHeight w:val="201"/>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Senior Notes due 2030 </w:t>
            </w:r>
            <w:r>
              <w:rPr>
                <w:rFonts w:ascii="Arial" w:cs="Arial" w:eastAsia="Arial" w:hAnsi="Arial"/>
                <w:sz w:val="9"/>
                <w:szCs w:val="9"/>
                <w:color w:val="auto"/>
              </w:rPr>
              <w:t>(4)</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496,704</w:t>
            </w:r>
          </w:p>
        </w:tc>
        <w:tc>
          <w:tcPr>
            <w:tcW w:w="3780" w:type="dxa"/>
            <w:vAlign w:val="bottom"/>
            <w:tcBorders>
              <w:bottom w:val="single" w:sz="8" w:color="CCEEFF"/>
            </w:tcBorders>
            <w:gridSpan w:val="2"/>
          </w:tcPr>
          <w:p>
            <w:pPr>
              <w:jc w:val="center"/>
              <w:ind w:left="48"/>
              <w:spacing w:after="0"/>
              <w:rPr>
                <w:sz w:val="20"/>
                <w:szCs w:val="20"/>
                <w:color w:val="auto"/>
              </w:rPr>
            </w:pPr>
            <w:r>
              <w:rPr>
                <w:rFonts w:ascii="Arial" w:cs="Arial" w:eastAsia="Arial" w:hAnsi="Arial"/>
                <w:sz w:val="14"/>
                <w:szCs w:val="14"/>
                <w:color w:val="auto"/>
              </w:rPr>
              <w:t>7.88%</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12/1/30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bonds payable</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2,550,493</w:t>
            </w:r>
          </w:p>
        </w:tc>
        <w:tc>
          <w:tcPr>
            <w:tcW w:w="10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2,055,127</w:t>
            </w:r>
          </w:p>
        </w:tc>
        <w:tc>
          <w:tcPr>
            <w:tcW w:w="0" w:type="dxa"/>
            <w:vAlign w:val="bottom"/>
          </w:tcPr>
          <w:p>
            <w:pPr>
              <w:spacing w:after="0"/>
              <w:rPr>
                <w:sz w:val="1"/>
                <w:szCs w:val="1"/>
                <w:color w:val="auto"/>
              </w:rPr>
            </w:pPr>
          </w:p>
        </w:tc>
      </w:tr>
      <w:tr>
        <w:trPr>
          <w:trHeight w:val="195"/>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Debt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2,550,493</w:t>
            </w: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2,205,127</w:t>
            </w:r>
          </w:p>
        </w:tc>
        <w:tc>
          <w:tcPr>
            <w:tcW w:w="0" w:type="dxa"/>
            <w:vAlign w:val="bottom"/>
          </w:tcPr>
          <w:p>
            <w:pPr>
              <w:spacing w:after="0"/>
              <w:rPr>
                <w:sz w:val="1"/>
                <w:szCs w:val="1"/>
                <w:color w:val="auto"/>
              </w:rPr>
            </w:pPr>
          </w:p>
        </w:tc>
      </w:tr>
      <w:tr>
        <w:trPr>
          <w:trHeight w:val="203"/>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Debt issuance costs</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(33,150)</w:t>
            </w:r>
          </w:p>
        </w:tc>
        <w:tc>
          <w:tcPr>
            <w:tcW w:w="10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(29,400)</w:t>
            </w:r>
          </w:p>
        </w:tc>
        <w:tc>
          <w:tcPr>
            <w:tcW w:w="0" w:type="dxa"/>
            <w:vAlign w:val="bottom"/>
          </w:tcPr>
          <w:p>
            <w:pPr>
              <w:spacing w:after="0"/>
              <w:rPr>
                <w:sz w:val="1"/>
                <w:szCs w:val="1"/>
                <w:color w:val="auto"/>
              </w:rPr>
            </w:pPr>
          </w:p>
        </w:tc>
      </w:tr>
      <w:tr>
        <w:trPr>
          <w:trHeight w:val="197"/>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Total debt, net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2,517,343</w:t>
            </w:r>
          </w:p>
        </w:tc>
        <w:tc>
          <w:tcPr>
            <w:tcW w:w="1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2,175,727</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20"/>
              <w:spacing w:after="0"/>
              <w:rPr>
                <w:sz w:val="20"/>
                <w:szCs w:val="20"/>
                <w:color w:val="auto"/>
              </w:rPr>
            </w:pPr>
            <w:r>
              <w:rPr>
                <w:rFonts w:ascii="Arial" w:cs="Arial" w:eastAsia="Arial" w:hAnsi="Arial"/>
                <w:sz w:val="14"/>
                <w:szCs w:val="14"/>
                <w:b w:val="1"/>
                <w:bCs w:val="1"/>
                <w:color w:val="auto"/>
              </w:rPr>
              <w:t>Total debt due within one year</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______________________________________________________________________________________</w:t>
      </w:r>
    </w:p>
    <w:p>
      <w:pPr>
        <w:spacing w:after="0" w:line="63"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9"/>
          <w:szCs w:val="9"/>
          <w:color w:val="auto"/>
        </w:rPr>
      </w:pPr>
      <w:r>
        <w:rPr>
          <w:rFonts w:ascii="Arial" w:cs="Arial" w:eastAsia="Arial" w:hAnsi="Arial"/>
          <w:sz w:val="14"/>
          <w:szCs w:val="14"/>
          <w:color w:val="auto"/>
        </w:rPr>
        <w:t>Requires a quarterly commitment fee at a rate of 0.50% on the average daily unused portion, as well as customary letter of credit fees and agency fees.</w:t>
      </w:r>
    </w:p>
    <w:p>
      <w:pPr>
        <w:spacing w:after="0" w:line="28" w:lineRule="exact"/>
        <w:rPr>
          <w:rFonts w:ascii="Arial" w:cs="Arial" w:eastAsia="Arial" w:hAnsi="Arial"/>
          <w:sz w:val="9"/>
          <w:szCs w:val="9"/>
          <w:color w:val="auto"/>
        </w:rPr>
      </w:pPr>
    </w:p>
    <w:p>
      <w:pPr>
        <w:ind w:left="180" w:hanging="172"/>
        <w:spacing w:after="0" w:line="284" w:lineRule="auto"/>
        <w:tabs>
          <w:tab w:leader="none" w:pos="158" w:val="left"/>
        </w:tabs>
        <w:numPr>
          <w:ilvl w:val="0"/>
          <w:numId w:val="31"/>
        </w:numPr>
        <w:rPr>
          <w:rFonts w:ascii="Arial" w:cs="Arial" w:eastAsia="Arial" w:hAnsi="Arial"/>
          <w:sz w:val="9"/>
          <w:szCs w:val="9"/>
          <w:color w:val="auto"/>
        </w:rPr>
      </w:pPr>
      <w:r>
        <w:rPr>
          <w:rFonts w:ascii="Arial" w:cs="Arial" w:eastAsia="Arial" w:hAnsi="Arial"/>
          <w:sz w:val="14"/>
          <w:szCs w:val="14"/>
          <w:color w:val="auto"/>
        </w:rPr>
        <w:t>Includes unamortized discount of $866 and $1,318 at December 31, 2023 and 2022, respectively, and an unamortized premium of $2,908 and $4,354 at December 31, 2023 and 2022, respectively.</w:t>
      </w:r>
    </w:p>
    <w:p>
      <w:pPr>
        <w:ind w:left="160" w:hanging="152"/>
        <w:spacing w:after="0"/>
        <w:tabs>
          <w:tab w:leader="none" w:pos="1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Includes an unamortized premium of $1,746 and $2,091 at December 31, 2023 and 2022, respectively.</w:t>
      </w:r>
    </w:p>
    <w:p>
      <w:pPr>
        <w:spacing w:after="0" w:line="53" w:lineRule="exact"/>
        <w:rPr>
          <w:rFonts w:ascii="Arial" w:cs="Arial" w:eastAsia="Arial" w:hAnsi="Arial"/>
          <w:sz w:val="18"/>
          <w:szCs w:val="18"/>
          <w:color w:val="auto"/>
          <w:vertAlign w:val="superscript"/>
        </w:rPr>
      </w:pPr>
    </w:p>
    <w:p>
      <w:pPr>
        <w:ind w:left="140" w:hanging="132"/>
        <w:spacing w:after="0" w:line="229" w:lineRule="auto"/>
        <w:tabs>
          <w:tab w:leader="none" w:pos="140" w:val="left"/>
        </w:tabs>
        <w:numPr>
          <w:ilvl w:val="0"/>
          <w:numId w:val="31"/>
        </w:numPr>
        <w:rPr>
          <w:rFonts w:ascii="Arial" w:cs="Arial" w:eastAsia="Arial" w:hAnsi="Arial"/>
          <w:sz w:val="16"/>
          <w:szCs w:val="16"/>
          <w:color w:val="auto"/>
          <w:vertAlign w:val="superscript"/>
        </w:rPr>
      </w:pPr>
      <w:r>
        <w:rPr>
          <w:rFonts w:ascii="Arial" w:cs="Arial" w:eastAsia="Arial" w:hAnsi="Arial"/>
          <w:sz w:val="12"/>
          <w:szCs w:val="12"/>
          <w:color w:val="auto"/>
        </w:rPr>
        <w:t>Includes unamortized discount of $3,296 at December 31, 2023</w:t>
      </w:r>
    </w:p>
    <w:p>
      <w:pPr>
        <w:spacing w:after="0" w:line="7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On November 21, 2023, we issued $500.0 million aggregate principal amount of senior unsecured notes due 2030 (the “2030 Notes”). The 2030 Notes bear interest at a rate of 7.88% per annum, payable semi-annually in arrears on June 1 and December 1 of each year, commencing on June 1, 2024.</w:t>
      </w:r>
    </w:p>
    <w:p>
      <w:pPr>
        <w:spacing w:after="0" w:line="3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used a portion of the proceeds to repay $250 million of outstanding borrowings under the Revolving Credit Facility, for general corporate purposes, and the funding of future acquisitions and investments.</w:t>
      </w:r>
    </w:p>
    <w:p>
      <w:pPr>
        <w:spacing w:after="0" w:line="3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September 20, 2022, the Company amended and restated its Revolving Credit Facility which provides for revolving loans to be made available to the Company in an aggregate principal amount of up to $225.0 million, of which up to $25.0 million may be utilized for the issuance of letters of credit. On November 22, 2022, the Company entered into an additional amendment which provides for additional revolving commitments by Citizens Bank, National Association, as an incremental lender in an aggregate principal amount of $75.0 million (the “Incremental Commitment”). After giving effect to the Incremental Commitment, the aggregate principal amount of the Commitments available to the Company is $300.0 million (the “Revolving Credit Facility”), of which up to $25.0 million may be utilized for the issuance of letters of credit.</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conjunction with the spin-off of FTAI Infrastructure, the Company repaid all outstanding borrowings under its 2021 bridge loans and $200.0 million of its 6.50% senior unsecured notes due 2025, and approximately $175.0 million of the outstanding borrowings under its revolving credit facility. The Company recorded a loss on extinguishment of debt of $19.9 million during the year ended December 31, 2022 as a result of these pay downs.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debt covenants as of December 31,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2023, scheduled principal repayments under our debt agreements for the next five years and thereafter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Credit Facility</w:t>
            </w:r>
          </w:p>
        </w:tc>
        <w:tc>
          <w:tcPr>
            <w:tcW w:w="8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Senior Notes due 2025</w:t>
            </w:r>
          </w:p>
        </w:tc>
        <w:tc>
          <w:tcPr>
            <w:tcW w:w="800" w:type="dxa"/>
            <w:vAlign w:val="bottom"/>
          </w:tcPr>
          <w:p>
            <w:pPr>
              <w:spacing w:after="0"/>
              <w:rPr>
                <w:sz w:val="17"/>
                <w:szCs w:val="17"/>
                <w:color w:val="auto"/>
              </w:rPr>
            </w:pPr>
          </w:p>
        </w:tc>
        <w:tc>
          <w:tcPr>
            <w:tcW w:w="66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650,000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ind w:left="6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650,000</w:t>
            </w: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2027</w:t>
            </w:r>
          </w:p>
        </w:tc>
        <w:tc>
          <w:tcPr>
            <w:tcW w:w="8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98"/>
        </w:trPr>
        <w:tc>
          <w:tcPr>
            <w:tcW w:w="2820" w:type="dxa"/>
            <w:vAlign w:val="bottom"/>
          </w:tcPr>
          <w:p>
            <w:pPr>
              <w:ind w:left="20"/>
              <w:spacing w:after="0"/>
              <w:rPr>
                <w:sz w:val="20"/>
                <w:szCs w:val="20"/>
                <w:color w:val="auto"/>
              </w:rPr>
            </w:pPr>
            <w:r>
              <w:rPr>
                <w:rFonts w:ascii="Arial" w:cs="Arial" w:eastAsia="Arial" w:hAnsi="Arial"/>
                <w:sz w:val="14"/>
                <w:szCs w:val="14"/>
                <w:color w:val="auto"/>
              </w:rPr>
              <w:t>Senior Notes due 2028</w:t>
            </w:r>
          </w:p>
        </w:tc>
        <w:tc>
          <w:tcPr>
            <w:tcW w:w="800" w:type="dxa"/>
            <w:vAlign w:val="bottom"/>
          </w:tcPr>
          <w:p>
            <w:pPr>
              <w:spacing w:after="0"/>
              <w:rPr>
                <w:sz w:val="17"/>
                <w:szCs w:val="17"/>
                <w:color w:val="auto"/>
              </w:rPr>
            </w:pPr>
          </w:p>
        </w:tc>
        <w:tc>
          <w:tcPr>
            <w:tcW w:w="66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220" w:type="dxa"/>
            <w:vAlign w:val="bottom"/>
            <w:gridSpan w:val="3"/>
          </w:tcPr>
          <w:p>
            <w:pPr>
              <w:ind w:left="6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2030</w:t>
            </w:r>
          </w:p>
        </w:tc>
        <w:tc>
          <w:tcPr>
            <w:tcW w:w="8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33"/>
        </w:trPr>
        <w:tc>
          <w:tcPr>
            <w:tcW w:w="282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Total principal payments on loans and</w:t>
            </w:r>
          </w:p>
        </w:tc>
        <w:tc>
          <w:tcPr>
            <w:tcW w:w="80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650,000</w:t>
            </w: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   $</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400,000</w:t>
            </w:r>
          </w:p>
        </w:tc>
        <w:tc>
          <w:tcPr>
            <w:tcW w:w="100" w:type="dxa"/>
            <w:vAlign w:val="bottom"/>
          </w:tcPr>
          <w:p>
            <w:pPr>
              <w:spacing w:after="0"/>
              <w:rPr>
                <w:sz w:val="11"/>
                <w:szCs w:val="11"/>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1,000,000</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500,000</w:t>
            </w: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2,550,000</w:t>
            </w:r>
          </w:p>
        </w:tc>
        <w:tc>
          <w:tcPr>
            <w:tcW w:w="0" w:type="dxa"/>
            <w:vAlign w:val="bottom"/>
          </w:tcPr>
          <w:p>
            <w:pPr>
              <w:spacing w:after="0"/>
              <w:rPr>
                <w:sz w:val="1"/>
                <w:szCs w:val="1"/>
                <w:color w:val="auto"/>
              </w:rPr>
            </w:pPr>
          </w:p>
        </w:tc>
      </w:tr>
      <w:tr>
        <w:trPr>
          <w:trHeight w:val="158"/>
        </w:trPr>
        <w:tc>
          <w:tcPr>
            <w:tcW w:w="282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bonds payable</w:t>
            </w:r>
          </w:p>
        </w:tc>
        <w:tc>
          <w:tcPr>
            <w:tcW w:w="800" w:type="dxa"/>
            <w:vAlign w:val="bottom"/>
            <w:vMerge w:val="continue"/>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9. FAIR VALUE MEASUREMENTS</w:t>
      </w:r>
    </w:p>
    <w:p>
      <w:pPr>
        <w:spacing w:after="0" w:line="17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48"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26" w:lineRule="exact"/>
        <w:rPr>
          <w:rFonts w:ascii="Arial" w:cs="Arial" w:eastAsia="Arial" w:hAnsi="Arial"/>
          <w:sz w:val="16"/>
          <w:szCs w:val="16"/>
          <w:color w:val="auto"/>
        </w:rPr>
      </w:pPr>
    </w:p>
    <w:p>
      <w:pPr>
        <w:ind w:left="340" w:hanging="332"/>
        <w:spacing w:after="0" w:line="286" w:lineRule="auto"/>
        <w:tabs>
          <w:tab w:leader="none" w:pos="329"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61" w:lineRule="exact"/>
        <w:rPr>
          <w:rFonts w:ascii="Arial" w:cs="Arial" w:eastAsia="Arial" w:hAnsi="Arial"/>
          <w:sz w:val="16"/>
          <w:szCs w:val="16"/>
          <w:color w:val="auto"/>
        </w:rPr>
      </w:pPr>
    </w:p>
    <w:p>
      <w:pPr>
        <w:ind w:left="340" w:hanging="332"/>
        <w:spacing w:after="0" w:line="286" w:lineRule="auto"/>
        <w:tabs>
          <w:tab w:leader="none" w:pos="329"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about how market participants price the asset or liability.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27"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13" w:lineRule="exact"/>
        <w:rPr>
          <w:rFonts w:ascii="Arial" w:cs="Arial" w:eastAsia="Arial" w:hAnsi="Arial"/>
          <w:sz w:val="16"/>
          <w:szCs w:val="16"/>
          <w:color w:val="auto"/>
        </w:rPr>
      </w:pPr>
    </w:p>
    <w:p>
      <w:pPr>
        <w:ind w:left="340" w:hanging="332"/>
        <w:spacing w:after="0" w:line="304" w:lineRule="auto"/>
        <w:tabs>
          <w:tab w:leader="none" w:pos="329"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33" w:lineRule="exact"/>
        <w:rPr>
          <w:rFonts w:ascii="Arial" w:cs="Arial" w:eastAsia="Arial" w:hAnsi="Arial"/>
          <w:sz w:val="16"/>
          <w:szCs w:val="16"/>
          <w:color w:val="auto"/>
        </w:rPr>
      </w:pPr>
    </w:p>
    <w:p>
      <w:pPr>
        <w:ind w:left="320" w:hanging="312"/>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Except as discussed below, our financial instruments other than cash and cash equivalents and restricted cash consist principally of accounts receivable, notes receivable, accounts payable and accrued liabilities, loans payable, security deposits, maintenance deposits and management fees payable, whose fair values approximate their carrying values based on an evaluation of pricing data, vendor quotes, and historical trading activity or due to their short maturity profiles.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fair values of our bonds payable reported as Debt, net in the Consolidated Balance Sheets are presented in the table below and classified as Level 2 within the fair value hierarchy: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spacing w:after="0"/>
              <w:rPr>
                <w:sz w:val="17"/>
                <w:szCs w:val="17"/>
                <w:color w:val="auto"/>
              </w:rPr>
            </w:pPr>
          </w:p>
        </w:tc>
        <w:tc>
          <w:tcPr>
            <w:tcW w:w="1980" w:type="dxa"/>
            <w:vAlign w:val="bottom"/>
            <w:gridSpan w:val="2"/>
          </w:tcPr>
          <w:p>
            <w:pPr>
              <w:ind w:left="280"/>
              <w:spacing w:after="0"/>
              <w:rPr>
                <w:sz w:val="20"/>
                <w:szCs w:val="20"/>
                <w:color w:val="auto"/>
              </w:rPr>
            </w:pPr>
            <w:r>
              <w:rPr>
                <w:rFonts w:ascii="Arial" w:cs="Arial" w:eastAsia="Arial" w:hAnsi="Arial"/>
                <w:sz w:val="14"/>
                <w:szCs w:val="14"/>
                <w:b w:val="1"/>
                <w:bCs w:val="1"/>
                <w:color w:val="auto"/>
              </w:rPr>
              <w:t>December 31, 2023</w:t>
            </w:r>
          </w:p>
        </w:tc>
        <w:tc>
          <w:tcPr>
            <w:tcW w:w="190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2022</w:t>
            </w:r>
          </w:p>
        </w:tc>
      </w:tr>
      <w:tr>
        <w:trPr>
          <w:trHeight w:val="197"/>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Senior Notes due 2025</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649,383</w:t>
            </w:r>
          </w:p>
        </w:tc>
        <w:tc>
          <w:tcPr>
            <w:tcW w:w="10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613,152</w:t>
            </w:r>
          </w:p>
        </w:tc>
      </w:tr>
      <w:tr>
        <w:trPr>
          <w:trHeight w:val="198"/>
        </w:trPr>
        <w:tc>
          <w:tcPr>
            <w:tcW w:w="7360" w:type="dxa"/>
            <w:vAlign w:val="bottom"/>
          </w:tcPr>
          <w:p>
            <w:pPr>
              <w:ind w:left="20"/>
              <w:spacing w:after="0"/>
              <w:rPr>
                <w:sz w:val="20"/>
                <w:szCs w:val="20"/>
                <w:color w:val="auto"/>
              </w:rPr>
            </w:pPr>
            <w:r>
              <w:rPr>
                <w:rFonts w:ascii="Arial" w:cs="Arial" w:eastAsia="Arial" w:hAnsi="Arial"/>
                <w:sz w:val="14"/>
                <w:szCs w:val="14"/>
                <w:color w:val="auto"/>
              </w:rPr>
              <w:t>Senior Notes due 2027</w:t>
            </w:r>
          </w:p>
        </w:tc>
        <w:tc>
          <w:tcPr>
            <w:tcW w:w="1880" w:type="dxa"/>
            <w:vAlign w:val="bottom"/>
          </w:tcPr>
          <w:p>
            <w:pPr>
              <w:jc w:val="right"/>
              <w:spacing w:after="0"/>
              <w:rPr>
                <w:sz w:val="20"/>
                <w:szCs w:val="20"/>
                <w:color w:val="auto"/>
              </w:rPr>
            </w:pPr>
            <w:r>
              <w:rPr>
                <w:rFonts w:ascii="Arial" w:cs="Arial" w:eastAsia="Arial" w:hAnsi="Arial"/>
                <w:sz w:val="14"/>
                <w:szCs w:val="14"/>
                <w:color w:val="auto"/>
              </w:rPr>
              <w:t>416,432</w:t>
            </w:r>
          </w:p>
        </w:tc>
        <w:tc>
          <w:tcPr>
            <w:tcW w:w="1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402,032</w:t>
            </w:r>
          </w:p>
        </w:tc>
      </w:tr>
      <w:tr>
        <w:trPr>
          <w:trHeight w:val="206"/>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2028</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963,630</w:t>
            </w: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853,490</w:t>
            </w:r>
          </w:p>
        </w:tc>
      </w:tr>
      <w:tr>
        <w:trPr>
          <w:trHeight w:val="195"/>
        </w:trPr>
        <w:tc>
          <w:tcPr>
            <w:tcW w:w="7360" w:type="dxa"/>
            <w:vAlign w:val="bottom"/>
          </w:tcPr>
          <w:p>
            <w:pPr>
              <w:ind w:left="20"/>
              <w:spacing w:after="0"/>
              <w:rPr>
                <w:sz w:val="20"/>
                <w:szCs w:val="20"/>
                <w:color w:val="auto"/>
              </w:rPr>
            </w:pPr>
            <w:r>
              <w:rPr>
                <w:rFonts w:ascii="Arial" w:cs="Arial" w:eastAsia="Arial" w:hAnsi="Arial"/>
                <w:sz w:val="14"/>
                <w:szCs w:val="14"/>
                <w:color w:val="auto"/>
              </w:rPr>
              <w:t>Senior Notes due 2030</w:t>
            </w:r>
          </w:p>
        </w:tc>
        <w:tc>
          <w:tcPr>
            <w:tcW w:w="1880" w:type="dxa"/>
            <w:vAlign w:val="bottom"/>
          </w:tcPr>
          <w:p>
            <w:pPr>
              <w:jc w:val="right"/>
              <w:spacing w:after="0"/>
              <w:rPr>
                <w:sz w:val="20"/>
                <w:szCs w:val="20"/>
                <w:color w:val="auto"/>
              </w:rPr>
            </w:pPr>
            <w:r>
              <w:rPr>
                <w:rFonts w:ascii="Arial" w:cs="Arial" w:eastAsia="Arial" w:hAnsi="Arial"/>
                <w:sz w:val="14"/>
                <w:szCs w:val="14"/>
                <w:color w:val="auto"/>
              </w:rPr>
              <w:t>521,440</w:t>
            </w:r>
          </w:p>
        </w:tc>
        <w:tc>
          <w:tcPr>
            <w:tcW w:w="1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8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fair value of all other items reported as Debt, net in the Consolidated Balance Sheets approximate their carrying values due to their bearing market rates of interest and are classified as Level 2 within the fair value hierarchy.</w:t>
      </w:r>
    </w:p>
    <w:p>
      <w:pPr>
        <w:spacing w:after="0" w:line="3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The Company has contingent obligations under ASC 460, </w:t>
      </w:r>
      <w:r>
        <w:rPr>
          <w:rFonts w:ascii="Arial" w:cs="Arial" w:eastAsia="Arial" w:hAnsi="Arial"/>
          <w:sz w:val="16"/>
          <w:szCs w:val="16"/>
          <w:i w:val="1"/>
          <w:iCs w:val="1"/>
          <w:color w:val="auto"/>
        </w:rPr>
        <w:t>Guarantees</w:t>
      </w:r>
      <w:r>
        <w:rPr>
          <w:rFonts w:ascii="Arial" w:cs="Arial" w:eastAsia="Arial" w:hAnsi="Arial"/>
          <w:sz w:val="16"/>
          <w:szCs w:val="16"/>
          <w:color w:val="auto"/>
        </w:rPr>
        <w:t>, in connection with certain sales of aircraft on lease, which are measured at fair value. The guarantees are valued at $6.8 million and $3.8 million as of December 31, 2023 and December 31, 2022, respectively, and are reflected as a component of Other liabilities on the Consolidated Balance Sheets. The fair values of the guarantees are determined based on the estimated condition of the engines at the end of each lease term and the estimated cost of replacement and applicable discount rates and are classified as Level 3. During the year ended December 31, 2023, the Company recorded a $4.8 million increase in guarantees related to the sale of seven aircraft and a $1.8 million decrease related to the change in fair value, which is recorded as Asset sales revenue in the Consolidated Statements of Operations.</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measure the fair value of certain assets on a non-recurring basis when U.S. GAAP requires the application of fair value, including events or changes in circumstances that indicate that the carrying amounts of assets may not be recoverable. Assets subject to these measurements include intangible assets, property, plant and equipment and leasing equipment. We record such assets at fair value when it is determined the carrying value may not be recoverable. Fair value measurements for assets subject to impairment tests are based on an income approach which uses Level 3 inputs, which include our assumptions as to future cash flows from operation of the leasing and eventual sale of assets.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10. EQUITY-BASED COMPENSATION</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2015, we established a Nonqualified Stock Option and Incentive Award Plan (“Incentive Plan”) which provides for the ability to award equity compensation awards in the form of stock options to eligible employees, consultants, directors, and other individuals who provide services to us, each as determined by the Compensation Committee of the Board of Directors.</w:t>
      </w:r>
    </w:p>
    <w:p>
      <w:pPr>
        <w:spacing w:after="0" w:line="7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 xml:space="preserve">As of December 31, 2023, the Incentive Plan provides for the issuance of up to 29.8 million shares. We account for equity-based compensation expense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and is reported within operating expenses and general and administrative in the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Restricted Shares</w:t>
      </w:r>
    </w:p>
    <w:p>
      <w:pPr>
        <w:spacing w:after="0" w:line="1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During the first quarter of 2023, we issued restricted shares of the Company to select employees of FTAI Aviation LLC (a wholly owned subsidiary of the Company) that had a grant date fair value of $8.8 million and vest over 4.3 years. These awards are subject to continued employment, and the compensation expense is recognized ratably over the vesting periods, with 50% of the units vesting on June 30, 2026 and the remaining units vesting on June 30, 2027. The fair value of these awards were calculated based on the closing price of FTAI Aviation Ltd.’s ordinary shares on grant date of March 13, 2023.</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Statements of Operations includes the following expense related to our stock-based compensation arrangements: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Pr>
          <w:p>
            <w:pPr>
              <w:jc w:val="center"/>
              <w:ind w:right="109"/>
              <w:spacing w:after="0"/>
              <w:rPr>
                <w:sz w:val="20"/>
                <w:szCs w:val="20"/>
                <w:color w:val="auto"/>
              </w:rPr>
            </w:pPr>
            <w:r>
              <w:rPr>
                <w:rFonts w:ascii="Arial" w:cs="Arial" w:eastAsia="Arial" w:hAnsi="Arial"/>
                <w:sz w:val="14"/>
                <w:szCs w:val="14"/>
                <w:b w:val="1"/>
                <w:bCs w:val="1"/>
                <w:color w:val="auto"/>
              </w:rPr>
              <w:t>Remaining Expense To Be</w:t>
            </w:r>
          </w:p>
        </w:tc>
        <w:tc>
          <w:tcPr>
            <w:tcW w:w="0" w:type="dxa"/>
            <w:vAlign w:val="bottom"/>
          </w:tcPr>
          <w:p>
            <w:pPr>
              <w:spacing w:after="0"/>
              <w:rPr>
                <w:sz w:val="1"/>
                <w:szCs w:val="1"/>
                <w:color w:val="auto"/>
              </w:rPr>
            </w:pPr>
          </w:p>
        </w:tc>
      </w:tr>
      <w:tr>
        <w:trPr>
          <w:trHeight w:val="54"/>
        </w:trPr>
        <w:tc>
          <w:tcPr>
            <w:tcW w:w="44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180" w:type="dxa"/>
            <w:vAlign w:val="bottom"/>
            <w:vMerge w:val="restart"/>
          </w:tcPr>
          <w:p>
            <w:pPr>
              <w:jc w:val="center"/>
              <w:ind w:right="109"/>
              <w:spacing w:after="0" w:line="113" w:lineRule="exact"/>
              <w:rPr>
                <w:sz w:val="20"/>
                <w:szCs w:val="20"/>
                <w:color w:val="auto"/>
              </w:rPr>
            </w:pPr>
            <w:r>
              <w:rPr>
                <w:rFonts w:ascii="Arial" w:cs="Arial" w:eastAsia="Arial" w:hAnsi="Arial"/>
                <w:sz w:val="13"/>
                <w:szCs w:val="13"/>
                <w:b w:val="1"/>
                <w:bCs w:val="1"/>
                <w:color w:val="auto"/>
              </w:rPr>
              <w:t>Recognized, If All Vesting</w:t>
            </w:r>
          </w:p>
        </w:tc>
        <w:tc>
          <w:tcPr>
            <w:tcW w:w="0" w:type="dxa"/>
            <w:vAlign w:val="bottom"/>
          </w:tcPr>
          <w:p>
            <w:pPr>
              <w:spacing w:after="0"/>
              <w:rPr>
                <w:sz w:val="1"/>
                <w:szCs w:val="1"/>
                <w:color w:val="auto"/>
              </w:rPr>
            </w:pPr>
          </w:p>
        </w:tc>
      </w:tr>
      <w:tr>
        <w:trPr>
          <w:trHeight w:val="38"/>
        </w:trPr>
        <w:tc>
          <w:tcPr>
            <w:tcW w:w="4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rPr>
              <w:t>Conditions Are Met</w:t>
            </w:r>
          </w:p>
        </w:tc>
        <w:tc>
          <w:tcPr>
            <w:tcW w:w="0" w:type="dxa"/>
            <w:vAlign w:val="bottom"/>
          </w:tcPr>
          <w:p>
            <w:pPr>
              <w:spacing w:after="0"/>
              <w:rPr>
                <w:sz w:val="1"/>
                <w:szCs w:val="1"/>
                <w:color w:val="auto"/>
              </w:rPr>
            </w:pPr>
          </w:p>
        </w:tc>
      </w:tr>
      <w:tr>
        <w:trPr>
          <w:trHeight w:val="197"/>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3"/>
            <w:shd w:val="clear" w:color="auto" w:fill="CCEEFF"/>
          </w:tcPr>
          <w:p>
            <w:pPr>
              <w:ind w:left="1060"/>
              <w:spacing w:after="0"/>
              <w:rPr>
                <w:sz w:val="20"/>
                <w:szCs w:val="20"/>
                <w:color w:val="auto"/>
              </w:rPr>
            </w:pPr>
            <w:r>
              <w:rPr>
                <w:rFonts w:ascii="Arial" w:cs="Arial" w:eastAsia="Arial" w:hAnsi="Arial"/>
                <w:sz w:val="14"/>
                <w:szCs w:val="14"/>
                <w:b w:val="1"/>
                <w:bCs w:val="1"/>
                <w:color w:val="auto"/>
              </w:rPr>
              <w:t>—   $</w:t>
            </w:r>
          </w:p>
        </w:tc>
        <w:tc>
          <w:tcPr>
            <w:tcW w:w="1300" w:type="dxa"/>
            <w:vAlign w:val="bottom"/>
            <w:gridSpan w:val="3"/>
            <w:shd w:val="clear" w:color="auto" w:fill="CCEEFF"/>
          </w:tcPr>
          <w:p>
            <w:pPr>
              <w:ind w:left="800"/>
              <w:spacing w:after="0"/>
              <w:rPr>
                <w:sz w:val="20"/>
                <w:szCs w:val="20"/>
                <w:color w:val="auto"/>
              </w:rPr>
            </w:pPr>
            <w:r>
              <w:rPr>
                <w:rFonts w:ascii="Arial" w:cs="Arial" w:eastAsia="Arial" w:hAnsi="Arial"/>
                <w:sz w:val="14"/>
                <w:szCs w:val="14"/>
                <w:b w:val="1"/>
                <w:bCs w:val="1"/>
                <w:color w:val="auto"/>
              </w:rPr>
              <w:t>—   $</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7,133</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information for our stock options and restricted shares: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Stock Options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Restricted shares</w:t>
            </w:r>
          </w:p>
        </w:tc>
        <w:tc>
          <w:tcPr>
            <w:tcW w:w="0" w:type="dxa"/>
            <w:vAlign w:val="bottom"/>
          </w:tcPr>
          <w:p>
            <w:pPr>
              <w:spacing w:after="0"/>
              <w:rPr>
                <w:sz w:val="1"/>
                <w:szCs w:val="1"/>
                <w:color w:val="auto"/>
              </w:rPr>
            </w:pPr>
          </w:p>
        </w:tc>
      </w:tr>
      <w:tr>
        <w:trPr>
          <w:trHeight w:val="147"/>
        </w:trPr>
        <w:tc>
          <w:tcPr>
            <w:tcW w:w="5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5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2"/>
                <w:szCs w:val="12"/>
                <w:color w:val="auto"/>
              </w:rPr>
            </w:pPr>
          </w:p>
        </w:tc>
        <w:tc>
          <w:tcPr>
            <w:tcW w:w="134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Average Exercise</w:t>
            </w:r>
          </w:p>
        </w:tc>
        <w:tc>
          <w:tcPr>
            <w:tcW w:w="220" w:type="dxa"/>
            <w:vAlign w:val="bottom"/>
          </w:tcPr>
          <w:p>
            <w:pPr>
              <w:spacing w:after="0"/>
              <w:rPr>
                <w:sz w:val="12"/>
                <w:szCs w:val="12"/>
                <w:color w:val="auto"/>
              </w:rPr>
            </w:pPr>
          </w:p>
        </w:tc>
        <w:tc>
          <w:tcPr>
            <w:tcW w:w="10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9"/>
        </w:trPr>
        <w:tc>
          <w:tcPr>
            <w:tcW w:w="53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Issuance Price</w:t>
            </w:r>
          </w:p>
        </w:tc>
        <w:tc>
          <w:tcPr>
            <w:tcW w:w="0" w:type="dxa"/>
            <w:vAlign w:val="bottom"/>
          </w:tcPr>
          <w:p>
            <w:pPr>
              <w:spacing w:after="0"/>
              <w:rPr>
                <w:sz w:val="1"/>
                <w:szCs w:val="1"/>
                <w:color w:val="auto"/>
              </w:rPr>
            </w:pPr>
          </w:p>
        </w:tc>
      </w:tr>
      <w:tr>
        <w:trPr>
          <w:trHeight w:val="196"/>
        </w:trPr>
        <w:tc>
          <w:tcPr>
            <w:tcW w:w="5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as of December 31, 2022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1,735,316</w:t>
            </w:r>
          </w:p>
        </w:tc>
        <w:tc>
          <w:tcPr>
            <w:tcW w:w="3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320" w:type="dxa"/>
            <w:vAlign w:val="bottom"/>
          </w:tcPr>
          <w:p>
            <w:pPr>
              <w:ind w:left="140"/>
              <w:spacing w:after="0"/>
              <w:rPr>
                <w:sz w:val="20"/>
                <w:szCs w:val="20"/>
                <w:color w:val="auto"/>
              </w:rPr>
            </w:pPr>
            <w:r>
              <w:rPr>
                <w:rFonts w:ascii="Arial" w:cs="Arial" w:eastAsia="Arial" w:hAnsi="Arial"/>
                <w:sz w:val="14"/>
                <w:szCs w:val="14"/>
                <w:color w:val="auto"/>
              </w:rPr>
              <w:t>Granted</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248,947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365,000</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24.03</w:t>
            </w:r>
          </w:p>
        </w:tc>
        <w:tc>
          <w:tcPr>
            <w:tcW w:w="0" w:type="dxa"/>
            <w:vAlign w:val="bottom"/>
          </w:tcPr>
          <w:p>
            <w:pPr>
              <w:spacing w:after="0"/>
              <w:rPr>
                <w:sz w:val="1"/>
                <w:szCs w:val="1"/>
                <w:color w:val="auto"/>
              </w:rPr>
            </w:pPr>
          </w:p>
        </w:tc>
      </w:tr>
      <w:tr>
        <w:trPr>
          <w:trHeight w:val="207"/>
        </w:trPr>
        <w:tc>
          <w:tcPr>
            <w:tcW w:w="5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exercised / vested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1,368,086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forfeited and canceled</w:t>
            </w:r>
          </w:p>
        </w:tc>
        <w:tc>
          <w:tcPr>
            <w:tcW w:w="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 as of December 31, 2023</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616,177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365,000</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20" w:type="dxa"/>
            <w:vAlign w:val="bottom"/>
            <w:gridSpan w:val="5"/>
          </w:tcPr>
          <w:p>
            <w:pPr>
              <w:ind w:left="780"/>
              <w:spacing w:after="0"/>
              <w:rPr>
                <w:sz w:val="20"/>
                <w:szCs w:val="20"/>
                <w:color w:val="auto"/>
              </w:rPr>
            </w:pPr>
            <w:r>
              <w:rPr>
                <w:rFonts w:ascii="Arial" w:cs="Arial" w:eastAsia="Arial" w:hAnsi="Arial"/>
                <w:sz w:val="14"/>
                <w:szCs w:val="14"/>
                <w:b w:val="1"/>
                <w:bCs w:val="1"/>
                <w:color w:val="auto"/>
              </w:rPr>
              <w:t>Stock Options</w:t>
            </w:r>
          </w:p>
        </w:tc>
        <w:tc>
          <w:tcPr>
            <w:tcW w:w="220" w:type="dxa"/>
            <w:vAlign w:val="bottom"/>
          </w:tcPr>
          <w:p>
            <w:pPr>
              <w:spacing w:after="0"/>
              <w:rPr>
                <w:sz w:val="24"/>
                <w:szCs w:val="24"/>
                <w:color w:val="auto"/>
              </w:rPr>
            </w:pPr>
          </w:p>
        </w:tc>
        <w:tc>
          <w:tcPr>
            <w:tcW w:w="2320" w:type="dxa"/>
            <w:vAlign w:val="bottom"/>
            <w:gridSpan w:val="3"/>
          </w:tcPr>
          <w:p>
            <w:pPr>
              <w:jc w:val="right"/>
              <w:ind w:right="588"/>
              <w:spacing w:after="0"/>
              <w:rPr>
                <w:sz w:val="20"/>
                <w:szCs w:val="20"/>
                <w:color w:val="auto"/>
              </w:rPr>
            </w:pPr>
            <w:r>
              <w:rPr>
                <w:rFonts w:ascii="Arial" w:cs="Arial" w:eastAsia="Arial" w:hAnsi="Arial"/>
                <w:sz w:val="14"/>
                <w:szCs w:val="14"/>
                <w:b w:val="1"/>
                <w:bCs w:val="1"/>
                <w:color w:val="auto"/>
              </w:rPr>
              <w:t>Restricted Shares</w:t>
            </w:r>
          </w:p>
        </w:tc>
        <w:tc>
          <w:tcPr>
            <w:tcW w:w="0" w:type="dxa"/>
            <w:vAlign w:val="bottom"/>
          </w:tcPr>
          <w:p>
            <w:pPr>
              <w:spacing w:after="0"/>
              <w:rPr>
                <w:sz w:val="1"/>
                <w:szCs w:val="1"/>
                <w:color w:val="auto"/>
              </w:rPr>
            </w:pPr>
          </w:p>
        </w:tc>
      </w:tr>
      <w:tr>
        <w:trPr>
          <w:trHeight w:val="184"/>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4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20" w:type="dxa"/>
            <w:vAlign w:val="bottom"/>
          </w:tcPr>
          <w:p>
            <w:pPr>
              <w:ind w:left="140"/>
              <w:spacing w:after="0"/>
              <w:rPr>
                <w:sz w:val="20"/>
                <w:szCs w:val="20"/>
                <w:color w:val="auto"/>
              </w:rPr>
            </w:pPr>
            <w:r>
              <w:rPr>
                <w:rFonts w:ascii="Arial" w:cs="Arial" w:eastAsia="Arial" w:hAnsi="Arial"/>
                <w:sz w:val="14"/>
                <w:szCs w:val="14"/>
                <w:color w:val="auto"/>
              </w:rPr>
              <w:t>Weighted average exercise / issuance price (per share)</w:t>
            </w:r>
          </w:p>
        </w:tc>
        <w:tc>
          <w:tcPr>
            <w:tcW w:w="1220" w:type="dxa"/>
            <w:vAlign w:val="bottom"/>
            <w:gridSpan w:val="2"/>
          </w:tcPr>
          <w:p>
            <w:pPr>
              <w:jc w:val="right"/>
              <w:ind w:right="10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23.78</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24.03</w:t>
            </w:r>
          </w:p>
        </w:tc>
        <w:tc>
          <w:tcPr>
            <w:tcW w:w="0" w:type="dxa"/>
            <w:vAlign w:val="bottom"/>
          </w:tcPr>
          <w:p>
            <w:pPr>
              <w:spacing w:after="0"/>
              <w:rPr>
                <w:sz w:val="1"/>
                <w:szCs w:val="1"/>
                <w:color w:val="auto"/>
              </w:rPr>
            </w:pPr>
          </w:p>
        </w:tc>
      </w:tr>
      <w:tr>
        <w:trPr>
          <w:trHeight w:val="204"/>
        </w:trPr>
        <w:tc>
          <w:tcPr>
            <w:tcW w:w="5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Aggregate intrinsic value (in thousands)</w:t>
            </w:r>
          </w:p>
        </w:tc>
        <w:tc>
          <w:tcPr>
            <w:tcW w:w="1220" w:type="dxa"/>
            <w:vAlign w:val="bottom"/>
            <w:gridSpan w:val="2"/>
            <w:shd w:val="clear" w:color="auto" w:fill="CCEEFF"/>
          </w:tcPr>
          <w:p>
            <w:pPr>
              <w:jc w:val="right"/>
              <w:ind w:right="100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13,939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8,771</w:t>
            </w:r>
          </w:p>
        </w:tc>
        <w:tc>
          <w:tcPr>
            <w:tcW w:w="0" w:type="dxa"/>
            <w:vAlign w:val="bottom"/>
          </w:tcPr>
          <w:p>
            <w:pPr>
              <w:spacing w:after="0"/>
              <w:rPr>
                <w:sz w:val="1"/>
                <w:szCs w:val="1"/>
                <w:color w:val="auto"/>
              </w:rPr>
            </w:pPr>
          </w:p>
        </w:tc>
      </w:tr>
      <w:tr>
        <w:trPr>
          <w:trHeight w:val="200"/>
        </w:trPr>
        <w:tc>
          <w:tcPr>
            <w:tcW w:w="5320" w:type="dxa"/>
            <w:vAlign w:val="bottom"/>
          </w:tcPr>
          <w:p>
            <w:pPr>
              <w:ind w:left="140"/>
              <w:spacing w:after="0"/>
              <w:rPr>
                <w:sz w:val="20"/>
                <w:szCs w:val="20"/>
                <w:color w:val="auto"/>
              </w:rPr>
            </w:pPr>
            <w:r>
              <w:rPr>
                <w:rFonts w:ascii="Arial" w:cs="Arial" w:eastAsia="Arial" w:hAnsi="Arial"/>
                <w:sz w:val="14"/>
                <w:szCs w:val="14"/>
                <w:color w:val="auto"/>
              </w:rPr>
              <w:t>Weighted average remaining contractual term (in years)</w:t>
            </w: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2023, the Manager did not transfer any options to employees.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Stock Options</w:t>
      </w:r>
    </w:p>
    <w:p>
      <w:pPr>
        <w:spacing w:after="0" w:line="11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In connection with our equity offerings (see Note 14 for details), we granted options to the Manager related to ordinary shares. The fair value of these options were recorded as an increase in equity with an offsetting reduction of capital proceeds received.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related to the options granted related to our shares: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center"/>
              <w:ind w:left="588"/>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gridSpan w:val="2"/>
          </w:tcPr>
          <w:p>
            <w:pPr>
              <w:jc w:val="center"/>
              <w:ind w:left="508"/>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center"/>
              <w:ind w:left="588"/>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Number of options</w:t>
            </w:r>
          </w:p>
        </w:tc>
        <w:tc>
          <w:tcPr>
            <w:tcW w:w="30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left="588"/>
              <w:spacing w:after="0"/>
              <w:rPr>
                <w:sz w:val="20"/>
                <w:szCs w:val="20"/>
                <w:color w:val="auto"/>
              </w:rPr>
            </w:pPr>
            <w:r>
              <w:rPr>
                <w:rFonts w:ascii="Arial" w:cs="Arial" w:eastAsia="Arial" w:hAnsi="Arial"/>
                <w:sz w:val="14"/>
                <w:szCs w:val="14"/>
                <w:color w:val="auto"/>
              </w:rPr>
              <w:t>248,947</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jc w:val="center"/>
              <w:ind w:right="288"/>
              <w:spacing w:after="0"/>
              <w:rPr>
                <w:sz w:val="20"/>
                <w:szCs w:val="20"/>
                <w:color w:val="auto"/>
              </w:rPr>
            </w:pPr>
            <w:r>
              <w:rPr>
                <w:rFonts w:ascii="Arial" w:cs="Arial" w:eastAsia="Arial" w:hAnsi="Arial"/>
                <w:sz w:val="14"/>
                <w:szCs w:val="14"/>
                <w:color w:val="auto"/>
                <w:w w:val="99"/>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left="588"/>
              <w:spacing w:after="0"/>
              <w:rPr>
                <w:sz w:val="20"/>
                <w:szCs w:val="20"/>
                <w:color w:val="auto"/>
              </w:rPr>
            </w:pPr>
            <w:r>
              <w:rPr>
                <w:rFonts w:ascii="Arial" w:cs="Arial" w:eastAsia="Arial" w:hAnsi="Arial"/>
                <w:sz w:val="14"/>
                <w:szCs w:val="14"/>
                <w:color w:val="auto"/>
              </w:rPr>
              <w:t>1,684,318</w:t>
            </w: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Arial" w:cs="Arial" w:eastAsia="Arial" w:hAnsi="Arial"/>
                <w:sz w:val="14"/>
                <w:szCs w:val="14"/>
                <w:color w:val="auto"/>
              </w:rPr>
              <w:t>Fair value ($ millions)</w:t>
            </w:r>
          </w:p>
        </w:tc>
        <w:tc>
          <w:tcPr>
            <w:tcW w:w="3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jc w:val="center"/>
              <w:ind w:right="188"/>
              <w:spacing w:after="0"/>
              <w:rPr>
                <w:sz w:val="20"/>
                <w:szCs w:val="20"/>
                <w:color w:val="auto"/>
              </w:rPr>
            </w:pPr>
            <w:r>
              <w:rPr>
                <w:rFonts w:ascii="Arial" w:cs="Arial" w:eastAsia="Arial" w:hAnsi="Arial"/>
                <w:sz w:val="14"/>
                <w:szCs w:val="14"/>
                <w:color w:val="auto"/>
              </w:rPr>
              <w:t>$2.1</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jc w:val="center"/>
              <w:ind w:right="28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left="588"/>
              <w:spacing w:after="0"/>
              <w:rPr>
                <w:sz w:val="20"/>
                <w:szCs w:val="20"/>
                <w:color w:val="auto"/>
              </w:rPr>
            </w:pPr>
            <w:r>
              <w:rPr>
                <w:rFonts w:ascii="Arial" w:cs="Arial" w:eastAsia="Arial" w:hAnsi="Arial"/>
                <w:sz w:val="14"/>
                <w:szCs w:val="14"/>
                <w:color w:val="auto"/>
              </w:rPr>
              <w:t>$13.8</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Ranges</w:t>
            </w:r>
          </w:p>
        </w:tc>
        <w:tc>
          <w:tcPr>
            <w:tcW w:w="30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3060" w:type="dxa"/>
            <w:vAlign w:val="bottom"/>
            <w:tcBorders>
              <w:top w:val="single" w:sz="8" w:color="CCEEFF"/>
            </w:tcBorders>
          </w:tcPr>
          <w:p>
            <w:pPr>
              <w:ind w:left="140"/>
              <w:spacing w:after="0" w:line="153" w:lineRule="exact"/>
              <w:rPr>
                <w:sz w:val="20"/>
                <w:szCs w:val="20"/>
                <w:color w:val="auto"/>
              </w:rPr>
            </w:pPr>
            <w:r>
              <w:rPr>
                <w:rFonts w:ascii="Arial" w:cs="Arial" w:eastAsia="Arial" w:hAnsi="Arial"/>
                <w:sz w:val="14"/>
                <w:szCs w:val="14"/>
                <w:color w:val="auto"/>
              </w:rPr>
              <w:t>The expected share volatility is based on an</w:t>
            </w:r>
          </w:p>
        </w:tc>
        <w:tc>
          <w:tcPr>
            <w:tcW w:w="92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92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66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40" w:type="dxa"/>
            <w:vAlign w:val="bottom"/>
            <w:gridSpan w:val="2"/>
            <w:vMerge w:val="restart"/>
          </w:tcPr>
          <w:p>
            <w:pPr>
              <w:spacing w:after="0"/>
              <w:rPr>
                <w:sz w:val="20"/>
                <w:szCs w:val="20"/>
                <w:color w:val="auto"/>
              </w:rPr>
            </w:pPr>
            <w:r>
              <w:rPr>
                <w:rFonts w:ascii="Arial" w:cs="Arial" w:eastAsia="Arial" w:hAnsi="Arial"/>
                <w:sz w:val="14"/>
                <w:szCs w:val="14"/>
                <w:color w:val="auto"/>
              </w:rPr>
              <w:t>Expected volatility</w:t>
            </w:r>
          </w:p>
        </w:tc>
        <w:tc>
          <w:tcPr>
            <w:tcW w:w="3060" w:type="dxa"/>
            <w:vAlign w:val="bottom"/>
          </w:tcPr>
          <w:p>
            <w:pPr>
              <w:ind w:left="140"/>
              <w:spacing w:after="0" w:line="145" w:lineRule="exact"/>
              <w:rPr>
                <w:sz w:val="20"/>
                <w:szCs w:val="20"/>
                <w:color w:val="auto"/>
              </w:rPr>
            </w:pPr>
            <w:r>
              <w:rPr>
                <w:rFonts w:ascii="Arial" w:cs="Arial" w:eastAsia="Arial" w:hAnsi="Arial"/>
                <w:sz w:val="14"/>
                <w:szCs w:val="14"/>
                <w:color w:val="auto"/>
              </w:rPr>
              <w:t>assessment of the volatility of our publicly</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37.88 %</w:t>
            </w:r>
          </w:p>
        </w:tc>
        <w:tc>
          <w:tcPr>
            <w:tcW w:w="540" w:type="dxa"/>
            <w:vAlign w:val="bottom"/>
            <w:vMerge w:val="restart"/>
          </w:tcPr>
          <w:p>
            <w:pPr>
              <w:jc w:val="center"/>
              <w:ind w:right="188"/>
              <w:spacing w:after="0"/>
              <w:rPr>
                <w:sz w:val="20"/>
                <w:szCs w:val="20"/>
                <w:color w:val="auto"/>
              </w:rPr>
            </w:pPr>
            <w:r>
              <w:rPr>
                <w:rFonts w:ascii="Arial" w:cs="Arial" w:eastAsia="Arial" w:hAnsi="Arial"/>
                <w:sz w:val="14"/>
                <w:szCs w:val="14"/>
                <w:color w:val="auto"/>
                <w:w w:val="84"/>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37.88 %</w:t>
            </w:r>
          </w:p>
        </w:tc>
        <w:tc>
          <w:tcPr>
            <w:tcW w:w="80" w:type="dxa"/>
            <w:vAlign w:val="bottom"/>
          </w:tcPr>
          <w:p>
            <w:pPr>
              <w:spacing w:after="0"/>
              <w:rPr>
                <w:sz w:val="12"/>
                <w:szCs w:val="12"/>
                <w:color w:val="auto"/>
              </w:rPr>
            </w:pPr>
          </w:p>
        </w:tc>
        <w:tc>
          <w:tcPr>
            <w:tcW w:w="920" w:type="dxa"/>
            <w:vAlign w:val="bottom"/>
            <w:vMerge w:val="restart"/>
          </w:tcPr>
          <w:p>
            <w:pPr>
              <w:ind w:left="600"/>
              <w:spacing w:after="0"/>
              <w:rPr>
                <w:sz w:val="20"/>
                <w:szCs w:val="20"/>
                <w:color w:val="auto"/>
              </w:rPr>
            </w:pPr>
            <w:r>
              <w:rPr>
                <w:rFonts w:ascii="Arial" w:cs="Arial" w:eastAsia="Arial" w:hAnsi="Arial"/>
                <w:sz w:val="14"/>
                <w:szCs w:val="14"/>
                <w:color w:val="auto"/>
                <w:w w:val="98"/>
              </w:rPr>
              <w:t>— %</w:t>
            </w:r>
          </w:p>
        </w:tc>
        <w:tc>
          <w:tcPr>
            <w:tcW w:w="580" w:type="dxa"/>
            <w:vAlign w:val="bottom"/>
            <w:vMerge w:val="restart"/>
          </w:tcPr>
          <w:p>
            <w:pPr>
              <w:jc w:val="center"/>
              <w:ind w:right="288"/>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22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44.78 %</w:t>
            </w:r>
          </w:p>
        </w:tc>
        <w:tc>
          <w:tcPr>
            <w:tcW w:w="480" w:type="dxa"/>
            <w:vAlign w:val="bottom"/>
            <w:vMerge w:val="restart"/>
          </w:tcPr>
          <w:p>
            <w:pPr>
              <w:jc w:val="center"/>
              <w:ind w:right="2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45.60 %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traded ordinary shares</w:t>
            </w:r>
          </w:p>
        </w:tc>
        <w:tc>
          <w:tcPr>
            <w:tcW w:w="92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0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The risk-free rate is determined using the</w:t>
            </w:r>
          </w:p>
        </w:tc>
        <w:tc>
          <w:tcPr>
            <w:tcW w:w="9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06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implied yield currently available on U.S.</w:t>
            </w:r>
          </w:p>
        </w:tc>
        <w:tc>
          <w:tcPr>
            <w:tcW w:w="9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16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Risk free interest rate</w:t>
            </w:r>
          </w:p>
        </w:tc>
        <w:tc>
          <w:tcPr>
            <w:tcW w:w="306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government bonds with a term consistent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3.47 %</w:t>
            </w:r>
          </w:p>
        </w:tc>
        <w:tc>
          <w:tcPr>
            <w:tcW w:w="540" w:type="dxa"/>
            <w:vAlign w:val="bottom"/>
            <w:vMerge w:val="restart"/>
            <w:shd w:val="clear" w:color="auto" w:fill="CCEEFF"/>
          </w:tcPr>
          <w:p>
            <w:pPr>
              <w:jc w:val="center"/>
              <w:ind w:right="188"/>
              <w:spacing w:after="0"/>
              <w:rPr>
                <w:sz w:val="20"/>
                <w:szCs w:val="20"/>
                <w:color w:val="auto"/>
              </w:rPr>
            </w:pPr>
            <w:r>
              <w:rPr>
                <w:rFonts w:ascii="Arial" w:cs="Arial" w:eastAsia="Arial" w:hAnsi="Arial"/>
                <w:sz w:val="14"/>
                <w:szCs w:val="14"/>
                <w:color w:val="auto"/>
                <w:w w:val="84"/>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3.47 %</w:t>
            </w: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ind w:left="600"/>
              <w:spacing w:after="0"/>
              <w:rPr>
                <w:sz w:val="20"/>
                <w:szCs w:val="20"/>
                <w:color w:val="auto"/>
              </w:rPr>
            </w:pPr>
            <w:r>
              <w:rPr>
                <w:rFonts w:ascii="Arial" w:cs="Arial" w:eastAsia="Arial" w:hAnsi="Arial"/>
                <w:sz w:val="14"/>
                <w:szCs w:val="14"/>
                <w:color w:val="auto"/>
                <w:w w:val="98"/>
              </w:rPr>
              <w:t>— %</w:t>
            </w:r>
          </w:p>
        </w:tc>
        <w:tc>
          <w:tcPr>
            <w:tcW w:w="580" w:type="dxa"/>
            <w:vAlign w:val="bottom"/>
            <w:vMerge w:val="restart"/>
            <w:shd w:val="clear" w:color="auto" w:fill="CCEEFF"/>
          </w:tcPr>
          <w:p>
            <w:pPr>
              <w:jc w:val="center"/>
              <w:ind w:right="288"/>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 %</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1.34 %</w:t>
            </w:r>
          </w:p>
        </w:tc>
        <w:tc>
          <w:tcPr>
            <w:tcW w:w="480" w:type="dxa"/>
            <w:vAlign w:val="bottom"/>
            <w:vMerge w:val="restart"/>
            <w:shd w:val="clear" w:color="auto" w:fill="CCEEFF"/>
          </w:tcPr>
          <w:p>
            <w:pPr>
              <w:jc w:val="center"/>
              <w:ind w:right="268"/>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with the expected term on the date of grant.</w:t>
            </w:r>
          </w:p>
        </w:tc>
        <w:tc>
          <w:tcPr>
            <w:tcW w:w="92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60" w:type="dxa"/>
            <w:vAlign w:val="bottom"/>
          </w:tcPr>
          <w:p>
            <w:pPr>
              <w:ind w:left="140"/>
              <w:spacing w:after="0" w:line="153" w:lineRule="exact"/>
              <w:rPr>
                <w:sz w:val="20"/>
                <w:szCs w:val="20"/>
                <w:color w:val="auto"/>
              </w:rPr>
            </w:pPr>
            <w:r>
              <w:rPr>
                <w:rFonts w:ascii="Arial" w:cs="Arial" w:eastAsia="Arial" w:hAnsi="Arial"/>
                <w:sz w:val="14"/>
                <w:szCs w:val="14"/>
                <w:color w:val="auto"/>
              </w:rPr>
              <w:t>The expected dividend yield is based on</w:t>
            </w: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40" w:type="dxa"/>
            <w:vAlign w:val="bottom"/>
            <w:gridSpan w:val="2"/>
            <w:vMerge w:val="restart"/>
          </w:tcPr>
          <w:p>
            <w:pPr>
              <w:spacing w:after="0"/>
              <w:rPr>
                <w:sz w:val="20"/>
                <w:szCs w:val="20"/>
                <w:color w:val="auto"/>
              </w:rPr>
            </w:pPr>
            <w:r>
              <w:rPr>
                <w:rFonts w:ascii="Arial" w:cs="Arial" w:eastAsia="Arial" w:hAnsi="Arial"/>
                <w:sz w:val="14"/>
                <w:szCs w:val="14"/>
                <w:color w:val="auto"/>
              </w:rPr>
              <w:t>Expected dividend yield</w:t>
            </w:r>
          </w:p>
        </w:tc>
        <w:tc>
          <w:tcPr>
            <w:tcW w:w="3060" w:type="dxa"/>
            <w:vAlign w:val="bottom"/>
          </w:tcPr>
          <w:p>
            <w:pPr>
              <w:ind w:left="140"/>
              <w:spacing w:after="0" w:line="145" w:lineRule="exact"/>
              <w:rPr>
                <w:sz w:val="20"/>
                <w:szCs w:val="20"/>
                <w:color w:val="auto"/>
              </w:rPr>
            </w:pPr>
            <w:r>
              <w:rPr>
                <w:rFonts w:ascii="Arial" w:cs="Arial" w:eastAsia="Arial" w:hAnsi="Arial"/>
                <w:sz w:val="14"/>
                <w:szCs w:val="14"/>
                <w:color w:val="auto"/>
              </w:rPr>
              <w:t>management’s current expected dividend</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6.26 %</w:t>
            </w:r>
          </w:p>
        </w:tc>
        <w:tc>
          <w:tcPr>
            <w:tcW w:w="540" w:type="dxa"/>
            <w:vAlign w:val="bottom"/>
            <w:vMerge w:val="restart"/>
          </w:tcPr>
          <w:p>
            <w:pPr>
              <w:jc w:val="center"/>
              <w:ind w:right="188"/>
              <w:spacing w:after="0"/>
              <w:rPr>
                <w:sz w:val="20"/>
                <w:szCs w:val="20"/>
                <w:color w:val="auto"/>
              </w:rPr>
            </w:pPr>
            <w:r>
              <w:rPr>
                <w:rFonts w:ascii="Arial" w:cs="Arial" w:eastAsia="Arial" w:hAnsi="Arial"/>
                <w:sz w:val="14"/>
                <w:szCs w:val="14"/>
                <w:color w:val="auto"/>
                <w:w w:val="84"/>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6.26 %</w:t>
            </w:r>
          </w:p>
        </w:tc>
        <w:tc>
          <w:tcPr>
            <w:tcW w:w="80" w:type="dxa"/>
            <w:vAlign w:val="bottom"/>
          </w:tcPr>
          <w:p>
            <w:pPr>
              <w:spacing w:after="0"/>
              <w:rPr>
                <w:sz w:val="12"/>
                <w:szCs w:val="12"/>
                <w:color w:val="auto"/>
              </w:rPr>
            </w:pPr>
          </w:p>
        </w:tc>
        <w:tc>
          <w:tcPr>
            <w:tcW w:w="920" w:type="dxa"/>
            <w:vAlign w:val="bottom"/>
            <w:vMerge w:val="restart"/>
          </w:tcPr>
          <w:p>
            <w:pPr>
              <w:ind w:left="600"/>
              <w:spacing w:after="0"/>
              <w:rPr>
                <w:sz w:val="20"/>
                <w:szCs w:val="20"/>
                <w:color w:val="auto"/>
              </w:rPr>
            </w:pPr>
            <w:r>
              <w:rPr>
                <w:rFonts w:ascii="Arial" w:cs="Arial" w:eastAsia="Arial" w:hAnsi="Arial"/>
                <w:sz w:val="14"/>
                <w:szCs w:val="14"/>
                <w:color w:val="auto"/>
                <w:w w:val="98"/>
              </w:rPr>
              <w:t>— %</w:t>
            </w:r>
          </w:p>
        </w:tc>
        <w:tc>
          <w:tcPr>
            <w:tcW w:w="580" w:type="dxa"/>
            <w:vAlign w:val="bottom"/>
            <w:vMerge w:val="restart"/>
          </w:tcPr>
          <w:p>
            <w:pPr>
              <w:jc w:val="center"/>
              <w:ind w:right="288"/>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ind w:left="220"/>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3.16 %</w:t>
            </w:r>
          </w:p>
        </w:tc>
        <w:tc>
          <w:tcPr>
            <w:tcW w:w="480" w:type="dxa"/>
            <w:vAlign w:val="bottom"/>
            <w:vMerge w:val="restart"/>
          </w:tcPr>
          <w:p>
            <w:pPr>
              <w:jc w:val="center"/>
              <w:ind w:right="26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3.64 %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rate.</w:t>
            </w:r>
          </w:p>
        </w:tc>
        <w:tc>
          <w:tcPr>
            <w:tcW w:w="92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06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Expected term used represents the period of</w:t>
            </w:r>
          </w:p>
        </w:tc>
        <w:tc>
          <w:tcPr>
            <w:tcW w:w="9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16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Expected term</w:t>
            </w:r>
          </w:p>
        </w:tc>
        <w:tc>
          <w:tcPr>
            <w:tcW w:w="306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rPr>
              <w:t>time the options granted are expected to be</w:t>
            </w:r>
          </w:p>
        </w:tc>
        <w:tc>
          <w:tcPr>
            <w:tcW w:w="1460" w:type="dxa"/>
            <w:vAlign w:val="bottom"/>
            <w:gridSpan w:val="2"/>
            <w:vMerge w:val="restart"/>
            <w:shd w:val="clear" w:color="auto" w:fill="CCEEFF"/>
          </w:tcPr>
          <w:p>
            <w:pPr>
              <w:ind w:left="800"/>
              <w:spacing w:after="0"/>
              <w:rPr>
                <w:sz w:val="20"/>
                <w:szCs w:val="20"/>
                <w:color w:val="auto"/>
              </w:rPr>
            </w:pPr>
            <w:r>
              <w:rPr>
                <w:rFonts w:ascii="Arial" w:cs="Arial" w:eastAsia="Arial" w:hAnsi="Arial"/>
                <w:sz w:val="14"/>
                <w:szCs w:val="14"/>
                <w:color w:val="auto"/>
              </w:rPr>
              <w:t>10 years</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gridSpan w:val="2"/>
            <w:vMerge w:val="restart"/>
            <w:shd w:val="clear" w:color="auto" w:fill="CCEEFF"/>
          </w:tcPr>
          <w:p>
            <w:pPr>
              <w:jc w:val="center"/>
              <w:ind w:left="488"/>
              <w:spacing w:after="0"/>
              <w:rPr>
                <w:sz w:val="20"/>
                <w:szCs w:val="20"/>
                <w:color w:val="auto"/>
              </w:rPr>
            </w:pPr>
            <w:r>
              <w:rPr>
                <w:rFonts w:ascii="Arial" w:cs="Arial" w:eastAsia="Arial" w:hAnsi="Arial"/>
                <w:sz w:val="14"/>
                <w:szCs w:val="14"/>
                <w:color w:val="auto"/>
              </w:rPr>
              <w:t>0 years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10 years</w:t>
            </w: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40" w:type="dxa"/>
            <w:vAlign w:val="bottom"/>
            <w:gridSpan w:val="2"/>
            <w:vMerge w:val="continue"/>
            <w:shd w:val="clear" w:color="auto" w:fill="CCEEFF"/>
          </w:tcPr>
          <w:p>
            <w:pPr>
              <w:spacing w:after="0"/>
              <w:rPr>
                <w:sz w:val="16"/>
                <w:szCs w:val="16"/>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outstanding.</w:t>
            </w:r>
          </w:p>
        </w:tc>
        <w:tc>
          <w:tcPr>
            <w:tcW w:w="1460" w:type="dxa"/>
            <w:vAlign w:val="bottom"/>
            <w:gridSpan w:val="2"/>
            <w:vMerge w:val="continue"/>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11. INCOME TAXES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current and deferred components of the income tax (benefit) provision included in the Consolidated Statements of Operations are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6"/>
        </w:trPr>
        <w:tc>
          <w:tcPr>
            <w:tcW w:w="62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18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w:t>
            </w:r>
          </w:p>
        </w:tc>
        <w:tc>
          <w:tcPr>
            <w:tcW w:w="10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2"/>
        </w:trPr>
        <w:tc>
          <w:tcPr>
            <w:tcW w:w="6240" w:type="dxa"/>
            <w:vAlign w:val="bottom"/>
          </w:tcPr>
          <w:p>
            <w:pPr>
              <w:ind w:left="140"/>
              <w:spacing w:after="0"/>
              <w:rPr>
                <w:sz w:val="20"/>
                <w:szCs w:val="20"/>
                <w:color w:val="auto"/>
              </w:rPr>
            </w:pPr>
            <w:r>
              <w:rPr>
                <w:rFonts w:ascii="Arial" w:cs="Arial" w:eastAsia="Arial" w:hAnsi="Arial"/>
                <w:sz w:val="14"/>
                <w:szCs w:val="14"/>
                <w:color w:val="auto"/>
              </w:rPr>
              <w:t>Cayman Islands</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Bermuda</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2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6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Federal</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w:t>
            </w:r>
          </w:p>
        </w:tc>
      </w:tr>
      <w:tr>
        <w:trPr>
          <w:trHeight w:val="201"/>
        </w:trPr>
        <w:tc>
          <w:tcPr>
            <w:tcW w:w="6240" w:type="dxa"/>
            <w:vAlign w:val="bottom"/>
          </w:tcPr>
          <w:p>
            <w:pPr>
              <w:ind w:left="240"/>
              <w:spacing w:after="0"/>
              <w:rPr>
                <w:sz w:val="20"/>
                <w:szCs w:val="20"/>
                <w:color w:val="auto"/>
              </w:rPr>
            </w:pPr>
            <w:r>
              <w:rPr>
                <w:rFonts w:ascii="Arial" w:cs="Arial" w:eastAsia="Arial" w:hAnsi="Arial"/>
                <w:sz w:val="14"/>
                <w:szCs w:val="14"/>
                <w:color w:val="auto"/>
              </w:rPr>
              <w:t>State and local</w:t>
            </w: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1,176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760</w:t>
            </w:r>
          </w:p>
        </w:tc>
      </w:tr>
      <w:tr>
        <w:trPr>
          <w:trHeight w:val="204"/>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Non-U.S.</w:t>
            </w:r>
          </w:p>
        </w:tc>
        <w:tc>
          <w:tcPr>
            <w:tcW w:w="10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95"/>
        </w:trPr>
        <w:tc>
          <w:tcPr>
            <w:tcW w:w="6240" w:type="dxa"/>
            <w:vAlign w:val="bottom"/>
          </w:tcPr>
          <w:p>
            <w:pPr>
              <w:ind w:left="20"/>
              <w:spacing w:after="0"/>
              <w:rPr>
                <w:sz w:val="20"/>
                <w:szCs w:val="20"/>
                <w:color w:val="auto"/>
              </w:rPr>
            </w:pPr>
            <w:r>
              <w:rPr>
                <w:rFonts w:ascii="Arial" w:cs="Arial" w:eastAsia="Arial" w:hAnsi="Arial"/>
                <w:sz w:val="14"/>
                <w:szCs w:val="14"/>
                <w:color w:val="auto"/>
              </w:rPr>
              <w:t>Total current provision</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3,826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2,652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2,599</w:t>
            </w: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2"/>
        </w:trPr>
        <w:tc>
          <w:tcPr>
            <w:tcW w:w="6240" w:type="dxa"/>
            <w:vAlign w:val="bottom"/>
          </w:tcPr>
          <w:p>
            <w:pPr>
              <w:ind w:left="140"/>
              <w:spacing w:after="0"/>
              <w:rPr>
                <w:sz w:val="20"/>
                <w:szCs w:val="20"/>
                <w:color w:val="auto"/>
              </w:rPr>
            </w:pPr>
            <w:r>
              <w:rPr>
                <w:rFonts w:ascii="Arial" w:cs="Arial" w:eastAsia="Arial" w:hAnsi="Arial"/>
                <w:sz w:val="14"/>
                <w:szCs w:val="14"/>
                <w:color w:val="auto"/>
              </w:rPr>
              <w:t>Cayman Islands</w:t>
            </w: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Bermuda</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(72,185)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240" w:type="dxa"/>
            <w:vAlign w:val="bottom"/>
          </w:tcPr>
          <w:p>
            <w:pPr>
              <w:ind w:left="140"/>
              <w:spacing w:after="0"/>
              <w:rPr>
                <w:sz w:val="20"/>
                <w:szCs w:val="20"/>
                <w:color w:val="auto"/>
              </w:rPr>
            </w:pPr>
            <w:r>
              <w:rPr>
                <w:rFonts w:ascii="Arial" w:cs="Arial" w:eastAsia="Arial" w:hAnsi="Arial"/>
                <w:sz w:val="14"/>
                <w:szCs w:val="14"/>
                <w:color w:val="auto"/>
              </w:rPr>
              <w:t>United States:</w:t>
            </w: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62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Federal</w:t>
            </w: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3,943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202"/>
        </w:trPr>
        <w:tc>
          <w:tcPr>
            <w:tcW w:w="6240" w:type="dxa"/>
            <w:vAlign w:val="bottom"/>
          </w:tcPr>
          <w:p>
            <w:pPr>
              <w:ind w:left="240"/>
              <w:spacing w:after="0"/>
              <w:rPr>
                <w:sz w:val="20"/>
                <w:szCs w:val="20"/>
                <w:color w:val="auto"/>
              </w:rPr>
            </w:pPr>
            <w:r>
              <w:rPr>
                <w:rFonts w:ascii="Arial" w:cs="Arial" w:eastAsia="Arial" w:hAnsi="Arial"/>
                <w:sz w:val="14"/>
                <w:szCs w:val="14"/>
                <w:color w:val="auto"/>
              </w:rPr>
              <w:t>State and local</w:t>
            </w: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203"/>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Non-U.S.</w:t>
            </w:r>
          </w:p>
        </w:tc>
        <w:tc>
          <w:tcPr>
            <w:tcW w:w="10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4,618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r>
      <w:tr>
        <w:trPr>
          <w:trHeight w:val="195"/>
        </w:trPr>
        <w:tc>
          <w:tcPr>
            <w:tcW w:w="6240" w:type="dxa"/>
            <w:vAlign w:val="bottom"/>
          </w:tcPr>
          <w:p>
            <w:pPr>
              <w:ind w:left="20"/>
              <w:spacing w:after="0"/>
              <w:rPr>
                <w:sz w:val="20"/>
                <w:szCs w:val="20"/>
                <w:color w:val="auto"/>
              </w:rPr>
            </w:pPr>
            <w:r>
              <w:rPr>
                <w:rFonts w:ascii="Arial" w:cs="Arial" w:eastAsia="Arial" w:hAnsi="Arial"/>
                <w:sz w:val="14"/>
                <w:szCs w:val="14"/>
                <w:color w:val="auto"/>
              </w:rPr>
              <w:t>Total deferred (benefit) provision</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(63,626)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2,648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527</w:t>
            </w: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Provision for (benefit from) income taxes:</w:t>
            </w:r>
          </w:p>
        </w:tc>
        <w:tc>
          <w:tcPr>
            <w:tcW w:w="10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r>
      <w:tr>
        <w:trPr>
          <w:trHeight w:val="195"/>
        </w:trPr>
        <w:tc>
          <w:tcPr>
            <w:tcW w:w="624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(59,800)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5,300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3,126</w:t>
            </w:r>
          </w:p>
        </w:tc>
      </w:tr>
      <w:tr>
        <w:trPr>
          <w:trHeight w:val="203"/>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10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(4,183)</w:t>
            </w:r>
          </w:p>
        </w:tc>
      </w:tr>
      <w:tr>
        <w:trPr>
          <w:trHeight w:val="197"/>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jc w:val="right"/>
              <w:ind w:right="82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(59,800)</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13,527</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(1,057)</w:t>
            </w:r>
          </w:p>
        </w:tc>
      </w:tr>
      <w:tr>
        <w:trPr>
          <w:trHeight w:val="20"/>
        </w:trPr>
        <w:tc>
          <w:tcPr>
            <w:tcW w:w="6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is an exempted entity domiciled in the Cayman Islands where income taxes are not imposed. The Company is considered a Passive Foreign Investment Company for U.S. income tax purposes and certain income taxes are imposed on our owners. Taxable income or loss generated by our corporate subsidiaries is subject to U.S. federal, state and foreign corporate income tax in locations where they conduct business.</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Historically, the Company’s Bermuda operations have not been subject to Bermuda income tax. However, on December 27, 2023, the Government of Bermuda enacted a 15% corporate income tax regime (the “Bermuda CIT”) that applies to Bermuda businesses that are part of multinational enterprise groups with annual revenue of €750 million or more and is effective for tax years beginning on or after January 1, 2025. As a result of the Bermuda CIT, the exemption of certain of the Company’s Bermuda subsidiaries from Bermuda corporate income taxes will cease in 2025. With the enactment of the Bermuda CIT in 2023, the Company underwent an analysis to determine the tax impacts to its consolidated financial statements for the year ended December 31, 2023. We have recorded a deferred tax asset of $72.2 million in connection with the law change, which was recorded as a benefit from income taxes.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difference between our reported total provision for income taxes and the Cayman Islands statutory rate of 0% is as follows: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20" w:type="dxa"/>
            <w:vAlign w:val="bottom"/>
          </w:tcPr>
          <w:p>
            <w:pPr>
              <w:spacing w:after="0"/>
              <w:rPr>
                <w:sz w:val="17"/>
                <w:szCs w:val="17"/>
                <w:color w:val="auto"/>
              </w:rPr>
            </w:pP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r>
      <w:tr>
        <w:trPr>
          <w:trHeight w:val="203"/>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subject to tax in the United States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3.3 %</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202"/>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Foreign taxes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(30.9)%</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13.5 %</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valuation allowance</w:t>
            </w:r>
          </w:p>
        </w:tc>
        <w:tc>
          <w:tcPr>
            <w:tcW w:w="10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8.0 %</w:t>
            </w:r>
          </w:p>
        </w:tc>
      </w:tr>
      <w:tr>
        <w:trPr>
          <w:trHeight w:val="197"/>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Provision for income taxes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(32.5)%</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1"/>
        </w:trPr>
        <w:tc>
          <w:tcPr>
            <w:tcW w:w="6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Significant components of our deferred tax assets and liabilities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7"/>
                <w:szCs w:val="17"/>
                <w:color w:val="auto"/>
              </w:rPr>
            </w:pPr>
          </w:p>
        </w:tc>
      </w:tr>
      <w:tr>
        <w:trPr>
          <w:trHeight w:val="196"/>
        </w:trPr>
        <w:tc>
          <w:tcPr>
            <w:tcW w:w="78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r>
      <w:tr>
        <w:trPr>
          <w:trHeight w:val="184"/>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1"/>
        </w:trPr>
        <w:tc>
          <w:tcPr>
            <w:tcW w:w="7840" w:type="dxa"/>
            <w:vAlign w:val="bottom"/>
          </w:tcPr>
          <w:p>
            <w:pPr>
              <w:ind w:left="140"/>
              <w:spacing w:after="0"/>
              <w:rPr>
                <w:sz w:val="20"/>
                <w:szCs w:val="20"/>
                <w:color w:val="auto"/>
              </w:rPr>
            </w:pPr>
            <w:r>
              <w:rPr>
                <w:rFonts w:ascii="Arial" w:cs="Arial" w:eastAsia="Arial" w:hAnsi="Arial"/>
                <w:sz w:val="14"/>
                <w:szCs w:val="14"/>
                <w:color w:val="auto"/>
              </w:rPr>
              <w:t>Net operating loss carryforwards</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38,911</w:t>
            </w:r>
          </w:p>
        </w:tc>
        <w:tc>
          <w:tcPr>
            <w:tcW w:w="120" w:type="dxa"/>
            <w:vAlign w:val="bottom"/>
          </w:tcPr>
          <w:p>
            <w:pPr>
              <w:spacing w:after="0"/>
              <w:rPr>
                <w:sz w:val="17"/>
                <w:szCs w:val="17"/>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43,116</w:t>
            </w:r>
          </w:p>
        </w:tc>
      </w:tr>
      <w:tr>
        <w:trPr>
          <w:trHeight w:val="204"/>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1,861</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2,754</w:t>
            </w:r>
          </w:p>
        </w:tc>
      </w:tr>
      <w:tr>
        <w:trPr>
          <w:trHeight w:val="201"/>
        </w:trPr>
        <w:tc>
          <w:tcPr>
            <w:tcW w:w="7840" w:type="dxa"/>
            <w:vAlign w:val="bottom"/>
          </w:tcPr>
          <w:p>
            <w:pPr>
              <w:ind w:left="140"/>
              <w:spacing w:after="0"/>
              <w:rPr>
                <w:sz w:val="20"/>
                <w:szCs w:val="20"/>
                <w:color w:val="auto"/>
              </w:rPr>
            </w:pPr>
            <w:r>
              <w:rPr>
                <w:rFonts w:ascii="Arial" w:cs="Arial" w:eastAsia="Arial" w:hAnsi="Arial"/>
                <w:sz w:val="14"/>
                <w:szCs w:val="14"/>
                <w:color w:val="auto"/>
              </w:rPr>
              <w:t>Investment in Partnerships</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963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963</w:t>
            </w:r>
          </w:p>
        </w:tc>
      </w:tr>
      <w:tr>
        <w:trPr>
          <w:trHeight w:val="204"/>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Inventory</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16,985</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7840" w:type="dxa"/>
            <w:vAlign w:val="bottom"/>
          </w:tcPr>
          <w:p>
            <w:pPr>
              <w:ind w:left="140"/>
              <w:spacing w:after="0"/>
              <w:rPr>
                <w:sz w:val="20"/>
                <w:szCs w:val="20"/>
                <w:color w:val="auto"/>
              </w:rPr>
            </w:pPr>
            <w:r>
              <w:rPr>
                <w:rFonts w:ascii="Arial" w:cs="Arial" w:eastAsia="Arial" w:hAnsi="Arial"/>
                <w:sz w:val="14"/>
                <w:szCs w:val="14"/>
                <w:color w:val="auto"/>
              </w:rPr>
              <w:t>Customer Relationship Intangibles</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28,500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0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r>
      <w:tr>
        <w:trPr>
          <w:trHeight w:val="195"/>
        </w:trPr>
        <w:tc>
          <w:tcPr>
            <w:tcW w:w="7840" w:type="dxa"/>
            <w:vAlign w:val="bottom"/>
          </w:tcPr>
          <w:p>
            <w:pPr>
              <w:ind w:left="20"/>
              <w:spacing w:after="0"/>
              <w:rPr>
                <w:sz w:val="20"/>
                <w:szCs w:val="20"/>
                <w:color w:val="auto"/>
              </w:rPr>
            </w:pPr>
            <w:r>
              <w:rPr>
                <w:rFonts w:ascii="Arial" w:cs="Arial" w:eastAsia="Arial" w:hAnsi="Arial"/>
                <w:sz w:val="14"/>
                <w:szCs w:val="14"/>
                <w:color w:val="auto"/>
              </w:rPr>
              <w:t>Total deferred tax assets</w:t>
            </w:r>
          </w:p>
        </w:tc>
        <w:tc>
          <w:tcPr>
            <w:tcW w:w="10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87,220</w:t>
            </w:r>
          </w:p>
        </w:tc>
        <w:tc>
          <w:tcPr>
            <w:tcW w:w="1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47,105</w:t>
            </w:r>
          </w:p>
        </w:tc>
      </w:tr>
      <w:tr>
        <w:trPr>
          <w:trHeight w:val="203"/>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valuation allowance</w:t>
            </w:r>
          </w:p>
        </w:tc>
        <w:tc>
          <w:tcPr>
            <w:tcW w:w="10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(18,599)</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(27,565)</w:t>
            </w:r>
          </w:p>
        </w:tc>
      </w:tr>
      <w:tr>
        <w:trPr>
          <w:trHeight w:val="195"/>
        </w:trPr>
        <w:tc>
          <w:tcPr>
            <w:tcW w:w="7840" w:type="dxa"/>
            <w:vAlign w:val="bottom"/>
          </w:tcPr>
          <w:p>
            <w:pPr>
              <w:ind w:left="20"/>
              <w:spacing w:after="0"/>
              <w:rPr>
                <w:sz w:val="20"/>
                <w:szCs w:val="20"/>
                <w:color w:val="auto"/>
              </w:rPr>
            </w:pPr>
            <w:r>
              <w:rPr>
                <w:rFonts w:ascii="Arial" w:cs="Arial" w:eastAsia="Arial" w:hAnsi="Arial"/>
                <w:sz w:val="14"/>
                <w:szCs w:val="14"/>
                <w:color w:val="auto"/>
              </w:rPr>
              <w:t>Net deferred tax assets</w:t>
            </w:r>
          </w:p>
        </w:tc>
        <w:tc>
          <w:tcPr>
            <w:tcW w:w="10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68,621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19,540</w:t>
            </w:r>
          </w:p>
        </w:tc>
      </w:tr>
      <w:tr>
        <w:trPr>
          <w:trHeight w:val="204"/>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0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2"/>
        </w:trPr>
        <w:tc>
          <w:tcPr>
            <w:tcW w:w="7840" w:type="dxa"/>
            <w:vAlign w:val="bottom"/>
          </w:tcPr>
          <w:p>
            <w:pPr>
              <w:ind w:left="140"/>
              <w:spacing w:after="0"/>
              <w:rPr>
                <w:sz w:val="20"/>
                <w:szCs w:val="20"/>
                <w:color w:val="auto"/>
              </w:rPr>
            </w:pPr>
            <w:r>
              <w:rPr>
                <w:rFonts w:ascii="Arial" w:cs="Arial" w:eastAsia="Arial" w:hAnsi="Arial"/>
                <w:sz w:val="14"/>
                <w:szCs w:val="14"/>
                <w:color w:val="auto"/>
              </w:rPr>
              <w:t>Fixed assets and goodwill</w:t>
            </w:r>
          </w:p>
        </w:tc>
        <w:tc>
          <w:tcPr>
            <w:tcW w:w="10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(8,186)</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(22,794)</w:t>
            </w:r>
          </w:p>
        </w:tc>
      </w:tr>
      <w:tr>
        <w:trPr>
          <w:trHeight w:val="203"/>
        </w:trPr>
        <w:tc>
          <w:tcPr>
            <w:tcW w:w="7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r>
      <w:tr>
        <w:trPr>
          <w:trHeight w:val="197"/>
        </w:trPr>
        <w:tc>
          <w:tcPr>
            <w:tcW w:w="7840" w:type="dxa"/>
            <w:vAlign w:val="bottom"/>
          </w:tcPr>
          <w:p>
            <w:pPr>
              <w:ind w:left="20"/>
              <w:spacing w:after="0"/>
              <w:rPr>
                <w:sz w:val="20"/>
                <w:szCs w:val="20"/>
                <w:color w:val="auto"/>
              </w:rPr>
            </w:pPr>
            <w:r>
              <w:rPr>
                <w:rFonts w:ascii="Arial" w:cs="Arial" w:eastAsia="Arial" w:hAnsi="Arial"/>
                <w:sz w:val="14"/>
                <w:szCs w:val="14"/>
                <w:color w:val="auto"/>
              </w:rPr>
              <w:t>Net deferred tax assets (liabilities)</w:t>
            </w: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60,372</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(3,254)</w:t>
            </w:r>
          </w:p>
        </w:tc>
      </w:tr>
      <w:tr>
        <w:trPr>
          <w:trHeight w:val="20"/>
        </w:trPr>
        <w:tc>
          <w:tcPr>
            <w:tcW w:w="7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Deferred tax assets and liabilities are reported net in Other assets or Other liabilities in the Consolidated Balance Sheets.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become deductible. We have analyzed our deferred tax assets and have determined, based on the weight of available evidence, that it is more likely than not that a significant portion will not be realized. Accordingly, valuation allowances have been recognized as of December 31, 2023, 2022 and 2021 of $18.6 million, $27.6 million and $9.1 million, respectively, related to certain deductible temporary differences and net operating loss carryforwards.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changes in the valuation allowance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0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60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197"/>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 at beginning of period</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27,565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6,794</w:t>
            </w:r>
          </w:p>
        </w:tc>
      </w:tr>
      <w:tr>
        <w:trPr>
          <w:trHeight w:val="201"/>
        </w:trPr>
        <w:tc>
          <w:tcPr>
            <w:tcW w:w="6080" w:type="dxa"/>
            <w:vAlign w:val="bottom"/>
          </w:tcPr>
          <w:p>
            <w:pPr>
              <w:ind w:left="140"/>
              <w:spacing w:after="0"/>
              <w:rPr>
                <w:sz w:val="20"/>
                <w:szCs w:val="20"/>
                <w:color w:val="auto"/>
              </w:rPr>
            </w:pPr>
            <w:r>
              <w:rPr>
                <w:rFonts w:ascii="Arial" w:cs="Arial" w:eastAsia="Arial" w:hAnsi="Arial"/>
                <w:sz w:val="14"/>
                <w:szCs w:val="14"/>
                <w:color w:val="auto"/>
              </w:rPr>
              <w:t>Change due to current year losses</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855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22,094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2,356</w:t>
            </w:r>
          </w:p>
        </w:tc>
      </w:tr>
      <w:tr>
        <w:trPr>
          <w:trHeight w:val="203"/>
        </w:trPr>
        <w:tc>
          <w:tcPr>
            <w:tcW w:w="6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 due to current year releases</w:t>
            </w:r>
          </w:p>
        </w:tc>
        <w:tc>
          <w:tcPr>
            <w:tcW w:w="10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(9,821)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(3,671)</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97"/>
        </w:trPr>
        <w:tc>
          <w:tcPr>
            <w:tcW w:w="6080" w:type="dxa"/>
            <w:vAlign w:val="bottom"/>
          </w:tcPr>
          <w:p>
            <w:pPr>
              <w:ind w:left="20"/>
              <w:spacing w:after="0"/>
              <w:rPr>
                <w:sz w:val="20"/>
                <w:szCs w:val="20"/>
                <w:color w:val="auto"/>
              </w:rPr>
            </w:pPr>
            <w:r>
              <w:rPr>
                <w:rFonts w:ascii="Arial" w:cs="Arial" w:eastAsia="Arial" w:hAnsi="Arial"/>
                <w:sz w:val="14"/>
                <w:szCs w:val="14"/>
                <w:color w:val="auto"/>
              </w:rPr>
              <w:t>Valuation allowance at end of period</w:t>
            </w: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18,599</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27,565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9,142</w:t>
            </w:r>
          </w:p>
        </w:tc>
      </w:tr>
      <w:tr>
        <w:trPr>
          <w:trHeight w:val="20"/>
        </w:trPr>
        <w:tc>
          <w:tcPr>
            <w:tcW w:w="6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of December 31, 2023, certain of our corporate subsidiaries had U.S. federal net operating loss carryforwards of approximately $22.8 million which can be carried forward indefinitely against future business income. As of December 31, 2023, we also had net operating loss carryforwards for Irish income tax purposes of $266.4 million, which can be carried forward indefinitely against future business income, $1.6 million of net operating loss carryforwards for Malaysian income tax purposes, which will begin to expire in the year 2030, and $2.1 million of net operating loss carryforward for Singaporean income tax purpose, which can be carried forward indefinitely against the future business income. The utilization of the net operating loss carryforwards to reduce future income taxes will depend on the relevant corporate subsidiary's ability to generate sufficient taxable income prior to the expiration of the carryforward period, if any. In addition, the maximum annual use of net operating loss carryforwards may be limited after certain changes in share ownership.</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and for the period ended December 31, 2023, we had not established a liability for uncertain tax positions as no such positions existed. In general, our tax returns and the tax returns of our corporate subsidiaries are subject to U.S. federal, state, local and foreign income tax examinations by tax authorities. Generally, we are not subject to examination by taxing authorities for tax years prior to 2019. We do not believe that it is reasonably possible that the total amount of unrecognized tax benefits will significantly change within 12 months of the reporting date.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12. MANAGEMENT AGREEMENT AND AFFILIATE TRANSACTIONS</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connection with the spin-off of FTAI Infrastructure on August 1, 2022, we assigned our then-existing management and advisory agreement, dated as of May 20, 2015, with our Manager to FTAI Infrastructure. On July 31, 2022, we entered into a new management and advisory agreement (the “Management Agreement”), by and among FTAI, FTAI Finance Holdco Ltd. (a wholly owned subsidiary of the Company), and each of the subsidiaries that are party thereto and the Manager, with substantially similar terms and conditions as the existing management and advisory agreement.</w:t>
      </w:r>
    </w:p>
    <w:p>
      <w:pPr>
        <w:spacing w:after="0" w:line="1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Manager is paid annual fees in exchange for advising us on various aspects of our business, formulating our investment strategies, arranging for the acquisition and disposition of assets, arranging for financing, monitoring performance, and managing our day-to-day operations, inclusive of all costs incidental thereto. In addition, the Manager may be reimbursed for various expenses incurred by the Manager on our behalf, including the costs of legal, accounting and other administrative activities. Additionally, we have entered into certain incentive allocation arrangements with Master GP, which owns approximately 0.01% of FTAI Aviation Holdco Ltd.</w:t>
      </w:r>
    </w:p>
    <w:p>
      <w:pPr>
        <w:spacing w:after="0" w:line="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Manager is entitled to a management fee and reimbursement of certain expenses. The management fee is determined by taking the average value of total equity (excluding non-controlling interests) determined on a consolidated basis in accordance with U.S. GAAP at the end of the two most recently completed months multiplied by an annual rate of 1.50%, and is payable monthly in arrears in cash.</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Master GP is entitled to incentive allocations (comprised of income incentive allocation and capital gains incentive allocation, defined below). 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U.S. GAAP excluding our pro rata share of (1) realized or unrealized gains and losses, and (2) certain non-cash or one-time items, and (3) any other adjustments as may be approved by our independent directors. Pre-incentive allocation net income does not include any Income Incentive Allocation or Capital Gains Incentive Allocation (described below) paid to Master GP during the relevant quarter.</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One of our subsidiaries allocates and distributes to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our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our pro rata share of cumulative realized gains from the date of the IPO through the end of the applicable calendar year, net of our pro rata share of cumulative realized or unrealized losses, the cumulative non-cash portion of equity-based compensation expenses and all realized gains upon which prior performance-based Capital Gains Incentive Allocation payments were made to Master GP.</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management fees, income incentive allocation and capital gains incentive allocation from continuing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197"/>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Management fees</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921</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r>
      <w:tr>
        <w:trPr>
          <w:trHeight w:val="201"/>
        </w:trPr>
        <w:tc>
          <w:tcPr>
            <w:tcW w:w="6460" w:type="dxa"/>
            <w:vAlign w:val="bottom"/>
          </w:tcPr>
          <w:p>
            <w:pPr>
              <w:ind w:left="20"/>
              <w:spacing w:after="0"/>
              <w:rPr>
                <w:sz w:val="20"/>
                <w:szCs w:val="20"/>
                <w:color w:val="auto"/>
              </w:rPr>
            </w:pPr>
            <w:r>
              <w:rPr>
                <w:rFonts w:ascii="Arial" w:cs="Arial" w:eastAsia="Arial" w:hAnsi="Arial"/>
                <w:sz w:val="14"/>
                <w:szCs w:val="14"/>
                <w:color w:val="auto"/>
              </w:rPr>
              <w:t>Income incentive allocation</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17,116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3,489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gains incentive allocation</w:t>
            </w:r>
          </w:p>
        </w:tc>
        <w:tc>
          <w:tcPr>
            <w:tcW w:w="9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6460" w:type="dxa"/>
            <w:vAlign w:val="bottom"/>
          </w:tcPr>
          <w:p>
            <w:pPr>
              <w:ind w:left="20"/>
              <w:spacing w:after="0"/>
              <w:rPr>
                <w:sz w:val="20"/>
                <w:szCs w:val="20"/>
                <w:color w:val="auto"/>
              </w:rPr>
            </w:pPr>
            <w:r>
              <w:rPr>
                <w:rFonts w:ascii="Arial" w:cs="Arial" w:eastAsia="Arial" w:hAnsi="Arial"/>
                <w:sz w:val="14"/>
                <w:szCs w:val="14"/>
                <w:color w:val="auto"/>
              </w:rPr>
              <w:t>Total</w:t>
            </w:r>
          </w:p>
        </w:tc>
        <w:tc>
          <w:tcPr>
            <w:tcW w:w="980" w:type="dxa"/>
            <w:vAlign w:val="bottom"/>
          </w:tcPr>
          <w:p>
            <w:pPr>
              <w:jc w:val="right"/>
              <w:ind w:right="8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18,037</w:t>
            </w:r>
          </w:p>
        </w:tc>
        <w:tc>
          <w:tcPr>
            <w:tcW w:w="5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3,562</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684</w:t>
            </w:r>
          </w:p>
        </w:tc>
      </w:tr>
      <w:tr>
        <w:trPr>
          <w:trHeight w:val="21"/>
        </w:trPr>
        <w:tc>
          <w:tcPr>
            <w:tcW w:w="6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pay all of our operating expenses, except those specifically required to be borne by the Manager under the Management Agreement. The expenses required to be paid by us include, but are not limited to, issuance and transaction costs incident to the acquisition, disposition and financing of our assets, legal and auditing fees and expenses, the compensation and expenses of our independent directors, the costs associated with the establishment and maintenance of any credit facilities and other indebtedness of ours (including commitment fees, legal fees, closing costs, etc.), expenses associated with other securities offerings of ours, costs and expenses incurred in contracting with third parties (including affiliates of the Manager), the costs of printing and mailing proxies and reports to our shareholders, costs incurred by the Manager or its affiliates for travel on our behalf, costs associated with any computer software or hardware that is used by us, costs to obtain liability insurance to indemnify our directors and officers and the compensation and expenses of our transfer agent.</w:t>
      </w:r>
    </w:p>
    <w:p>
      <w:pPr>
        <w:spacing w:after="0" w:line="2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we will not reimburse the Manager for these expenses.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reimbursements to the Manager from continuing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7"/>
                <w:szCs w:val="17"/>
                <w:color w:val="auto"/>
              </w:rPr>
            </w:pPr>
          </w:p>
        </w:tc>
      </w:tr>
      <w:tr>
        <w:trPr>
          <w:trHeight w:val="196"/>
        </w:trPr>
        <w:tc>
          <w:tcPr>
            <w:tcW w:w="64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184"/>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Classification in the Consolidated Statements of Operations:</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1"/>
        </w:trPr>
        <w:tc>
          <w:tcPr>
            <w:tcW w:w="6460" w:type="dxa"/>
            <w:vAlign w:val="bottom"/>
          </w:tcPr>
          <w:p>
            <w:pPr>
              <w:ind w:left="140"/>
              <w:spacing w:after="0"/>
              <w:rPr>
                <w:sz w:val="20"/>
                <w:szCs w:val="20"/>
                <w:color w:val="auto"/>
              </w:rPr>
            </w:pPr>
            <w:r>
              <w:rPr>
                <w:rFonts w:ascii="Arial" w:cs="Arial" w:eastAsia="Arial" w:hAnsi="Arial"/>
                <w:sz w:val="14"/>
                <w:szCs w:val="14"/>
                <w:color w:val="auto"/>
              </w:rPr>
              <w:t>General and administrative expenses</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7,137</w:t>
            </w:r>
          </w:p>
        </w:tc>
        <w:tc>
          <w:tcPr>
            <w:tcW w:w="5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6,891</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4,915</w:t>
            </w:r>
          </w:p>
        </w:tc>
      </w:tr>
      <w:tr>
        <w:trPr>
          <w:trHeight w:val="203"/>
        </w:trPr>
        <w:tc>
          <w:tcPr>
            <w:tcW w:w="64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and transaction expenses</w:t>
            </w:r>
          </w:p>
        </w:tc>
        <w:tc>
          <w:tcPr>
            <w:tcW w:w="10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678</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2,153</w:t>
            </w:r>
          </w:p>
        </w:tc>
      </w:tr>
      <w:tr>
        <w:trPr>
          <w:trHeight w:val="197"/>
        </w:trPr>
        <w:tc>
          <w:tcPr>
            <w:tcW w:w="6460" w:type="dxa"/>
            <w:vAlign w:val="bottom"/>
          </w:tcPr>
          <w:p>
            <w:pPr>
              <w:ind w:left="20"/>
              <w:spacing w:after="0"/>
              <w:rPr>
                <w:sz w:val="20"/>
                <w:szCs w:val="20"/>
                <w:color w:val="auto"/>
              </w:rPr>
            </w:pPr>
            <w:r>
              <w:rPr>
                <w:rFonts w:ascii="Arial" w:cs="Arial" w:eastAsia="Arial" w:hAnsi="Arial"/>
                <w:sz w:val="14"/>
                <w:szCs w:val="14"/>
                <w:color w:val="auto"/>
              </w:rPr>
              <w:t>Total</w:t>
            </w:r>
          </w:p>
        </w:tc>
        <w:tc>
          <w:tcPr>
            <w:tcW w:w="1020" w:type="dxa"/>
            <w:vAlign w:val="bottom"/>
          </w:tcPr>
          <w:p>
            <w:pPr>
              <w:jc w:val="right"/>
              <w:ind w:right="84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7,815</w:t>
            </w:r>
          </w:p>
        </w:tc>
        <w:tc>
          <w:tcPr>
            <w:tcW w:w="5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8,035</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7,068</w:t>
            </w:r>
          </w:p>
        </w:tc>
      </w:tr>
      <w:tr>
        <w:trPr>
          <w:trHeight w:val="20"/>
        </w:trPr>
        <w:tc>
          <w:tcPr>
            <w:tcW w:w="6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we terminate the Management Agreement, we will generally be required to pay the Manager a termination fee. Pursuant to the terms of the Management Agreement, the termination fee is equal to the amount of the management fee during the 12 months immediately preceding the date of the termination. In addition, an Incentive Allocation Fair Value Amount will be distributable to Master GP if Master GP is removed due to the termination of the Management Agreement in certain specified circumstances. The Incentive Allocation Fair Value Amount is an amount equal to the Income Incentive Allocation and the Capital Gains Incentive Allocation that would be paid to Master GP if our assets were sold for cash at their then current fair market value (as determined by an appraisal, taking into account, among other things, the expected future value of the underlying investments).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Upon the successful completion of an offering of our ordinary shares or other equity securities (including securities issued as consideration in an acquisition), we grant the Manager options to purchase ordinary shares in an amount equal to 10% of the number of ordinary shares being sold in the offering (or if the issuance relates to equity securities other than our ordinary shares, options to purchase a number of ordinary shares equal to 10% of the gross capital raised in the equity issuance divided by the fair market value of a ordinary share as of the date of issuance), with an exercise price equal to the offering price per share paid by the public or other ultimate purchaser or attributed to such securities in connection with an acquisition (or the fair market value of a ordinary share as of the date of the equity issuance if it relates to equity securities other than our ordinary shares). Any ultimate purchaser of ordinary shares for which such options are granted may be an affiliate of the Manager.</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amounts due to the Manager, which are included within accounts payable and accrued liabilities in the Consolidated Balance Sheets: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7"/>
                <w:szCs w:val="17"/>
                <w:color w:val="auto"/>
              </w:rPr>
            </w:pPr>
          </w:p>
        </w:tc>
      </w:tr>
      <w:tr>
        <w:trPr>
          <w:trHeight w:val="196"/>
        </w:trPr>
        <w:tc>
          <w:tcPr>
            <w:tcW w:w="78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management fees</w:t>
            </w:r>
          </w:p>
        </w:tc>
        <w:tc>
          <w:tcPr>
            <w:tcW w:w="1100" w:type="dxa"/>
            <w:vAlign w:val="bottom"/>
            <w:shd w:val="clear" w:color="auto" w:fill="CCEEFF"/>
          </w:tcPr>
          <w:p>
            <w:pPr>
              <w:jc w:val="right"/>
              <w:ind w:right="948"/>
              <w:spacing w:after="0"/>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200"/>
        </w:trPr>
        <w:tc>
          <w:tcPr>
            <w:tcW w:w="7860" w:type="dxa"/>
            <w:vAlign w:val="bottom"/>
          </w:tcPr>
          <w:p>
            <w:pPr>
              <w:ind w:left="20"/>
              <w:spacing w:after="0"/>
              <w:rPr>
                <w:sz w:val="20"/>
                <w:szCs w:val="20"/>
                <w:color w:val="auto"/>
              </w:rPr>
            </w:pPr>
            <w:r>
              <w:rPr>
                <w:rFonts w:ascii="Arial" w:cs="Arial" w:eastAsia="Arial" w:hAnsi="Arial"/>
                <w:sz w:val="14"/>
                <w:szCs w:val="14"/>
                <w:color w:val="auto"/>
              </w:rPr>
              <w:t>Other payables</w:t>
            </w: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6,200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4,688</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Other Affiliate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2023, in connection with our equity offerings (as defined in Note 10 for details), we granted options to the Manager.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13. SEGMENT INFORMATION</w:t>
      </w:r>
    </w:p>
    <w:p>
      <w:pPr>
        <w:spacing w:after="0" w:line="16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 xml:space="preserve">The key factors used to identify the reportable segments are the organization and alignment of our internal operations and the nature of our products and services. Our two reportable segments are (i) Aviation Leasing and (ii) Aerospace Products. The Aviation Leasing segment owns and manages aviation assets, including aircraft and aircraft engines, which it leases and sells to customers. The Aerospace Products segment develops and manufactures through a joint venture, and repairs and sells, through our maintenance facility and exclusivity arrangements, aftermarket components for aircraft engines. During the fourth quarter of 2023, the Company changed the composition of its operating segments to include V2500 engines within the Aerospace Products segment. Prior periods have been restated to reflect the change in accordance with the requirements of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See Note 2 for additional information.</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Corporate and Other primarily consists of debt, unallocated corporate general and administrative expenses, shared services costs, and management fees. Additionally, Corporate and Other also includes offshore energy related assets, which consist of vessels and equipment that support offshore oil and gas activities and production which are typically subject to operating leases.</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however, financial information presented by segment includes the impact of intercompany eliminations. Our Chief Executive Officer is our Chief Operating Decision Maker (“CODM”). Segment information is presented in the same manner that our CODM reviews the operating results in assessing performance and allocating resources. The CODM evaluates performance for each reportable segment primarily based on Adjusted EBITDA. Historically, the CODM’s assessment of segment performance included asset information. The CODM determined that segment asset information is not a key factor in measuring performance or allocating resources. Therefore, segment asset information is not included in the tables below as it is not provided to or reviewed by our CODM.</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Adjusted EBITDA is defined as net income (loss) attributable to shareholders from continuing operations, adjusted (a) to exclude the impact of provision for (benefit from)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dividends on preferred shares and interest expense, (b) to include the impact of our pro-rata share of Adjusted EBITDA from unconsolidated entities, and (c) to exclude the impact of equity in earnings (losses) of unconsolidated entities and the non-controlling share of Adjusted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EBITDA.</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believe that net income (loss) attributable to shareholders from continuing operations, as defined by U.S. GAAP, is the most appropriate earnings measurement with which to reconcile Adjusted EBITDA. Adjusted EBITDA should not be considered as an alternative to net income (loss) attributable to shareholders as determined in accordance with U.S. GAAP. The following tables set forth certain information for each reportable segment: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certain information for each reportable segment: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 For the Year Ended December 31, 2023</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2023</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64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56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0"/>
                <w:szCs w:val="10"/>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5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179,704</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28,232</w:t>
            </w:r>
          </w:p>
        </w:tc>
        <w:tc>
          <w:tcPr>
            <w:tcW w:w="1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207,936</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191,347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191,347</w:t>
            </w: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color w:val="auto"/>
              </w:rPr>
              <w:t>Asset sales revenue</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303,141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303,141</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Aerospace products revenue</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454,970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454,970</w:t>
            </w: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7,419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6,083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13,502</w:t>
            </w: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681,611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454,970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34,315</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1,170,896</w:t>
            </w:r>
          </w:p>
        </w:tc>
        <w:tc>
          <w:tcPr>
            <w:tcW w:w="0" w:type="dxa"/>
            <w:vAlign w:val="bottom"/>
          </w:tcPr>
          <w:p>
            <w:pPr>
              <w:spacing w:after="0"/>
              <w:rPr>
                <w:sz w:val="1"/>
                <w:szCs w:val="1"/>
                <w:color w:val="auto"/>
              </w:rPr>
            </w:pPr>
          </w:p>
        </w:tc>
      </w:tr>
      <w:tr>
        <w:trPr>
          <w:trHeight w:val="238"/>
        </w:trPr>
        <w:tc>
          <w:tcPr>
            <w:tcW w:w="5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221,852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280,280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502,132</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37,876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51,828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110,163</w:t>
            </w: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13,700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13,700</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7,150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6,322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15,194</w:t>
            </w:r>
          </w:p>
        </w:tc>
        <w:tc>
          <w:tcPr>
            <w:tcW w:w="0" w:type="dxa"/>
            <w:vAlign w:val="bottom"/>
          </w:tcPr>
          <w:p>
            <w:pPr>
              <w:spacing w:after="0"/>
              <w:rPr>
                <w:sz w:val="1"/>
                <w:szCs w:val="1"/>
                <w:color w:val="auto"/>
              </w:rPr>
            </w:pPr>
          </w:p>
        </w:tc>
      </w:tr>
      <w:tr>
        <w:trPr>
          <w:trHeight w:val="201"/>
        </w:trPr>
        <w:tc>
          <w:tcPr>
            <w:tcW w:w="564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18,037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18,037</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158,354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10,862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169,877</w:t>
            </w: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2,121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2,121</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161,639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161,639</w:t>
            </w:r>
          </w:p>
        </w:tc>
        <w:tc>
          <w:tcPr>
            <w:tcW w:w="0" w:type="dxa"/>
            <w:vAlign w:val="bottom"/>
          </w:tcPr>
          <w:p>
            <w:pPr>
              <w:spacing w:after="0"/>
              <w:rPr>
                <w:sz w:val="1"/>
                <w:szCs w:val="1"/>
                <w:color w:val="auto"/>
              </w:rPr>
            </w:pPr>
          </w:p>
        </w:tc>
      </w:tr>
      <w:tr>
        <w:trPr>
          <w:trHeight w:val="195"/>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4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427,353</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303,122</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262,388</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992,863</w:t>
            </w:r>
          </w:p>
        </w:tc>
        <w:tc>
          <w:tcPr>
            <w:tcW w:w="0" w:type="dxa"/>
            <w:vAlign w:val="bottom"/>
          </w:tcPr>
          <w:p>
            <w:pPr>
              <w:spacing w:after="0"/>
              <w:rPr>
                <w:sz w:val="1"/>
                <w:szCs w:val="1"/>
                <w:color w:val="auto"/>
              </w:rPr>
            </w:pPr>
          </w:p>
        </w:tc>
      </w:tr>
      <w:tr>
        <w:trPr>
          <w:trHeight w:val="238"/>
        </w:trPr>
        <w:tc>
          <w:tcPr>
            <w:tcW w:w="5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(1,606)</w:t>
            </w:r>
          </w:p>
        </w:tc>
        <w:tc>
          <w:tcPr>
            <w:tcW w:w="0" w:type="dxa"/>
            <w:vAlign w:val="bottom"/>
          </w:tcPr>
          <w:p>
            <w:pPr>
              <w:spacing w:after="0"/>
              <w:rPr>
                <w:sz w:val="1"/>
                <w:szCs w:val="1"/>
                <w:color w:val="auto"/>
              </w:rPr>
            </w:pPr>
          </w:p>
        </w:tc>
      </w:tr>
      <w:tr>
        <w:trPr>
          <w:trHeight w:val="201"/>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5,347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7,590</w:t>
            </w:r>
          </w:p>
        </w:tc>
        <w:tc>
          <w:tcPr>
            <w:tcW w:w="0" w:type="dxa"/>
            <w:vAlign w:val="bottom"/>
          </w:tcPr>
          <w:p>
            <w:pPr>
              <w:spacing w:after="0"/>
              <w:rPr>
                <w:sz w:val="1"/>
                <w:szCs w:val="1"/>
                <w:color w:val="auto"/>
              </w:rPr>
            </w:pPr>
          </w:p>
        </w:tc>
      </w:tr>
      <w:tr>
        <w:trPr>
          <w:trHeight w:val="19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w:t>
            </w: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1,152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3,889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943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5,984</w:t>
            </w:r>
          </w:p>
        </w:tc>
        <w:tc>
          <w:tcPr>
            <w:tcW w:w="0" w:type="dxa"/>
            <w:vAlign w:val="bottom"/>
          </w:tcPr>
          <w:p>
            <w:pPr>
              <w:spacing w:after="0"/>
              <w:rPr>
                <w:sz w:val="1"/>
                <w:szCs w:val="1"/>
                <w:color w:val="auto"/>
              </w:rPr>
            </w:pPr>
          </w:p>
        </w:tc>
      </w:tr>
      <w:tr>
        <w:trPr>
          <w:trHeight w:val="195"/>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Income (loss) from continuing operations before income taxes</w:t>
            </w: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255,410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155,737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(227,130)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184,017</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(36,193)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(24,440)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(59,800)</w:t>
            </w:r>
          </w:p>
        </w:tc>
        <w:tc>
          <w:tcPr>
            <w:tcW w:w="0" w:type="dxa"/>
            <w:vAlign w:val="bottom"/>
          </w:tcPr>
          <w:p>
            <w:pPr>
              <w:spacing w:after="0"/>
              <w:rPr>
                <w:sz w:val="1"/>
                <w:szCs w:val="1"/>
                <w:color w:val="auto"/>
              </w:rPr>
            </w:pPr>
          </w:p>
        </w:tc>
      </w:tr>
      <w:tr>
        <w:trPr>
          <w:trHeight w:val="195"/>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291,603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180,177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(227,963)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243,817</w:t>
            </w:r>
          </w:p>
        </w:tc>
        <w:tc>
          <w:tcPr>
            <w:tcW w:w="0" w:type="dxa"/>
            <w:vAlign w:val="bottom"/>
          </w:tcPr>
          <w:p>
            <w:pPr>
              <w:spacing w:after="0"/>
              <w:rPr>
                <w:sz w:val="1"/>
                <w:szCs w:val="1"/>
                <w:color w:val="auto"/>
              </w:rPr>
            </w:pPr>
          </w:p>
        </w:tc>
      </w:tr>
      <w:tr>
        <w:trPr>
          <w:trHeight w:val="129"/>
        </w:trPr>
        <w:tc>
          <w:tcPr>
            <w:tcW w:w="56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Less: Net loss from continuing operations attributable to non-controlling interests in</w:t>
            </w:r>
          </w:p>
        </w:tc>
        <w:tc>
          <w:tcPr>
            <w:tcW w:w="4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4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color w:val="auto"/>
              </w:rPr>
              <w:t>Less: Dividends on preferred shares</w:t>
            </w: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31,795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31,795</w:t>
            </w:r>
          </w:p>
        </w:tc>
        <w:tc>
          <w:tcPr>
            <w:tcW w:w="0" w:type="dxa"/>
            <w:vAlign w:val="bottom"/>
          </w:tcPr>
          <w:p>
            <w:pPr>
              <w:spacing w:after="0"/>
              <w:rPr>
                <w:sz w:val="1"/>
                <w:szCs w:val="1"/>
                <w:color w:val="auto"/>
              </w:rPr>
            </w:pPr>
          </w:p>
        </w:tc>
      </w:tr>
      <w:tr>
        <w:trPr>
          <w:trHeight w:val="222"/>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shareholders from continuing operations</w:t>
            </w: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291,603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180,177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(259,758)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212,022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2023</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64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56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0"/>
                <w:szCs w:val="10"/>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5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467,388</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160,009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(30,115)</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597,282</w:t>
            </w:r>
          </w:p>
        </w:tc>
        <w:tc>
          <w:tcPr>
            <w:tcW w:w="0" w:type="dxa"/>
            <w:vAlign w:val="bottom"/>
          </w:tcPr>
          <w:p>
            <w:pPr>
              <w:spacing w:after="0"/>
              <w:rPr>
                <w:sz w:val="1"/>
                <w:szCs w:val="1"/>
                <w:color w:val="auto"/>
              </w:rPr>
            </w:pPr>
          </w:p>
        </w:tc>
      </w:tr>
      <w:tr>
        <w:trPr>
          <w:trHeight w:val="195"/>
        </w:trPr>
        <w:tc>
          <w:tcPr>
            <w:tcW w:w="564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4"/>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(1,606)</w:t>
            </w:r>
          </w:p>
        </w:tc>
        <w:tc>
          <w:tcPr>
            <w:tcW w:w="0" w:type="dxa"/>
            <w:vAlign w:val="bottom"/>
          </w:tcPr>
          <w:p>
            <w:pPr>
              <w:spacing w:after="0"/>
              <w:rPr>
                <w:sz w:val="1"/>
                <w:szCs w:val="1"/>
                <w:color w:val="auto"/>
              </w:rPr>
            </w:pPr>
          </w:p>
        </w:tc>
      </w:tr>
      <w:tr>
        <w:trPr>
          <w:trHeight w:val="201"/>
        </w:trPr>
        <w:tc>
          <w:tcPr>
            <w:tcW w:w="5640" w:type="dxa"/>
            <w:vAlign w:val="bottom"/>
          </w:tcPr>
          <w:p>
            <w:pPr>
              <w:ind w:left="20"/>
              <w:spacing w:after="0"/>
              <w:rPr>
                <w:sz w:val="20"/>
                <w:szCs w:val="20"/>
                <w:color w:val="auto"/>
              </w:rPr>
            </w:pPr>
            <w:r>
              <w:rPr>
                <w:rFonts w:ascii="Arial" w:cs="Arial" w:eastAsia="Arial" w:hAnsi="Arial"/>
                <w:sz w:val="14"/>
                <w:szCs w:val="14"/>
                <w:color w:val="auto"/>
              </w:rPr>
              <w:t>Less: Pro-rata share of Adjusted EBITDA from unconsolidated entities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(310)</w:t>
            </w:r>
          </w:p>
        </w:tc>
        <w:tc>
          <w:tcPr>
            <w:tcW w:w="0" w:type="dxa"/>
            <w:vAlign w:val="bottom"/>
          </w:tcPr>
          <w:p>
            <w:pPr>
              <w:spacing w:after="0"/>
              <w:rPr>
                <w:sz w:val="1"/>
                <w:szCs w:val="1"/>
                <w:color w:val="auto"/>
              </w:rPr>
            </w:pPr>
          </w:p>
        </w:tc>
      </w:tr>
      <w:tr>
        <w:trPr>
          <w:trHeight w:val="204"/>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 and dividends on preferred shares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(193,434)</w:t>
            </w:r>
          </w:p>
        </w:tc>
        <w:tc>
          <w:tcPr>
            <w:tcW w:w="0" w:type="dxa"/>
            <w:vAlign w:val="bottom"/>
          </w:tcPr>
          <w:p>
            <w:pPr>
              <w:spacing w:after="0"/>
              <w:rPr>
                <w:sz w:val="1"/>
                <w:szCs w:val="1"/>
                <w:color w:val="auto"/>
              </w:rPr>
            </w:pPr>
          </w:p>
        </w:tc>
      </w:tr>
      <w:tr>
        <w:trPr>
          <w:trHeight w:val="201"/>
        </w:trPr>
        <w:tc>
          <w:tcPr>
            <w:tcW w:w="564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(213,641)</w:t>
            </w:r>
          </w:p>
        </w:tc>
        <w:tc>
          <w:tcPr>
            <w:tcW w:w="0" w:type="dxa"/>
            <w:vAlign w:val="bottom"/>
          </w:tcPr>
          <w:p>
            <w:pPr>
              <w:spacing w:after="0"/>
              <w:rPr>
                <w:sz w:val="1"/>
                <w:szCs w:val="1"/>
                <w:color w:val="auto"/>
              </w:rPr>
            </w:pPr>
          </w:p>
        </w:tc>
      </w:tr>
      <w:tr>
        <w:trPr>
          <w:trHeight w:val="204"/>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(17,116)</w:t>
            </w:r>
          </w:p>
        </w:tc>
        <w:tc>
          <w:tcPr>
            <w:tcW w:w="0" w:type="dxa"/>
            <w:vAlign w:val="bottom"/>
          </w:tcPr>
          <w:p>
            <w:pPr>
              <w:spacing w:after="0"/>
              <w:rPr>
                <w:sz w:val="1"/>
                <w:szCs w:val="1"/>
                <w:color w:val="auto"/>
              </w:rPr>
            </w:pPr>
          </w:p>
        </w:tc>
      </w:tr>
      <w:tr>
        <w:trPr>
          <w:trHeight w:val="201"/>
        </w:trPr>
        <w:tc>
          <w:tcPr>
            <w:tcW w:w="564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(2,121)</w:t>
            </w:r>
          </w:p>
        </w:tc>
        <w:tc>
          <w:tcPr>
            <w:tcW w:w="0" w:type="dxa"/>
            <w:vAlign w:val="bottom"/>
          </w:tcPr>
          <w:p>
            <w:pPr>
              <w:spacing w:after="0"/>
              <w:rPr>
                <w:sz w:val="1"/>
                <w:szCs w:val="1"/>
                <w:color w:val="auto"/>
              </w:rPr>
            </w:pPr>
          </w:p>
        </w:tc>
      </w:tr>
      <w:tr>
        <w:trPr>
          <w:trHeight w:val="204"/>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Changes in fair value of non-hedge derivative instruments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5640" w:type="dxa"/>
            <w:vAlign w:val="bottom"/>
          </w:tcPr>
          <w:p>
            <w:pPr>
              <w:ind w:left="20"/>
              <w:spacing w:after="0"/>
              <w:rPr>
                <w:sz w:val="20"/>
                <w:szCs w:val="20"/>
                <w:color w:val="auto"/>
              </w:rPr>
            </w:pPr>
            <w:r>
              <w:rPr>
                <w:rFonts w:ascii="Arial" w:cs="Arial" w:eastAsia="Arial" w:hAnsi="Arial"/>
                <w:sz w:val="14"/>
                <w:szCs w:val="14"/>
                <w:color w:val="auto"/>
              </w:rPr>
              <w:t>Less: Losses on the modification or extinguishment of debt and capital lease obligations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4"/>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(15,194)</w:t>
            </w:r>
          </w:p>
        </w:tc>
        <w:tc>
          <w:tcPr>
            <w:tcW w:w="0" w:type="dxa"/>
            <w:vAlign w:val="bottom"/>
          </w:tcPr>
          <w:p>
            <w:pPr>
              <w:spacing w:after="0"/>
              <w:rPr>
                <w:sz w:val="1"/>
                <w:szCs w:val="1"/>
                <w:color w:val="auto"/>
              </w:rPr>
            </w:pPr>
          </w:p>
        </w:tc>
      </w:tr>
      <w:tr>
        <w:trPr>
          <w:trHeight w:val="201"/>
        </w:trPr>
        <w:tc>
          <w:tcPr>
            <w:tcW w:w="564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(1,638)</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Benefit from income taxes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59,800</w:t>
            </w:r>
          </w:p>
        </w:tc>
        <w:tc>
          <w:tcPr>
            <w:tcW w:w="0" w:type="dxa"/>
            <w:vAlign w:val="bottom"/>
          </w:tcPr>
          <w:p>
            <w:pPr>
              <w:spacing w:after="0"/>
              <w:rPr>
                <w:sz w:val="1"/>
                <w:szCs w:val="1"/>
                <w:color w:val="auto"/>
              </w:rPr>
            </w:pPr>
          </w:p>
        </w:tc>
      </w:tr>
      <w:tr>
        <w:trPr>
          <w:trHeight w:val="197"/>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shareholders from continuing operations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212,022</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2023</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64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56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0"/>
                <w:szCs w:val="10"/>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5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color w:val="auto"/>
              </w:rPr>
              <w:t>Africa</w:t>
            </w: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822</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1,697</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101,305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34,315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153,984</w:t>
            </w: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color w:val="auto"/>
              </w:rPr>
              <w:t>Europe</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244,055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120,439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364,494</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285,421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301,633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587,054</w:t>
            </w:r>
          </w:p>
        </w:tc>
        <w:tc>
          <w:tcPr>
            <w:tcW w:w="0" w:type="dxa"/>
            <w:vAlign w:val="bottom"/>
          </w:tcPr>
          <w:p>
            <w:pPr>
              <w:spacing w:after="0"/>
              <w:rPr>
                <w:sz w:val="1"/>
                <w:szCs w:val="1"/>
                <w:color w:val="auto"/>
              </w:rPr>
            </w:pPr>
          </w:p>
        </w:tc>
      </w:tr>
      <w:tr>
        <w:trPr>
          <w:trHeight w:val="202"/>
        </w:trPr>
        <w:tc>
          <w:tcPr>
            <w:tcW w:w="564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50,008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13,659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63,667</w:t>
            </w:r>
          </w:p>
        </w:tc>
        <w:tc>
          <w:tcPr>
            <w:tcW w:w="0" w:type="dxa"/>
            <w:vAlign w:val="bottom"/>
          </w:tcPr>
          <w:p>
            <w:pPr>
              <w:spacing w:after="0"/>
              <w:rPr>
                <w:sz w:val="1"/>
                <w:szCs w:val="1"/>
                <w:color w:val="auto"/>
              </w:rPr>
            </w:pPr>
          </w:p>
        </w:tc>
      </w:tr>
      <w:tr>
        <w:trPr>
          <w:trHeight w:val="222"/>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681,611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454,970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34,315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1,170,896</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Presented below are the contracted minimum future annual revenues to be received under existing operating leases as of December 31,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9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193,614</w:t>
            </w:r>
          </w:p>
        </w:tc>
      </w:tr>
      <w:tr>
        <w:trPr>
          <w:trHeight w:val="199"/>
        </w:trPr>
        <w:tc>
          <w:tcPr>
            <w:tcW w:w="9140" w:type="dxa"/>
            <w:vAlign w:val="bottom"/>
          </w:tcPr>
          <w:p>
            <w:pPr>
              <w:ind w:left="20"/>
              <w:spacing w:after="0"/>
              <w:rPr>
                <w:sz w:val="20"/>
                <w:szCs w:val="20"/>
                <w:color w:val="auto"/>
              </w:rPr>
            </w:pPr>
            <w:r>
              <w:rPr>
                <w:rFonts w:ascii="Arial" w:cs="Arial" w:eastAsia="Arial" w:hAnsi="Arial"/>
                <w:sz w:val="14"/>
                <w:szCs w:val="14"/>
                <w:color w:val="auto"/>
              </w:rPr>
              <w:t>2025</w:t>
            </w:r>
          </w:p>
        </w:tc>
        <w:tc>
          <w:tcPr>
            <w:tcW w:w="2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142,060</w:t>
            </w:r>
          </w:p>
        </w:tc>
      </w:tr>
      <w:tr>
        <w:trPr>
          <w:trHeight w:val="206"/>
        </w:trPr>
        <w:tc>
          <w:tcPr>
            <w:tcW w:w="9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26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103,198</w:t>
            </w:r>
          </w:p>
        </w:tc>
      </w:tr>
      <w:tr>
        <w:trPr>
          <w:trHeight w:val="199"/>
        </w:trPr>
        <w:tc>
          <w:tcPr>
            <w:tcW w:w="9140" w:type="dxa"/>
            <w:vAlign w:val="bottom"/>
          </w:tcPr>
          <w:p>
            <w:pPr>
              <w:ind w:left="20"/>
              <w:spacing w:after="0"/>
              <w:rPr>
                <w:sz w:val="20"/>
                <w:szCs w:val="20"/>
                <w:color w:val="auto"/>
              </w:rPr>
            </w:pPr>
            <w:r>
              <w:rPr>
                <w:rFonts w:ascii="Arial" w:cs="Arial" w:eastAsia="Arial" w:hAnsi="Arial"/>
                <w:sz w:val="14"/>
                <w:szCs w:val="14"/>
                <w:color w:val="auto"/>
              </w:rPr>
              <w:t>2027</w:t>
            </w:r>
          </w:p>
        </w:tc>
        <w:tc>
          <w:tcPr>
            <w:tcW w:w="2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73,745</w:t>
            </w:r>
          </w:p>
        </w:tc>
      </w:tr>
      <w:tr>
        <w:trPr>
          <w:trHeight w:val="206"/>
        </w:trPr>
        <w:tc>
          <w:tcPr>
            <w:tcW w:w="9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2028</w:t>
            </w:r>
          </w:p>
        </w:tc>
        <w:tc>
          <w:tcPr>
            <w:tcW w:w="26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66,142</w:t>
            </w:r>
          </w:p>
        </w:tc>
      </w:tr>
      <w:tr>
        <w:trPr>
          <w:trHeight w:val="199"/>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48,109</w:t>
            </w:r>
          </w:p>
        </w:tc>
      </w:tr>
      <w:tr>
        <w:trPr>
          <w:trHeight w:val="225"/>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626,868</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 For the Year Ended December 31, 2022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2022</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5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0"/>
                <w:szCs w:val="10"/>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5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6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159,068</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20,246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179,314</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148,846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148,846</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Asset sales revenue</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183,535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183,535</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Aerospace products revenue</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178,515</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11,499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6,702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18,201</w:t>
            </w:r>
          </w:p>
        </w:tc>
        <w:tc>
          <w:tcPr>
            <w:tcW w:w="0" w:type="dxa"/>
            <w:vAlign w:val="bottom"/>
          </w:tcPr>
          <w:p>
            <w:pPr>
              <w:spacing w:after="0"/>
              <w:rPr>
                <w:sz w:val="1"/>
                <w:szCs w:val="1"/>
                <w:color w:val="auto"/>
              </w:rPr>
            </w:pPr>
          </w:p>
        </w:tc>
      </w:tr>
      <w:tr>
        <w:trPr>
          <w:trHeight w:val="200"/>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502,948</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178,515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26,948</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708,411</w:t>
            </w: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138,904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109,481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248,385</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132,264</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14,164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14,164</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13,207</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3,562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3,562</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144,258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152,917</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137,219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137,219</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169,194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169,194</w:t>
            </w: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22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503,536</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121,949</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245,427</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870,912</w:t>
            </w:r>
          </w:p>
        </w:tc>
        <w:tc>
          <w:tcPr>
            <w:tcW w:w="0" w:type="dxa"/>
            <w:vAlign w:val="bottom"/>
          </w:tcPr>
          <w:p>
            <w:pPr>
              <w:spacing w:after="0"/>
              <w:rPr>
                <w:sz w:val="1"/>
                <w:szCs w:val="1"/>
                <w:color w:val="auto"/>
              </w:rPr>
            </w:pPr>
          </w:p>
        </w:tc>
      </w:tr>
      <w:tr>
        <w:trPr>
          <w:trHeight w:val="241"/>
        </w:trPr>
        <w:tc>
          <w:tcPr>
            <w:tcW w:w="5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entities</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59,048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18,163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77,211</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(19,859)</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00"/>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60,034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17,054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(19,898)</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57,190</w:t>
            </w:r>
          </w:p>
        </w:tc>
        <w:tc>
          <w:tcPr>
            <w:tcW w:w="0" w:type="dxa"/>
            <w:vAlign w:val="bottom"/>
          </w:tcPr>
          <w:p>
            <w:pPr>
              <w:spacing w:after="0"/>
              <w:rPr>
                <w:sz w:val="1"/>
                <w:szCs w:val="1"/>
                <w:color w:val="auto"/>
              </w:rPr>
            </w:pPr>
          </w:p>
        </w:tc>
      </w:tr>
      <w:tr>
        <w:trPr>
          <w:trHeight w:val="195"/>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Income (loss) from continuing operations before income taxes</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59,446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73,620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(238,377)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(105,311)</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5,300</w:t>
            </w:r>
          </w:p>
        </w:tc>
        <w:tc>
          <w:tcPr>
            <w:tcW w:w="0" w:type="dxa"/>
            <w:vAlign w:val="bottom"/>
          </w:tcPr>
          <w:p>
            <w:pPr>
              <w:spacing w:after="0"/>
              <w:rPr>
                <w:sz w:val="1"/>
                <w:szCs w:val="1"/>
                <w:color w:val="auto"/>
              </w:rPr>
            </w:pPr>
          </w:p>
        </w:tc>
      </w:tr>
      <w:tr>
        <w:trPr>
          <w:trHeight w:val="19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2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56,944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70,659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(238,214)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(110,611)</w:t>
            </w:r>
          </w:p>
        </w:tc>
        <w:tc>
          <w:tcPr>
            <w:tcW w:w="0" w:type="dxa"/>
            <w:vAlign w:val="bottom"/>
          </w:tcPr>
          <w:p>
            <w:pPr>
              <w:spacing w:after="0"/>
              <w:rPr>
                <w:sz w:val="1"/>
                <w:szCs w:val="1"/>
                <w:color w:val="auto"/>
              </w:rPr>
            </w:pPr>
          </w:p>
        </w:tc>
      </w:tr>
      <w:tr>
        <w:trPr>
          <w:trHeight w:val="134"/>
        </w:trPr>
        <w:tc>
          <w:tcPr>
            <w:tcW w:w="54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Less: Net loss from continuing operations attributable to non-controlling interests in</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on preferred shares</w:t>
            </w:r>
          </w:p>
        </w:tc>
        <w:tc>
          <w:tcPr>
            <w:tcW w:w="2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27,164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27,164</w:t>
            </w:r>
          </w:p>
        </w:tc>
        <w:tc>
          <w:tcPr>
            <w:tcW w:w="0" w:type="dxa"/>
            <w:vAlign w:val="bottom"/>
          </w:tcPr>
          <w:p>
            <w:pPr>
              <w:spacing w:after="0"/>
              <w:rPr>
                <w:sz w:val="1"/>
                <w:szCs w:val="1"/>
                <w:color w:val="auto"/>
              </w:rPr>
            </w:pPr>
          </w:p>
        </w:tc>
      </w:tr>
      <w:tr>
        <w:trPr>
          <w:trHeight w:val="220"/>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shareholders from continuing operations</w:t>
            </w:r>
          </w:p>
        </w:tc>
        <w:tc>
          <w:tcPr>
            <w:tcW w:w="62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(265,378)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(137,775)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5420" w:type="dxa"/>
            <w:vAlign w:val="bottom"/>
          </w:tcPr>
          <w:p>
            <w:pPr>
              <w:spacing w:after="0"/>
              <w:rPr>
                <w:sz w:val="24"/>
                <w:szCs w:val="24"/>
                <w:color w:val="auto"/>
              </w:rPr>
            </w:pPr>
          </w:p>
        </w:tc>
        <w:tc>
          <w:tcPr>
            <w:tcW w:w="620" w:type="dxa"/>
            <w:vAlign w:val="bottom"/>
            <w:gridSpan w:val="2"/>
          </w:tcPr>
          <w:p>
            <w:pPr>
              <w:jc w:val="right"/>
              <w:ind w:right="268"/>
              <w:spacing w:after="0"/>
              <w:rPr>
                <w:sz w:val="20"/>
                <w:szCs w:val="20"/>
                <w:color w:val="auto"/>
              </w:rPr>
            </w:pPr>
            <w:r>
              <w:rPr>
                <w:rFonts w:ascii="Arial" w:cs="Arial" w:eastAsia="Arial" w:hAnsi="Arial"/>
                <w:sz w:val="14"/>
                <w:szCs w:val="14"/>
                <w:color w:val="auto"/>
              </w:rPr>
              <w:t>83</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2022</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64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56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0"/>
                <w:szCs w:val="10"/>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5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380,145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74,345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(26,393)</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428,097</w:t>
            </w:r>
          </w:p>
        </w:tc>
        <w:tc>
          <w:tcPr>
            <w:tcW w:w="0" w:type="dxa"/>
            <w:vAlign w:val="bottom"/>
          </w:tcPr>
          <w:p>
            <w:pPr>
              <w:spacing w:after="0"/>
              <w:rPr>
                <w:sz w:val="1"/>
                <w:szCs w:val="1"/>
                <w:color w:val="auto"/>
              </w:rPr>
            </w:pPr>
          </w:p>
        </w:tc>
      </w:tr>
      <w:tr>
        <w:trPr>
          <w:trHeight w:val="192"/>
        </w:trPr>
        <w:tc>
          <w:tcPr>
            <w:tcW w:w="564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Less: Pro-rata share of Adjusted EBITDA from unconsolidated entities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 and dividends on preferred shares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(196,358)</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(190,031)</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(3,489)</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(137,219)</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Changes in fair value of non-hedge derivative instruments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Less: Losses on the modification or extinguishment of debt and capital lease obligations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(19,859)</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(13,207)</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for income taxes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(5,300)</w:t>
            </w:r>
          </w:p>
        </w:tc>
        <w:tc>
          <w:tcPr>
            <w:tcW w:w="0" w:type="dxa"/>
            <w:vAlign w:val="bottom"/>
          </w:tcPr>
          <w:p>
            <w:pPr>
              <w:spacing w:after="0"/>
              <w:rPr>
                <w:sz w:val="1"/>
                <w:szCs w:val="1"/>
                <w:color w:val="auto"/>
              </w:rPr>
            </w:pPr>
          </w:p>
        </w:tc>
      </w:tr>
      <w:tr>
        <w:trPr>
          <w:trHeight w:val="200"/>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 from continuing operations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(137,775)</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2022</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620" w:type="dxa"/>
            <w:vAlign w:val="bottom"/>
          </w:tcPr>
          <w:p>
            <w:pPr>
              <w:spacing w:after="0"/>
              <w:rPr>
                <w:sz w:val="12"/>
                <w:szCs w:val="12"/>
                <w:color w:val="auto"/>
              </w:rPr>
            </w:pPr>
          </w:p>
        </w:tc>
        <w:tc>
          <w:tcPr>
            <w:tcW w:w="14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56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0"/>
                <w:szCs w:val="10"/>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5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620" w:type="dxa"/>
            <w:vAlign w:val="bottom"/>
          </w:tcPr>
          <w:p>
            <w:pPr>
              <w:ind w:left="20"/>
              <w:spacing w:after="0"/>
              <w:rPr>
                <w:sz w:val="20"/>
                <w:szCs w:val="20"/>
                <w:color w:val="auto"/>
              </w:rPr>
            </w:pPr>
            <w:r>
              <w:rPr>
                <w:rFonts w:ascii="Arial" w:cs="Arial" w:eastAsia="Arial" w:hAnsi="Arial"/>
                <w:sz w:val="14"/>
                <w:szCs w:val="14"/>
                <w:color w:val="auto"/>
              </w:rPr>
              <w:t>Africa</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1,615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1,865</w:t>
            </w:r>
          </w:p>
        </w:tc>
        <w:tc>
          <w:tcPr>
            <w:tcW w:w="0" w:type="dxa"/>
            <w:vAlign w:val="bottom"/>
          </w:tcPr>
          <w:p>
            <w:pPr>
              <w:spacing w:after="0"/>
              <w:rPr>
                <w:sz w:val="1"/>
                <w:szCs w:val="1"/>
                <w:color w:val="auto"/>
              </w:rPr>
            </w:pPr>
          </w:p>
        </w:tc>
      </w:tr>
      <w:tr>
        <w:trPr>
          <w:trHeight w:val="207"/>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84,953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26,948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124,632</w:t>
            </w:r>
          </w:p>
        </w:tc>
        <w:tc>
          <w:tcPr>
            <w:tcW w:w="0" w:type="dxa"/>
            <w:vAlign w:val="bottom"/>
          </w:tcPr>
          <w:p>
            <w:pPr>
              <w:spacing w:after="0"/>
              <w:rPr>
                <w:sz w:val="1"/>
                <w:szCs w:val="1"/>
                <w:color w:val="auto"/>
              </w:rPr>
            </w:pPr>
          </w:p>
        </w:tc>
      </w:tr>
      <w:tr>
        <w:trPr>
          <w:trHeight w:val="198"/>
        </w:trPr>
        <w:tc>
          <w:tcPr>
            <w:tcW w:w="5620" w:type="dxa"/>
            <w:vAlign w:val="bottom"/>
          </w:tcPr>
          <w:p>
            <w:pPr>
              <w:ind w:left="20"/>
              <w:spacing w:after="0"/>
              <w:rPr>
                <w:sz w:val="20"/>
                <w:szCs w:val="20"/>
                <w:color w:val="auto"/>
              </w:rPr>
            </w:pPr>
            <w:r>
              <w:rPr>
                <w:rFonts w:ascii="Arial" w:cs="Arial" w:eastAsia="Arial" w:hAnsi="Arial"/>
                <w:sz w:val="14"/>
                <w:szCs w:val="14"/>
                <w:color w:val="auto"/>
              </w:rPr>
              <w:t>Europe</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130,128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37,495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167,623</w:t>
            </w:r>
          </w:p>
        </w:tc>
        <w:tc>
          <w:tcPr>
            <w:tcW w:w="0" w:type="dxa"/>
            <w:vAlign w:val="bottom"/>
          </w:tcPr>
          <w:p>
            <w:pPr>
              <w:spacing w:after="0"/>
              <w:rPr>
                <w:sz w:val="1"/>
                <w:szCs w:val="1"/>
                <w:color w:val="auto"/>
              </w:rPr>
            </w:pPr>
          </w:p>
        </w:tc>
      </w:tr>
      <w:tr>
        <w:trPr>
          <w:trHeight w:val="207"/>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245,549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372,146</w:t>
            </w:r>
          </w:p>
        </w:tc>
        <w:tc>
          <w:tcPr>
            <w:tcW w:w="0" w:type="dxa"/>
            <w:vAlign w:val="bottom"/>
          </w:tcPr>
          <w:p>
            <w:pPr>
              <w:spacing w:after="0"/>
              <w:rPr>
                <w:sz w:val="1"/>
                <w:szCs w:val="1"/>
                <w:color w:val="auto"/>
              </w:rPr>
            </w:pPr>
          </w:p>
        </w:tc>
      </w:tr>
      <w:tr>
        <w:trPr>
          <w:trHeight w:val="198"/>
        </w:trPr>
        <w:tc>
          <w:tcPr>
            <w:tcW w:w="562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42,068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42,145</w:t>
            </w:r>
          </w:p>
        </w:tc>
        <w:tc>
          <w:tcPr>
            <w:tcW w:w="0" w:type="dxa"/>
            <w:vAlign w:val="bottom"/>
          </w:tcPr>
          <w:p>
            <w:pPr>
              <w:spacing w:after="0"/>
              <w:rPr>
                <w:sz w:val="1"/>
                <w:szCs w:val="1"/>
                <w:color w:val="auto"/>
              </w:rPr>
            </w:pPr>
          </w:p>
        </w:tc>
      </w:tr>
      <w:tr>
        <w:trPr>
          <w:trHeight w:val="225"/>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502,948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178,515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708,411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III. For the Year Ended December 31,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2021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5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0"/>
                <w:szCs w:val="10"/>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5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Lease income</w:t>
            </w:r>
          </w:p>
        </w:tc>
        <w:tc>
          <w:tcPr>
            <w:tcW w:w="62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163,733</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10,131</w:t>
            </w:r>
          </w:p>
        </w:tc>
        <w:tc>
          <w:tcPr>
            <w:tcW w:w="1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173,864</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Maintenance revenue</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128,819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128,819</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Asset sales revenue</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Aerospace products revenue</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23,301</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4,030</w:t>
            </w:r>
          </w:p>
        </w:tc>
        <w:tc>
          <w:tcPr>
            <w:tcW w:w="12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9,599</w:t>
            </w:r>
          </w:p>
        </w:tc>
        <w:tc>
          <w:tcPr>
            <w:tcW w:w="0" w:type="dxa"/>
            <w:vAlign w:val="bottom"/>
          </w:tcPr>
          <w:p>
            <w:pPr>
              <w:spacing w:after="0"/>
              <w:rPr>
                <w:sz w:val="1"/>
                <w:szCs w:val="1"/>
                <w:color w:val="auto"/>
              </w:rPr>
            </w:pPr>
          </w:p>
        </w:tc>
      </w:tr>
      <w:tr>
        <w:trPr>
          <w:trHeight w:val="200"/>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298,121</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23,301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14,161</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335,583</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4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14,308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14,308</w:t>
            </w:r>
          </w:p>
        </w:tc>
        <w:tc>
          <w:tcPr>
            <w:tcW w:w="0" w:type="dxa"/>
            <w:vAlign w:val="bottom"/>
          </w:tcPr>
          <w:p>
            <w:pPr>
              <w:spacing w:after="0"/>
              <w:rPr>
                <w:sz w:val="1"/>
                <w:szCs w:val="1"/>
                <w:color w:val="auto"/>
              </w:rPr>
            </w:pPr>
          </w:p>
        </w:tc>
      </w:tr>
      <w:tr>
        <w:trPr>
          <w:trHeight w:val="206"/>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21,429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59,615</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13,448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13,448</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 expenses</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17,911</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Management fees and incentive allocation to affiliate</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139,678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147,740</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Asset impairment</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10,463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10,463</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155,017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155,017</w:t>
            </w:r>
          </w:p>
        </w:tc>
        <w:tc>
          <w:tcPr>
            <w:tcW w:w="0" w:type="dxa"/>
            <w:vAlign w:val="bottom"/>
          </w:tcPr>
          <w:p>
            <w:pPr>
              <w:spacing w:after="0"/>
              <w:rPr>
                <w:sz w:val="1"/>
                <w:szCs w:val="1"/>
                <w:color w:val="auto"/>
              </w:rPr>
            </w:pPr>
          </w:p>
        </w:tc>
      </w:tr>
      <w:tr>
        <w:trPr>
          <w:trHeight w:val="192"/>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expenses</w:t>
            </w:r>
          </w:p>
        </w:tc>
        <w:tc>
          <w:tcPr>
            <w:tcW w:w="22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183,880</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19,803</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215,503</w:t>
            </w:r>
          </w:p>
        </w:tc>
        <w:tc>
          <w:tcPr>
            <w:tcW w:w="1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419,186</w:t>
            </w:r>
          </w:p>
        </w:tc>
        <w:tc>
          <w:tcPr>
            <w:tcW w:w="0" w:type="dxa"/>
            <w:vAlign w:val="bottom"/>
          </w:tcPr>
          <w:p>
            <w:pPr>
              <w:spacing w:after="0"/>
              <w:rPr>
                <w:sz w:val="1"/>
                <w:szCs w:val="1"/>
                <w:color w:val="auto"/>
              </w:rPr>
            </w:pPr>
          </w:p>
        </w:tc>
      </w:tr>
      <w:tr>
        <w:trPr>
          <w:trHeight w:val="254"/>
        </w:trPr>
        <w:tc>
          <w:tcPr>
            <w:tcW w:w="54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of unconsolidated entities</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199"/>
        </w:trPr>
        <w:tc>
          <w:tcPr>
            <w:tcW w:w="5420" w:type="dxa"/>
            <w:vAlign w:val="bottom"/>
          </w:tcPr>
          <w:p>
            <w:pPr>
              <w:ind w:left="20"/>
              <w:spacing w:after="0"/>
              <w:rPr>
                <w:sz w:val="20"/>
                <w:szCs w:val="20"/>
                <w:color w:val="auto"/>
              </w:rPr>
            </w:pPr>
            <w:r>
              <w:rPr>
                <w:rFonts w:ascii="Arial" w:cs="Arial" w:eastAsia="Arial" w:hAnsi="Arial"/>
                <w:sz w:val="14"/>
                <w:szCs w:val="14"/>
                <w:color w:val="auto"/>
              </w:rPr>
              <w:t>Gain on sale of assets, net</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28,631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20,384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49,015</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198"/>
        </w:trPr>
        <w:tc>
          <w:tcPr>
            <w:tcW w:w="5420" w:type="dxa"/>
            <w:vAlign w:val="bottom"/>
          </w:tcPr>
          <w:p>
            <w:pPr>
              <w:ind w:left="20"/>
              <w:spacing w:after="0"/>
              <w:rPr>
                <w:sz w:val="20"/>
                <w:szCs w:val="20"/>
                <w:color w:val="auto"/>
              </w:rPr>
            </w:pPr>
            <w:r>
              <w:rPr>
                <w:rFonts w:ascii="Arial" w:cs="Arial" w:eastAsia="Arial" w:hAnsi="Arial"/>
                <w:sz w:val="14"/>
                <w:szCs w:val="14"/>
                <w:color w:val="auto"/>
              </w:rPr>
              <w:t>Other (expense) income</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00"/>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28,104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18,981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(3,217)</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43,868</w:t>
            </w:r>
          </w:p>
        </w:tc>
        <w:tc>
          <w:tcPr>
            <w:tcW w:w="0" w:type="dxa"/>
            <w:vAlign w:val="bottom"/>
          </w:tcPr>
          <w:p>
            <w:pPr>
              <w:spacing w:after="0"/>
              <w:rPr>
                <w:sz w:val="1"/>
                <w:szCs w:val="1"/>
                <w:color w:val="auto"/>
              </w:rPr>
            </w:pPr>
          </w:p>
        </w:tc>
      </w:tr>
      <w:tr>
        <w:trPr>
          <w:trHeight w:val="195"/>
        </w:trPr>
        <w:tc>
          <w:tcPr>
            <w:tcW w:w="5420" w:type="dxa"/>
            <w:vAlign w:val="bottom"/>
          </w:tcPr>
          <w:p>
            <w:pPr>
              <w:ind w:left="20"/>
              <w:spacing w:after="0"/>
              <w:rPr>
                <w:sz w:val="20"/>
                <w:szCs w:val="20"/>
                <w:color w:val="auto"/>
              </w:rPr>
            </w:pPr>
            <w:r>
              <w:rPr>
                <w:rFonts w:ascii="Arial" w:cs="Arial" w:eastAsia="Arial" w:hAnsi="Arial"/>
                <w:sz w:val="14"/>
                <w:szCs w:val="14"/>
                <w:b w:val="1"/>
                <w:bCs w:val="1"/>
                <w:color w:val="auto"/>
              </w:rPr>
              <w:t>Income (loss) from continuing operations before income taxes</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142,345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22,479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(204,559)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(39,735)</w:t>
            </w: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3,126</w:t>
            </w:r>
          </w:p>
        </w:tc>
        <w:tc>
          <w:tcPr>
            <w:tcW w:w="0" w:type="dxa"/>
            <w:vAlign w:val="bottom"/>
          </w:tcPr>
          <w:p>
            <w:pPr>
              <w:spacing w:after="0"/>
              <w:rPr>
                <w:sz w:val="1"/>
                <w:szCs w:val="1"/>
                <w:color w:val="auto"/>
              </w:rPr>
            </w:pPr>
          </w:p>
        </w:tc>
      </w:tr>
      <w:tr>
        <w:trPr>
          <w:trHeight w:val="195"/>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 from continuing operations</w:t>
            </w:r>
          </w:p>
        </w:tc>
        <w:tc>
          <w:tcPr>
            <w:tcW w:w="2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140,272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21,344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(204,477)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(42,861)</w:t>
            </w:r>
          </w:p>
        </w:tc>
        <w:tc>
          <w:tcPr>
            <w:tcW w:w="0" w:type="dxa"/>
            <w:vAlign w:val="bottom"/>
          </w:tcPr>
          <w:p>
            <w:pPr>
              <w:spacing w:after="0"/>
              <w:rPr>
                <w:sz w:val="1"/>
                <w:szCs w:val="1"/>
                <w:color w:val="auto"/>
              </w:rPr>
            </w:pPr>
          </w:p>
        </w:tc>
      </w:tr>
      <w:tr>
        <w:trPr>
          <w:trHeight w:val="134"/>
        </w:trPr>
        <w:tc>
          <w:tcPr>
            <w:tcW w:w="542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Less: Net loss from continuing operations attributable to non-controlling interests in</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consolidated subsidiaries</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on preferred shares</w:t>
            </w:r>
          </w:p>
        </w:tc>
        <w:tc>
          <w:tcPr>
            <w:tcW w:w="2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24,758</w:t>
            </w:r>
          </w:p>
        </w:tc>
        <w:tc>
          <w:tcPr>
            <w:tcW w:w="0" w:type="dxa"/>
            <w:vAlign w:val="bottom"/>
          </w:tcPr>
          <w:p>
            <w:pPr>
              <w:spacing w:after="0"/>
              <w:rPr>
                <w:sz w:val="1"/>
                <w:szCs w:val="1"/>
                <w:color w:val="auto"/>
              </w:rPr>
            </w:pPr>
          </w:p>
        </w:tc>
      </w:tr>
      <w:tr>
        <w:trPr>
          <w:trHeight w:val="220"/>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shareholders from continuing operations</w:t>
            </w:r>
          </w:p>
        </w:tc>
        <w:tc>
          <w:tcPr>
            <w:tcW w:w="62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(229,235)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(67,619)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5420" w:type="dxa"/>
            <w:vAlign w:val="bottom"/>
          </w:tcPr>
          <w:p>
            <w:pPr>
              <w:spacing w:after="0"/>
              <w:rPr>
                <w:sz w:val="24"/>
                <w:szCs w:val="24"/>
                <w:color w:val="auto"/>
              </w:rPr>
            </w:pPr>
          </w:p>
        </w:tc>
        <w:tc>
          <w:tcPr>
            <w:tcW w:w="620" w:type="dxa"/>
            <w:vAlign w:val="bottom"/>
            <w:gridSpan w:val="2"/>
          </w:tcPr>
          <w:p>
            <w:pPr>
              <w:jc w:val="right"/>
              <w:ind w:right="268"/>
              <w:spacing w:after="0"/>
              <w:rPr>
                <w:sz w:val="20"/>
                <w:szCs w:val="20"/>
                <w:color w:val="auto"/>
              </w:rPr>
            </w:pPr>
            <w:r>
              <w:rPr>
                <w:rFonts w:ascii="Arial" w:cs="Arial" w:eastAsia="Arial" w:hAnsi="Arial"/>
                <w:sz w:val="14"/>
                <w:szCs w:val="14"/>
                <w:color w:val="auto"/>
              </w:rPr>
              <w:t>85</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4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EBITDA to net loss attributable to shareholders from continuing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Year Ended December 31, 2021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64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Aviation Leasing</w:t>
            </w: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Aerospace</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56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Products</w:t>
            </w:r>
          </w:p>
        </w:tc>
        <w:tc>
          <w:tcPr>
            <w:tcW w:w="100" w:type="dxa"/>
            <w:vAlign w:val="bottom"/>
          </w:tcPr>
          <w:p>
            <w:pPr>
              <w:spacing w:after="0"/>
              <w:rPr>
                <w:sz w:val="10"/>
                <w:szCs w:val="10"/>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5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321,446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22,745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(21,363)</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322,828</w:t>
            </w:r>
          </w:p>
        </w:tc>
        <w:tc>
          <w:tcPr>
            <w:tcW w:w="0" w:type="dxa"/>
            <w:vAlign w:val="bottom"/>
          </w:tcPr>
          <w:p>
            <w:pPr>
              <w:spacing w:after="0"/>
              <w:rPr>
                <w:sz w:val="1"/>
                <w:szCs w:val="1"/>
                <w:color w:val="auto"/>
              </w:rPr>
            </w:pPr>
          </w:p>
        </w:tc>
      </w:tr>
      <w:tr>
        <w:trPr>
          <w:trHeight w:val="192"/>
        </w:trPr>
        <w:tc>
          <w:tcPr>
            <w:tcW w:w="5640" w:type="dxa"/>
            <w:vAlign w:val="bottom"/>
          </w:tcPr>
          <w:p>
            <w:pPr>
              <w:ind w:left="20"/>
              <w:spacing w:after="0"/>
              <w:rPr>
                <w:sz w:val="20"/>
                <w:szCs w:val="20"/>
                <w:color w:val="auto"/>
              </w:rPr>
            </w:pPr>
            <w:r>
              <w:rPr>
                <w:rFonts w:ascii="Arial" w:cs="Arial" w:eastAsia="Arial" w:hAnsi="Arial"/>
                <w:sz w:val="14"/>
                <w:szCs w:val="14"/>
                <w:color w:val="auto"/>
              </w:rPr>
              <w:t>Add: Non-controlling share of Adjusted EBITDA</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 unconsolidated entities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Less: Pro-rata share of Adjusted EBITDA from unconsolidated entities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Interest expense and dividends on preferred shares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(179,775)</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Less: Depreciation and amortization expense</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(175,718)</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Less: Asset impairment charges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(10,463)</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Changes in fair value of non-hedge derivative instruments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Less: Losses on the modification or extinguishment of debt and capital lease obligations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(3,254)</w:t>
            </w:r>
          </w:p>
        </w:tc>
        <w:tc>
          <w:tcPr>
            <w:tcW w:w="0" w:type="dxa"/>
            <w:vAlign w:val="bottom"/>
          </w:tcPr>
          <w:p>
            <w:pPr>
              <w:spacing w:after="0"/>
              <w:rPr>
                <w:sz w:val="1"/>
                <w:szCs w:val="1"/>
                <w:color w:val="auto"/>
              </w:rPr>
            </w:pPr>
          </w:p>
        </w:tc>
      </w:tr>
      <w:tr>
        <w:trPr>
          <w:trHeight w:val="20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Acquisition and transaction expenses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(17,911)</w:t>
            </w:r>
          </w:p>
        </w:tc>
        <w:tc>
          <w:tcPr>
            <w:tcW w:w="0" w:type="dxa"/>
            <w:vAlign w:val="bottom"/>
          </w:tcPr>
          <w:p>
            <w:pPr>
              <w:spacing w:after="0"/>
              <w:rPr>
                <w:sz w:val="1"/>
                <w:szCs w:val="1"/>
                <w:color w:val="auto"/>
              </w:rPr>
            </w:pPr>
          </w:p>
        </w:tc>
      </w:tr>
      <w:tr>
        <w:trPr>
          <w:trHeight w:val="198"/>
        </w:trPr>
        <w:tc>
          <w:tcPr>
            <w:tcW w:w="5640" w:type="dxa"/>
            <w:vAlign w:val="bottom"/>
          </w:tcPr>
          <w:p>
            <w:pPr>
              <w:ind w:left="20"/>
              <w:spacing w:after="0"/>
              <w:rPr>
                <w:sz w:val="20"/>
                <w:szCs w:val="20"/>
                <w:color w:val="auto"/>
              </w:rPr>
            </w:pPr>
            <w:r>
              <w:rPr>
                <w:rFonts w:ascii="Arial" w:cs="Arial" w:eastAsia="Arial" w:hAnsi="Arial"/>
                <w:sz w:val="14"/>
                <w:szCs w:val="14"/>
                <w:color w:val="auto"/>
              </w:rPr>
              <w:t>Less: Equity-based compensation expense</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Provision for income taxes</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(3,126)</w:t>
            </w:r>
          </w:p>
        </w:tc>
        <w:tc>
          <w:tcPr>
            <w:tcW w:w="0" w:type="dxa"/>
            <w:vAlign w:val="bottom"/>
          </w:tcPr>
          <w:p>
            <w:pPr>
              <w:spacing w:after="0"/>
              <w:rPr>
                <w:sz w:val="1"/>
                <w:szCs w:val="1"/>
                <w:color w:val="auto"/>
              </w:rPr>
            </w:pPr>
          </w:p>
        </w:tc>
      </w:tr>
      <w:tr>
        <w:trPr>
          <w:trHeight w:val="200"/>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 from continuing operations</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(67,619)</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our geographic sources of revenue, based on location of customer,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Ended December 31, 2021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620" w:type="dxa"/>
            <w:vAlign w:val="bottom"/>
          </w:tcPr>
          <w:p>
            <w:pPr>
              <w:spacing w:after="0"/>
              <w:rPr>
                <w:sz w:val="12"/>
                <w:szCs w:val="12"/>
                <w:color w:val="auto"/>
              </w:rPr>
            </w:pPr>
          </w:p>
        </w:tc>
        <w:tc>
          <w:tcPr>
            <w:tcW w:w="14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Aviation Leasing</w:t>
            </w: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rPr>
              <w:t>Aerospace</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5"/>
        </w:trPr>
        <w:tc>
          <w:tcPr>
            <w:tcW w:w="562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0"/>
                <w:szCs w:val="10"/>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5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620" w:type="dxa"/>
            <w:vAlign w:val="bottom"/>
          </w:tcPr>
          <w:p>
            <w:pPr>
              <w:ind w:left="20"/>
              <w:spacing w:after="0"/>
              <w:rPr>
                <w:sz w:val="20"/>
                <w:szCs w:val="20"/>
                <w:color w:val="auto"/>
              </w:rPr>
            </w:pPr>
            <w:r>
              <w:rPr>
                <w:rFonts w:ascii="Arial" w:cs="Arial" w:eastAsia="Arial" w:hAnsi="Arial"/>
                <w:sz w:val="14"/>
                <w:szCs w:val="14"/>
                <w:color w:val="auto"/>
              </w:rPr>
              <w:t>Africa</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07"/>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114,313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128,474</w:t>
            </w:r>
          </w:p>
        </w:tc>
        <w:tc>
          <w:tcPr>
            <w:tcW w:w="0" w:type="dxa"/>
            <w:vAlign w:val="bottom"/>
          </w:tcPr>
          <w:p>
            <w:pPr>
              <w:spacing w:after="0"/>
              <w:rPr>
                <w:sz w:val="1"/>
                <w:szCs w:val="1"/>
                <w:color w:val="auto"/>
              </w:rPr>
            </w:pPr>
          </w:p>
        </w:tc>
      </w:tr>
      <w:tr>
        <w:trPr>
          <w:trHeight w:val="198"/>
        </w:trPr>
        <w:tc>
          <w:tcPr>
            <w:tcW w:w="5620" w:type="dxa"/>
            <w:vAlign w:val="bottom"/>
          </w:tcPr>
          <w:p>
            <w:pPr>
              <w:ind w:left="20"/>
              <w:spacing w:after="0"/>
              <w:rPr>
                <w:sz w:val="20"/>
                <w:szCs w:val="20"/>
                <w:color w:val="auto"/>
              </w:rPr>
            </w:pPr>
            <w:r>
              <w:rPr>
                <w:rFonts w:ascii="Arial" w:cs="Arial" w:eastAsia="Arial" w:hAnsi="Arial"/>
                <w:sz w:val="14"/>
                <w:szCs w:val="14"/>
                <w:color w:val="auto"/>
              </w:rPr>
              <w:t>Europe</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131,205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133,538</w:t>
            </w:r>
          </w:p>
        </w:tc>
        <w:tc>
          <w:tcPr>
            <w:tcW w:w="0" w:type="dxa"/>
            <w:vAlign w:val="bottom"/>
          </w:tcPr>
          <w:p>
            <w:pPr>
              <w:spacing w:after="0"/>
              <w:rPr>
                <w:sz w:val="1"/>
                <w:szCs w:val="1"/>
                <w:color w:val="auto"/>
              </w:rPr>
            </w:pPr>
          </w:p>
        </w:tc>
      </w:tr>
      <w:tr>
        <w:trPr>
          <w:trHeight w:val="207"/>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41,228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62,196</w:t>
            </w:r>
          </w:p>
        </w:tc>
        <w:tc>
          <w:tcPr>
            <w:tcW w:w="0" w:type="dxa"/>
            <w:vAlign w:val="bottom"/>
          </w:tcPr>
          <w:p>
            <w:pPr>
              <w:spacing w:after="0"/>
              <w:rPr>
                <w:sz w:val="1"/>
                <w:szCs w:val="1"/>
                <w:color w:val="auto"/>
              </w:rPr>
            </w:pPr>
          </w:p>
        </w:tc>
      </w:tr>
      <w:tr>
        <w:trPr>
          <w:trHeight w:val="198"/>
        </w:trPr>
        <w:tc>
          <w:tcPr>
            <w:tcW w:w="5620" w:type="dxa"/>
            <w:vAlign w:val="bottom"/>
          </w:tcPr>
          <w:p>
            <w:pPr>
              <w:ind w:left="20"/>
              <w:spacing w:after="0"/>
              <w:rPr>
                <w:sz w:val="20"/>
                <w:szCs w:val="20"/>
                <w:color w:val="auto"/>
              </w:rPr>
            </w:pPr>
            <w:r>
              <w:rPr>
                <w:rFonts w:ascii="Arial" w:cs="Arial" w:eastAsia="Arial" w:hAnsi="Arial"/>
                <w:sz w:val="14"/>
                <w:szCs w:val="14"/>
                <w:color w:val="auto"/>
              </w:rPr>
              <w:t>South America</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11,140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11,140</w:t>
            </w:r>
          </w:p>
        </w:tc>
        <w:tc>
          <w:tcPr>
            <w:tcW w:w="0" w:type="dxa"/>
            <w:vAlign w:val="bottom"/>
          </w:tcPr>
          <w:p>
            <w:pPr>
              <w:spacing w:after="0"/>
              <w:rPr>
                <w:sz w:val="1"/>
                <w:szCs w:val="1"/>
                <w:color w:val="auto"/>
              </w:rPr>
            </w:pPr>
          </w:p>
        </w:tc>
      </w:tr>
      <w:tr>
        <w:trPr>
          <w:trHeight w:val="225"/>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revenues</w:t>
            </w:r>
          </w:p>
        </w:tc>
        <w:tc>
          <w:tcPr>
            <w:tcW w:w="4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298,121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335,583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IV. Location of long-lived assets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sets forth summarized geographic location of property, plant and equipment and leasing equipment, net: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December 31, 2022</w:t>
            </w:r>
          </w:p>
        </w:tc>
      </w:tr>
      <w:tr>
        <w:trPr>
          <w:trHeight w:val="196"/>
        </w:trPr>
        <w:tc>
          <w:tcPr>
            <w:tcW w:w="8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Total</w:t>
            </w: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 and leasing equipment, net</w:t>
            </w: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02"/>
        </w:trPr>
        <w:tc>
          <w:tcPr>
            <w:tcW w:w="8100" w:type="dxa"/>
            <w:vAlign w:val="bottom"/>
          </w:tcPr>
          <w:p>
            <w:pPr>
              <w:ind w:left="20"/>
              <w:spacing w:after="0"/>
              <w:rPr>
                <w:sz w:val="20"/>
                <w:szCs w:val="20"/>
                <w:color w:val="auto"/>
              </w:rPr>
            </w:pPr>
            <w:r>
              <w:rPr>
                <w:rFonts w:ascii="Arial" w:cs="Arial" w:eastAsia="Arial" w:hAnsi="Arial"/>
                <w:sz w:val="14"/>
                <w:szCs w:val="14"/>
                <w:color w:val="auto"/>
              </w:rPr>
              <w:t>Africa</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18,380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7,952</w:t>
            </w: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478,120</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383,378</w:t>
            </w:r>
          </w:p>
        </w:tc>
      </w:tr>
      <w:tr>
        <w:trPr>
          <w:trHeight w:val="202"/>
        </w:trPr>
        <w:tc>
          <w:tcPr>
            <w:tcW w:w="8100" w:type="dxa"/>
            <w:vAlign w:val="bottom"/>
          </w:tcPr>
          <w:p>
            <w:pPr>
              <w:ind w:left="20"/>
              <w:spacing w:after="0"/>
              <w:rPr>
                <w:sz w:val="20"/>
                <w:szCs w:val="20"/>
                <w:color w:val="auto"/>
              </w:rPr>
            </w:pPr>
            <w:r>
              <w:rPr>
                <w:rFonts w:ascii="Arial" w:cs="Arial" w:eastAsia="Arial" w:hAnsi="Arial"/>
                <w:sz w:val="14"/>
                <w:szCs w:val="14"/>
                <w:color w:val="auto"/>
              </w:rPr>
              <w:t>Europe</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934,817</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821,840</w:t>
            </w:r>
          </w:p>
        </w:tc>
      </w:t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416,811</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424,617</w:t>
            </w:r>
          </w:p>
        </w:tc>
      </w:tr>
      <w:tr>
        <w:trPr>
          <w:trHeight w:val="201"/>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229,460</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285,780</w:t>
            </w:r>
          </w:p>
        </w:tc>
      </w:tr>
      <w:tr>
        <w:trPr>
          <w:trHeight w:val="222"/>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property, plant and equipment and leasing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2,077,588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1,923,567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14. EARNINGS PER SHARE AND EQUITY</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Basic earnings per ordinary share (“EPS”) is calculated by dividing net income (loss) attributable to shareholders by the weighted average number of ordinary shares outstanding, plus any participating securities. Diluted EPS is calculated by dividing net income attributable to shareholders by the weighted average number of ordinary shares outstanding, plus any participating securities and potentially dilutive securities. Potentially dilutive securities are calculated using the treasury stock method.</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197"/>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from continuing operations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243,817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(110,611)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(42,861)</w:t>
            </w:r>
          </w:p>
        </w:tc>
      </w:tr>
      <w:tr>
        <w:trPr>
          <w:trHeight w:val="202"/>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loss from discontinued operations, net of income taxes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(101,416)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(87,845)</w:t>
            </w:r>
          </w:p>
        </w:tc>
      </w:tr>
      <w:tr>
        <w:trPr>
          <w:trHeight w:val="197"/>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243,817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(212,027)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(130,706)</w:t>
            </w:r>
          </w:p>
        </w:tc>
      </w:tr>
      <w:tr>
        <w:trPr>
          <w:trHeight w:val="178"/>
        </w:trPr>
        <w:tc>
          <w:tcPr>
            <w:tcW w:w="6240" w:type="dxa"/>
            <w:vAlign w:val="bottom"/>
          </w:tcPr>
          <w:p>
            <w:pPr>
              <w:ind w:left="20"/>
              <w:spacing w:after="0"/>
              <w:rPr>
                <w:sz w:val="20"/>
                <w:szCs w:val="20"/>
                <w:color w:val="auto"/>
              </w:rPr>
            </w:pPr>
            <w:r>
              <w:rPr>
                <w:rFonts w:ascii="Arial" w:cs="Arial" w:eastAsia="Arial" w:hAnsi="Arial"/>
                <w:sz w:val="14"/>
                <w:szCs w:val="14"/>
                <w:color w:val="auto"/>
              </w:rPr>
              <w:t>Less: Net loss attributable to non-controlling interests in consolidated subsidiaries: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7"/>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624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(18,817)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(26,472)</w:t>
            </w: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Dividends on preferred shares</w:t>
            </w: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31,795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27,164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24,758</w:t>
            </w:r>
          </w:p>
        </w:tc>
      </w:tr>
      <w:tr>
        <w:trPr>
          <w:trHeight w:val="197"/>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shareholders</w:t>
            </w:r>
          </w:p>
        </w:tc>
        <w:tc>
          <w:tcPr>
            <w:tcW w:w="38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212,022</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(220,374)</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(128,992)</w:t>
            </w: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240" w:type="dxa"/>
            <w:vAlign w:val="bottom"/>
            <w:shd w:val="clear" w:color="auto" w:fill="CCEEFF"/>
          </w:tcPr>
          <w:p>
            <w:pPr>
              <w:ind w:left="20"/>
              <w:spacing w:after="0" w:line="196" w:lineRule="exact"/>
              <w:rPr>
                <w:sz w:val="20"/>
                <w:szCs w:val="20"/>
                <w:color w:val="auto"/>
              </w:rPr>
            </w:pPr>
            <w:r>
              <w:rPr>
                <w:rFonts w:ascii="Arial" w:cs="Arial" w:eastAsia="Arial" w:hAnsi="Arial"/>
                <w:sz w:val="14"/>
                <w:szCs w:val="14"/>
                <w:color w:val="auto"/>
              </w:rPr>
              <w:t xml:space="preserve">Weighted Average Ordinary Shares Outstanding - Basic </w:t>
            </w:r>
            <w:r>
              <w:rPr>
                <w:rFonts w:ascii="Arial" w:cs="Arial" w:eastAsia="Arial" w:hAnsi="Arial"/>
                <w:sz w:val="18"/>
                <w:szCs w:val="18"/>
                <w:color w:val="auto"/>
                <w:vertAlign w:val="superscript"/>
              </w:rPr>
              <w:t>(1)</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99,908,214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99,421,008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89,922,088</w:t>
            </w:r>
          </w:p>
        </w:tc>
      </w:tr>
      <w:tr>
        <w:trPr>
          <w:trHeight w:val="203"/>
        </w:trPr>
        <w:tc>
          <w:tcPr>
            <w:tcW w:w="624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Weighted Average Ordinary Shares Outstanding - Diluted </w:t>
            </w:r>
            <w:r>
              <w:rPr>
                <w:rFonts w:ascii="Arial" w:cs="Arial" w:eastAsia="Arial" w:hAnsi="Arial"/>
                <w:sz w:val="18"/>
                <w:szCs w:val="18"/>
                <w:color w:val="auto"/>
                <w:vertAlign w:val="superscript"/>
              </w:rPr>
              <w:t>(1)</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100,425,777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99,421,008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89,922,088</w:t>
            </w:r>
          </w:p>
        </w:tc>
      </w:tr>
      <w:tr>
        <w:trPr>
          <w:trHeight w:val="257"/>
        </w:trPr>
        <w:tc>
          <w:tcPr>
            <w:tcW w:w="6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02"/>
        </w:trPr>
        <w:tc>
          <w:tcPr>
            <w:tcW w:w="6240" w:type="dxa"/>
            <w:vAlign w:val="bottom"/>
          </w:tcPr>
          <w:p>
            <w:pPr>
              <w:ind w:left="20"/>
              <w:spacing w:after="0"/>
              <w:rPr>
                <w:sz w:val="20"/>
                <w:szCs w:val="20"/>
                <w:color w:val="auto"/>
              </w:rPr>
            </w:pPr>
            <w:r>
              <w:rPr>
                <w:rFonts w:ascii="Arial" w:cs="Arial" w:eastAsia="Arial" w:hAnsi="Arial"/>
                <w:sz w:val="14"/>
                <w:szCs w:val="14"/>
                <w:b w:val="1"/>
                <w:bCs w:val="1"/>
                <w:color w:val="auto"/>
              </w:rPr>
              <w:t>Earnings (loss) per share:</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8"/>
        </w:trPr>
        <w:tc>
          <w:tcPr>
            <w:tcW w:w="624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2.12</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(0.75)</w:t>
            </w:r>
          </w:p>
        </w:tc>
      </w:tr>
      <w:tr>
        <w:trPr>
          <w:trHeight w:val="207"/>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(0.68)</w:t>
            </w:r>
          </w:p>
        </w:tc>
      </w:tr>
      <w:tr>
        <w:trPr>
          <w:trHeight w:val="256"/>
        </w:trPr>
        <w:tc>
          <w:tcPr>
            <w:tcW w:w="6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03"/>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Diluted</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8"/>
        </w:trPr>
        <w:tc>
          <w:tcPr>
            <w:tcW w:w="6240" w:type="dxa"/>
            <w:vAlign w:val="bottom"/>
          </w:tcPr>
          <w:p>
            <w:pPr>
              <w:ind w:left="140"/>
              <w:spacing w:after="0"/>
              <w:rPr>
                <w:sz w:val="20"/>
                <w:szCs w:val="20"/>
                <w:color w:val="auto"/>
              </w:rPr>
            </w:pPr>
            <w:r>
              <w:rPr>
                <w:rFonts w:ascii="Arial" w:cs="Arial" w:eastAsia="Arial" w:hAnsi="Arial"/>
                <w:sz w:val="14"/>
                <w:szCs w:val="14"/>
                <w:color w:val="auto"/>
              </w:rPr>
              <w:t>Continuing operations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2.11</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(0.75)</w:t>
            </w:r>
          </w:p>
        </w:tc>
      </w:tr>
      <w:tr>
        <w:trPr>
          <w:trHeight w:val="207"/>
        </w:trPr>
        <w:tc>
          <w:tcPr>
            <w:tcW w:w="62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Discontinued operations</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(0.68)</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01"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Year ended December 31, 2021 includes participating securities which can be converted into a fixed amount of our shares.</w:t>
      </w:r>
    </w:p>
    <w:p>
      <w:pPr>
        <w:spacing w:after="0" w:line="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calculation of Diluted EPS excludes 0, 582,200 and 898,299 shares for the years ended December 31, 2023, 2022 and 2021, respectively, because the impact would be anti-dilutive.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 ended December 31, 2023, 26,287 ordinary shares were issued to certain directors as 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Ordinary Shares</w:t>
      </w:r>
    </w:p>
    <w:p>
      <w:pPr>
        <w:spacing w:after="0" w:line="11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September 2021, 12,000,000 ordinary shares, par value $0.01 per share, were issued at a price of $25.50 per share for net proceeds of $291.7 million after deducting underwriting discounts and offering expenses.</w:t>
      </w:r>
    </w:p>
    <w:p>
      <w:pPr>
        <w:spacing w:after="0" w:line="3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In October 2021, the underwriters exercised an option to purchase an additional 1,283,863 ordinary shares, par value $0.01 per share, at a price of $25.50 per share.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See Note 10 for information related to options issued to the Manager in connection with such offering.</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Preferred Shares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March 2023, in a public offering, we issued 2,600,000 shares of 9.50% Fixed- Rate Reset Series D Cumulative Perpetual Redeemable Preferred Shares (“Series D Preferred Shares”), par value $0.01 per share, with a liquidation preference of $25.00 per share for net proceeds before expenses of approximately $63.0 million.</w:t>
      </w:r>
    </w:p>
    <w:p>
      <w:pPr>
        <w:spacing w:after="0" w:line="77"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In March 2021, in a public offering, 4,200,000 shares of 8.25% Fixed-Rate Reset Series C Cumulative Perpetual Redeemable Preferred Shares (“Series C Preferred Shares”), par value $0.01 per share, were issued with a liquidation preference of $25.00 per share for net proceeds of approximately $101.2 million.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See Note 10 for information related to options issued to the Manager in connection with these offerings.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00497F"/>
        </w:rPr>
        <w:t>FTAI AVIATION LTD.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497F"/>
        </w:rPr>
        <w:t>(Dollars in tables in thousands, unless otherwise noted)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15. COMMITMENTS AND CONTINGENCIES</w:t>
      </w:r>
    </w:p>
    <w:p>
      <w:pPr>
        <w:spacing w:after="0" w:line="12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normal course of business, the Company and its subsidiaries may be involved in various claims, legal proceedings, or may enter into contracts that contain a variety of representations and warranties and which provide general indemnifications. Within our offshore energy business, a lessee did not fulfill its obligation under its charter arrangement, therefore we are pursuing rights afforded to us under the charter and the range of potential losses against the obligation is $0.0 million to $3.3 million. Our maximum exposure under other arrangements is unknown as no additional claims have been made. We believe the risk of loss in connection with such arrangements is remote.</w:t>
      </w:r>
    </w:p>
    <w:p>
      <w:pPr>
        <w:spacing w:after="0" w:line="6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 xml:space="preserve">The Company has contingent obligations under ASC 460, </w:t>
      </w:r>
      <w:r>
        <w:rPr>
          <w:rFonts w:ascii="Arial" w:cs="Arial" w:eastAsia="Arial" w:hAnsi="Arial"/>
          <w:sz w:val="16"/>
          <w:szCs w:val="16"/>
          <w:i w:val="1"/>
          <w:iCs w:val="1"/>
          <w:color w:val="auto"/>
        </w:rPr>
        <w:t>Guarantees</w:t>
      </w:r>
      <w:r>
        <w:rPr>
          <w:rFonts w:ascii="Arial" w:cs="Arial" w:eastAsia="Arial" w:hAnsi="Arial"/>
          <w:sz w:val="16"/>
          <w:szCs w:val="16"/>
          <w:color w:val="auto"/>
        </w:rPr>
        <w:t>, in connection with certain sales of aircraft on lease. Under the agreements, we provide certain guarantees at the end of the lease term for the condition of the aircraft engines that were sold to the buyer. The guarantees are valued at</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$6.8 million and $3.8 million as of December 31, 2023 and 2022, respectively, and are reflected as a component of Other liabilities on the Consolidated Balance Sheets.</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Given variability in the condition of the engines at the end of the lease terms, which range from 4 to 9 years, the maximum potential amount of undiscounted future payments that could be required under the guarantees at December 31, 2023 was $34.7 million, which is not reasonably expected.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16. SUBSEQUENT EVENTS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Dividends</w:t>
      </w:r>
    </w:p>
    <w:p>
      <w:pPr>
        <w:spacing w:after="0" w:line="11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On February 22, 2024, our Board of Directors declared a cash dividend on our ordinary shares and eligible participating securities of $0.30 per share for the quarter ended December 31, 2023, payable on March 20, 2024 to the holders of record on March 8, 2024.</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Additionally, on February 22, 2024, our Board of Directors declared cash dividends on the Series A Preferred Shares, Series B Preferred Shares, Series C Preferred Shares and Series D Preferred Shares of $0.52, $0.50, $0.52 and $0.59 per share, respectively, for the quarter ended December 31, 2023, payable on March 15, 2024 to the holders of record on March 5, 2024.</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color w:val="00497F"/>
        </w:rPr>
        <w:t>Item 9. Changes in and Disagreements with Accountants on Accounting and Financial Disclosure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9A. 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the Company’s management, including its Chief Executive Officer and Chief Financial Officer, of the effectiveness of its disclosure controls and procedures (as defined in Rule 13a-15(e) under the Securities Exchange Act of 1934 (the “Exchange Act”)). Based upon that evaluation, the Company’s Chief Executive Officer and Chief Financial Officer have concluded that these disclosure controls and procedures were effective as of and for the period covered by this report.</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Management's Annual Report on Internal Control over Financial Reporting</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pertain to the maintenance of records that, in reasonable detail, accurately and fairly reflect our transactions and our dispositions of assets;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provide reasonable assurance regarding prevention or timely detection of unauthorized acquisition and use or disposition of our assets that could have a material effect on the financial statements.</w:t>
      </w:r>
    </w:p>
    <w:p>
      <w:pPr>
        <w:spacing w:after="0" w:line="8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December 1, 2023, we completed the acquisition of QuickTurn. Our management is in the process of reviewing the operations of QuickTurn and integrating its controls into our internal control structure. In accordance with SEC guidance permitting a company to exclude an acquired business from management’s assessment of the effectiveness of internal control over financial reporting for the year in which the acquisition is completed, we have excluded QuickTurn from our assessment of the effectiveness of internal control over financial reporting as of December 31, 2023. QuickTurn represented 1.9% of our total assets and less than 0.2% of our total revenues as of and for the year ended December 31, 2023. See Note 4 to the consolidated financial statements for additional information about the acquisition of QuickTurn.</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2023. In making this assessment, management used the criteria set forth by the Committee of Sponsoring Organizations of the Treadway Commission in Internal Control - Integrated Framework (2013). Based on management’s assessment using this framework, management concluded that, as of December 31, 2023, our internal control over financial reporting was effective.</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effectiveness of the Company’s internal control over financial reporting as of December 31, 2023 has been audited by Ernst &amp; Young LLP, an independent registered public accounting firm, as stated in their report included herein.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Changes in Internal Control over Financial Reporting</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was no change in the Company’s internal control over financial reporting (as defined in Rule 13a-15(f) under the Exchange Act) during its most recent fiscal quarter that has materially affected, or is reasonably likely to materially affect, its internal control over financial reporting.</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90" w:name="page91"/>
    <w:bookmarkEnd w:id="90"/>
    <w:p>
      <w:pPr>
        <w:ind w:right="3380" w:firstLine="3379"/>
        <w:spacing w:after="0" w:line="393"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Shareholders and the Board of Directors of FTAI Aviation Ltd. </w:t>
      </w:r>
      <w:r>
        <w:rPr>
          <w:rFonts w:ascii="Arial" w:cs="Arial" w:eastAsia="Arial" w:hAnsi="Arial"/>
          <w:sz w:val="16"/>
          <w:szCs w:val="16"/>
          <w:b w:val="1"/>
          <w:bCs w:val="1"/>
          <w:color w:val="auto"/>
        </w:rPr>
        <w:t>Opinion on Internal Control Over Financial Reporting</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audited FTAI Aviation Ltd.’s internal control over financial reporting as of December 31, 2023, based on criteria established in Internal Control— Integrated Framework issued by the Committee of Sponsoring Organizations of the Treadway Commission (2013 framework) (the COSO criteria). In our opinion, FTAI Aviation Ltd. (the Company) maintained, in all material respects, effective internal control over financial reporting as of December 31, 2023, based on the COSO criteria.</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indicated in the accompanying Management’s Annual Report on Internal Control over Financial Reporting, management’s assessment of and conclusion on the effectiveness of internal control over financial reporting did not include the internal controls of Quick Turn Engine Center LLC, which is included in the 2023 consolidated financial statements of the Company and constituted 1.9% of total assets as of December 31, 2023 and 0.2% of total revenues for the year then ended. Our audit of internal control over financial reporting of the Company also did not include an evaluation of the internal control over financial reporting of Quick Turn Engine Center LLC.</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(loss), changes in equity and cash flows for each of the three years in the period ended December 31, 2023, and the related notes and our report dated February 26, 2024 expressed an unqualified opinion thereon.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color w:val="00497F"/>
        </w:rPr>
        <w:t>Item 9B. 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9C. Disclosure Regarding Foreign Jurisdictions that Prevent Inspections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43"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00497F"/>
        </w:rPr>
        <w:t>PART III—OTHER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10. Directors, Executive Officers and Corporate Governance</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Any information required by this Item 10 is incorporated by reference to our definitive proxy statement for the 2024 annual meeting of shareholders to be filed with the SEC pursuant to Regulation 14A within 120 days after the fiscal year ended December 31, 2023 (our “Definitive Proxy Statement”) under the headings “Proposal No. 1 Election of Directors”, “Executive Officers” and if applicable, “Delinquent Section 16(a) Reports.”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11. Executive Compensation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information required by this Item 11 is incorporated by reference to our Definitive Proxy Statement under the headings “Executive and Manager Compensation” and “Compensation Committee Report.”</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12. Security Ownership of Certain Beneficial Owners and Management and Related Stockholder Matters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total number of outstanding securities in the Incentive Plan and the number of securities remaining for future issuance, as well as the weighted average strike price of all outstanding securities as of December 31, 2023.</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Plan category</w:t>
      </w:r>
    </w:p>
    <w:p>
      <w:pPr>
        <w:spacing w:after="0" w:line="55" w:lineRule="exact"/>
        <w:rPr>
          <w:sz w:val="20"/>
          <w:szCs w:val="20"/>
          <w:color w:val="auto"/>
        </w:rPr>
      </w:pPr>
    </w:p>
    <w:p>
      <w:pPr>
        <w:ind w:left="20" w:right="40"/>
        <w:spacing w:after="0" w:line="252" w:lineRule="auto"/>
        <w:rPr>
          <w:sz w:val="20"/>
          <w:szCs w:val="20"/>
          <w:color w:val="auto"/>
        </w:rPr>
      </w:pPr>
      <w:r>
        <w:rPr>
          <w:rFonts w:ascii="Arial" w:cs="Arial" w:eastAsia="Arial" w:hAnsi="Arial"/>
          <w:sz w:val="14"/>
          <w:szCs w:val="14"/>
          <w:color w:val="auto"/>
        </w:rPr>
        <w:t>Equity compensation plans approved by security holders</w:t>
      </w:r>
    </w:p>
    <w:p>
      <w:pPr>
        <w:spacing w:after="0" w:line="1" w:lineRule="exact"/>
        <w:rPr>
          <w:sz w:val="20"/>
          <w:szCs w:val="20"/>
          <w:color w:val="auto"/>
        </w:rPr>
      </w:pPr>
    </w:p>
    <w:p>
      <w:pPr>
        <w:ind w:left="20"/>
        <w:spacing w:after="0" w:line="263" w:lineRule="auto"/>
        <w:rPr>
          <w:sz w:val="20"/>
          <w:szCs w:val="20"/>
          <w:color w:val="auto"/>
        </w:rPr>
      </w:pPr>
      <w:r>
        <w:rPr>
          <w:rFonts w:ascii="Arial" w:cs="Arial" w:eastAsia="Arial" w:hAnsi="Arial"/>
          <w:sz w:val="14"/>
          <w:szCs w:val="14"/>
          <w:color w:val="auto"/>
        </w:rPr>
        <w:t>Equity compensation plans not approved by security holders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Equity Compensation Plan Information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6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Number of securities to be issued</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Weighted-average exercise price of</w:t>
            </w:r>
          </w:p>
        </w:tc>
        <w:tc>
          <w:tcPr>
            <w:tcW w:w="28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Number of securities remaining available</w:t>
            </w:r>
          </w:p>
        </w:tc>
      </w:tr>
      <w:tr>
        <w:trPr>
          <w:trHeight w:val="144"/>
        </w:trPr>
        <w:tc>
          <w:tcPr>
            <w:tcW w:w="2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upon exercise of outstanding options,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outstanding options, warrants, and</w:t>
            </w:r>
          </w:p>
        </w:tc>
        <w:tc>
          <w:tcPr>
            <w:tcW w:w="28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for future issuance under equity</w:t>
            </w:r>
          </w:p>
        </w:tc>
      </w:tr>
      <w:tr>
        <w:trPr>
          <w:trHeight w:val="189"/>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rights</w:t>
            </w:r>
          </w:p>
        </w:tc>
        <w:tc>
          <w:tcPr>
            <w:tcW w:w="100" w:type="dxa"/>
            <w:vAlign w:val="bottom"/>
          </w:tcPr>
          <w:p>
            <w:pPr>
              <w:spacing w:after="0"/>
              <w:rPr>
                <w:sz w:val="16"/>
                <w:szCs w:val="16"/>
                <w:color w:val="auto"/>
              </w:rPr>
            </w:pPr>
          </w:p>
        </w:tc>
        <w:tc>
          <w:tcPr>
            <w:tcW w:w="28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rPr>
              <w:t xml:space="preserve">compensation plans </w:t>
            </w:r>
            <w:r>
              <w:rPr>
                <w:rFonts w:ascii="Arial" w:cs="Arial" w:eastAsia="Arial" w:hAnsi="Arial"/>
                <w:sz w:val="18"/>
                <w:szCs w:val="18"/>
                <w:b w:val="1"/>
                <w:bCs w:val="1"/>
                <w:color w:val="auto"/>
                <w:vertAlign w:val="superscript"/>
              </w:rPr>
              <w:t>(1)</w:t>
            </w:r>
          </w:p>
        </w:tc>
      </w:tr>
      <w:tr>
        <w:trPr>
          <w:trHeight w:val="323"/>
        </w:trPr>
        <w:tc>
          <w:tcPr>
            <w:tcW w:w="2640" w:type="dxa"/>
            <w:vAlign w:val="bottom"/>
          </w:tcPr>
          <w:p>
            <w:pPr>
              <w:jc w:val="right"/>
              <w:spacing w:after="0"/>
              <w:rPr>
                <w:sz w:val="20"/>
                <w:szCs w:val="20"/>
                <w:color w:val="auto"/>
              </w:rPr>
            </w:pPr>
            <w:r>
              <w:rPr>
                <w:rFonts w:ascii="Arial" w:cs="Arial" w:eastAsia="Arial" w:hAnsi="Arial"/>
                <w:sz w:val="14"/>
                <w:szCs w:val="14"/>
                <w:color w:val="auto"/>
              </w:rPr>
              <w:t>616,177</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540" w:type="dxa"/>
            <w:vAlign w:val="bottom"/>
          </w:tcPr>
          <w:p>
            <w:pPr>
              <w:jc w:val="right"/>
              <w:ind w:right="8"/>
              <w:spacing w:after="0"/>
              <w:rPr>
                <w:sz w:val="20"/>
                <w:szCs w:val="20"/>
                <w:color w:val="auto"/>
              </w:rPr>
            </w:pPr>
            <w:r>
              <w:rPr>
                <w:rFonts w:ascii="Arial" w:cs="Arial" w:eastAsia="Arial" w:hAnsi="Arial"/>
                <w:sz w:val="14"/>
                <w:szCs w:val="14"/>
                <w:color w:val="auto"/>
              </w:rPr>
              <w:t>23.78</w:t>
            </w:r>
          </w:p>
        </w:tc>
        <w:tc>
          <w:tcPr>
            <w:tcW w:w="100" w:type="dxa"/>
            <w:vAlign w:val="bottom"/>
          </w:tcPr>
          <w:p>
            <w:pPr>
              <w:spacing w:after="0"/>
              <w:rPr>
                <w:sz w:val="24"/>
                <w:szCs w:val="24"/>
                <w:color w:val="auto"/>
              </w:rPr>
            </w:pPr>
          </w:p>
        </w:tc>
        <w:tc>
          <w:tcPr>
            <w:tcW w:w="2860" w:type="dxa"/>
            <w:vAlign w:val="bottom"/>
          </w:tcPr>
          <w:p>
            <w:pPr>
              <w:jc w:val="right"/>
              <w:ind w:right="8"/>
              <w:spacing w:after="0"/>
              <w:rPr>
                <w:sz w:val="20"/>
                <w:szCs w:val="20"/>
                <w:color w:val="auto"/>
              </w:rPr>
            </w:pPr>
            <w:r>
              <w:rPr>
                <w:rFonts w:ascii="Arial" w:cs="Arial" w:eastAsia="Arial" w:hAnsi="Arial"/>
                <w:sz w:val="14"/>
                <w:szCs w:val="14"/>
                <w:color w:val="auto"/>
              </w:rPr>
              <w:t>29,801,656</w:t>
            </w:r>
          </w:p>
        </w:tc>
      </w:tr>
      <w:tr>
        <w:trPr>
          <w:trHeight w:val="342"/>
        </w:trPr>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199"/>
        </w:trPr>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616,177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29,801,656</w:t>
            </w:r>
          </w:p>
        </w:tc>
      </w:tr>
      <w:tr>
        <w:trPr>
          <w:trHeight w:val="21"/>
        </w:trPr>
        <w:tc>
          <w:tcPr>
            <w:tcW w:w="2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-170815</wp:posOffset>
            </wp:positionV>
            <wp:extent cx="708914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89140" cy="154305"/>
                    </a:xfrm>
                    <a:prstGeom prst="rect">
                      <a:avLst/>
                    </a:prstGeom>
                    <a:noFill/>
                  </pic:spPr>
                </pic:pic>
              </a:graphicData>
            </a:graphic>
          </wp:anchor>
        </w:drawing>
        <w:drawing>
          <wp:anchor simplePos="0" relativeHeight="251657728" behindDoc="1" locked="0" layoutInCell="0" allowOverlap="1">
            <wp:simplePos x="0" y="0"/>
            <wp:positionH relativeFrom="column">
              <wp:posOffset>-1784985</wp:posOffset>
            </wp:positionH>
            <wp:positionV relativeFrom="paragraph">
              <wp:posOffset>-607695</wp:posOffset>
            </wp:positionV>
            <wp:extent cx="7089140" cy="222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89140" cy="222885"/>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2620" w:space="200"/>
            <w:col w:w="8420"/>
          </w:cols>
          <w:pgMar w:left="320" w:top="1043" w:right="339" w:bottom="1440" w:gutter="0" w:footer="0" w:header="0"/>
          <w:type w:val="continuous"/>
        </w:sect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172" w:lineRule="exact"/>
        <w:rPr>
          <w:sz w:val="20"/>
          <w:szCs w:val="20"/>
          <w:color w:val="auto"/>
        </w:rPr>
      </w:pPr>
    </w:p>
    <w:p>
      <w:pPr>
        <w:ind w:left="140" w:hanging="132"/>
        <w:spacing w:after="0"/>
        <w:tabs>
          <w:tab w:leader="none" w:pos="140" w:val="left"/>
        </w:tabs>
        <w:numPr>
          <w:ilvl w:val="0"/>
          <w:numId w:val="35"/>
        </w:numPr>
        <w:rPr>
          <w:rFonts w:ascii="Arial" w:cs="Arial" w:eastAsia="Arial" w:hAnsi="Arial"/>
          <w:sz w:val="16"/>
          <w:szCs w:val="16"/>
          <w:color w:val="auto"/>
          <w:vertAlign w:val="superscript"/>
        </w:rPr>
      </w:pPr>
      <w:r>
        <w:rPr>
          <w:rFonts w:ascii="Arial" w:cs="Arial" w:eastAsia="Arial" w:hAnsi="Arial"/>
          <w:sz w:val="12"/>
          <w:szCs w:val="12"/>
          <w:color w:val="auto"/>
        </w:rPr>
        <w:t>Excludes 15,000 stock options and 183,344 ordinary shares issued to directors as compensation.</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additional information required by this Item 12 is incorporated by reference to our Definitive Proxy Statement under the heading “Security Ownership of Management and Certain Beneficial Owners.” See also “Nonqualified Stock Option and Incentive Award Plan” in Part II, Item 5, “Market for Registrant’s Common Equity, Related Stockholder Matters, and Issuer Purchases of Equity Securities” which is incorporated herein by reference.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13. Certain Relationships and Related Transactions, and Director Independence</w:t>
      </w:r>
    </w:p>
    <w:p>
      <w:pPr>
        <w:spacing w:after="0" w:line="11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information required by this Item 13 is incorporated by reference to our Definitive Proxy Statement under the headings “Proposal No. 1 Election of Directors—Determination of Director Independence” and “Certain Relationships and Related Transactions.”</w:t>
      </w:r>
    </w:p>
    <w:p>
      <w:pPr>
        <w:spacing w:after="0" w:line="33"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00497F"/>
        </w:rPr>
        <w:t>Item 14.</w:t>
        <w:tab/>
        <w:t>Principal Accountant Fees and Services</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information required by this Item 14 is incorporated by reference to our Definitive Proxy Statement under the heading “Proposal No. 2 Approval of Appointment of Ernst &amp; Young LLP as Independent Registered Public Accounting Firm—Principal Accountant Fees and Services.”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497F"/>
        </w:rPr>
        <w:t>PART IV</w:t>
      </w:r>
    </w:p>
    <w:p>
      <w:pPr>
        <w:spacing w:after="0" w:line="127"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00497F"/>
        </w:rPr>
        <w:t>Item 15.</w:t>
      </w:r>
      <w:r>
        <w:rPr>
          <w:sz w:val="20"/>
          <w:szCs w:val="20"/>
          <w:color w:val="auto"/>
        </w:rPr>
        <w:tab/>
      </w:r>
      <w:r>
        <w:rPr>
          <w:rFonts w:ascii="Arial" w:cs="Arial" w:eastAsia="Arial" w:hAnsi="Arial"/>
          <w:sz w:val="15"/>
          <w:szCs w:val="15"/>
          <w:b w:val="1"/>
          <w:bCs w:val="1"/>
          <w:color w:val="00497F"/>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071995"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30"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23495</wp:posOffset>
            </wp:positionV>
            <wp:extent cx="6926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35" w:lineRule="exact"/>
        <w:rPr>
          <w:sz w:val="20"/>
          <w:szCs w:val="20"/>
          <w:color w:val="auto"/>
        </w:rPr>
      </w:pPr>
    </w:p>
    <w:p>
      <w:pPr>
        <w:ind w:left="1480" w:right="120" w:hanging="343"/>
        <w:spacing w:after="0" w:line="252" w:lineRule="auto"/>
        <w:tabs>
          <w:tab w:leader="none" w:pos="1460" w:val="left"/>
        </w:tabs>
        <w:rPr>
          <w:rFonts w:ascii="Arial" w:cs="Arial" w:eastAsia="Arial" w:hAnsi="Arial"/>
          <w:sz w:val="14"/>
          <w:szCs w:val="14"/>
          <w:color w:val="0000FF"/>
        </w:rPr>
      </w:pPr>
      <w:hyperlink r:id="rId108">
        <w:r>
          <w:rPr>
            <w:rFonts w:ascii="Arial" w:cs="Arial" w:eastAsia="Arial" w:hAnsi="Arial"/>
            <w:sz w:val="14"/>
            <w:szCs w:val="14"/>
            <w:u w:val="single" w:color="auto"/>
            <w:color w:val="0000FF"/>
          </w:rPr>
          <w:t>2.1</w:t>
        </w:r>
      </w:hyperlink>
      <w:r>
        <w:rPr>
          <w:rFonts w:ascii="Arial" w:cs="Arial" w:eastAsia="Arial" w:hAnsi="Arial"/>
          <w:sz w:val="14"/>
          <w:szCs w:val="14"/>
          <w:color w:val="0000FF"/>
        </w:rPr>
        <w:tab/>
        <w:t>Agreement and Plan of Merger, dated as of August 12, 2022, by and among, FTAI, the Company and FTAI Aviation Merger Sub LLC (incorporated by reference to Annex A to FTAI’s Registration Statement on Form S-4, filed on October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071995" cy="214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480" w:right="300" w:hanging="343"/>
        <w:spacing w:after="0" w:line="251" w:lineRule="auto"/>
        <w:tabs>
          <w:tab w:leader="none" w:pos="1460" w:val="left"/>
        </w:tabs>
        <w:rPr>
          <w:rFonts w:ascii="Arial" w:cs="Arial" w:eastAsia="Arial" w:hAnsi="Arial"/>
          <w:sz w:val="14"/>
          <w:szCs w:val="14"/>
          <w:color w:val="0000FF"/>
        </w:rPr>
      </w:pPr>
      <w:hyperlink r:id="rId110">
        <w:r>
          <w:rPr>
            <w:rFonts w:ascii="Arial" w:cs="Arial" w:eastAsia="Arial" w:hAnsi="Arial"/>
            <w:sz w:val="14"/>
            <w:szCs w:val="14"/>
            <w:u w:val="single" w:color="auto"/>
            <w:color w:val="0000FF"/>
          </w:rPr>
          <w:t>2.2</w:t>
        </w:r>
      </w:hyperlink>
      <w:r>
        <w:rPr>
          <w:rFonts w:ascii="Arial" w:cs="Arial" w:eastAsia="Arial" w:hAnsi="Arial"/>
          <w:sz w:val="14"/>
          <w:szCs w:val="14"/>
          <w:color w:val="0000FF"/>
        </w:rPr>
        <w:tab/>
        <w:t>Separation and Distribution Agreement, dated as of August 1, 2022, between FTAI Infrastructure Inc. and the Company (incorporated by reference to Exhibit 2.1 of the Company’s Current Report on Form 8-K, filed on August 1, 2022).</w:t>
      </w:r>
    </w:p>
    <w:p>
      <w:pPr>
        <w:spacing w:after="0" w:line="1" w:lineRule="exact"/>
        <w:rPr>
          <w:sz w:val="20"/>
          <w:szCs w:val="20"/>
          <w:color w:val="auto"/>
        </w:rPr>
      </w:pPr>
    </w:p>
    <w:p>
      <w:pPr>
        <w:ind w:left="1480" w:right="260" w:hanging="343"/>
        <w:spacing w:after="0" w:line="251" w:lineRule="auto"/>
        <w:tabs>
          <w:tab w:leader="none" w:pos="1460" w:val="left"/>
        </w:tabs>
        <w:rPr>
          <w:rFonts w:ascii="Arial" w:cs="Arial" w:eastAsia="Arial" w:hAnsi="Arial"/>
          <w:sz w:val="14"/>
          <w:szCs w:val="14"/>
          <w:color w:val="0000FF"/>
        </w:rPr>
      </w:pPr>
      <w:hyperlink r:id="rId111">
        <w:r>
          <w:rPr>
            <w:rFonts w:ascii="Arial" w:cs="Arial" w:eastAsia="Arial" w:hAnsi="Arial"/>
            <w:sz w:val="14"/>
            <w:szCs w:val="14"/>
            <w:u w:val="single" w:color="auto"/>
            <w:color w:val="0000FF"/>
          </w:rPr>
          <w:t>3.1</w:t>
        </w:r>
      </w:hyperlink>
      <w:r>
        <w:rPr>
          <w:rFonts w:ascii="Arial" w:cs="Arial" w:eastAsia="Arial" w:hAnsi="Arial"/>
          <w:sz w:val="14"/>
          <w:szCs w:val="14"/>
          <w:color w:val="0000FF"/>
        </w:rPr>
        <w:tab/>
        <w:t>Amended and Restated Memorandum and Articles of Association of the Company (incorporated by reference to Exhibit 3.1 of the Company’s Current Report on Form 8-K, filed on November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071995"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480" w:right="540" w:hanging="343"/>
        <w:spacing w:after="0" w:line="263" w:lineRule="auto"/>
        <w:tabs>
          <w:tab w:leader="none" w:pos="1460" w:val="left"/>
        </w:tabs>
        <w:rPr>
          <w:rFonts w:ascii="Arial" w:cs="Arial" w:eastAsia="Arial" w:hAnsi="Arial"/>
          <w:sz w:val="14"/>
          <w:szCs w:val="14"/>
          <w:color w:val="0000FF"/>
        </w:rPr>
      </w:pPr>
      <w:hyperlink r:id="rId113">
        <w:r>
          <w:rPr>
            <w:rFonts w:ascii="Arial" w:cs="Arial" w:eastAsia="Arial" w:hAnsi="Arial"/>
            <w:sz w:val="14"/>
            <w:szCs w:val="14"/>
            <w:u w:val="single" w:color="auto"/>
            <w:color w:val="0000FF"/>
          </w:rPr>
          <w:t>3.2</w:t>
        </w:r>
      </w:hyperlink>
      <w:r>
        <w:rPr>
          <w:rFonts w:ascii="Arial" w:cs="Arial" w:eastAsia="Arial" w:hAnsi="Arial"/>
          <w:sz w:val="14"/>
          <w:szCs w:val="14"/>
          <w:color w:val="0000FF"/>
        </w:rPr>
        <w:tab/>
        <w:t>Share Designation with respect to the 8.25% Fixed-to-Floating Series A Cumulative Perpetual Redeemable Preferred Shares (included as part of Exhibit 3.1 hereto).</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92" w:name="page93"/>
    <w:bookmarkEnd w:id="92"/>
    <w:p>
      <w:pPr>
        <w:ind w:left="234"/>
        <w:spacing w:after="0"/>
        <w:tabs>
          <w:tab w:leader="none" w:pos="5874"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071995"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071995" cy="128905"/>
                    </a:xfrm>
                    <a:prstGeom prst="rect">
                      <a:avLst/>
                    </a:prstGeom>
                    <a:noFill/>
                  </pic:spPr>
                </pic:pic>
              </a:graphicData>
            </a:graphic>
          </wp:anchor>
        </w:drawing>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23495</wp:posOffset>
            </wp:positionV>
            <wp:extent cx="6926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35" w:lineRule="exact"/>
        <w:rPr>
          <w:sz w:val="20"/>
          <w:szCs w:val="20"/>
          <w:color w:val="auto"/>
        </w:rPr>
      </w:pPr>
    </w:p>
    <w:p>
      <w:pPr>
        <w:ind w:left="1454" w:right="400" w:hanging="343"/>
        <w:spacing w:after="0" w:line="252" w:lineRule="auto"/>
        <w:tabs>
          <w:tab w:leader="none" w:pos="1434" w:val="left"/>
        </w:tabs>
        <w:rPr>
          <w:rFonts w:ascii="Arial" w:cs="Arial" w:eastAsia="Arial" w:hAnsi="Arial"/>
          <w:sz w:val="14"/>
          <w:szCs w:val="14"/>
          <w:color w:val="0000FF"/>
        </w:rPr>
      </w:pPr>
      <w:hyperlink r:id="rId113">
        <w:r>
          <w:rPr>
            <w:rFonts w:ascii="Arial" w:cs="Arial" w:eastAsia="Arial" w:hAnsi="Arial"/>
            <w:sz w:val="14"/>
            <w:szCs w:val="14"/>
            <w:u w:val="single" w:color="auto"/>
            <w:color w:val="0000FF"/>
          </w:rPr>
          <w:t>3.3</w:t>
        </w:r>
      </w:hyperlink>
      <w:r>
        <w:rPr>
          <w:rFonts w:ascii="Arial" w:cs="Arial" w:eastAsia="Arial" w:hAnsi="Arial"/>
          <w:sz w:val="14"/>
          <w:szCs w:val="14"/>
          <w:color w:val="0000FF"/>
        </w:rPr>
        <w:tab/>
        <w:t>Share Designation with respect to the 8.00% Fixed-to-Floating Series B Cumulative Perpetual Redeemable Preferred Shares (included as part of Exhibit 3.1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-2540</wp:posOffset>
            </wp:positionV>
            <wp:extent cx="7071995" cy="2146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454" w:right="360" w:hanging="343"/>
        <w:spacing w:after="0" w:line="251" w:lineRule="auto"/>
        <w:tabs>
          <w:tab w:leader="none" w:pos="1434" w:val="left"/>
        </w:tabs>
        <w:rPr>
          <w:rFonts w:ascii="Arial" w:cs="Arial" w:eastAsia="Arial" w:hAnsi="Arial"/>
          <w:sz w:val="14"/>
          <w:szCs w:val="14"/>
          <w:color w:val="0000FF"/>
        </w:rPr>
      </w:pPr>
      <w:hyperlink r:id="rId113">
        <w:r>
          <w:rPr>
            <w:rFonts w:ascii="Arial" w:cs="Arial" w:eastAsia="Arial" w:hAnsi="Arial"/>
            <w:sz w:val="14"/>
            <w:szCs w:val="14"/>
            <w:u w:val="single" w:color="auto"/>
            <w:color w:val="0000FF"/>
          </w:rPr>
          <w:t>3.4</w:t>
        </w:r>
      </w:hyperlink>
      <w:r>
        <w:rPr>
          <w:rFonts w:ascii="Arial" w:cs="Arial" w:eastAsia="Arial" w:hAnsi="Arial"/>
          <w:sz w:val="14"/>
          <w:szCs w:val="14"/>
          <w:color w:val="0000FF"/>
        </w:rPr>
        <w:tab/>
        <w:t>Share Designation with respect to the 8.25% Fixed-Rate Reset Series C Cumulative Perpetual Redeemable Preferred Shares (included as part of Exhibit 3.1 hereto).</w:t>
      </w:r>
    </w:p>
    <w:p>
      <w:pPr>
        <w:spacing w:after="0" w:line="1" w:lineRule="exact"/>
        <w:rPr>
          <w:sz w:val="20"/>
          <w:szCs w:val="20"/>
          <w:color w:val="auto"/>
        </w:rPr>
      </w:pPr>
    </w:p>
    <w:p>
      <w:pPr>
        <w:ind w:left="1114"/>
        <w:spacing w:after="0"/>
        <w:tabs>
          <w:tab w:leader="none" w:pos="1434" w:val="left"/>
        </w:tabs>
        <w:rPr>
          <w:rFonts w:ascii="Arial" w:cs="Arial" w:eastAsia="Arial" w:hAnsi="Arial"/>
          <w:sz w:val="14"/>
          <w:szCs w:val="14"/>
          <w:color w:val="0000FF"/>
        </w:rPr>
      </w:pPr>
      <w:hyperlink r:id="rId118">
        <w:r>
          <w:rPr>
            <w:rFonts w:ascii="Arial" w:cs="Arial" w:eastAsia="Arial" w:hAnsi="Arial"/>
            <w:sz w:val="14"/>
            <w:szCs w:val="14"/>
            <w:u w:val="single" w:color="auto"/>
            <w:color w:val="0000FF"/>
          </w:rPr>
          <w:t>3.5</w:t>
        </w:r>
      </w:hyperlink>
      <w:r>
        <w:rPr>
          <w:rFonts w:ascii="Arial" w:cs="Arial" w:eastAsia="Arial" w:hAnsi="Arial"/>
          <w:sz w:val="14"/>
          <w:szCs w:val="14"/>
          <w:color w:val="0000FF"/>
        </w:rPr>
        <w:tab/>
        <w:t>Share Designation with respect to the 9.500% Fixed-Rate Reset Series D Cumulative Perpetual Redeemable Preferred Shares of FTAI Aviation Ltd.</w:t>
      </w:r>
    </w:p>
    <w:p>
      <w:pPr>
        <w:ind w:left="1454"/>
        <w:spacing w:after="0"/>
        <w:rPr>
          <w:sz w:val="20"/>
          <w:szCs w:val="20"/>
          <w:color w:val="auto"/>
        </w:rPr>
      </w:pPr>
      <w:r>
        <w:rPr>
          <w:rFonts w:ascii="Arial" w:cs="Arial" w:eastAsia="Arial" w:hAnsi="Arial"/>
          <w:sz w:val="14"/>
          <w:szCs w:val="14"/>
          <w:color w:val="auto"/>
        </w:rPr>
        <w:t>(incorporated by reference to Exhibit 4.1 of the Company’s Registration Statement on Form 8-A, filed on 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7071995" cy="2146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114"/>
        <w:spacing w:after="0"/>
        <w:tabs>
          <w:tab w:leader="none" w:pos="1434" w:val="left"/>
        </w:tabs>
        <w:rPr>
          <w:rFonts w:ascii="Arial" w:cs="Arial" w:eastAsia="Arial" w:hAnsi="Arial"/>
          <w:sz w:val="14"/>
          <w:szCs w:val="14"/>
          <w:color w:val="0000FF"/>
        </w:rPr>
      </w:pPr>
      <w:hyperlink r:id="rId113">
        <w:r>
          <w:rPr>
            <w:rFonts w:ascii="Arial" w:cs="Arial" w:eastAsia="Arial" w:hAnsi="Arial"/>
            <w:sz w:val="14"/>
            <w:szCs w:val="14"/>
            <w:u w:val="single" w:color="auto"/>
            <w:color w:val="0000FF"/>
          </w:rPr>
          <w:t>3.6</w:t>
        </w:r>
      </w:hyperlink>
      <w:r>
        <w:rPr>
          <w:rFonts w:ascii="Arial" w:cs="Arial" w:eastAsia="Arial" w:hAnsi="Arial"/>
          <w:sz w:val="14"/>
          <w:szCs w:val="14"/>
          <w:color w:val="0000FF"/>
        </w:rPr>
        <w:tab/>
        <w:t>Form of Certificate representing the 8.25% Fixed-to-Floating Rate Series A Cumulative Perpetual Redeemable Preferred Shares of FTAI Aviation Ltd.</w:t>
      </w:r>
    </w:p>
    <w:p>
      <w:pPr>
        <w:ind w:left="1454"/>
        <w:spacing w:after="0"/>
        <w:rPr>
          <w:sz w:val="20"/>
          <w:szCs w:val="20"/>
          <w:color w:val="auto"/>
        </w:rPr>
      </w:pPr>
      <w:r>
        <w:rPr>
          <w:rFonts w:ascii="Arial" w:cs="Arial" w:eastAsia="Arial" w:hAnsi="Arial"/>
          <w:sz w:val="14"/>
          <w:szCs w:val="14"/>
          <w:color w:val="auto"/>
        </w:rPr>
        <w:t>(included as part of Exhibit 3.1 hereto).</w:t>
      </w:r>
    </w:p>
    <w:p>
      <w:pPr>
        <w:spacing w:after="0" w:line="15" w:lineRule="exact"/>
        <w:rPr>
          <w:sz w:val="20"/>
          <w:szCs w:val="20"/>
          <w:color w:val="auto"/>
        </w:rPr>
      </w:pPr>
    </w:p>
    <w:p>
      <w:pPr>
        <w:ind w:left="1114"/>
        <w:spacing w:after="0"/>
        <w:tabs>
          <w:tab w:leader="none" w:pos="1434" w:val="left"/>
        </w:tabs>
        <w:rPr>
          <w:rFonts w:ascii="Arial" w:cs="Arial" w:eastAsia="Arial" w:hAnsi="Arial"/>
          <w:sz w:val="14"/>
          <w:szCs w:val="14"/>
          <w:color w:val="0000FF"/>
        </w:rPr>
      </w:pPr>
      <w:hyperlink r:id="rId113">
        <w:r>
          <w:rPr>
            <w:rFonts w:ascii="Arial" w:cs="Arial" w:eastAsia="Arial" w:hAnsi="Arial"/>
            <w:sz w:val="14"/>
            <w:szCs w:val="14"/>
            <w:u w:val="single" w:color="auto"/>
            <w:color w:val="0000FF"/>
          </w:rPr>
          <w:t>3.7</w:t>
        </w:r>
      </w:hyperlink>
      <w:r>
        <w:rPr>
          <w:rFonts w:ascii="Arial" w:cs="Arial" w:eastAsia="Arial" w:hAnsi="Arial"/>
          <w:sz w:val="14"/>
          <w:szCs w:val="14"/>
          <w:color w:val="0000FF"/>
        </w:rPr>
        <w:tab/>
        <w:t>Form of Certificate representing the 8.00% Fixed-to-Floating Rate Series B Cumulative Perpetual Redeemable Preferred Shares of FTAI Aviation Ltd.</w:t>
      </w:r>
    </w:p>
    <w:p>
      <w:pPr>
        <w:ind w:left="1454"/>
        <w:spacing w:after="0"/>
        <w:rPr>
          <w:sz w:val="20"/>
          <w:szCs w:val="20"/>
          <w:color w:val="auto"/>
        </w:rPr>
      </w:pPr>
      <w:r>
        <w:rPr>
          <w:rFonts w:ascii="Arial" w:cs="Arial" w:eastAsia="Arial" w:hAnsi="Arial"/>
          <w:sz w:val="14"/>
          <w:szCs w:val="14"/>
          <w:color w:val="auto"/>
        </w:rPr>
        <w:t>(included as part of Exhibit 3.1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7071995" cy="2146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114"/>
        <w:spacing w:after="0"/>
        <w:tabs>
          <w:tab w:leader="none" w:pos="1434" w:val="left"/>
        </w:tabs>
        <w:rPr>
          <w:rFonts w:ascii="Arial" w:cs="Arial" w:eastAsia="Arial" w:hAnsi="Arial"/>
          <w:sz w:val="14"/>
          <w:szCs w:val="14"/>
          <w:color w:val="0000FF"/>
        </w:rPr>
      </w:pPr>
      <w:hyperlink r:id="rId113">
        <w:r>
          <w:rPr>
            <w:rFonts w:ascii="Arial" w:cs="Arial" w:eastAsia="Arial" w:hAnsi="Arial"/>
            <w:sz w:val="14"/>
            <w:szCs w:val="14"/>
            <w:u w:val="single" w:color="auto"/>
            <w:color w:val="0000FF"/>
          </w:rPr>
          <w:t>3.8</w:t>
        </w:r>
      </w:hyperlink>
      <w:r>
        <w:rPr>
          <w:rFonts w:ascii="Arial" w:cs="Arial" w:eastAsia="Arial" w:hAnsi="Arial"/>
          <w:sz w:val="14"/>
          <w:szCs w:val="14"/>
          <w:color w:val="0000FF"/>
        </w:rPr>
        <w:tab/>
        <w:t>Form of Certificate representing the 8.25% Fixed-Rate Reset Series C Cumulative Perpetual Redeemable Preferred Shares of FTAI Aviation Ltd.</w:t>
      </w:r>
    </w:p>
    <w:p>
      <w:pPr>
        <w:ind w:left="1454"/>
        <w:spacing w:after="0"/>
        <w:rPr>
          <w:sz w:val="20"/>
          <w:szCs w:val="20"/>
          <w:color w:val="auto"/>
        </w:rPr>
      </w:pPr>
      <w:r>
        <w:rPr>
          <w:rFonts w:ascii="Arial" w:cs="Arial" w:eastAsia="Arial" w:hAnsi="Arial"/>
          <w:sz w:val="14"/>
          <w:szCs w:val="14"/>
          <w:color w:val="auto"/>
        </w:rPr>
        <w:t>(included as part of Exhibit 3.1 hereto).</w:t>
      </w:r>
    </w:p>
    <w:p>
      <w:pPr>
        <w:spacing w:after="0" w:line="15" w:lineRule="exact"/>
        <w:rPr>
          <w:sz w:val="20"/>
          <w:szCs w:val="20"/>
          <w:color w:val="auto"/>
        </w:rPr>
      </w:pPr>
    </w:p>
    <w:p>
      <w:pPr>
        <w:ind w:left="1114"/>
        <w:spacing w:after="0"/>
        <w:tabs>
          <w:tab w:leader="none" w:pos="1434" w:val="left"/>
        </w:tabs>
        <w:rPr>
          <w:rFonts w:ascii="Arial" w:cs="Arial" w:eastAsia="Arial" w:hAnsi="Arial"/>
          <w:sz w:val="14"/>
          <w:szCs w:val="14"/>
          <w:color w:val="0000FF"/>
        </w:rPr>
      </w:pPr>
      <w:hyperlink r:id="rId121">
        <w:r>
          <w:rPr>
            <w:rFonts w:ascii="Arial" w:cs="Arial" w:eastAsia="Arial" w:hAnsi="Arial"/>
            <w:sz w:val="14"/>
            <w:szCs w:val="14"/>
            <w:u w:val="single" w:color="auto"/>
            <w:color w:val="0000FF"/>
          </w:rPr>
          <w:t>3.9</w:t>
        </w:r>
      </w:hyperlink>
      <w:r>
        <w:rPr>
          <w:rFonts w:ascii="Arial" w:cs="Arial" w:eastAsia="Arial" w:hAnsi="Arial"/>
          <w:sz w:val="14"/>
          <w:szCs w:val="14"/>
          <w:color w:val="0000FF"/>
        </w:rPr>
        <w:tab/>
        <w:t>Form of certificate representing the 9.500% Fixed-Rate Reset Series D Cumulative Perpetual Redeemable Preferred Shares of FTAI Aviation Ltd.</w:t>
      </w:r>
    </w:p>
    <w:p>
      <w:pPr>
        <w:ind w:left="1454"/>
        <w:spacing w:after="0"/>
        <w:rPr>
          <w:sz w:val="20"/>
          <w:szCs w:val="20"/>
          <w:color w:val="auto"/>
        </w:rPr>
      </w:pPr>
      <w:r>
        <w:rPr>
          <w:rFonts w:ascii="Arial" w:cs="Arial" w:eastAsia="Arial" w:hAnsi="Arial"/>
          <w:sz w:val="14"/>
          <w:szCs w:val="14"/>
          <w:color w:val="auto"/>
        </w:rPr>
        <w:t>(incorporated by reference to Exhibit 4.2 of the Company’s Registration Statement on Form 8-A, filed on 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7071995" cy="2146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454" w:right="100" w:hanging="343"/>
        <w:spacing w:after="0" w:line="251" w:lineRule="auto"/>
        <w:tabs>
          <w:tab w:leader="none" w:pos="1434" w:val="left"/>
        </w:tabs>
        <w:rPr>
          <w:rFonts w:ascii="Arial" w:cs="Arial" w:eastAsia="Arial" w:hAnsi="Arial"/>
          <w:sz w:val="14"/>
          <w:szCs w:val="14"/>
          <w:color w:val="0000FF"/>
        </w:rPr>
      </w:pPr>
      <w:hyperlink r:id="rId123">
        <w:r>
          <w:rPr>
            <w:rFonts w:ascii="Arial" w:cs="Arial" w:eastAsia="Arial" w:hAnsi="Arial"/>
            <w:sz w:val="14"/>
            <w:szCs w:val="14"/>
            <w:u w:val="single" w:color="auto"/>
            <w:color w:val="0000FF"/>
          </w:rPr>
          <w:t>4.1</w:t>
        </w:r>
      </w:hyperlink>
      <w:r>
        <w:rPr>
          <w:rFonts w:ascii="Arial" w:cs="Arial" w:eastAsia="Arial" w:hAnsi="Arial"/>
          <w:sz w:val="14"/>
          <w:szCs w:val="14"/>
          <w:color w:val="0000FF"/>
        </w:rPr>
        <w:tab/>
        <w:t>Indenture, dated September 18, 2018, between the Company and U.S. Bank National Association, as trustee, relating to the Company’s 6.50% senior unsecured notes due 2025 (incorporated by reference to Exhibit 4.1 of the Company’s Current Report on Form 8-K, filed on September 18, 2018).</w:t>
      </w:r>
    </w:p>
    <w:p>
      <w:pPr>
        <w:spacing w:after="0" w:line="1" w:lineRule="exact"/>
        <w:rPr>
          <w:sz w:val="20"/>
          <w:szCs w:val="20"/>
          <w:color w:val="auto"/>
        </w:rPr>
      </w:pPr>
    </w:p>
    <w:p>
      <w:pPr>
        <w:ind w:left="1114"/>
        <w:spacing w:after="0"/>
        <w:tabs>
          <w:tab w:leader="none" w:pos="1434" w:val="left"/>
        </w:tabs>
        <w:rPr>
          <w:rFonts w:ascii="Arial" w:cs="Arial" w:eastAsia="Arial" w:hAnsi="Arial"/>
          <w:sz w:val="14"/>
          <w:szCs w:val="14"/>
          <w:color w:val="0000FF"/>
        </w:rPr>
      </w:pPr>
      <w:hyperlink r:id="rId123">
        <w:r>
          <w:rPr>
            <w:rFonts w:ascii="Arial" w:cs="Arial" w:eastAsia="Arial" w:hAnsi="Arial"/>
            <w:sz w:val="14"/>
            <w:szCs w:val="14"/>
            <w:u w:val="single" w:color="auto"/>
            <w:color w:val="0000FF"/>
          </w:rPr>
          <w:t>4.2</w:t>
        </w:r>
      </w:hyperlink>
      <w:r>
        <w:rPr>
          <w:rFonts w:ascii="Arial" w:cs="Arial" w:eastAsia="Arial" w:hAnsi="Arial"/>
          <w:sz w:val="14"/>
          <w:szCs w:val="14"/>
          <w:color w:val="0000FF"/>
        </w:rPr>
        <w:tab/>
        <w:t>Form of global note representing the Company’s 6.50% senior unsecured notes due 2025 (included in 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22860</wp:posOffset>
            </wp:positionV>
            <wp:extent cx="7071995" cy="3086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071995" cy="308610"/>
                    </a:xfrm>
                    <a:prstGeom prst="rect">
                      <a:avLst/>
                    </a:prstGeom>
                    <a:noFill/>
                  </pic:spPr>
                </pic:pic>
              </a:graphicData>
            </a:graphic>
          </wp:anchor>
        </w:drawing>
      </w:r>
    </w:p>
    <w:p>
      <w:pPr>
        <w:spacing w:after="0" w:line="20" w:lineRule="exact"/>
        <w:rPr>
          <w:sz w:val="20"/>
          <w:szCs w:val="20"/>
          <w:color w:val="auto"/>
        </w:rPr>
      </w:pPr>
    </w:p>
    <w:p>
      <w:pPr>
        <w:ind w:left="1114"/>
        <w:spacing w:after="0"/>
        <w:tabs>
          <w:tab w:leader="none" w:pos="1434" w:val="left"/>
        </w:tabs>
        <w:rPr>
          <w:rFonts w:ascii="Arial" w:cs="Arial" w:eastAsia="Arial" w:hAnsi="Arial"/>
          <w:sz w:val="14"/>
          <w:szCs w:val="14"/>
          <w:color w:val="0000FF"/>
        </w:rPr>
      </w:pPr>
      <w:hyperlink r:id="rId125">
        <w:r>
          <w:rPr>
            <w:rFonts w:ascii="Arial" w:cs="Arial" w:eastAsia="Arial" w:hAnsi="Arial"/>
            <w:sz w:val="14"/>
            <w:szCs w:val="14"/>
            <w:u w:val="single" w:color="auto"/>
            <w:color w:val="0000FF"/>
          </w:rPr>
          <w:t>4.3</w:t>
        </w:r>
      </w:hyperlink>
      <w:r>
        <w:rPr>
          <w:rFonts w:ascii="Arial" w:cs="Arial" w:eastAsia="Arial" w:hAnsi="Arial"/>
          <w:sz w:val="14"/>
          <w:szCs w:val="14"/>
          <w:color w:val="0000FF"/>
        </w:rPr>
        <w:tab/>
        <w:t>First Supplemental Indenture, dated May 21, 2019, between the Company and U.S. Bank National Association, as trustee, relating to the Company’s</w:t>
      </w:r>
    </w:p>
    <w:p>
      <w:pPr>
        <w:ind w:left="1454"/>
        <w:spacing w:after="0" w:line="203" w:lineRule="auto"/>
        <w:rPr>
          <w:sz w:val="20"/>
          <w:szCs w:val="20"/>
          <w:color w:val="auto"/>
        </w:rPr>
      </w:pPr>
      <w:r>
        <w:rPr>
          <w:rFonts w:ascii="Arial" w:cs="Arial" w:eastAsia="Arial" w:hAnsi="Arial"/>
          <w:sz w:val="14"/>
          <w:szCs w:val="14"/>
          <w:color w:val="auto"/>
        </w:rPr>
        <w:t>6.50% senior unsecured notes due 2025 (incorporated by reference to Exhibit 4.1 of the Company’s Current Report on Form 8-K, filed on May 21,</w:t>
      </w:r>
    </w:p>
    <w:p>
      <w:pPr>
        <w:ind w:left="1454"/>
        <w:spacing w:after="0"/>
        <w:rPr>
          <w:sz w:val="20"/>
          <w:szCs w:val="20"/>
          <w:color w:val="auto"/>
        </w:rPr>
      </w:pPr>
      <w:r>
        <w:rPr>
          <w:rFonts w:ascii="Arial" w:cs="Arial" w:eastAsia="Arial" w:hAnsi="Arial"/>
          <w:sz w:val="14"/>
          <w:szCs w:val="14"/>
          <w:color w:val="auto"/>
        </w:rPr>
        <w:t>2019).</w:t>
      </w:r>
    </w:p>
    <w:p>
      <w:pPr>
        <w:spacing w:after="0" w:line="28" w:lineRule="exact"/>
        <w:rPr>
          <w:sz w:val="20"/>
          <w:szCs w:val="20"/>
          <w:color w:val="auto"/>
        </w:rPr>
      </w:pPr>
    </w:p>
    <w:p>
      <w:pPr>
        <w:ind w:left="1114"/>
        <w:spacing w:after="0"/>
        <w:tabs>
          <w:tab w:leader="none" w:pos="1434" w:val="left"/>
        </w:tabs>
        <w:rPr>
          <w:rFonts w:ascii="Arial" w:cs="Arial" w:eastAsia="Arial" w:hAnsi="Arial"/>
          <w:sz w:val="14"/>
          <w:szCs w:val="14"/>
          <w:color w:val="0000FF"/>
        </w:rPr>
      </w:pPr>
      <w:hyperlink r:id="rId126">
        <w:r>
          <w:rPr>
            <w:rFonts w:ascii="Arial" w:cs="Arial" w:eastAsia="Arial" w:hAnsi="Arial"/>
            <w:sz w:val="14"/>
            <w:szCs w:val="14"/>
            <w:u w:val="single" w:color="auto"/>
            <w:color w:val="0000FF"/>
          </w:rPr>
          <w:t>4.4</w:t>
        </w:r>
      </w:hyperlink>
      <w:r>
        <w:rPr>
          <w:rFonts w:ascii="Arial" w:cs="Arial" w:eastAsia="Arial" w:hAnsi="Arial"/>
          <w:sz w:val="14"/>
          <w:szCs w:val="14"/>
          <w:color w:val="0000FF"/>
        </w:rPr>
        <w:tab/>
        <w:t>Second Supplemental Indenture, dated December 23, 2020, between the Company and U.S. Bank National Association, as trustee, relating to the</w:t>
      </w:r>
    </w:p>
    <w:p>
      <w:pPr>
        <w:spacing w:after="0" w:line="2" w:lineRule="exact"/>
        <w:rPr>
          <w:sz w:val="20"/>
          <w:szCs w:val="20"/>
          <w:color w:val="auto"/>
        </w:rPr>
      </w:pPr>
    </w:p>
    <w:p>
      <w:pPr>
        <w:ind w:left="1454" w:right="140"/>
        <w:spacing w:after="0" w:line="231" w:lineRule="auto"/>
        <w:rPr>
          <w:sz w:val="20"/>
          <w:szCs w:val="20"/>
          <w:color w:val="auto"/>
        </w:rPr>
      </w:pPr>
      <w:r>
        <w:rPr>
          <w:rFonts w:ascii="Arial" w:cs="Arial" w:eastAsia="Arial" w:hAnsi="Arial"/>
          <w:sz w:val="14"/>
          <w:szCs w:val="14"/>
          <w:color w:val="auto"/>
        </w:rPr>
        <w:t>Company’s 6.50% senior unsecured notes due 2025 (incorporated by reference to Exhibit 4.1 of the Company’s Current Report on Form 8-K, filed on December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5715</wp:posOffset>
            </wp:positionV>
            <wp:extent cx="7071995" cy="2146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454" w:right="280" w:hanging="343"/>
        <w:spacing w:after="0" w:line="252" w:lineRule="auto"/>
        <w:tabs>
          <w:tab w:leader="none" w:pos="1434" w:val="left"/>
        </w:tabs>
        <w:rPr>
          <w:rFonts w:ascii="Arial" w:cs="Arial" w:eastAsia="Arial" w:hAnsi="Arial"/>
          <w:sz w:val="14"/>
          <w:szCs w:val="14"/>
          <w:color w:val="0000FF"/>
        </w:rPr>
      </w:pPr>
      <w:hyperlink r:id="rId128">
        <w:r>
          <w:rPr>
            <w:rFonts w:ascii="Arial" w:cs="Arial" w:eastAsia="Arial" w:hAnsi="Arial"/>
            <w:sz w:val="14"/>
            <w:szCs w:val="14"/>
            <w:u w:val="single" w:color="auto"/>
            <w:color w:val="0000FF"/>
          </w:rPr>
          <w:t>4.5</w:t>
        </w:r>
      </w:hyperlink>
      <w:r>
        <w:rPr>
          <w:rFonts w:ascii="Arial" w:cs="Arial" w:eastAsia="Arial" w:hAnsi="Arial"/>
          <w:sz w:val="14"/>
          <w:szCs w:val="14"/>
          <w:color w:val="0000FF"/>
        </w:rPr>
        <w:tab/>
        <w:t>2025 Notes Guarantee, dated November 10, 2022 (incorporated by reference to Exhibit 4.1 of the Company’s Current Report on Form 8-K, filed on November 14, 2022).</w:t>
      </w:r>
    </w:p>
    <w:p>
      <w:pPr>
        <w:spacing w:after="0" w:line="1" w:lineRule="exact"/>
        <w:rPr>
          <w:sz w:val="20"/>
          <w:szCs w:val="20"/>
          <w:color w:val="auto"/>
        </w:rPr>
      </w:pPr>
    </w:p>
    <w:p>
      <w:pPr>
        <w:ind w:left="1454" w:right="540" w:hanging="343"/>
        <w:spacing w:after="0" w:line="251" w:lineRule="auto"/>
        <w:tabs>
          <w:tab w:leader="none" w:pos="1434" w:val="left"/>
        </w:tabs>
        <w:rPr>
          <w:rFonts w:ascii="Arial" w:cs="Arial" w:eastAsia="Arial" w:hAnsi="Arial"/>
          <w:sz w:val="14"/>
          <w:szCs w:val="14"/>
          <w:color w:val="0000FF"/>
        </w:rPr>
      </w:pPr>
      <w:hyperlink r:id="rId129">
        <w:r>
          <w:rPr>
            <w:rFonts w:ascii="Arial" w:cs="Arial" w:eastAsia="Arial" w:hAnsi="Arial"/>
            <w:sz w:val="14"/>
            <w:szCs w:val="14"/>
            <w:u w:val="single" w:color="auto"/>
            <w:color w:val="0000FF"/>
          </w:rPr>
          <w:t>4.6</w:t>
        </w:r>
      </w:hyperlink>
      <w:r>
        <w:rPr>
          <w:rFonts w:ascii="Arial" w:cs="Arial" w:eastAsia="Arial" w:hAnsi="Arial"/>
          <w:sz w:val="14"/>
          <w:szCs w:val="14"/>
          <w:color w:val="0000FF"/>
        </w:rPr>
        <w:tab/>
        <w:t>Indenture, dated July 28, 2020, between the Company and U.S. Bank National Association, as trustee, relating to the Company’s 9.75% senior unsecured notes due 2027 (incorporated by reference to Exhibit 4.1 of the Company’s Form 8-K, filed on July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-2540</wp:posOffset>
            </wp:positionV>
            <wp:extent cx="7071995"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ind w:left="1114"/>
        <w:spacing w:after="0"/>
        <w:tabs>
          <w:tab w:leader="none" w:pos="1434" w:val="left"/>
        </w:tabs>
        <w:rPr>
          <w:rFonts w:ascii="Arial" w:cs="Arial" w:eastAsia="Arial" w:hAnsi="Arial"/>
          <w:sz w:val="14"/>
          <w:szCs w:val="14"/>
          <w:color w:val="0000FF"/>
        </w:rPr>
      </w:pPr>
      <w:hyperlink r:id="rId129">
        <w:r>
          <w:rPr>
            <w:rFonts w:ascii="Arial" w:cs="Arial" w:eastAsia="Arial" w:hAnsi="Arial"/>
            <w:sz w:val="14"/>
            <w:szCs w:val="14"/>
            <w:u w:val="single" w:color="auto"/>
            <w:color w:val="0000FF"/>
          </w:rPr>
          <w:t>4.7</w:t>
        </w:r>
      </w:hyperlink>
      <w:r>
        <w:rPr>
          <w:rFonts w:ascii="Arial" w:cs="Arial" w:eastAsia="Arial" w:hAnsi="Arial"/>
          <w:sz w:val="14"/>
          <w:szCs w:val="14"/>
          <w:color w:val="0000FF"/>
        </w:rPr>
        <w:tab/>
        <w:t>Form of global note representing the Company’s 9.75% senior unsecured notes due 2027 (included in Exhibit 4.10).</w:t>
      </w:r>
    </w:p>
    <w:p>
      <w:pPr>
        <w:spacing w:after="0" w:line="40" w:lineRule="exact"/>
        <w:rPr>
          <w:sz w:val="20"/>
          <w:szCs w:val="20"/>
          <w:color w:val="auto"/>
        </w:rPr>
      </w:pPr>
    </w:p>
    <w:p>
      <w:pPr>
        <w:ind w:left="1454" w:right="280" w:hanging="343"/>
        <w:spacing w:after="0" w:line="285" w:lineRule="auto"/>
        <w:tabs>
          <w:tab w:leader="none" w:pos="1434" w:val="left"/>
        </w:tabs>
        <w:rPr>
          <w:rFonts w:ascii="Arial" w:cs="Arial" w:eastAsia="Arial" w:hAnsi="Arial"/>
          <w:sz w:val="14"/>
          <w:szCs w:val="14"/>
          <w:color w:val="0000FF"/>
        </w:rPr>
      </w:pPr>
      <w:hyperlink r:id="rId131">
        <w:r>
          <w:rPr>
            <w:rFonts w:ascii="Arial" w:cs="Arial" w:eastAsia="Arial" w:hAnsi="Arial"/>
            <w:sz w:val="14"/>
            <w:szCs w:val="14"/>
            <w:u w:val="single" w:color="auto"/>
            <w:color w:val="0000FF"/>
          </w:rPr>
          <w:t>4.8</w:t>
        </w:r>
      </w:hyperlink>
      <w:r>
        <w:rPr>
          <w:rFonts w:ascii="Arial" w:cs="Arial" w:eastAsia="Arial" w:hAnsi="Arial"/>
          <w:sz w:val="14"/>
          <w:szCs w:val="14"/>
          <w:color w:val="0000FF"/>
        </w:rPr>
        <w:tab/>
        <w:t>2027 Notes Guarantee, dated November 10, 2022 (incorporated by reference to Exhibit 4.2 of the Company’s Current Report on Form 8-K, filed on November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7071995" cy="2139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071995" cy="213995"/>
                    </a:xfrm>
                    <a:prstGeom prst="rect">
                      <a:avLst/>
                    </a:prstGeom>
                    <a:noFill/>
                  </pic:spPr>
                </pic:pic>
              </a:graphicData>
            </a:graphic>
          </wp:anchor>
        </w:drawing>
      </w:r>
    </w:p>
    <w:p>
      <w:pPr>
        <w:ind w:left="1454" w:right="520" w:hanging="343"/>
        <w:spacing w:after="0" w:line="252" w:lineRule="auto"/>
        <w:tabs>
          <w:tab w:leader="none" w:pos="1434" w:val="left"/>
        </w:tabs>
        <w:rPr>
          <w:rFonts w:ascii="Arial" w:cs="Arial" w:eastAsia="Arial" w:hAnsi="Arial"/>
          <w:sz w:val="14"/>
          <w:szCs w:val="14"/>
          <w:color w:val="0000FF"/>
        </w:rPr>
      </w:pPr>
      <w:hyperlink r:id="rId133">
        <w:r>
          <w:rPr>
            <w:rFonts w:ascii="Arial" w:cs="Arial" w:eastAsia="Arial" w:hAnsi="Arial"/>
            <w:sz w:val="14"/>
            <w:szCs w:val="14"/>
            <w:u w:val="single" w:color="auto"/>
            <w:color w:val="0000FF"/>
          </w:rPr>
          <w:t>4.9</w:t>
        </w:r>
      </w:hyperlink>
      <w:r>
        <w:rPr>
          <w:rFonts w:ascii="Arial" w:cs="Arial" w:eastAsia="Arial" w:hAnsi="Arial"/>
          <w:sz w:val="14"/>
          <w:szCs w:val="14"/>
          <w:color w:val="0000FF"/>
        </w:rPr>
        <w:tab/>
        <w:t>Indenture, dated April 12, 2021, between the Company and U.S. Bank National Association, as trustee, relating to the Company’s 5.50% senior unsecured notes due 2028 (incorporated by reference to Exhibit 4.1 to the Company’s Form 8-K, filed April 12, 2021).</w:t>
      </w:r>
    </w:p>
    <w:p>
      <w:pPr>
        <w:spacing w:after="0" w:line="1" w:lineRule="exact"/>
        <w:rPr>
          <w:sz w:val="20"/>
          <w:szCs w:val="20"/>
          <w:color w:val="auto"/>
        </w:rPr>
      </w:pPr>
    </w:p>
    <w:p>
      <w:pPr>
        <w:ind w:left="1034"/>
        <w:spacing w:after="0"/>
        <w:tabs>
          <w:tab w:leader="none" w:pos="1434" w:val="left"/>
        </w:tabs>
        <w:rPr>
          <w:rFonts w:ascii="Arial" w:cs="Arial" w:eastAsia="Arial" w:hAnsi="Arial"/>
          <w:sz w:val="14"/>
          <w:szCs w:val="14"/>
          <w:color w:val="0000FF"/>
        </w:rPr>
      </w:pPr>
      <w:hyperlink r:id="rId133">
        <w:r>
          <w:rPr>
            <w:rFonts w:ascii="Arial" w:cs="Arial" w:eastAsia="Arial" w:hAnsi="Arial"/>
            <w:sz w:val="14"/>
            <w:szCs w:val="14"/>
            <w:u w:val="single" w:color="auto"/>
            <w:color w:val="0000FF"/>
          </w:rPr>
          <w:t>4.10</w:t>
        </w:r>
      </w:hyperlink>
      <w:r>
        <w:rPr>
          <w:rFonts w:ascii="Arial" w:cs="Arial" w:eastAsia="Arial" w:hAnsi="Arial"/>
          <w:sz w:val="14"/>
          <w:szCs w:val="14"/>
          <w:color w:val="0000FF"/>
        </w:rPr>
        <w:tab/>
        <w:t>Form of global note representing the Company’s 5.50% senior unsecured notes due 2028 (included in Exhibit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22860</wp:posOffset>
            </wp:positionV>
            <wp:extent cx="7071995" cy="308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7071995" cy="308610"/>
                    </a:xfrm>
                    <a:prstGeom prst="rect">
                      <a:avLst/>
                    </a:prstGeom>
                    <a:noFill/>
                  </pic:spPr>
                </pic:pic>
              </a:graphicData>
            </a:graphic>
          </wp:anchor>
        </w:drawing>
      </w:r>
    </w:p>
    <w:p>
      <w:pPr>
        <w:spacing w:after="0" w:line="20" w:lineRule="exact"/>
        <w:rPr>
          <w:sz w:val="20"/>
          <w:szCs w:val="20"/>
          <w:color w:val="auto"/>
        </w:rPr>
      </w:pPr>
    </w:p>
    <w:p>
      <w:pPr>
        <w:ind w:left="1054"/>
        <w:spacing w:after="0"/>
        <w:tabs>
          <w:tab w:leader="none" w:pos="1434" w:val="left"/>
        </w:tabs>
        <w:rPr>
          <w:rFonts w:ascii="Arial" w:cs="Arial" w:eastAsia="Arial" w:hAnsi="Arial"/>
          <w:sz w:val="14"/>
          <w:szCs w:val="14"/>
          <w:color w:val="0000FF"/>
        </w:rPr>
      </w:pPr>
      <w:hyperlink r:id="rId135">
        <w:r>
          <w:rPr>
            <w:rFonts w:ascii="Arial" w:cs="Arial" w:eastAsia="Arial" w:hAnsi="Arial"/>
            <w:sz w:val="14"/>
            <w:szCs w:val="14"/>
            <w:u w:val="single" w:color="auto"/>
            <w:color w:val="0000FF"/>
          </w:rPr>
          <w:t>4.11</w:t>
        </w:r>
      </w:hyperlink>
      <w:r>
        <w:rPr>
          <w:rFonts w:ascii="Arial" w:cs="Arial" w:eastAsia="Arial" w:hAnsi="Arial"/>
          <w:sz w:val="14"/>
          <w:szCs w:val="14"/>
          <w:color w:val="0000FF"/>
        </w:rPr>
        <w:tab/>
        <w:t>First Supplemental Indenture, dated as of September 24, 2021, between the Company and U.S. Bank National Association, as trustee, relating to the</w:t>
      </w:r>
    </w:p>
    <w:p>
      <w:pPr>
        <w:spacing w:after="0" w:line="2" w:lineRule="exact"/>
        <w:rPr>
          <w:sz w:val="20"/>
          <w:szCs w:val="20"/>
          <w:color w:val="auto"/>
        </w:rPr>
      </w:pPr>
    </w:p>
    <w:p>
      <w:pPr>
        <w:ind w:left="1454" w:right="140"/>
        <w:spacing w:after="0" w:line="231" w:lineRule="auto"/>
        <w:rPr>
          <w:sz w:val="20"/>
          <w:szCs w:val="20"/>
          <w:color w:val="auto"/>
        </w:rPr>
      </w:pPr>
      <w:r>
        <w:rPr>
          <w:rFonts w:ascii="Arial" w:cs="Arial" w:eastAsia="Arial" w:hAnsi="Arial"/>
          <w:sz w:val="14"/>
          <w:szCs w:val="14"/>
          <w:color w:val="auto"/>
        </w:rPr>
        <w:t>Company’s 5.50% senior unsecured notes due 2028 (incorporated by reference to Exhibit 4.1 of the Company’s Current Report on Form 8-K, filed on September 24, 2021).</w:t>
      </w:r>
    </w:p>
    <w:p>
      <w:pPr>
        <w:spacing w:after="0" w:line="14" w:lineRule="exact"/>
        <w:rPr>
          <w:sz w:val="20"/>
          <w:szCs w:val="20"/>
          <w:color w:val="auto"/>
        </w:rPr>
      </w:pPr>
    </w:p>
    <w:p>
      <w:pPr>
        <w:ind w:left="1454" w:right="280" w:hanging="423"/>
        <w:spacing w:after="0" w:line="252" w:lineRule="auto"/>
        <w:tabs>
          <w:tab w:leader="none" w:pos="1434" w:val="left"/>
        </w:tabs>
        <w:rPr>
          <w:rFonts w:ascii="Arial" w:cs="Arial" w:eastAsia="Arial" w:hAnsi="Arial"/>
          <w:sz w:val="14"/>
          <w:szCs w:val="14"/>
          <w:color w:val="0000FF"/>
        </w:rPr>
      </w:pPr>
      <w:hyperlink r:id="rId136">
        <w:r>
          <w:rPr>
            <w:rFonts w:ascii="Arial" w:cs="Arial" w:eastAsia="Arial" w:hAnsi="Arial"/>
            <w:sz w:val="14"/>
            <w:szCs w:val="14"/>
            <w:u w:val="single" w:color="auto"/>
            <w:color w:val="0000FF"/>
          </w:rPr>
          <w:t>4.12</w:t>
        </w:r>
      </w:hyperlink>
      <w:r>
        <w:rPr>
          <w:rFonts w:ascii="Arial" w:cs="Arial" w:eastAsia="Arial" w:hAnsi="Arial"/>
          <w:sz w:val="14"/>
          <w:szCs w:val="14"/>
          <w:color w:val="0000FF"/>
        </w:rPr>
        <w:tab/>
        <w:t>2028 Notes Guarantee, dated November 10, 2022 (incorporated by reference to Exhibit 4.3 of the Company’s Current Report on Form 8-K, filed on November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-2540</wp:posOffset>
            </wp:positionV>
            <wp:extent cx="7071995" cy="2146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ind w:left="1454" w:right="60" w:hanging="423"/>
        <w:spacing w:after="0" w:line="251" w:lineRule="auto"/>
        <w:tabs>
          <w:tab w:leader="none" w:pos="1434" w:val="left"/>
        </w:tabs>
        <w:rPr>
          <w:rFonts w:ascii="Arial" w:cs="Arial" w:eastAsia="Arial" w:hAnsi="Arial"/>
          <w:sz w:val="14"/>
          <w:szCs w:val="14"/>
          <w:color w:val="0000FF"/>
        </w:rPr>
      </w:pPr>
      <w:hyperlink r:id="rId138">
        <w:r>
          <w:rPr>
            <w:rFonts w:ascii="Arial" w:cs="Arial" w:eastAsia="Arial" w:hAnsi="Arial"/>
            <w:sz w:val="14"/>
            <w:szCs w:val="14"/>
            <w:u w:val="single" w:color="auto"/>
            <w:color w:val="0000FF"/>
          </w:rPr>
          <w:t>4.13</w:t>
        </w:r>
      </w:hyperlink>
      <w:r>
        <w:rPr>
          <w:rFonts w:ascii="Arial" w:cs="Arial" w:eastAsia="Arial" w:hAnsi="Arial"/>
          <w:sz w:val="14"/>
          <w:szCs w:val="14"/>
          <w:color w:val="0000FF"/>
        </w:rPr>
        <w:tab/>
        <w:t>Indenture, dated November 21, 2023, between the Company and U.S. Bank National Association, as trustee, relating to the Company’s 7.875% senior unsecured notes due 2030 (incorporated by reference to Exhibit 4.1 of the Company’s Current Report on Form 8-K, filed on November 22, 2023).</w:t>
      </w:r>
    </w:p>
    <w:p>
      <w:pPr>
        <w:spacing w:after="0" w:line="1" w:lineRule="exact"/>
        <w:rPr>
          <w:sz w:val="20"/>
          <w:szCs w:val="20"/>
          <w:color w:val="auto"/>
        </w:rPr>
      </w:pPr>
    </w:p>
    <w:p>
      <w:pPr>
        <w:ind w:left="1034"/>
        <w:spacing w:after="0"/>
        <w:tabs>
          <w:tab w:leader="none" w:pos="1434" w:val="left"/>
        </w:tabs>
        <w:rPr>
          <w:rFonts w:ascii="Arial" w:cs="Arial" w:eastAsia="Arial" w:hAnsi="Arial"/>
          <w:sz w:val="14"/>
          <w:szCs w:val="14"/>
          <w:color w:val="0000FF"/>
        </w:rPr>
      </w:pPr>
      <w:hyperlink r:id="rId138">
        <w:r>
          <w:rPr>
            <w:rFonts w:ascii="Arial" w:cs="Arial" w:eastAsia="Arial" w:hAnsi="Arial"/>
            <w:sz w:val="14"/>
            <w:szCs w:val="14"/>
            <w:u w:val="single" w:color="auto"/>
            <w:color w:val="0000FF"/>
          </w:rPr>
          <w:t>4.14</w:t>
        </w:r>
      </w:hyperlink>
      <w:r>
        <w:rPr>
          <w:rFonts w:ascii="Arial" w:cs="Arial" w:eastAsia="Arial" w:hAnsi="Arial"/>
          <w:sz w:val="14"/>
          <w:szCs w:val="14"/>
          <w:color w:val="0000FF"/>
        </w:rPr>
        <w:tab/>
        <w:t>Form of global note representing the Company’s 7.875% senior unsecured notes due 2030 (included in 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22860</wp:posOffset>
            </wp:positionV>
            <wp:extent cx="7071995"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0" w:lineRule="exact"/>
        <w:rPr>
          <w:sz w:val="20"/>
          <w:szCs w:val="20"/>
          <w:color w:val="auto"/>
        </w:rPr>
      </w:pPr>
    </w:p>
    <w:p>
      <w:pPr>
        <w:ind w:left="1034"/>
        <w:spacing w:after="0"/>
        <w:tabs>
          <w:tab w:leader="none" w:pos="1434" w:val="left"/>
        </w:tabs>
        <w:rPr>
          <w:sz w:val="20"/>
          <w:szCs w:val="20"/>
          <w:color w:val="auto"/>
        </w:rPr>
      </w:pPr>
      <w:r>
        <w:rPr>
          <w:rFonts w:ascii="Arial" w:cs="Arial" w:eastAsia="Arial" w:hAnsi="Arial"/>
          <w:sz w:val="14"/>
          <w:szCs w:val="14"/>
          <w:u w:val="single" w:color="auto"/>
          <w:color w:val="0000FF"/>
        </w:rPr>
        <w:t>4.15</w:t>
      </w:r>
      <w:r>
        <w:rPr>
          <w:sz w:val="20"/>
          <w:szCs w:val="20"/>
          <w:color w:val="auto"/>
        </w:rPr>
        <w:tab/>
      </w:r>
      <w:r>
        <w:rPr>
          <w:rFonts w:ascii="Arial" w:cs="Arial" w:eastAsia="Arial" w:hAnsi="Arial"/>
          <w:sz w:val="14"/>
          <w:szCs w:val="14"/>
          <w:color w:val="auto"/>
        </w:rPr>
        <w:t>Description of Securities Registered under Section 12 of the Exchange Act.</w:t>
      </w:r>
    </w:p>
    <w:p>
      <w:pPr>
        <w:spacing w:after="0" w:line="42" w:lineRule="exact"/>
        <w:rPr>
          <w:sz w:val="20"/>
          <w:szCs w:val="20"/>
          <w:color w:val="auto"/>
        </w:rPr>
      </w:pPr>
    </w:p>
    <w:p>
      <w:pPr>
        <w:ind w:left="1454" w:hanging="1454"/>
        <w:spacing w:after="0" w:line="252" w:lineRule="auto"/>
        <w:tabs>
          <w:tab w:leader="none" w:pos="1030" w:val="left"/>
        </w:tabs>
        <w:numPr>
          <w:ilvl w:val="0"/>
          <w:numId w:val="36"/>
        </w:numPr>
        <w:rPr>
          <w:rFonts w:ascii="Arial" w:cs="Arial" w:eastAsia="Arial" w:hAnsi="Arial"/>
          <w:sz w:val="14"/>
          <w:szCs w:val="14"/>
          <w:color w:val="0000FF"/>
        </w:rPr>
      </w:pPr>
      <w:hyperlink r:id="rId140">
        <w:r>
          <w:rPr>
            <w:rFonts w:ascii="Arial" w:cs="Arial" w:eastAsia="Arial" w:hAnsi="Arial"/>
            <w:sz w:val="14"/>
            <w:szCs w:val="14"/>
            <w:u w:val="single" w:color="auto"/>
            <w:color w:val="0000FF"/>
          </w:rPr>
          <w:t>10.1</w:t>
        </w:r>
        <w:r>
          <w:rPr>
            <w:rFonts w:ascii="Arial" w:cs="Arial" w:eastAsia="Arial" w:hAnsi="Arial"/>
            <w:sz w:val="14"/>
            <w:szCs w:val="14"/>
            <w:color w:val="0000FF"/>
          </w:rPr>
          <w:t xml:space="preserve"> </w:t>
        </w:r>
      </w:hyperlink>
      <w:r>
        <w:rPr>
          <w:rFonts w:ascii="Arial" w:cs="Arial" w:eastAsia="Arial" w:hAnsi="Arial"/>
          <w:sz w:val="14"/>
          <w:szCs w:val="14"/>
          <w:color w:val="000000"/>
        </w:rPr>
        <w:t>Management</w:t>
      </w:r>
      <w:r>
        <w:rPr>
          <w:rFonts w:ascii="Arial" w:cs="Arial" w:eastAsia="Arial" w:hAnsi="Arial"/>
          <w:sz w:val="14"/>
          <w:szCs w:val="14"/>
          <w:color w:val="0000FF"/>
        </w:rPr>
        <w:t xml:space="preserve"> </w:t>
      </w:r>
      <w:r>
        <w:rPr>
          <w:rFonts w:ascii="Arial" w:cs="Arial" w:eastAsia="Arial" w:hAnsi="Arial"/>
          <w:sz w:val="14"/>
          <w:szCs w:val="14"/>
          <w:color w:val="000000"/>
        </w:rPr>
        <w:t>and Advisory Agreement, dated as of July 31, 2022, between the Company, FTAI Aviation Ltd., the Subsidiaries that are party thereto and</w:t>
      </w:r>
      <w:r>
        <w:rPr>
          <w:rFonts w:ascii="Arial" w:cs="Arial" w:eastAsia="Arial" w:hAnsi="Arial"/>
          <w:sz w:val="14"/>
          <w:szCs w:val="14"/>
          <w:color w:val="0000FF"/>
        </w:rPr>
        <w:t xml:space="preserve"> </w:t>
      </w:r>
      <w:r>
        <w:rPr>
          <w:rFonts w:ascii="Arial" w:cs="Arial" w:eastAsia="Arial" w:hAnsi="Arial"/>
          <w:sz w:val="14"/>
          <w:szCs w:val="14"/>
          <w:color w:val="000000"/>
        </w:rPr>
        <w:t>FIG LLC (incorporated by reference to Exhibit 10.1 of the Company’s Current Report on Form 8-K, filed on August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-2540</wp:posOffset>
            </wp:positionV>
            <wp:extent cx="7071995" cy="3517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7071995" cy="351790"/>
                    </a:xfrm>
                    <a:prstGeom prst="rect">
                      <a:avLst/>
                    </a:prstGeom>
                    <a:noFill/>
                  </pic:spPr>
                </pic:pic>
              </a:graphicData>
            </a:graphic>
          </wp:anchor>
        </w:drawing>
      </w:r>
    </w:p>
    <w:p>
      <w:pPr>
        <w:sectPr>
          <w:pgSz w:w="11900" w:h="16838" w:orient="portrait"/>
          <w:cols w:equalWidth="0" w:num="1">
            <w:col w:w="11074"/>
          </w:cols>
          <w:pgMar w:left="346" w:top="1089" w:right="479" w:bottom="1440" w:gutter="0" w:footer="0" w:header="0"/>
        </w:sectPr>
      </w:pPr>
    </w:p>
    <w:p>
      <w:pPr>
        <w:spacing w:after="0" w:line="1" w:lineRule="exact"/>
        <w:rPr>
          <w:sz w:val="20"/>
          <w:szCs w:val="20"/>
          <w:color w:val="auto"/>
        </w:rPr>
      </w:pPr>
    </w:p>
    <w:p>
      <w:pPr>
        <w:ind w:left="1034" w:hanging="1034"/>
        <w:spacing w:after="0"/>
        <w:tabs>
          <w:tab w:leader="none" w:pos="1034" w:val="left"/>
        </w:tabs>
        <w:numPr>
          <w:ilvl w:val="0"/>
          <w:numId w:val="37"/>
        </w:numPr>
        <w:rPr>
          <w:rFonts w:ascii="Arial" w:cs="Arial" w:eastAsia="Arial" w:hAnsi="Arial"/>
          <w:sz w:val="14"/>
          <w:szCs w:val="14"/>
          <w:u w:val="single" w:color="auto"/>
          <w:color w:val="0000FF"/>
        </w:rPr>
      </w:pPr>
      <w:hyperlink r:id="rId142">
        <w:r>
          <w:rPr>
            <w:rFonts w:ascii="Arial" w:cs="Arial" w:eastAsia="Arial" w:hAnsi="Arial"/>
            <w:sz w:val="14"/>
            <w:szCs w:val="14"/>
            <w:u w:val="single" w:color="auto"/>
            <w:color w:val="0000FF"/>
          </w:rPr>
          <w:t>10.2</w:t>
        </w:r>
      </w:hyperlink>
    </w:p>
    <w:p>
      <w:pPr>
        <w:spacing w:after="0" w:line="391" w:lineRule="exact"/>
        <w:rPr>
          <w:rFonts w:ascii="Arial" w:cs="Arial" w:eastAsia="Arial" w:hAnsi="Arial"/>
          <w:sz w:val="14"/>
          <w:szCs w:val="14"/>
          <w:u w:val="single" w:color="auto"/>
          <w:color w:val="0000FF"/>
        </w:rPr>
      </w:pPr>
    </w:p>
    <w:p>
      <w:pPr>
        <w:ind w:left="1034" w:hanging="1034"/>
        <w:spacing w:after="0"/>
        <w:tabs>
          <w:tab w:leader="none" w:pos="1034" w:val="left"/>
        </w:tabs>
        <w:numPr>
          <w:ilvl w:val="0"/>
          <w:numId w:val="37"/>
        </w:numPr>
        <w:rPr>
          <w:rFonts w:ascii="Arial" w:cs="Arial" w:eastAsia="Arial" w:hAnsi="Arial"/>
          <w:sz w:val="14"/>
          <w:szCs w:val="14"/>
          <w:u w:val="single" w:color="auto"/>
          <w:color w:val="0000FF"/>
        </w:rPr>
      </w:pPr>
      <w:hyperlink r:id="rId143">
        <w:r>
          <w:rPr>
            <w:rFonts w:ascii="Arial" w:cs="Arial" w:eastAsia="Arial" w:hAnsi="Arial"/>
            <w:sz w:val="14"/>
            <w:szCs w:val="14"/>
            <w:u w:val="single" w:color="auto"/>
            <w:color w:val="0000FF"/>
          </w:rPr>
          <w:t>10.3</w:t>
        </w:r>
      </w:hyperlink>
    </w:p>
    <w:p>
      <w:pPr>
        <w:spacing w:after="0" w:line="392" w:lineRule="exact"/>
        <w:rPr>
          <w:rFonts w:ascii="Arial" w:cs="Arial" w:eastAsia="Arial" w:hAnsi="Arial"/>
          <w:sz w:val="14"/>
          <w:szCs w:val="14"/>
          <w:u w:val="single" w:color="auto"/>
          <w:color w:val="0000FF"/>
        </w:rPr>
      </w:pPr>
    </w:p>
    <w:p>
      <w:pPr>
        <w:ind w:left="1034" w:hanging="1034"/>
        <w:spacing w:after="0"/>
        <w:tabs>
          <w:tab w:leader="none" w:pos="1034" w:val="left"/>
        </w:tabs>
        <w:numPr>
          <w:ilvl w:val="0"/>
          <w:numId w:val="37"/>
        </w:numPr>
        <w:rPr>
          <w:rFonts w:ascii="Arial" w:cs="Arial" w:eastAsia="Arial" w:hAnsi="Arial"/>
          <w:sz w:val="14"/>
          <w:szCs w:val="14"/>
          <w:u w:val="single" w:color="auto"/>
          <w:color w:val="0000FF"/>
        </w:rPr>
      </w:pPr>
      <w:hyperlink r:id="rId144">
        <w:r>
          <w:rPr>
            <w:rFonts w:ascii="Arial" w:cs="Arial" w:eastAsia="Arial" w:hAnsi="Arial"/>
            <w:sz w:val="14"/>
            <w:szCs w:val="14"/>
            <w:u w:val="single" w:color="auto"/>
            <w:color w:val="0000FF"/>
          </w:rPr>
          <w:t>10.4</w:t>
        </w:r>
      </w:hyperlink>
    </w:p>
    <w:p>
      <w:pPr>
        <w:spacing w:after="0" w:line="41" w:lineRule="exact"/>
        <w:rPr>
          <w:rFonts w:ascii="Arial" w:cs="Arial" w:eastAsia="Arial" w:hAnsi="Arial"/>
          <w:sz w:val="14"/>
          <w:szCs w:val="14"/>
          <w:u w:val="single" w:color="auto"/>
          <w:color w:val="0000FF"/>
        </w:rPr>
      </w:pPr>
    </w:p>
    <w:p>
      <w:pPr>
        <w:ind w:left="1034" w:hanging="1034"/>
        <w:spacing w:after="0"/>
        <w:tabs>
          <w:tab w:leader="none" w:pos="1034" w:val="left"/>
        </w:tabs>
        <w:numPr>
          <w:ilvl w:val="0"/>
          <w:numId w:val="37"/>
        </w:numPr>
        <w:rPr>
          <w:rFonts w:ascii="Arial" w:cs="Arial" w:eastAsia="Arial" w:hAnsi="Arial"/>
          <w:sz w:val="14"/>
          <w:szCs w:val="14"/>
          <w:u w:val="single" w:color="auto"/>
          <w:color w:val="0000FF"/>
        </w:rPr>
      </w:pPr>
      <w:hyperlink r:id="rId145">
        <w:r>
          <w:rPr>
            <w:rFonts w:ascii="Arial" w:cs="Arial" w:eastAsia="Arial" w:hAnsi="Arial"/>
            <w:sz w:val="14"/>
            <w:szCs w:val="14"/>
            <w:u w:val="single" w:color="auto"/>
            <w:color w:val="0000FF"/>
          </w:rPr>
          <w:t>10.5</w:t>
        </w:r>
      </w:hyperlink>
    </w:p>
    <w:p>
      <w:pPr>
        <w:spacing w:after="0" w:line="20" w:lineRule="exact"/>
        <w:rPr>
          <w:rFonts w:ascii="Arial" w:cs="Arial" w:eastAsia="Arial" w:hAnsi="Arial"/>
          <w:sz w:val="14"/>
          <w:szCs w:val="14"/>
          <w:color w:val="auto"/>
        </w:rPr>
      </w:pPr>
      <w:r>
        <w:rPr>
          <w:rFonts w:ascii="Arial" w:cs="Arial" w:eastAsia="Arial" w:hAnsi="Arial"/>
          <w:sz w:val="14"/>
          <w:szCs w:val="14"/>
          <w:color w:val="auto"/>
        </w:rPr>
        <w:br w:type="column"/>
      </w:r>
    </w:p>
    <w:p>
      <w:pPr>
        <w:jc w:val="both"/>
        <w:ind w:right="240"/>
        <w:spacing w:after="0" w:line="273" w:lineRule="auto"/>
        <w:rPr>
          <w:sz w:val="20"/>
          <w:szCs w:val="20"/>
          <w:color w:val="auto"/>
        </w:rPr>
      </w:pPr>
      <w:r>
        <w:rPr>
          <w:rFonts w:ascii="Arial" w:cs="Arial" w:eastAsia="Arial" w:hAnsi="Arial"/>
          <w:sz w:val="14"/>
          <w:szCs w:val="14"/>
          <w:color w:val="auto"/>
        </w:rPr>
        <w:t>Services and Profit Sharing Agreement, dated November 10, 2022, by and among FTAI Aviation Holdco Ltd., the Company and Fortress Worldwide Transportation and Infrastructure Master GP LLC (incorporated by reference to Exhibit 10.1 of the Company’s Current Report on Form 8-K, filed on November 14, 2022).</w:t>
      </w:r>
    </w:p>
    <w:p>
      <w:pPr>
        <w:spacing w:after="0" w:line="4" w:lineRule="exact"/>
        <w:rPr>
          <w:rFonts w:ascii="Arial" w:cs="Arial" w:eastAsia="Arial" w:hAnsi="Arial"/>
          <w:sz w:val="14"/>
          <w:szCs w:val="14"/>
          <w:color w:val="auto"/>
        </w:rPr>
      </w:pPr>
    </w:p>
    <w:p>
      <w:pPr>
        <w:ind w:right="100"/>
        <w:spacing w:after="0" w:line="268" w:lineRule="auto"/>
        <w:rPr>
          <w:sz w:val="20"/>
          <w:szCs w:val="20"/>
          <w:color w:val="auto"/>
        </w:rPr>
      </w:pPr>
      <w:r>
        <w:rPr>
          <w:rFonts w:ascii="Arial" w:cs="Arial" w:eastAsia="Arial" w:hAnsi="Arial"/>
          <w:sz w:val="14"/>
          <w:szCs w:val="14"/>
          <w:color w:val="auto"/>
        </w:rPr>
        <w:t>Amended and Restated Registration Rights Agreement, dated November 10, 2022, by and among FTAI Aviation Ltd., the Company, Fortress Worldwide Transportation and Infrastructure Master GP LLC and FIG LLC (incorporated by reference to Exhibit 10.2 of the Company’s Current Report on Form 8-K, filed on November 14, 2022).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-934085</wp:posOffset>
            </wp:positionH>
            <wp:positionV relativeFrom="paragraph">
              <wp:posOffset>-1905</wp:posOffset>
            </wp:positionV>
            <wp:extent cx="707199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FTAI Aviation Ltd. Nonqualified Stock Option and Incentive Award Plan, dated as of February 23, 2023.</w:t>
      </w:r>
    </w:p>
    <w:p>
      <w:pPr>
        <w:spacing w:after="0" w:line="42" w:lineRule="exact"/>
        <w:rPr>
          <w:rFonts w:ascii="Arial" w:cs="Arial" w:eastAsia="Arial" w:hAnsi="Arial"/>
          <w:sz w:val="14"/>
          <w:szCs w:val="14"/>
          <w:color w:val="auto"/>
        </w:rPr>
      </w:pPr>
    </w:p>
    <w:p>
      <w:pPr>
        <w:ind w:right="280"/>
        <w:spacing w:after="0" w:line="252" w:lineRule="auto"/>
        <w:rPr>
          <w:sz w:val="20"/>
          <w:szCs w:val="20"/>
          <w:color w:val="auto"/>
        </w:rPr>
      </w:pPr>
      <w:r>
        <w:rPr>
          <w:rFonts w:ascii="Arial" w:cs="Arial" w:eastAsia="Arial" w:hAnsi="Arial"/>
          <w:sz w:val="14"/>
          <w:szCs w:val="14"/>
          <w:color w:val="auto"/>
        </w:rPr>
        <w:t>Form of FTAI Aviation Ltd. Director and Officer Indemnification Agreement (incorporated by reference to Exhibit 10.6 to the Company’s Registration Statement on Form S-4, filed on October 4, 2022).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-934085</wp:posOffset>
            </wp:positionH>
            <wp:positionV relativeFrom="paragraph">
              <wp:posOffset>-2540</wp:posOffset>
            </wp:positionV>
            <wp:extent cx="7071995" cy="2146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071995" cy="214630"/>
                    </a:xfrm>
                    <a:prstGeom prst="rect">
                      <a:avLst/>
                    </a:prstGeom>
                    <a:noFill/>
                  </pic:spPr>
                </pic:pic>
              </a:graphicData>
            </a:graphic>
          </wp:anchor>
        </w:drawing>
      </w:r>
    </w:p>
    <w:p>
      <w:pPr>
        <w:spacing w:after="0" w:line="1" w:lineRule="exact"/>
        <w:rPr>
          <w:rFonts w:ascii="Arial" w:cs="Arial" w:eastAsia="Arial" w:hAnsi="Arial"/>
          <w:sz w:val="14"/>
          <w:szCs w:val="14"/>
          <w:color w:val="auto"/>
        </w:rPr>
      </w:pPr>
    </w:p>
    <w:p>
      <w:pPr>
        <w:sectPr>
          <w:pgSz w:w="11900" w:h="16838" w:orient="portrait"/>
          <w:cols w:equalWidth="0" w:num="2">
            <w:col w:w="1314" w:space="140"/>
            <w:col w:w="9620"/>
          </w:cols>
          <w:pgMar w:left="346" w:top="1089" w:right="479" w:bottom="1440" w:gutter="0" w:footer="0" w:header="0"/>
          <w:type w:val="continuous"/>
        </w:sectPr>
      </w:pPr>
    </w:p>
    <w:p>
      <w:pPr>
        <w:ind w:left="1454" w:right="400" w:hanging="1454"/>
        <w:spacing w:after="0" w:line="251" w:lineRule="auto"/>
        <w:tabs>
          <w:tab w:leader="none" w:pos="1030" w:val="left"/>
        </w:tabs>
        <w:numPr>
          <w:ilvl w:val="0"/>
          <w:numId w:val="38"/>
        </w:numPr>
        <w:rPr>
          <w:rFonts w:ascii="Arial" w:cs="Arial" w:eastAsia="Arial" w:hAnsi="Arial"/>
          <w:sz w:val="14"/>
          <w:szCs w:val="14"/>
          <w:color w:val="0000FF"/>
        </w:rPr>
      </w:pPr>
      <w:hyperlink r:id="rId148">
        <w:r>
          <w:rPr>
            <w:rFonts w:ascii="Arial" w:cs="Arial" w:eastAsia="Arial" w:hAnsi="Arial"/>
            <w:sz w:val="14"/>
            <w:szCs w:val="14"/>
            <w:u w:val="single" w:color="auto"/>
            <w:color w:val="0000FF"/>
          </w:rPr>
          <w:t>10.6</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Director Award Agreement pursuant to the FTAI Aviation Ltd. Nonqualified Stock Option and Incentive Plan (incorporated by reference to</w:t>
      </w:r>
      <w:r>
        <w:rPr>
          <w:rFonts w:ascii="Arial" w:cs="Arial" w:eastAsia="Arial" w:hAnsi="Arial"/>
          <w:sz w:val="14"/>
          <w:szCs w:val="14"/>
          <w:color w:val="0000FF"/>
        </w:rPr>
        <w:t xml:space="preserve"> </w:t>
      </w:r>
      <w:r>
        <w:rPr>
          <w:rFonts w:ascii="Arial" w:cs="Arial" w:eastAsia="Arial" w:hAnsi="Arial"/>
          <w:sz w:val="14"/>
          <w:szCs w:val="14"/>
          <w:color w:val="000000"/>
        </w:rPr>
        <w:t>Exhibit 10.7 to the Company’s Registration Statement on Form S-4, filed on October 4, 2022).</w:t>
      </w:r>
    </w:p>
    <w:p>
      <w:pPr>
        <w:ind w:left="1454" w:right="60" w:hanging="1454"/>
        <w:spacing w:after="0" w:line="263" w:lineRule="auto"/>
        <w:tabs>
          <w:tab w:leader="none" w:pos="1030" w:val="left"/>
        </w:tabs>
        <w:numPr>
          <w:ilvl w:val="0"/>
          <w:numId w:val="38"/>
        </w:numPr>
        <w:rPr>
          <w:rFonts w:ascii="Arial" w:cs="Arial" w:eastAsia="Arial" w:hAnsi="Arial"/>
          <w:sz w:val="14"/>
          <w:szCs w:val="14"/>
          <w:color w:val="0000FF"/>
        </w:rPr>
      </w:pPr>
      <w:hyperlink r:id="rId149">
        <w:r>
          <w:rPr>
            <w:rFonts w:ascii="Arial" w:cs="Arial" w:eastAsia="Arial" w:hAnsi="Arial"/>
            <w:sz w:val="14"/>
            <w:szCs w:val="14"/>
            <w:u w:val="single" w:color="auto"/>
            <w:color w:val="0000FF"/>
          </w:rPr>
          <w:t>10.7</w:t>
        </w:r>
        <w:r>
          <w:rPr>
            <w:rFonts w:ascii="Arial" w:cs="Arial" w:eastAsia="Arial" w:hAnsi="Arial"/>
            <w:sz w:val="14"/>
            <w:szCs w:val="14"/>
            <w:color w:val="0000FF"/>
          </w:rPr>
          <w:t xml:space="preserve"> </w:t>
        </w:r>
      </w:hyperlink>
      <w:r>
        <w:rPr>
          <w:rFonts w:ascii="Arial" w:cs="Arial" w:eastAsia="Arial" w:hAnsi="Arial"/>
          <w:sz w:val="14"/>
          <w:szCs w:val="14"/>
          <w:color w:val="000000"/>
        </w:rPr>
        <w:t>Form</w:t>
      </w:r>
      <w:r>
        <w:rPr>
          <w:rFonts w:ascii="Arial" w:cs="Arial" w:eastAsia="Arial" w:hAnsi="Arial"/>
          <w:sz w:val="14"/>
          <w:szCs w:val="14"/>
          <w:color w:val="0000FF"/>
        </w:rPr>
        <w:t xml:space="preserve"> </w:t>
      </w:r>
      <w:r>
        <w:rPr>
          <w:rFonts w:ascii="Arial" w:cs="Arial" w:eastAsia="Arial" w:hAnsi="Arial"/>
          <w:sz w:val="14"/>
          <w:szCs w:val="14"/>
          <w:color w:val="000000"/>
        </w:rPr>
        <w:t>of Award Agreement under the FTAI Aviation Ltd. Nonqualified Stock Option and Incentive Award Plan (incorporated by reference to Exhibit 10.8</w:t>
      </w:r>
      <w:r>
        <w:rPr>
          <w:rFonts w:ascii="Arial" w:cs="Arial" w:eastAsia="Arial" w:hAnsi="Arial"/>
          <w:sz w:val="14"/>
          <w:szCs w:val="14"/>
          <w:color w:val="0000FF"/>
        </w:rPr>
        <w:t xml:space="preserve"> </w:t>
      </w:r>
      <w:r>
        <w:rPr>
          <w:rFonts w:ascii="Arial" w:cs="Arial" w:eastAsia="Arial" w:hAnsi="Arial"/>
          <w:sz w:val="14"/>
          <w:szCs w:val="14"/>
          <w:color w:val="000000"/>
        </w:rPr>
        <w:t>to the Company’s Registration Statement on Form S-4, filed on October 4, 2022).</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99" w:lineRule="exact"/>
        <w:rPr>
          <w:rFonts w:ascii="Arial" w:cs="Arial" w:eastAsia="Arial" w:hAnsi="Arial"/>
          <w:sz w:val="14"/>
          <w:szCs w:val="14"/>
          <w:color w:val="auto"/>
        </w:rPr>
      </w:pPr>
    </w:p>
    <w:p>
      <w:pPr>
        <w:jc w:val="center"/>
        <w:ind w:right="-133"/>
        <w:spacing w:after="0"/>
        <w:rPr>
          <w:sz w:val="20"/>
          <w:szCs w:val="20"/>
          <w:color w:val="auto"/>
        </w:rPr>
      </w:pPr>
      <w:r>
        <w:rPr>
          <w:rFonts w:ascii="Arial" w:cs="Arial" w:eastAsia="Arial" w:hAnsi="Arial"/>
          <w:sz w:val="14"/>
          <w:szCs w:val="14"/>
          <w:color w:val="auto"/>
        </w:rPr>
        <w:t>92</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-23495</wp:posOffset>
            </wp:positionH>
            <wp:positionV relativeFrom="paragraph">
              <wp:posOffset>71120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4"/>
          </w:cols>
          <w:pgMar w:left="346" w:top="1089" w:right="479" w:bottom="1440" w:gutter="0" w:footer="0" w:header="0"/>
          <w:type w:val="continuous"/>
        </w:sectPr>
      </w:pPr>
    </w:p>
    <w:bookmarkStart w:id="93" w:name="page94"/>
    <w:bookmarkEnd w:id="93"/>
    <w:p>
      <w:pPr>
        <w:ind w:left="260"/>
        <w:spacing w:after="0"/>
        <w:tabs>
          <w:tab w:leader="none" w:pos="590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071995" cy="3511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7071995" cy="351155"/>
                    </a:xfrm>
                    <a:prstGeom prst="rect">
                      <a:avLst/>
                    </a:prstGeom>
                    <a:noFill/>
                  </pic:spPr>
                </pic:pic>
              </a:graphicData>
            </a:graphic>
          </wp:anchor>
        </w:drawing>
        <w:t>Exhibit No.</w:t>
      </w:r>
      <w:r>
        <w:rPr>
          <w:sz w:val="20"/>
          <w:szCs w:val="20"/>
          <w:color w:val="auto"/>
        </w:rPr>
        <w:tab/>
      </w:r>
      <w:r>
        <w:rPr>
          <w:rFonts w:ascii="Arial" w:cs="Arial" w:eastAsia="Arial" w:hAnsi="Arial"/>
          <w:sz w:val="14"/>
          <w:szCs w:val="14"/>
          <w:b w:val="1"/>
          <w:bCs w:val="1"/>
          <w:color w:val="auto"/>
        </w:rPr>
        <w:t>Description</w:t>
      </w:r>
    </w:p>
    <w:p>
      <w:pPr>
        <w:spacing w:after="0" w:line="55" w:lineRule="exact"/>
        <w:rPr>
          <w:sz w:val="20"/>
          <w:szCs w:val="20"/>
          <w:color w:val="auto"/>
        </w:rPr>
      </w:pPr>
    </w:p>
    <w:p>
      <w:pPr>
        <w:ind w:left="1480" w:right="100" w:hanging="423"/>
        <w:spacing w:after="0" w:line="252" w:lineRule="auto"/>
        <w:tabs>
          <w:tab w:leader="none" w:pos="1460" w:val="left"/>
        </w:tabs>
        <w:rPr>
          <w:rFonts w:ascii="Arial" w:cs="Arial" w:eastAsia="Arial" w:hAnsi="Arial"/>
          <w:sz w:val="14"/>
          <w:szCs w:val="14"/>
          <w:color w:val="0000FF"/>
        </w:rPr>
      </w:pPr>
      <w:hyperlink r:id="rId110">
        <w:r>
          <w:rPr>
            <w:rFonts w:ascii="Arial" w:cs="Arial" w:eastAsia="Arial" w:hAnsi="Arial"/>
            <w:sz w:val="14"/>
            <w:szCs w:val="14"/>
            <w:u w:val="single" w:color="auto"/>
            <w:color w:val="0000FF"/>
          </w:rPr>
          <w:t>10.8</w:t>
        </w:r>
      </w:hyperlink>
      <w:r>
        <w:rPr>
          <w:rFonts w:ascii="Arial" w:cs="Arial" w:eastAsia="Arial" w:hAnsi="Arial"/>
          <w:sz w:val="14"/>
          <w:szCs w:val="14"/>
          <w:color w:val="0000FF"/>
        </w:rPr>
        <w:tab/>
        <w:t>Trademark License Agreement, dated as of August 1, 2022, between Fortress Transportation and Infrastructure Investors LLC and FTAI Infrastructure Inc. (incorporated by reference to Exhibit 10.3 of the Company’s Current Report on Form 8-K, filed August 1, 2022).</w:t>
      </w:r>
    </w:p>
    <w:p>
      <w:pPr>
        <w:spacing w:after="0" w:line="1" w:lineRule="exact"/>
        <w:rPr>
          <w:sz w:val="20"/>
          <w:szCs w:val="20"/>
          <w:color w:val="auto"/>
        </w:rPr>
      </w:pPr>
    </w:p>
    <w:p>
      <w:pPr>
        <w:jc w:val="center"/>
        <w:ind w:left="920"/>
        <w:spacing w:after="0"/>
        <w:tabs>
          <w:tab w:leader="none" w:pos="120" w:val="left"/>
        </w:tabs>
        <w:rPr>
          <w:rFonts w:ascii="Arial" w:cs="Arial" w:eastAsia="Arial" w:hAnsi="Arial"/>
          <w:sz w:val="14"/>
          <w:szCs w:val="14"/>
          <w:color w:val="0000FF"/>
        </w:rPr>
      </w:pPr>
      <w:hyperlink r:id="rId152">
        <w:r>
          <w:rPr>
            <w:rFonts w:ascii="Arial" w:cs="Arial" w:eastAsia="Arial" w:hAnsi="Arial"/>
            <w:sz w:val="14"/>
            <w:szCs w:val="14"/>
            <w:u w:val="single" w:color="auto"/>
            <w:color w:val="0000FF"/>
          </w:rPr>
          <w:t>10.9</w:t>
        </w:r>
      </w:hyperlink>
      <w:r>
        <w:rPr>
          <w:rFonts w:ascii="Arial" w:cs="Arial" w:eastAsia="Arial" w:hAnsi="Arial"/>
          <w:sz w:val="14"/>
          <w:szCs w:val="14"/>
          <w:color w:val="0000FF"/>
        </w:rPr>
        <w:tab/>
        <w:t>Second Amended and Restated Credit Agreement, dated as of September 20, 2022, between the Company, the lenders and issuing banks from time to</w:t>
      </w:r>
    </w:p>
    <w:p>
      <w:pPr>
        <w:ind w:left="1480" w:right="440"/>
        <w:spacing w:after="0" w:line="231" w:lineRule="auto"/>
        <w:rPr>
          <w:sz w:val="20"/>
          <w:szCs w:val="20"/>
          <w:color w:val="auto"/>
        </w:rPr>
      </w:pPr>
      <w:r>
        <w:rPr>
          <w:rFonts w:ascii="Arial" w:cs="Arial" w:eastAsia="Arial" w:hAnsi="Arial"/>
          <w:sz w:val="14"/>
          <w:szCs w:val="14"/>
          <w:color w:val="auto"/>
        </w:rPr>
        <w:t>time party thereto and JPMorgan Chase Bank, N.A., as administrative agent (incorporated by reference to Exhibit 10.1 of the Company's Current Report on Form 8-K, filed September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071995" cy="3511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7071995" cy="351155"/>
                    </a:xfrm>
                    <a:prstGeom prst="rect">
                      <a:avLst/>
                    </a:prstGeom>
                    <a:noFill/>
                  </pic:spPr>
                </pic:pic>
              </a:graphicData>
            </a:graphic>
          </wp:anchor>
        </w:drawing>
      </w:r>
    </w:p>
    <w:p>
      <w:pPr>
        <w:jc w:val="both"/>
        <w:ind w:left="1480" w:right="160" w:hanging="503"/>
        <w:spacing w:after="0" w:line="273" w:lineRule="auto"/>
        <w:tabs>
          <w:tab w:leader="none" w:pos="1460" w:val="left"/>
        </w:tabs>
        <w:rPr>
          <w:rFonts w:ascii="Arial" w:cs="Arial" w:eastAsia="Arial" w:hAnsi="Arial"/>
          <w:sz w:val="14"/>
          <w:szCs w:val="14"/>
          <w:color w:val="0000FF"/>
        </w:rPr>
      </w:pPr>
      <w:hyperlink r:id="rId154">
        <w:r>
          <w:rPr>
            <w:rFonts w:ascii="Arial" w:cs="Arial" w:eastAsia="Arial" w:hAnsi="Arial"/>
            <w:sz w:val="14"/>
            <w:szCs w:val="14"/>
            <w:u w:val="single" w:color="auto"/>
            <w:color w:val="0000FF"/>
          </w:rPr>
          <w:t>10.10</w:t>
        </w:r>
      </w:hyperlink>
      <w:r>
        <w:rPr>
          <w:rFonts w:ascii="Arial" w:cs="Arial" w:eastAsia="Arial" w:hAnsi="Arial"/>
          <w:sz w:val="14"/>
          <w:szCs w:val="14"/>
          <w:color w:val="0000FF"/>
        </w:rPr>
        <w:tab/>
        <w:t>Amendment No. 1 to the Second Amended and Restated Credit Agreement, dated as of November 22, 2022, between the Company, the lenders and issuing banks from time to time party thereto and JPMorgan Chase Bank, N.A., as administrative agent (incorporated by reference to Exhibit 10.10 of the Company’s Annual Report on Form 10-K, filed February 27, 2023).</w:t>
      </w:r>
    </w:p>
    <w:p>
      <w:pPr>
        <w:spacing w:after="0" w:line="4" w:lineRule="exact"/>
        <w:rPr>
          <w:sz w:val="20"/>
          <w:szCs w:val="20"/>
          <w:color w:val="auto"/>
        </w:rPr>
      </w:pPr>
    </w:p>
    <w:p>
      <w:pPr>
        <w:ind w:left="1000"/>
        <w:spacing w:after="0"/>
        <w:tabs>
          <w:tab w:leader="none" w:pos="1460" w:val="left"/>
        </w:tabs>
        <w:rPr>
          <w:rFonts w:ascii="Arial" w:cs="Arial" w:eastAsia="Arial" w:hAnsi="Arial"/>
          <w:sz w:val="14"/>
          <w:szCs w:val="14"/>
          <w:color w:val="0000FF"/>
        </w:rPr>
      </w:pPr>
      <w:hyperlink r:id="rId155">
        <w:r>
          <w:rPr>
            <w:rFonts w:ascii="Arial" w:cs="Arial" w:eastAsia="Arial" w:hAnsi="Arial"/>
            <w:sz w:val="14"/>
            <w:szCs w:val="14"/>
            <w:u w:val="single" w:color="auto"/>
            <w:color w:val="0000FF"/>
          </w:rPr>
          <w:t>10.11</w:t>
        </w:r>
      </w:hyperlink>
      <w:r>
        <w:rPr>
          <w:rFonts w:ascii="Arial" w:cs="Arial" w:eastAsia="Arial" w:hAnsi="Arial"/>
          <w:sz w:val="14"/>
          <w:szCs w:val="14"/>
          <w:color w:val="0000FF"/>
        </w:rPr>
        <w:tab/>
        <w:t>Amendment No. 2 to the Second Amended and Restated Credit Agreement, dated as of April 10, 2023, between the Company, the lenders and issuing</w:t>
      </w:r>
    </w:p>
    <w:p>
      <w:pPr>
        <w:spacing w:after="0" w:line="2" w:lineRule="exact"/>
        <w:rPr>
          <w:sz w:val="20"/>
          <w:szCs w:val="20"/>
          <w:color w:val="auto"/>
        </w:rPr>
      </w:pPr>
    </w:p>
    <w:p>
      <w:pPr>
        <w:ind w:left="1480" w:right="420"/>
        <w:spacing w:after="0" w:line="231" w:lineRule="auto"/>
        <w:rPr>
          <w:sz w:val="20"/>
          <w:szCs w:val="20"/>
          <w:color w:val="auto"/>
        </w:rPr>
      </w:pPr>
      <w:r>
        <w:rPr>
          <w:rFonts w:ascii="Arial" w:cs="Arial" w:eastAsia="Arial" w:hAnsi="Arial"/>
          <w:sz w:val="14"/>
          <w:szCs w:val="14"/>
          <w:color w:val="auto"/>
        </w:rPr>
        <w:t>banks from time to time party thereto and JPMorgan Chase Bank, N.A., as administrative agent (incorporated by reference to Exhibit 10.11 of the Company’s Quarterly Report on Form 10-Q, filed April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071995" cy="2139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7071995" cy="213995"/>
                    </a:xfrm>
                    <a:prstGeom prst="rect">
                      <a:avLst/>
                    </a:prstGeom>
                    <a:noFill/>
                  </pic:spPr>
                </pic:pic>
              </a:graphicData>
            </a:graphic>
          </wp:anchor>
        </w:drawing>
      </w:r>
    </w:p>
    <w:p>
      <w:pPr>
        <w:ind w:left="1480" w:right="480" w:hanging="503"/>
        <w:spacing w:after="0" w:line="252" w:lineRule="auto"/>
        <w:tabs>
          <w:tab w:leader="none" w:pos="1460" w:val="left"/>
        </w:tabs>
        <w:rPr>
          <w:rFonts w:ascii="Arial" w:cs="Arial" w:eastAsia="Arial" w:hAnsi="Arial"/>
          <w:sz w:val="14"/>
          <w:szCs w:val="14"/>
          <w:color w:val="0000FF"/>
        </w:rPr>
      </w:pPr>
      <w:hyperlink r:id="rId157">
        <w:r>
          <w:rPr>
            <w:rFonts w:ascii="Arial" w:cs="Arial" w:eastAsia="Arial" w:hAnsi="Arial"/>
            <w:sz w:val="14"/>
            <w:szCs w:val="14"/>
            <w:u w:val="single" w:color="auto"/>
            <w:color w:val="0000FF"/>
          </w:rPr>
          <w:t>10.12</w:t>
        </w:r>
      </w:hyperlink>
      <w:r>
        <w:rPr>
          <w:rFonts w:ascii="Arial" w:cs="Arial" w:eastAsia="Arial" w:hAnsi="Arial"/>
          <w:sz w:val="14"/>
          <w:szCs w:val="14"/>
          <w:color w:val="0000FF"/>
        </w:rPr>
        <w:tab/>
        <w:t>Revolver Guarantee, dated November 10, 2022 (incorporated by reference to Exhibit 4.4 of the Company’s Current Report on Form 8-K, filed on November 14, 2022).</w:t>
      </w:r>
    </w:p>
    <w:p>
      <w:pPr>
        <w:spacing w:after="0" w:line="1" w:lineRule="exact"/>
        <w:rPr>
          <w:sz w:val="20"/>
          <w:szCs w:val="20"/>
          <w:color w:val="auto"/>
        </w:rPr>
      </w:pPr>
    </w:p>
    <w:p>
      <w:pPr>
        <w:ind w:left="1060"/>
        <w:spacing w:after="0"/>
        <w:tabs>
          <w:tab w:leader="none" w:pos="1460" w:val="left"/>
        </w:tabs>
        <w:rPr>
          <w:sz w:val="20"/>
          <w:szCs w:val="20"/>
          <w:color w:val="auto"/>
        </w:rPr>
      </w:pPr>
      <w:r>
        <w:rPr>
          <w:rFonts w:ascii="Arial" w:cs="Arial" w:eastAsia="Arial" w:hAnsi="Arial"/>
          <w:sz w:val="14"/>
          <w:szCs w:val="14"/>
          <w:u w:val="single" w:color="auto"/>
          <w:color w:val="0000FF"/>
        </w:rPr>
        <w:t>21.1</w:t>
      </w:r>
      <w:r>
        <w:rPr>
          <w:sz w:val="20"/>
          <w:szCs w:val="20"/>
          <w:color w:val="auto"/>
        </w:rPr>
        <w:tab/>
      </w:r>
      <w:r>
        <w:rPr>
          <w:rFonts w:ascii="Arial" w:cs="Arial" w:eastAsia="Arial" w:hAnsi="Arial"/>
          <w:sz w:val="14"/>
          <w:szCs w:val="14"/>
          <w:color w:val="auto"/>
        </w:rPr>
        <w:t>Subsidiaries of FTAI Aviation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07199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0" w:lineRule="exact"/>
        <w:rPr>
          <w:sz w:val="20"/>
          <w:szCs w:val="20"/>
          <w:color w:val="auto"/>
        </w:rPr>
      </w:pPr>
    </w:p>
    <w:p>
      <w:pPr>
        <w:ind w:left="1060"/>
        <w:spacing w:after="0"/>
        <w:tabs>
          <w:tab w:leader="none" w:pos="1460" w:val="left"/>
        </w:tabs>
        <w:rPr>
          <w:sz w:val="20"/>
          <w:szCs w:val="20"/>
          <w:color w:val="auto"/>
        </w:rPr>
      </w:pPr>
      <w:r>
        <w:rPr>
          <w:rFonts w:ascii="Arial" w:cs="Arial" w:eastAsia="Arial" w:hAnsi="Arial"/>
          <w:sz w:val="14"/>
          <w:szCs w:val="14"/>
          <w:u w:val="single" w:color="auto"/>
          <w:color w:val="0000FF"/>
        </w:rPr>
        <w:t>23.1</w:t>
      </w:r>
      <w:r>
        <w:rPr>
          <w:sz w:val="20"/>
          <w:szCs w:val="20"/>
          <w:color w:val="auto"/>
        </w:rPr>
        <w:tab/>
      </w:r>
      <w:r>
        <w:rPr>
          <w:rFonts w:ascii="Arial" w:cs="Arial" w:eastAsia="Arial" w:hAnsi="Arial"/>
          <w:sz w:val="14"/>
          <w:szCs w:val="14"/>
          <w:color w:val="auto"/>
        </w:rPr>
        <w:t>Consent of Independent Registered Public Accounting Firm.</w:t>
      </w:r>
    </w:p>
    <w:p>
      <w:pPr>
        <w:spacing w:after="0" w:line="42" w:lineRule="exact"/>
        <w:rPr>
          <w:sz w:val="20"/>
          <w:szCs w:val="20"/>
          <w:color w:val="auto"/>
        </w:rPr>
      </w:pPr>
    </w:p>
    <w:p>
      <w:pPr>
        <w:ind w:left="1060"/>
        <w:spacing w:after="0"/>
        <w:tabs>
          <w:tab w:leader="none" w:pos="1460" w:val="left"/>
        </w:tabs>
        <w:rPr>
          <w:sz w:val="20"/>
          <w:szCs w:val="20"/>
          <w:color w:val="auto"/>
        </w:rPr>
      </w:pPr>
      <w:r>
        <w:rPr>
          <w:rFonts w:ascii="Arial" w:cs="Arial" w:eastAsia="Arial" w:hAnsi="Arial"/>
          <w:sz w:val="14"/>
          <w:szCs w:val="14"/>
          <w:u w:val="single" w:color="auto"/>
          <w:color w:val="0000FF"/>
        </w:rPr>
        <w:t>31.1</w:t>
      </w:r>
      <w:r>
        <w:rPr>
          <w:sz w:val="20"/>
          <w:szCs w:val="20"/>
          <w:color w:val="auto"/>
        </w:rPr>
        <w:tab/>
      </w:r>
      <w:r>
        <w:rPr>
          <w:rFonts w:ascii="Arial" w:cs="Arial" w:eastAsia="Arial" w:hAnsi="Arial"/>
          <w:sz w:val="14"/>
          <w:szCs w:val="14"/>
          <w:color w:val="auto"/>
        </w:rPr>
        <w:t>Certification of Chief Executive Officer pursuant to Rule 13a-14(a)/15d-14(a),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7199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2" w:lineRule="exact"/>
        <w:rPr>
          <w:sz w:val="20"/>
          <w:szCs w:val="20"/>
          <w:color w:val="auto"/>
        </w:rPr>
      </w:pPr>
    </w:p>
    <w:p>
      <w:pPr>
        <w:ind w:left="1060"/>
        <w:spacing w:after="0"/>
        <w:tabs>
          <w:tab w:leader="none" w:pos="1460" w:val="left"/>
        </w:tabs>
        <w:rPr>
          <w:sz w:val="20"/>
          <w:szCs w:val="20"/>
          <w:color w:val="auto"/>
        </w:rPr>
      </w:pPr>
      <w:r>
        <w:rPr>
          <w:rFonts w:ascii="Arial" w:cs="Arial" w:eastAsia="Arial" w:hAnsi="Arial"/>
          <w:sz w:val="14"/>
          <w:szCs w:val="14"/>
          <w:u w:val="single" w:color="auto"/>
          <w:color w:val="0000FF"/>
        </w:rPr>
        <w:t>31.2</w:t>
      </w:r>
      <w:r>
        <w:rPr>
          <w:sz w:val="20"/>
          <w:szCs w:val="20"/>
          <w:color w:val="auto"/>
        </w:rPr>
        <w:tab/>
      </w:r>
      <w:r>
        <w:rPr>
          <w:rFonts w:ascii="Arial" w:cs="Arial" w:eastAsia="Arial" w:hAnsi="Arial"/>
          <w:sz w:val="14"/>
          <w:szCs w:val="14"/>
          <w:color w:val="auto"/>
        </w:rPr>
        <w:t>Certification of Chief Financial Officer pursuant to Rule 13a-14(a)/15d-14(a), as adopted pursuant to Section 302 of the Sarbanes-Oxley Act of 2002.</w:t>
      </w:r>
    </w:p>
    <w:p>
      <w:pPr>
        <w:spacing w:after="0" w:line="42" w:lineRule="exact"/>
        <w:rPr>
          <w:sz w:val="20"/>
          <w:szCs w:val="20"/>
          <w:color w:val="auto"/>
        </w:rPr>
      </w:pPr>
    </w:p>
    <w:p>
      <w:pPr>
        <w:ind w:left="1060"/>
        <w:spacing w:after="0"/>
        <w:tabs>
          <w:tab w:leader="none" w:pos="1460" w:val="left"/>
        </w:tabs>
        <w:rPr>
          <w:sz w:val="20"/>
          <w:szCs w:val="20"/>
          <w:color w:val="auto"/>
        </w:rPr>
      </w:pPr>
      <w:r>
        <w:rPr>
          <w:rFonts w:ascii="Arial" w:cs="Arial" w:eastAsia="Arial" w:hAnsi="Arial"/>
          <w:sz w:val="14"/>
          <w:szCs w:val="14"/>
          <w:u w:val="single" w:color="auto"/>
          <w:color w:val="0000FF"/>
        </w:rPr>
        <w:t>32.1</w:t>
      </w:r>
      <w:r>
        <w:rPr>
          <w:sz w:val="20"/>
          <w:szCs w:val="20"/>
          <w:color w:val="auto"/>
        </w:rPr>
        <w:tab/>
      </w:r>
      <w:r>
        <w:rPr>
          <w:rFonts w:ascii="Arial" w:cs="Arial" w:eastAsia="Arial" w:hAnsi="Arial"/>
          <w:sz w:val="14"/>
          <w:szCs w:val="14"/>
          <w:color w:val="auto"/>
        </w:rPr>
        <w:t>Certification of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7199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2" w:lineRule="exact"/>
        <w:rPr>
          <w:sz w:val="20"/>
          <w:szCs w:val="20"/>
          <w:color w:val="auto"/>
        </w:rPr>
      </w:pPr>
    </w:p>
    <w:p>
      <w:pPr>
        <w:ind w:left="1060"/>
        <w:spacing w:after="0"/>
        <w:tabs>
          <w:tab w:leader="none" w:pos="1460" w:val="left"/>
        </w:tabs>
        <w:rPr>
          <w:sz w:val="20"/>
          <w:szCs w:val="20"/>
          <w:color w:val="auto"/>
        </w:rPr>
      </w:pPr>
      <w:r>
        <w:rPr>
          <w:rFonts w:ascii="Arial" w:cs="Arial" w:eastAsia="Arial" w:hAnsi="Arial"/>
          <w:sz w:val="14"/>
          <w:szCs w:val="14"/>
          <w:u w:val="single" w:color="auto"/>
          <w:color w:val="0000FF"/>
        </w:rPr>
        <w:t>32.2</w:t>
      </w:r>
      <w:r>
        <w:rPr>
          <w:sz w:val="20"/>
          <w:szCs w:val="20"/>
          <w:color w:val="auto"/>
        </w:rPr>
        <w:tab/>
      </w:r>
      <w:r>
        <w:rPr>
          <w:rFonts w:ascii="Arial" w:cs="Arial" w:eastAsia="Arial" w:hAnsi="Arial"/>
          <w:sz w:val="14"/>
          <w:szCs w:val="14"/>
          <w:color w:val="auto"/>
        </w:rPr>
        <w:t>Certification of Chief Financial Officer pursuant to 18 U.S.C. Section 1350, as adopted pursuant to Section 906 of the Sarbanes-Oxley Act of 2002.</w:t>
      </w:r>
    </w:p>
    <w:p>
      <w:pPr>
        <w:spacing w:after="0" w:line="42" w:lineRule="exact"/>
        <w:rPr>
          <w:sz w:val="20"/>
          <w:szCs w:val="20"/>
          <w:color w:val="auto"/>
        </w:rPr>
      </w:pPr>
    </w:p>
    <w:p>
      <w:pPr>
        <w:ind w:left="1060"/>
        <w:spacing w:after="0"/>
        <w:tabs>
          <w:tab w:leader="none" w:pos="1460" w:val="left"/>
        </w:tabs>
        <w:rPr>
          <w:sz w:val="20"/>
          <w:szCs w:val="20"/>
          <w:color w:val="auto"/>
        </w:rPr>
      </w:pPr>
      <w:r>
        <w:rPr>
          <w:rFonts w:ascii="Arial" w:cs="Arial" w:eastAsia="Arial" w:hAnsi="Arial"/>
          <w:sz w:val="14"/>
          <w:szCs w:val="14"/>
          <w:u w:val="single" w:color="auto"/>
          <w:color w:val="0000FF"/>
        </w:rPr>
        <w:t>97.1</w:t>
      </w:r>
      <w:r>
        <w:rPr>
          <w:sz w:val="20"/>
          <w:szCs w:val="20"/>
          <w:color w:val="auto"/>
        </w:rPr>
        <w:tab/>
      </w:r>
      <w:r>
        <w:rPr>
          <w:rFonts w:ascii="Arial" w:cs="Arial" w:eastAsia="Arial" w:hAnsi="Arial"/>
          <w:sz w:val="14"/>
          <w:szCs w:val="14"/>
          <w:color w:val="auto"/>
        </w:rPr>
        <w:t>FTAI Aviation Ltd. Clawback Policy effective as of December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071995" cy="4546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7071995" cy="454660"/>
                    </a:xfrm>
                    <a:prstGeom prst="rect">
                      <a:avLst/>
                    </a:prstGeom>
                    <a:noFill/>
                  </pic:spPr>
                </pic:pic>
              </a:graphicData>
            </a:graphic>
          </wp:anchor>
        </w:drawing>
      </w:r>
    </w:p>
    <w:p>
      <w:pPr>
        <w:spacing w:after="0" w:line="35" w:lineRule="exact"/>
        <w:rPr>
          <w:sz w:val="20"/>
          <w:szCs w:val="20"/>
          <w:color w:val="auto"/>
        </w:rPr>
      </w:pPr>
    </w:p>
    <w:p>
      <w:pPr>
        <w:ind w:left="1480" w:right="40" w:hanging="380"/>
        <w:spacing w:after="0" w:line="261" w:lineRule="auto"/>
        <w:tabs>
          <w:tab w:leader="none" w:pos="14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following financial information from the Company’s Annual Report on Form 10-K for the year ended December 31, 2023, formatted in iXBRL (Inline Extensible Business Reporting Language): (i) Consolidated Balance Sheets; (ii) Consolidated Statements of Operations; (iii) Consolidated Statements of Comprehensive (Loss) Income; (iv) Consolidated Statements of Changes in Equity; (v) Consolidated Statements of Cash Flows; and (vi) Notes to Consolidated Financial Statements.</w:t>
      </w:r>
    </w:p>
    <w:p>
      <w:pPr>
        <w:spacing w:after="0" w:line="15" w:lineRule="exact"/>
        <w:rPr>
          <w:sz w:val="20"/>
          <w:szCs w:val="20"/>
          <w:color w:val="auto"/>
        </w:rPr>
      </w:pPr>
    </w:p>
    <w:p>
      <w:pPr>
        <w:ind w:left="1480" w:hanging="380"/>
        <w:spacing w:after="0"/>
        <w:tabs>
          <w:tab w:leader="none" w:pos="1480" w:val="left"/>
        </w:tabs>
        <w:numPr>
          <w:ilvl w:val="1"/>
          <w:numId w:val="40"/>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43" w:lineRule="exact"/>
        <w:rPr>
          <w:rFonts w:ascii="Arial" w:cs="Arial" w:eastAsia="Arial" w:hAnsi="Arial"/>
          <w:sz w:val="14"/>
          <w:szCs w:val="14"/>
          <w:color w:val="auto"/>
        </w:rPr>
      </w:pPr>
    </w:p>
    <w:p>
      <w:pPr>
        <w:ind w:left="260" w:hanging="234"/>
        <w:spacing w:after="0"/>
        <w:tabs>
          <w:tab w:leader="none" w:pos="26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07199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Item 16. Form 10-K Summary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9" w:right="45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FTAI AVIATION LTD.</w:t>
      </w:r>
    </w:p>
    <w:p>
      <w:pPr>
        <w:spacing w:after="0" w:line="50" w:lineRule="exact"/>
        <w:rPr>
          <w:sz w:val="20"/>
          <w:szCs w:val="20"/>
          <w:color w:val="auto"/>
        </w:rPr>
      </w:pPr>
    </w:p>
    <w:p>
      <w:pPr>
        <w:ind w:left="20"/>
        <w:spacing w:after="0"/>
        <w:tabs>
          <w:tab w:leader="none" w:pos="540" w:val="left"/>
          <w:tab w:leader="none" w:pos="8100" w:val="left"/>
          <w:tab w:leader="none" w:pos="100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Joseph P. Adams, Jr.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February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23495</wp:posOffset>
            </wp:positionV>
            <wp:extent cx="31800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Joseph P. Adams, Jr.</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Chairman and Chief Executive Officer</w:t>
      </w:r>
    </w:p>
    <w:p>
      <w:pPr>
        <w:spacing w:after="0" w:line="200" w:lineRule="exact"/>
        <w:rPr>
          <w:sz w:val="20"/>
          <w:szCs w:val="20"/>
          <w:color w:val="auto"/>
        </w:rPr>
      </w:pPr>
    </w:p>
    <w:p>
      <w:pPr>
        <w:spacing w:after="0" w:line="39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capacities and on the dates indicated.</w:t>
      </w:r>
    </w:p>
    <w:tbl>
      <w:tblPr>
        <w:tblLayout w:type="fixed"/>
        <w:tblInd w:w="20" w:type="dxa"/>
        <w:tblCellMar>
          <w:top w:w="0" w:type="dxa"/>
          <w:left w:w="0" w:type="dxa"/>
          <w:bottom w:w="0" w:type="dxa"/>
          <w:right w:w="0" w:type="dxa"/>
        </w:tblCellMar>
      </w:tblPr>
      <w:tr>
        <w:trPr>
          <w:trHeight w:val="194"/>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Joseph P. Adams, Jr.</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26, 2024</w:t>
            </w:r>
          </w:p>
        </w:tc>
      </w:tr>
      <w:tr>
        <w:trPr>
          <w:trHeight w:val="192"/>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Joseph P. Adams, Jr.</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Chairman and Chief Executive Officer</w:t>
            </w:r>
          </w:p>
        </w:tc>
        <w:tc>
          <w:tcPr>
            <w:tcW w:w="37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36"/>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Eun (Angela) Nam</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26, 2024</w:t>
            </w:r>
          </w:p>
        </w:tc>
      </w:tr>
      <w:tr>
        <w:trPr>
          <w:trHeight w:val="192"/>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Eun (Angela) Nam</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Chief Financial Officer and Chief Accounting Officer</w:t>
            </w:r>
          </w:p>
        </w:tc>
        <w:tc>
          <w:tcPr>
            <w:tcW w:w="37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36"/>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Paul R. Goodwin</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26, 2024</w:t>
            </w:r>
          </w:p>
        </w:tc>
      </w:tr>
      <w:tr>
        <w:trPr>
          <w:trHeight w:val="192"/>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Paul R. Goodwin</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36"/>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Judith A. Hannaway</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26, 2024</w:t>
            </w:r>
          </w:p>
        </w:tc>
      </w:tr>
      <w:tr>
        <w:trPr>
          <w:trHeight w:val="192"/>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Judith A. Hannaway</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36"/>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 Andrew Levison</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26, 2024</w:t>
            </w:r>
          </w:p>
        </w:tc>
      </w:tr>
      <w:tr>
        <w:trPr>
          <w:trHeight w:val="192"/>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A. Andrew Levison</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36"/>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Kenneth J. Nicholson</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26, 2024</w:t>
            </w:r>
          </w:p>
        </w:tc>
      </w:tr>
      <w:tr>
        <w:trPr>
          <w:trHeight w:val="192"/>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Kenneth J. Nicholson</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36"/>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Ray M. Robinson</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26, 2024</w:t>
            </w:r>
          </w:p>
        </w:tc>
      </w:tr>
      <w:tr>
        <w:trPr>
          <w:trHeight w:val="192"/>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Ray M. Robinson</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436"/>
        </w:trPr>
        <w:tc>
          <w:tcPr>
            <w:tcW w:w="520" w:type="dxa"/>
            <w:vAlign w:val="bottom"/>
          </w:tcPr>
          <w:p>
            <w:pPr>
              <w:spacing w:after="0"/>
              <w:rPr>
                <w:sz w:val="20"/>
                <w:szCs w:val="20"/>
                <w:color w:val="auto"/>
              </w:rPr>
            </w:pPr>
            <w:r>
              <w:rPr>
                <w:rFonts w:ascii="Arial" w:cs="Arial" w:eastAsia="Arial" w:hAnsi="Arial"/>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Martin Tuchman</w:t>
            </w:r>
          </w:p>
        </w:tc>
        <w:tc>
          <w:tcPr>
            <w:tcW w:w="3720" w:type="dxa"/>
            <w:vAlign w:val="bottom"/>
          </w:tcPr>
          <w:p>
            <w:pPr>
              <w:ind w:left="2600"/>
              <w:spacing w:after="0"/>
              <w:rPr>
                <w:sz w:val="20"/>
                <w:szCs w:val="20"/>
                <w:color w:val="auto"/>
              </w:rPr>
            </w:pPr>
            <w:r>
              <w:rPr>
                <w:rFonts w:ascii="Arial" w:cs="Arial" w:eastAsia="Arial" w:hAnsi="Arial"/>
                <w:sz w:val="14"/>
                <w:szCs w:val="14"/>
                <w:color w:val="auto"/>
              </w:rPr>
              <w:t>Date:</w:t>
            </w:r>
          </w:p>
        </w:tc>
        <w:tc>
          <w:tcPr>
            <w:tcW w:w="1940" w:type="dxa"/>
            <w:vAlign w:val="bottom"/>
          </w:tcPr>
          <w:p>
            <w:pPr>
              <w:ind w:left="760"/>
              <w:spacing w:after="0"/>
              <w:rPr>
                <w:sz w:val="20"/>
                <w:szCs w:val="20"/>
                <w:color w:val="auto"/>
              </w:rPr>
            </w:pPr>
            <w:r>
              <w:rPr>
                <w:rFonts w:ascii="Arial" w:cs="Arial" w:eastAsia="Arial" w:hAnsi="Arial"/>
                <w:sz w:val="14"/>
                <w:szCs w:val="14"/>
                <w:color w:val="auto"/>
              </w:rPr>
              <w:t>February 26, 2024</w:t>
            </w:r>
          </w:p>
        </w:tc>
      </w:tr>
      <w:tr>
        <w:trPr>
          <w:trHeight w:val="192"/>
        </w:trPr>
        <w:tc>
          <w:tcPr>
            <w:tcW w:w="52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Martin Tuchman</w:t>
            </w:r>
          </w:p>
        </w:tc>
        <w:tc>
          <w:tcPr>
            <w:tcW w:w="37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5020" w:type="dxa"/>
            <w:vAlign w:val="bottom"/>
          </w:tcPr>
          <w:p>
            <w:pPr>
              <w:ind w:left="20"/>
              <w:spacing w:after="0"/>
              <w:rPr>
                <w:sz w:val="20"/>
                <w:szCs w:val="20"/>
                <w:color w:val="auto"/>
              </w:rPr>
            </w:pPr>
            <w:r>
              <w:rPr>
                <w:rFonts w:ascii="Arial" w:cs="Arial" w:eastAsia="Arial" w:hAnsi="Arial"/>
                <w:sz w:val="14"/>
                <w:szCs w:val="14"/>
                <w:color w:val="auto"/>
              </w:rPr>
              <w:t>Director</w:t>
            </w:r>
          </w:p>
        </w:tc>
        <w:tc>
          <w:tcPr>
            <w:tcW w:w="372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240"/>
          </w:cols>
          <w:pgMar w:left="320" w:top="935"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0"/>
          <w:szCs w:val="20"/>
          <w:b w:val="1"/>
          <w:bCs w:val="1"/>
          <w:color w:val="auto"/>
        </w:rPr>
        <w:t>Exhibit 4.15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UNDER SECTION 12 OF THE EXCHANGE ACT</w:t>
      </w:r>
    </w:p>
    <w:p>
      <w:pPr>
        <w:spacing w:after="0" w:line="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The following description of our ordinary shares (as defined below), our 8.25% Fixed-to-Floating Rate Series A Cumulative Perpetual Redeemable</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i w:val="1"/>
          <w:iCs w:val="1"/>
          <w:color w:val="auto"/>
        </w:rPr>
        <w:t>Preferred Shares (the “Series A Preferred Shares”), our 8.00% Fixed-to-Floating Rate Series B Cumulative Perpetual Redeemable Preferred Shares (the “Series B Preferred Shares”), our 8.25% Fixed-Rate Reset Series C Cumulative Perpetual Redeemable Preferred Shares (the “Series C Preferred Shares”), our 9.50% Fixed-Rate Reset Series D Cumulative Perpetual Redeemable Preferred Shares (the “Series D Preferred Shares”) and certain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i w:val="1"/>
          <w:iCs w:val="1"/>
          <w:color w:val="auto"/>
        </w:rPr>
        <w:t>provisions of Cayman Islands law and our amended and restated memorandum and articles of association (as amended from time to time, the “Articles”) does not purport to be complete and is in all respects subject to, and qualified in its entirety by reference to, all of the provisions of our Articles and Cayman Islands law.</w:t>
      </w:r>
    </w:p>
    <w:p>
      <w:pPr>
        <w:spacing w:after="0" w:line="62" w:lineRule="exact"/>
        <w:rPr>
          <w:sz w:val="20"/>
          <w:szCs w:val="20"/>
          <w:color w:val="auto"/>
        </w:rPr>
      </w:pPr>
    </w:p>
    <w:p>
      <w:pPr>
        <w:jc w:val="both"/>
        <w:ind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For purposes of this summary, (i) the term “Company” refers only to FTAI Aviation Ltd., a Cayman Islands exempted company, and not to any of its subsidiaries and (ii) the terms “our”, “us”, and “we” refer to the Company and its consolidated subsidiaries, unless the context requires otherwise.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Authorized Shares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the Articles, our authorized share capital consists of:</w:t>
      </w:r>
    </w:p>
    <w:p>
      <w:pPr>
        <w:spacing w:after="0" w:line="65"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2,000,000,000 ordinary shares, par value $0.01 per share (“ordinary shares”); and</w:t>
      </w:r>
    </w:p>
    <w:p>
      <w:pPr>
        <w:jc w:val="both"/>
        <w:ind w:left="980" w:right="20" w:hanging="324"/>
        <w:spacing w:after="0" w:line="223"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preferred shares, par value $0.01 per share (“preferred shares”), 4,180,000 of which are designated as Series A Preferred Shares, 4,940,000 of which are designated as Series B Preferred Shares, 4,200,000 of which are designated as Series C Preferred Shares and 2,600,000 of which are designated as Series D Preferred Shares.</w:t>
      </w:r>
    </w:p>
    <w:p>
      <w:pPr>
        <w:spacing w:after="0" w:line="5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All of the issued and outstanding ordinary shares and our Series A Preferred Shares, Series B Preferred Shares, Series C Preferred Shares and Series D Preferred Shares are fully paid and non-assessable.</w:t>
      </w:r>
    </w:p>
    <w:p>
      <w:pPr>
        <w:spacing w:after="0" w:line="3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u w:val="single" w:color="auto"/>
          <w:color w:val="auto"/>
        </w:rPr>
        <w:t>Ordinary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holder of ordinary shares is entitled to preemptive, preferential or similar rights or redemption or conversion rights.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shares are entitled to one vote per share on all matters submitted to a vote of holders of ordinary shares. Unless a different majority is required by</w:t>
      </w:r>
    </w:p>
    <w:p>
      <w:pPr>
        <w:jc w:val="both"/>
        <w:spacing w:after="0" w:line="226" w:lineRule="auto"/>
        <w:rPr>
          <w:sz w:val="20"/>
          <w:szCs w:val="20"/>
          <w:color w:val="auto"/>
        </w:rPr>
      </w:pPr>
      <w:r>
        <w:rPr>
          <w:rFonts w:ascii="Times New Roman" w:cs="Times New Roman" w:eastAsia="Times New Roman" w:hAnsi="Times New Roman"/>
          <w:sz w:val="18"/>
          <w:szCs w:val="18"/>
          <w:color w:val="auto"/>
        </w:rPr>
        <w:t>law or by our Articles, resolutions to be approved by holders of ordinary shares require approval by a simple majority of votes cast at a meeting at which a quorum is present.</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holder of ordinary shares is entitled to one vote for each ordinary share held on all matters submitted to a vote of shareholders. Except as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provided with respect to any other class or series of shares, the holders of our ordinary shares will possess the exclusive right to vote for the election of directors and for all other purposes. Our Articles do not provide for cumulative voting in the election of directors, which means that the holders of a majority of the outstanding ordinary shares can elect all of the directors standing for election, and the holders of the remaining shares are not able to elect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directors.</w:t>
      </w:r>
    </w:p>
    <w:p>
      <w:pPr>
        <w:spacing w:after="0" w:line="57"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Although we currently intend to pay regular quarterly dividends to holders of our ordinary shares, we may change our dividend policy at any time. Our net cash provided by operating activities has been less than the amount of distributions to our shareholders. The declaration and payment of dividends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holders of our ordinary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In addition, while any Series A Preferred Shares,</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Series B Preferred Shares, Series C Preferred Shares or Series D Preferred Shares remain outstanding, unless the full cumulative distributions on past distribution periods for such shares have been or contemporaneously are declared and paid in full or declared and a sum sufficient for the payment of those distributions set aside, we are generally prohibited from declaring and paying or setting aside any dividends on our ordinary shares. See “Series A Preferred Shares—Priority Regarding Distributions,” “Series B Preferred Shares—Priority Regarding Distributions,” “Series C Preferred Shares—Priority Regarding</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Distributions” and “Series D Preferred Shares—Priority Regarding Distributions.” Any rights of holders of our ordinary shares to receive dividends, if any, declared from time to time by our board of directors out of legally available funds will also be subject to any preferred rights of holders of any additional preferred shares that we may issue in the future.</w:t>
      </w:r>
    </w:p>
    <w:p>
      <w:pPr>
        <w:spacing w:after="0" w:line="64"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subject, including the indentures governing our senior notes and the amended and restated revolving credit facility. In addition, pursuant to the Services and Profit Sharing Agreement with our subsidiary FTAI Aviation Holdco Ltd. and Fortress Worldwide Transportation and Infrastructure Master GP LLC (“Master GP”), Master GP</w:t>
      </w:r>
    </w:p>
    <w:p>
      <w:pPr>
        <w:sectPr>
          <w:pgSz w:w="11900" w:h="16838" w:orient="portrait"/>
          <w:cols w:equalWidth="0" w:num="1">
            <w:col w:w="11240"/>
          </w:cols>
          <w:pgMar w:left="320" w:top="342" w:right="339" w:bottom="1440" w:gutter="0" w:footer="0" w:header="0"/>
        </w:sectPr>
      </w:pPr>
    </w:p>
    <w:bookmarkStart w:id="96" w:name="page97"/>
    <w:bookmarkEnd w:id="96"/>
    <w:p>
      <w:pPr>
        <w:spacing w:after="0" w:line="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will be entitled to receive incentive payments before any amounts are distributed by the Company based both on our consolidated net income and capital gains income in each fiscal quarter and for each fiscal year, respectively.</w:t>
      </w:r>
    </w:p>
    <w:p>
      <w:pPr>
        <w:spacing w:after="0" w:line="64"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ordinary shares are entitled to share ratably in all assets remaining after the payment of liabilities, subject to any rights of holders of our preferred shares prior to distribution.</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ordinary shares trade on Nasdaq Global Select Market (“Nasdaq”) under the symbol “FTAI.”</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Series A Preferred Shares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Articles authorize the Company to issue up to 200,000,000 preferred shares in one or more series, and the Company’s board of directors is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authorized to fix the number of shares of each series and determine the rights, designations, preferences, powers and duties of any such series. The “8.25% Fixed-to-Floating Rate Series A Cumulative Perpetual Redeemable Preferred Shares” are designated as one series of our authorized preferred shares, consisting of 4,180,000 Series A Preferred Shares.</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The Series A Preferred Shares represent perpetual equity interests in us and, unlike our indebtedness, do not give rise to a claim for payment of a principal amount at a particular date. As such, the Series A Preferred Shares rank junior to all of our current and future indebtedness and other liabilities with respect to assets available to satisfy claims against us. The Series A Preferred Shares have a fixed liquidation preference of $25.00 per Series A</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Preferred Share, plus an amount equal to accumulated and unpaid distributions thereon, if any, to, but excluding, the date of payment, whether or not declared;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rights of the holders of Series A Preferred Shares to receive the liquidation preference will be subject to the proportional rights of holders of Parity Securities (as defined below) and to the other matters described under “—</w:t>
      </w: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5460" w:firstLine="360"/>
        <w:spacing w:after="0" w:line="360" w:lineRule="auto"/>
        <w:rPr>
          <w:sz w:val="20"/>
          <w:szCs w:val="20"/>
          <w:color w:val="auto"/>
        </w:rPr>
      </w:pPr>
      <w:r>
        <w:rPr>
          <w:rFonts w:ascii="Times New Roman" w:cs="Times New Roman" w:eastAsia="Times New Roman" w:hAnsi="Times New Roman"/>
          <w:sz w:val="18"/>
          <w:szCs w:val="18"/>
          <w:color w:val="auto"/>
        </w:rPr>
        <w:t xml:space="preserve">Our Series A Preferred Shares trade on Nasdaq under the symbol “FTAIP.” </w:t>
      </w:r>
      <w:r>
        <w:rPr>
          <w:rFonts w:ascii="Times New Roman" w:cs="Times New Roman" w:eastAsia="Times New Roman" w:hAnsi="Times New Roman"/>
          <w:sz w:val="18"/>
          <w:szCs w:val="18"/>
          <w:b w:val="1"/>
          <w:bCs w:val="1"/>
          <w:color w:val="auto"/>
        </w:rPr>
        <w:t>Ranking</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With respect to the payment of distributions and rights (including redemption rights) upon our liquidation, dissolution or winding up, the Series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Preferred Shares rank (i) senior and prior to our ordinary shares and any class or series of preferred shares that by its terms is designated as ranking junior to the Series A Preferred Shares, (ii)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any class or series of preferred shares that by its terms is designated as ranking equal to the Series A Preferred Shares or does not state it is junior or senior to the Series A Preferred Shares (including our Series B Preferred Shares, Series C Preferred Shares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Series D Preferred Shares), (iii) junior to any class or series of preferred shares that is expressly designated as ranking senior to the Series A Preferred Shares (subject to receipt of any requisite consents prior to issuance) and (iv) effectively junior to all of our existing and future indebtedness (including indebtedness convertible into our ordinary shares or preferred shares) and other liabilities and to all liabilities and any preferred equity of our existing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and any future subsidiaries.</w:t>
      </w:r>
    </w:p>
    <w:p>
      <w:pPr>
        <w:spacing w:after="0" w:line="165"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The Series A Preferred Shares are not convertible into, or exchangeable for, shares of any other class or series of our share capital or other securities and are not subject to any sinking fund or other obligation to redeem or repurchase the Series A Preferred Shares. The Series A Preferred Shares are not</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secured, are not guaranteed by us or any of our affiliates and are not subject to any other arrangement that legally or economically enhances the ranking of the Series A Preferred Shares.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ind w:right="60" w:firstLine="360"/>
        <w:spacing w:after="0" w:line="275" w:lineRule="auto"/>
        <w:rPr>
          <w:sz w:val="20"/>
          <w:szCs w:val="20"/>
          <w:color w:val="auto"/>
        </w:rPr>
      </w:pPr>
      <w:r>
        <w:rPr>
          <w:rFonts w:ascii="Times New Roman" w:cs="Times New Roman" w:eastAsia="Times New Roman" w:hAnsi="Times New Roman"/>
          <w:sz w:val="18"/>
          <w:szCs w:val="18"/>
          <w:color w:val="auto"/>
        </w:rPr>
        <w:t>Holders of the Series A Preferred Shares are entitled to receive, only when, as, and if declared by our board of directors, out of funds legally available for such purpose, cumulative cash distributions based on the stated liquidation preference of $25.00 per Series A Preferred Share at a rate equal to (i) from, and including, the original issue date of the Series A Preferred Shares, being the date of the completion of the merger, to, but excluding, September 15, 2024 (the “Series A Fixed Rate Period”), 8.25% per annum, and (ii) beginning September 15, 2024 (the “Series A Floating Rate Period”), Three-Month LIBOR (as defined below) plus a spread of 688.6 basis points per annum and that sum will be the distribution rate for the applicable Distribution Period. A “Distribution Period” means the period from, and including, each Distribution Payment Date (as defined below) to, but excluding, the next succeeding Distribution Payment Date, except for the initial Distribution Period, which is the period from, and including, the original issue date of the Series A Preferred Shares, being the date of the completion of the merger, to, but excluding, the next succeeding Distribution Payment Date.</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07"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When, as, and if declared by our board of directors, we pay cash distributions on the Series A Preferred Shares quarterly, in arrears, on March 15, June 15, September 15 and December 15 of each year (each such date, a “Distribution Payment Date”), which payments began on December 15, 2022. We pay</w:t>
      </w:r>
    </w:p>
    <w:p>
      <w:pPr>
        <w:spacing w:after="0" w:line="2" w:lineRule="exact"/>
        <w:rPr>
          <w:sz w:val="20"/>
          <w:szCs w:val="20"/>
          <w:color w:val="auto"/>
        </w:rPr>
      </w:pPr>
    </w:p>
    <w:p>
      <w:pPr>
        <w:jc w:val="both"/>
        <w:spacing w:after="0" w:line="199" w:lineRule="auto"/>
        <w:rPr>
          <w:sz w:val="20"/>
          <w:szCs w:val="20"/>
          <w:color w:val="auto"/>
        </w:rPr>
      </w:pPr>
      <w:r>
        <w:rPr>
          <w:rFonts w:ascii="Times New Roman" w:cs="Times New Roman" w:eastAsia="Times New Roman" w:hAnsi="Times New Roman"/>
          <w:sz w:val="18"/>
          <w:szCs w:val="18"/>
          <w:color w:val="auto"/>
        </w:rPr>
        <w:t>cash distributions to the holders of record of Series A Preferred Shares as they appear on our share register on the applicable record date, which for any Distribution Payment Date shall be the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calendar day of the month of such Distribution Payment Date or such other record date fixed by our board of directors as the record date for such Distribution Payment Date that is not more than 60 nor less than 10 days prior to such Distribution Payment Date.</w:t>
      </w:r>
    </w:p>
    <w:p>
      <w:pPr>
        <w:spacing w:after="0" w:line="173"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Distributions on the Series A Preferred Shares are not mandatory. However, distributions on the Series A Preferred Shares accrue from and including, the most recent Distribution Payment Date on which all accrued distributions have been paid, whether or not we have earnings, whether or not there are funds legally available for the payment of those distributions and whether or not those distributions are declared. No interest, or sum in lieu of interest, is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payable in respect of any distribution payment or payments on the Series A Preferred Shares which may be in arrears, and holders of the Series A Preferred Shares are not entitled to any distribution, whether payable in cash, property, or shares, in excess of the full cumulative distributions described above.</w:t>
      </w:r>
    </w:p>
    <w:p>
      <w:pPr>
        <w:spacing w:after="0" w:line="157"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18"/>
          <w:szCs w:val="18"/>
          <w:color w:val="auto"/>
        </w:rPr>
        <w:t>If in the future we issue additional shares of the Series A Preferred Shares, distributions on those additional shares will accrue from the most recent Distribution Payment Date at the then-applicable distribution rate.</w:t>
      </w:r>
    </w:p>
    <w:p>
      <w:pPr>
        <w:spacing w:after="0" w:line="149"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The distribution rate for each Distribution Period in the Series A Floating Rate Period will be determined by the calculation agent using Three-Month LIBOR as in effect on the second London banking day prior to the beginning of the Distribution Period, which date is referred to as the “distribution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determination date” for the relevant Distribution Period. The calculation agent then will add Three-Month LIBOR as determined on the distribution determination date and the spread of 688.6 basis points per annum. Once the distribution rate for the Series A Preferred Shares is determined, the calculation agent will deliver that information to us and the transfer agent for the Series A Preferred Shares. Absent manifest error, the calculation agent’s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determination of the distribution rate for a Distribution Period for the Series A Preferred Shares will be final. A “London banking day” is any day on which commercial banks are open for dealings in deposits in U.S. dollars in the London interbank market.</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used in this description of Series A Preferred Shares, the term “Three-Month LIBOR” means the London interbank offered rate for deposits in U.S.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dollars for a three month period (the “three-month LIBOR rate”), as that rate is displayed on Bloomberg on page BBAM1 (or any successor or replacement page) at approximately 11:00 a.m., London time, on the relevant distribution determination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57" w:lineRule="exact"/>
        <w:rPr>
          <w:sz w:val="20"/>
          <w:szCs w:val="20"/>
          <w:color w:val="auto"/>
        </w:rPr>
      </w:pPr>
    </w:p>
    <w:p>
      <w:pPr>
        <w:jc w:val="both"/>
        <w:ind w:left="1020" w:hanging="328"/>
        <w:spacing w:after="0" w:line="212" w:lineRule="auto"/>
        <w:tabs>
          <w:tab w:leader="none" w:pos="10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offered rate is displayed on Bloomberg on page BBAM1 (or any successor or replacement page) on the relevant distribution determination date at approximately 11:00 a.m., London time, then the calculation agent, in consultation with us, will select four major banks in the London interbank market and will request each of their principal London offices to provide a quotation of the rate at which three-month deposits in U.S. dollars in amounts of at least $1,000,000 are offered by it to prime banks in the London interbank market, on that date and at that time. If at least two quotations are provided, Three-Month LIBOR will be the arithmetic average (rounded upward if necessary to the nearest 0.00001 of 1%) of the quotations provided.</w:t>
      </w:r>
    </w:p>
    <w:p>
      <w:pPr>
        <w:spacing w:after="0" w:line="2" w:lineRule="exact"/>
        <w:rPr>
          <w:rFonts w:ascii="Times New Roman" w:cs="Times New Roman" w:eastAsia="Times New Roman" w:hAnsi="Times New Roman"/>
          <w:sz w:val="18"/>
          <w:szCs w:val="18"/>
          <w:color w:val="auto"/>
        </w:rPr>
      </w:pPr>
    </w:p>
    <w:p>
      <w:pPr>
        <w:jc w:val="both"/>
        <w:ind w:left="1020" w:hanging="328"/>
        <w:spacing w:after="0" w:line="209" w:lineRule="auto"/>
        <w:tabs>
          <w:tab w:leader="none" w:pos="10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the calculation agent in consultation with us will select three major banks in New York City and will request each of them to provide a quotation of the rate offered by it at approximately 11:00 a.m., New York City time, on the distribution determination date for loans in U.S. dollars to leading European banks for a three month period for the applicable Distribution Period in an amount of at least $1,000,000. If three quotations are provided, Three-Month LIBOR will be the arithmetic average (rounded upward if necessary to the nearest 0.00001 of 1%) of the quotations provided.</w:t>
      </w:r>
    </w:p>
    <w:p>
      <w:pPr>
        <w:spacing w:after="0" w:line="3" w:lineRule="exact"/>
        <w:rPr>
          <w:rFonts w:ascii="Times New Roman" w:cs="Times New Roman" w:eastAsia="Times New Roman" w:hAnsi="Times New Roman"/>
          <w:sz w:val="18"/>
          <w:szCs w:val="18"/>
          <w:color w:val="auto"/>
        </w:rPr>
      </w:pPr>
    </w:p>
    <w:p>
      <w:pPr>
        <w:jc w:val="both"/>
        <w:ind w:left="1020" w:hanging="328"/>
        <w:spacing w:after="0" w:line="218" w:lineRule="auto"/>
        <w:tabs>
          <w:tab w:leader="none" w:pos="10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Three-Month LIBOR for the next Distribution Period will be equal to Three-Month LIBOR in effect for the then-current Distribution Period or, in the case of the first Distribution Period in the Series A Floating Rate Period, the most recent three-month LIBOR rate on which Three-Month LIBOR could have been determined in accordance with the first sentence of this paragraph had the distribution rate been a floating rate during the Series A Fixed Rate Period.</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the event that Three-Month LIBOR is less than zero, Three-Month LIBOR shall be deemed to be zero.</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Notwithstanding the foregoing clauses (i), (ii) and (iii):</w:t>
      </w:r>
    </w:p>
    <w:p>
      <w:pPr>
        <w:spacing w:after="0" w:line="198" w:lineRule="exact"/>
        <w:rPr>
          <w:sz w:val="20"/>
          <w:szCs w:val="20"/>
          <w:color w:val="auto"/>
        </w:rPr>
      </w:pPr>
    </w:p>
    <w:p>
      <w:pPr>
        <w:ind w:left="1380" w:right="220" w:hanging="328"/>
        <w:spacing w:after="0" w:line="226" w:lineRule="auto"/>
        <w:tabs>
          <w:tab w:leader="none" w:pos="137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calculation agent determines on the relevant distribution determination date that LIBOR has been discontinued or is no longer viewed as an acceptable benchmark for securities like the Series A Preferred Shares (a “Series A LIBOR Event”), then the calculation agent will use a substitute or successor base rate that it has determined, in consultation with us, is the most</w:t>
      </w:r>
    </w:p>
    <w:p>
      <w:pPr>
        <w:sectPr>
          <w:pgSz w:w="11900" w:h="16838" w:orient="portrait"/>
          <w:cols w:equalWidth="0" w:num="1">
            <w:col w:w="11240"/>
          </w:cols>
          <w:pgMar w:left="320" w:top="1440" w:right="339" w:bottom="1440" w:gutter="0" w:footer="0" w:header="0"/>
        </w:sectPr>
      </w:pPr>
    </w:p>
    <w:bookmarkStart w:id="98" w:name="page99"/>
    <w:bookmarkEnd w:id="98"/>
    <w:p>
      <w:pPr>
        <w:ind w:left="1380" w:right="200"/>
        <w:spacing w:after="0" w:line="224" w:lineRule="auto"/>
        <w:rPr>
          <w:sz w:val="20"/>
          <w:szCs w:val="20"/>
          <w:color w:val="auto"/>
        </w:rPr>
      </w:pPr>
      <w:r>
        <w:rPr>
          <w:rFonts w:ascii="Times New Roman" w:cs="Times New Roman" w:eastAsia="Times New Roman" w:hAnsi="Times New Roman"/>
          <w:sz w:val="18"/>
          <w:szCs w:val="18"/>
          <w:color w:val="auto"/>
        </w:rPr>
        <w:t xml:space="preserve">comparable to LIBOR;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agent determines there is an industry-accepted substitute or successor base rate, then the calculation agent shall use such substitute or successor base rate.</w:t>
      </w:r>
    </w:p>
    <w:p>
      <w:pPr>
        <w:ind w:left="1380" w:right="140" w:hanging="328"/>
        <w:spacing w:after="0" w:line="215" w:lineRule="auto"/>
        <w:tabs>
          <w:tab w:leader="none" w:pos="137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calculation agent has determined a substitute or successor base rate in accordance with the foregoing, the calculation agent, in consultation with us, may determine what business day convention to use, the definition of business day, the distribution determination date to be used and any other relevant methodology for calculating such substitute or successor base rate, including any adjustment factor needed to make such substitute or successor base rate comparable to LIBOR, or any adjustment to the applicable spread thereon, in a manner that is consistent with industry-accepted practices for such substitute or successor base rate.</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Notwithstanding the foregoing, if the calculation agent determines in its sole discretion that there is no alternative rate that is a substitute or successor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base rate for LIBOR, the calculation agent may, in its sole discretion, or if the calculation agent fails to do so, the Company may, appoint an independent financial advisor (“IFA”) to determine an appropriate alternative rate and any adjustments, and the decision of the IFA will be binding on the Company, the calculation agent and the holders of Series A Preferred Shares. If a Series A LIBOR Event has occurred, but for any reason an alternative rate has not been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determined, an IFA has not determined an appropriate alternative rate and adjustments or an IFA has not been appointed, Three-Month LIBOR for the next Distribution Period to which the determination date relates shall be Three-Month LIBOR as in effect for the then-current Distribution Period; provided, that if this sentence is applicable with respect to the first Distribution Period in the Series A Floating Rate Period, the interest rate, business day convention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of calculating interest applicable during the Series A Fixed Rate Period will remain in effect during the Series A Floating Rate Period.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Priority Regarding Distributions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While any Series A Preferred Shares remain outstanding, unless the full cumulative distributions for all past Distribution Periods on all outstanding</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Series A Preferred Shares have been or contemporaneously are declared and paid in full or declared and a sum sufficient for the payment of those distributions has been set aside:</w:t>
      </w:r>
    </w:p>
    <w:p>
      <w:pPr>
        <w:spacing w:after="0" w:line="157" w:lineRule="exact"/>
        <w:rPr>
          <w:sz w:val="20"/>
          <w:szCs w:val="20"/>
          <w:color w:val="auto"/>
        </w:rPr>
      </w:pPr>
    </w:p>
    <w:p>
      <w:pPr>
        <w:ind w:left="1020" w:hanging="328"/>
        <w:spacing w:after="0" w:line="222" w:lineRule="auto"/>
        <w:tabs>
          <w:tab w:leader="none" w:pos="101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distribution will be declared and paid or set aside for payment on any Junior Securities (as defined below) (other than a distribution payable solely in shares of Junior Securities);</w:t>
      </w:r>
    </w:p>
    <w:p>
      <w:pPr>
        <w:spacing w:after="0" w:line="1" w:lineRule="exact"/>
        <w:rPr>
          <w:rFonts w:ascii="Times New Roman" w:cs="Times New Roman" w:eastAsia="Times New Roman" w:hAnsi="Times New Roman"/>
          <w:sz w:val="18"/>
          <w:szCs w:val="18"/>
          <w:color w:val="auto"/>
        </w:rPr>
      </w:pPr>
    </w:p>
    <w:p>
      <w:pPr>
        <w:jc w:val="both"/>
        <w:ind w:left="1020" w:hanging="328"/>
        <w:spacing w:after="0" w:line="208" w:lineRule="auto"/>
        <w:tabs>
          <w:tab w:leader="none" w:pos="101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Junior Securities will be repurchased, redeemed, or otherwise acquired for consideration by the Company or any of its subsidiaries, directly or indirectly (other than as a result of a reclassification of Junior Securities for or into other Junior Securities, or the exchange for or conversion into Junior Securities, through the use of the proceeds of a substantially contemporaneous sale of other shares of Junior Securities or pursuant to a contractually binding requirement to buy Junior Securities pursuant to a binding agreement existing prior to the original issue date of the Series A Preferred Shares), nor will any monies be paid to or made available for a sinking fund for the redemption of any such securities by the Company or any of its subsidiaries; and</w:t>
      </w:r>
    </w:p>
    <w:p>
      <w:pPr>
        <w:spacing w:after="0" w:line="3" w:lineRule="exact"/>
        <w:rPr>
          <w:rFonts w:ascii="Times New Roman" w:cs="Times New Roman" w:eastAsia="Times New Roman" w:hAnsi="Times New Roman"/>
          <w:sz w:val="18"/>
          <w:szCs w:val="18"/>
          <w:color w:val="auto"/>
        </w:rPr>
      </w:pPr>
    </w:p>
    <w:p>
      <w:pPr>
        <w:jc w:val="both"/>
        <w:ind w:left="1020" w:hanging="328"/>
        <w:spacing w:after="0" w:line="218" w:lineRule="auto"/>
        <w:tabs>
          <w:tab w:leader="none" w:pos="101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Parity Securities will be repurchased, redeemed or otherwise acquired for consideration by the Company or any of its subsidiaries (other than pursuant to pro rata offers to purchase or exchange all, or a pro rata portion of Series A Preferred Shares and such Parity Securities or as a result of a reclassification of Parity Securities for or into other Parity Securities, or by conversion into or exchange for other Parity Securities or Junior Securities).</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foregoing limitations do not apply to (i) purchases or acquisitions of, or cash settlement in respect of, Junior Securities pursuant to any employee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or director incentive or benefit plan or arrangement (including any of our employment, severance, or consulting agreements) of ours or of any of our subsidiaries and (ii) any distribution in connection with the implementation of a shareholder rights plan or the redemption or repurchase of any rights under such a plan, including with respect to any successor shareholder rights plan.</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Accumulated distributions in arrears for any past Distribution Period may be declared by the board of directors and paid on any date fixed by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board of directors, whether or not a Distribution Payment Date, to holders of the Series A Preferred Shares on the record date for such payment, which may not be less than 10 days before such distribution. To the extent a distribution period applicable to a class of Junior Securities or Parity Securities is shorter than the Distribution Period applicable to the Series A Preferred Shares (e.g., monthly rather than quarterly), the board of directors may declare and pay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regular distributions with respect to such Junior Securities or Parity Securities so long as, at the time of declaration of such distribution, the board of directors expects to have sufficient funds to pay the full cumulative distributions in respect of the Series A Preferred Shares on the next Distribution Payment Date.</w:t>
      </w:r>
    </w:p>
    <w:p>
      <w:pPr>
        <w:spacing w:after="0" w:line="172" w:lineRule="exact"/>
        <w:rPr>
          <w:sz w:val="20"/>
          <w:szCs w:val="20"/>
          <w:color w:val="auto"/>
        </w:rPr>
      </w:pPr>
    </w:p>
    <w:p>
      <w:pPr>
        <w:jc w:val="both"/>
        <w:ind w:right="20" w:firstLine="360"/>
        <w:spacing w:after="0" w:line="237" w:lineRule="auto"/>
        <w:rPr>
          <w:sz w:val="20"/>
          <w:szCs w:val="20"/>
          <w:color w:val="auto"/>
        </w:rPr>
      </w:pPr>
      <w:r>
        <w:rPr>
          <w:rFonts w:ascii="Times New Roman" w:cs="Times New Roman" w:eastAsia="Times New Roman" w:hAnsi="Times New Roman"/>
          <w:sz w:val="18"/>
          <w:szCs w:val="18"/>
          <w:color w:val="auto"/>
        </w:rPr>
        <w:t>Subject to the next succeeding sentence, if all accumulated distributions in arrears on all outstanding Series A Preferred Shares and any Parity Securities have not been declared and paid, or sufficient funds for the payment</w:t>
      </w:r>
    </w:p>
    <w:p>
      <w:pPr>
        <w:sectPr>
          <w:pgSz w:w="11900" w:h="16838" w:orient="portrait"/>
          <w:cols w:equalWidth="0" w:num="1">
            <w:col w:w="11240"/>
          </w:cols>
          <w:pgMar w:left="320" w:top="1402" w:right="339" w:bottom="1440" w:gutter="0" w:footer="0" w:header="0"/>
        </w:sectPr>
      </w:pPr>
    </w:p>
    <w:bookmarkStart w:id="99" w:name="page100"/>
    <w:bookmarkEnd w:id="99"/>
    <w:p>
      <w:pPr>
        <w:jc w:val="both"/>
        <w:spacing w:after="0" w:line="222" w:lineRule="auto"/>
        <w:rPr>
          <w:sz w:val="20"/>
          <w:szCs w:val="20"/>
          <w:color w:val="auto"/>
        </w:rPr>
      </w:pPr>
      <w:r>
        <w:rPr>
          <w:rFonts w:ascii="Times New Roman" w:cs="Times New Roman" w:eastAsia="Times New Roman" w:hAnsi="Times New Roman"/>
          <w:sz w:val="18"/>
          <w:szCs w:val="18"/>
          <w:color w:val="auto"/>
        </w:rPr>
        <w:t>thereof have not been set apart, payment of accumulated distributions in arrears will be made in order of their respective distribution payment dates, commencing with the earliest distribution payment date. If less than all distributions payable with respect to all Series A Preferred Shares and any Parity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Securities are paid, any partial payment will be made pro rata with respect to the Series A Preferred Shares and any Parity Securities entitled to a distribution payment at such time in proportion to the aggregate amounts remaining due in respect of such Series A Preferred Shares and Parity Securities at such time.</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As used in this description of Series A Preferred Shares, (i) “Junior Securities” means our ordinary shares and any other class or series of our share capital over which the Series A Preferred Shares has preference or priority in the payment of distributions or in the distribution of assets on our liquidation, dissolution or winding up, (ii) “Parity Securities” means any other class or series of our share capital that ranks equally with the Series A Preferred Shares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the payment of distributions and in the distribution of assets on our liquidation, dissolution or winding up (including our Series B Preferred Shares, Series C Preferred Shares and Series D Preferred Shares) and (iii) “Senior Securities” means any other class or series of our share capital that has preference or priority over the Series A Preferred Shares in the payment of distributions or in the distribution of assets on our liquidation, dissolution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winding up.</w:t>
      </w:r>
    </w:p>
    <w:p>
      <w:pPr>
        <w:spacing w:after="0" w:line="165"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Subject to the conditions described above, and not otherwise, distributions (payable in cash, shares, or otherwise), as may be determined by our board of directors, may be declared and paid on our ordinary shares and any Junior Securities from time to time out of any funds legally available for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and the holders of the Series A Preferred Shares will not be entitled to participate in those distributions.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Upon our voluntary or involuntary liquidation, dissolution or winding up (“Liquidation”), the holders of the outstanding Series A Preferred Shares are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entitled to be paid out of our assets legally available for distribution to our shareholders, before any distribution of assets is made to holders of ordinary shares or any other Junior Securities, a liquidating distribution in the amount of a liquidation preference of $25.00 per share, plus an amount equal to accumulated and unpaid distributions thereon, if any, to, but excluding, the date of such liquidation distribution, whether or not declared, plus the sum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any declared and unpaid distributions for Distribution Periods prior to the Distribution Period in which the liquidation distribution is made and any declared and unpaid distributions for the then current Distribution Period in which the liquidation distribution is made to the date of such liquidation distribution. After payment of the full amount of the liquidating distributions to which they are entitled, the holders of Series A Preferred Shares will have no right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 to any of our remaining assets.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Exchange and Preemptive Rights</w:t>
      </w:r>
    </w:p>
    <w:p>
      <w:pPr>
        <w:spacing w:after="0" w:line="81"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18"/>
          <w:szCs w:val="18"/>
          <w:color w:val="auto"/>
        </w:rPr>
        <w:t>The Series A Preferred Shares are not entitled to any preemptive rights or other rights to purchase or subscribe for our ordinary shares or any other security, and are not convertible into or exchangeable for our ordinary shares or any other security or property at the option of the holder.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Series A Preferred Shares are not subject to any mandatory redemption, sinking fund or other similar provisions.</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Holders of Series A Preferred Shares do not have the right to require the redemption or repurchase of the Series A Preferred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on or after September 15, 2024</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may redeem the Series A Preferred Shares, in whole or in part, at our option, at any time or from time to time on or after September 15, 2024</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(“Series A Optional Redemption”), at the redemption price equal to $25.00 per Series A Preferred Share, plus an amount equal to all accumulated and unpaid distributions thereon, if any, to, but excluding, the date of redemption, whether or not declared. We may undertake multiple Series A Optional Redemptions. Any such redemption would be effected only out of funds legally available for such purpose and would be subject to compliance with the provisions of the instruments governing our outstanding indebtedness.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upon a Rating Event</w:t>
      </w:r>
    </w:p>
    <w:p>
      <w:pPr>
        <w:spacing w:after="0" w:line="189" w:lineRule="exact"/>
        <w:rPr>
          <w:sz w:val="20"/>
          <w:szCs w:val="20"/>
          <w:color w:val="auto"/>
        </w:rPr>
      </w:pPr>
    </w:p>
    <w:p>
      <w:pPr>
        <w:jc w:val="both"/>
        <w:ind w:right="20" w:firstLine="360"/>
        <w:spacing w:after="0" w:line="237" w:lineRule="auto"/>
        <w:rPr>
          <w:sz w:val="20"/>
          <w:szCs w:val="20"/>
          <w:color w:val="auto"/>
        </w:rPr>
      </w:pPr>
      <w:r>
        <w:rPr>
          <w:rFonts w:ascii="Times New Roman" w:cs="Times New Roman" w:eastAsia="Times New Roman" w:hAnsi="Times New Roman"/>
          <w:sz w:val="18"/>
          <w:szCs w:val="18"/>
          <w:color w:val="auto"/>
        </w:rPr>
        <w:t>At any time within 120 days after the conclusion of any review or appeal process instituted by us following the occurrence of a Series A Rating Event (as defined below), we may, at our option, redeem the Series A Preferred</w:t>
      </w:r>
    </w:p>
    <w:p>
      <w:pPr>
        <w:sectPr>
          <w:pgSz w:w="11900" w:h="16838" w:orient="portrait"/>
          <w:cols w:equalWidth="0" w:num="1">
            <w:col w:w="11240"/>
          </w:cols>
          <w:pgMar w:left="320" w:top="1404" w:right="339" w:bottom="1440" w:gutter="0" w:footer="0" w:header="0"/>
        </w:sectPr>
      </w:pPr>
    </w:p>
    <w:bookmarkStart w:id="100" w:name="page101"/>
    <w:bookmarkEnd w:id="100"/>
    <w:p>
      <w:pPr>
        <w:spacing w:after="0" w:line="7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Shares in whole, but not in part, prior to September 15, 2024, at a redemption price per Series A Preferred Share equal to $25.50 (102% of the liquidation preference of $25.00), plus an amount equal to all accumulated and unpaid distributions thereon to, but excluding, the date of redemption, whether or not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declared. Any such redemption would be effected only out of funds legally available for such purpose and would be subject to compliance with the provisions of the instruments governing our outstanding indebtedness.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“Series A Rating Event” means a change by any rating agency to the criteria employed by such rating agency as of September 12, 2019 for purposes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assigning ratings to securities with features similar to the Series A Preferred Shares, which change results in (i) any shortening of the length of time for which the criteria in effect as of September 12, 2019 are scheduled to be in effect with respect to the Series A Preferred Shares, or (ii) a lower equity credit being given to the Series A Preferred Shares than the equity credit that would have been assigned to the Series A Preferred Shares by such rating agency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criteria in effect as of September 12, 2019.</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upon a Change of Control</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a Change of Control (as defined in the Series A Share Designation) occurs, we may, at our option, redeem the Series A Preferred Shares, in whole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but not in part, prior to September 15, 2024 and within 60 days after the occurrence of such Change of Control, at a price of $25.25 per Series A Preferred Share, plus an amount equal to all accumulated and unpaid distributions thereon, if any, to, but excluding, the date of redemption, whether or not declared. Any such redemption would be effected only out of funds legally available for such purpose and would be subject to compliance with the provisions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governing our outstanding indebtedness.</w:t>
      </w:r>
    </w:p>
    <w:p>
      <w:pPr>
        <w:spacing w:after="0" w:line="165"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If (i) a Change of Control occurs (whether before, on or after September 15, 2024) and (ii) we do not give notice prior to the 31st day following the Change of Control to redeem all of the outstanding Series A Preferred Shares, the distribution rate per annum on the Series A Preferred Shares will increase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5.00%, beginning on the 31st day following such Change of Control.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upon a Tax Redemption Event</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a Series A Tax Redemption Event (as defined in the Series A Share Designation) occurs, we may, at our option, redeem the Series A Preferred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Shares, in whole but not in part, prior to September 15, 2024 and within 60 days after the occurrence of such Series A Tax Redemption Event, at a price of $25.25 per Series A Preferred Share, plus an amount equal to all accumulated and unpaid distributions thereon, if any, to, but excluding, the date of redemption, whether or not declared. Any such redemption would be effected only out of funds legally available for such purpose and would be subject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the provisions of the instruments governing our outstanding indebtedness.</w:t>
      </w:r>
    </w:p>
    <w:p>
      <w:pPr>
        <w:spacing w:after="0" w:line="1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Owners of Series A Preferred Shares do not have any voting rights, except as set forth below or as otherwise required by applicable law. To the extent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that owners of Series A Preferred Shares are entitled to vote, each holder of Series A Preferred Shares will have one vote per share, except that when shares of any class or series of Parity Securities have the right to vote with the Series A Preferred Shares as a single class on any matter, the Series A Preferred Shares and the shares of each such Parity Securities will have one vote for each $25.00 of liquidation preference (for the avoidance of doubt, excluding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distributions).</w:t>
      </w:r>
    </w:p>
    <w:p>
      <w:pPr>
        <w:spacing w:after="0" w:line="165"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Whenever dividends on any shares of the Series A Preferred Shares are in arrears for six or more quarterly Distribution Periods, whether or not consecutive, the upper limit of the number of directors then constituting our board of directors will be automatically increased by two (if not already</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increased by two by reason of the election of directors by the holders of any Other Voting Preferred Shares (as defined below) and the holders of Series A Preferred Shares, voting together as a single class). The holders of the Series A Preferred Shares, voting together as a single class with the holders of any series of Parity Securities then outstanding upon which like voting rights have been conferred and are exercisable (any such series, the “Other Voting Preferred Shares”), will be entitled to vote, by the affirmative vote of a majority of the votes entitled to be cast, for the appointment of two additional</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directors at a special meeting of the holders of the Series A Preferred Shares and such Other Voting Preferred Shares and at each subsequent annual meeting of the holders of our ordinary shares at which such directors are up for re-appointment; provided that when all distributions accumulated on the Series A Preferred Shares for all past Distribution Periods and the then current Distribution Period shall have been fully paid, the right of holders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Series A Preferred Shares to appoint any directors will cease and, unless there are any Other Voting Preferred Shares entitled to vote for the election of directors, the term of office of those two directors will forthwith terminate, the office of any directors appointed by holders of the Series A Preferred Shares shall automatically be vacated and the upper limit of the number of directors constituting the board of directors shall be automatically reduced by two.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right of the holders of the Series A Preferred Shares and any Other Voting Preferred Shares to appoint</w:t>
      </w:r>
    </w:p>
    <w:p>
      <w:pPr>
        <w:sectPr>
          <w:pgSz w:w="11900" w:h="16838" w:orient="portrait"/>
          <w:cols w:equalWidth="0" w:num="1">
            <w:col w:w="11240"/>
          </w:cols>
          <w:pgMar w:left="320" w:top="1440" w:right="339" w:bottom="1440" w:gutter="0" w:footer="0" w:header="0"/>
        </w:sectPr>
      </w:pPr>
    </w:p>
    <w:bookmarkStart w:id="101" w:name="page102"/>
    <w:bookmarkEnd w:id="101"/>
    <w:p>
      <w:pPr>
        <w:jc w:val="both"/>
        <w:spacing w:after="0" w:line="222" w:lineRule="auto"/>
        <w:rPr>
          <w:sz w:val="20"/>
          <w:szCs w:val="20"/>
          <w:color w:val="auto"/>
        </w:rPr>
      </w:pPr>
      <w:r>
        <w:rPr>
          <w:rFonts w:ascii="Times New Roman" w:cs="Times New Roman" w:eastAsia="Times New Roman" w:hAnsi="Times New Roman"/>
          <w:sz w:val="18"/>
          <w:szCs w:val="18"/>
          <w:color w:val="auto"/>
        </w:rPr>
        <w:t>two additional directors will again vest if and whenever six additional quarterly distributions have not been declared and paid, as described above. In no event shall the holders of the Series A Preferred Shares be entitled pursuant to these voting rights to elect a director that would cause us to fail to satisfy 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requirement relating to director independence of any national securities exchange or quotation system on which any class or series of our share capital is listed or quoted. For the avoidance of doubt, in no event shall the total number of directors elected by holders of the Series A Preferred Shares and any Other Voting Preferred Shares exceed two.</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While any Series A Preferred Shares remain outstanding, the following actions will be deemed a variation of the rights of the Series A Preferred Shares and all Other Voting Preferred Shares, acting as a single class, (i) authorize, create or issue any Senior Securities or reclassify any authorized share capital into any Senior Securities or issue any obligation or security convertible into or evidencing the right to purchase any Senior Securities or (ii) amend,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alter or repeal any provision of the Articles, including by merger, consolidation or otherwise, so as to adversely affect the powers, preferences or special rights of the Series A Preferred Shares, and shall in each case of clause (i) and (ii) require the approval of the holders of the Series A Preferred Shares and all Other Voting Preferred Shares in accordance with and following the procedures set out in the Articles; provided that in the case of the foregoing clause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(ii), if such amendment affects materially and adversely the rights, designations, preferences, powers and duties of one or more but not all of the classes or series of the Other Voting Preferred Shares (including the Series A Preferred Shares for this purpose), the holders of the outstanding shares of the classes or series so affected, voting as a class, is required in lieu of (or, if such consent is required by law, in addition to) the consent of the holders of the Other Voting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Preferred Shares (including the Series A Preferred Shares for this purpose) in accordance with and following the procedures set out in the Articles. However, we may create additional series or classes of Parity Securities and Junior Securities and issue additional classes or series of Parity Securities and Junior Securities without notice to or the consent of any holder of the Series A Preferred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Parity Securities,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full cumulative distributions for all past Distribution Periods on all outstanding Series A Preferred Shares shall have been or contemporaneously are declared and paid in full or declared and a sum sufficient for the payment of those distributions has been set aside.</w:t>
      </w:r>
    </w:p>
    <w:p>
      <w:pPr>
        <w:spacing w:after="0" w:line="157"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18"/>
          <w:szCs w:val="18"/>
          <w:color w:val="auto"/>
        </w:rPr>
        <w:t>Notwithstanding the foregoing, none of the following will be deemed to affect the powers, preferences or special rights of the Series A Preferred Shares:</w:t>
      </w:r>
    </w:p>
    <w:p>
      <w:pPr>
        <w:spacing w:after="0" w:line="149" w:lineRule="exact"/>
        <w:rPr>
          <w:sz w:val="20"/>
          <w:szCs w:val="20"/>
          <w:color w:val="auto"/>
        </w:rPr>
      </w:pPr>
    </w:p>
    <w:p>
      <w:pPr>
        <w:jc w:val="both"/>
        <w:ind w:left="1020" w:hanging="328"/>
        <w:spacing w:after="0" w:line="213" w:lineRule="auto"/>
        <w:tabs>
          <w:tab w:leader="none" w:pos="10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the amount of authorized ordinary shares or authorized preferred shares, or any increase or decrease in the number of shares of any series of preferred shares, or the authorization, creation and issuance of other classes or series of share capital, in each case ranking on parity with or junior to the Series A Preferred Shares as to distributions or distribution of assets upon our liquidation, dissolution or winding up;</w:t>
      </w:r>
    </w:p>
    <w:p>
      <w:pPr>
        <w:ind w:left="1020" w:right="20" w:hanging="328"/>
        <w:spacing w:after="0" w:line="211" w:lineRule="auto"/>
        <w:tabs>
          <w:tab w:leader="none" w:pos="10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us with or into another entity in which the Series A Preferred Shares remain outstanding with identical terms as existing immediately prior to such merger or consolidation; and</w:t>
      </w:r>
    </w:p>
    <w:p>
      <w:pPr>
        <w:jc w:val="both"/>
        <w:ind w:left="1020" w:hanging="328"/>
        <w:spacing w:after="0" w:line="223" w:lineRule="auto"/>
        <w:tabs>
          <w:tab w:leader="none" w:pos="10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us with or into another entity in which the Series A Preferred Shares are converted into or exchanged for preference securities of the surviving entity or any entity, directly or indirectly, controlling such surviving entity and such new preference securities have terms identical (other than the identity of the issuer) to the terms of the Series A Preferred Shares.</w:t>
      </w:r>
    </w:p>
    <w:p>
      <w:pPr>
        <w:spacing w:after="0" w:line="159"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The foregoing voting rights of the holders of Series A Preferred Shares shall not apply if, at or prior to the time when the act with respect to which the vote would otherwise be required shall be effected, all outstanding Series A Preferred Shares shall have been redeemed or called for redemption upon</w:t>
      </w:r>
    </w:p>
    <w:p>
      <w:pPr>
        <w:spacing w:after="0" w:line="2" w:lineRule="exact"/>
        <w:rPr>
          <w:sz w:val="20"/>
          <w:szCs w:val="20"/>
          <w:color w:val="auto"/>
        </w:rPr>
      </w:pPr>
    </w:p>
    <w:p>
      <w:pPr>
        <w:ind w:right="1380"/>
        <w:spacing w:after="0" w:line="442" w:lineRule="auto"/>
        <w:rPr>
          <w:sz w:val="20"/>
          <w:szCs w:val="20"/>
          <w:color w:val="auto"/>
        </w:rPr>
      </w:pPr>
      <w:r>
        <w:rPr>
          <w:rFonts w:ascii="Times New Roman" w:cs="Times New Roman" w:eastAsia="Times New Roman" w:hAnsi="Times New Roman"/>
          <w:sz w:val="18"/>
          <w:szCs w:val="18"/>
          <w:color w:val="auto"/>
        </w:rPr>
        <w:t xml:space="preserve">proper notice and we shall have set aside sufficient funds for the benefit of holders of Series A Preferred Shares to effect the redemption. </w:t>
      </w:r>
      <w:r>
        <w:rPr>
          <w:rFonts w:ascii="Times New Roman" w:cs="Times New Roman" w:eastAsia="Times New Roman" w:hAnsi="Times New Roman"/>
          <w:sz w:val="18"/>
          <w:szCs w:val="18"/>
          <w:b w:val="1"/>
          <w:bCs w:val="1"/>
          <w:color w:val="auto"/>
        </w:rPr>
        <w:t>Forum Selection</w:t>
      </w:r>
    </w:p>
    <w:p>
      <w:pPr>
        <w:spacing w:after="0" w:line="1"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The Articles provide for submission to the exclusive jurisdiction of the courts of the Cayman Islands in connection with any claim or dispute arising out of or in connection with the constitutional documents of the Company or otherwise related in any way to each Company shareholder’s shareholding 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Company, other than any action or suits brought to enforce any liability or duty created by the Securities Act of 1933, as amended (the “Securities Act”), the Exchange Act, or any claim for which the federal district courts of the United States of America are, as a matter of the laws of the United States, the sole and exclusive forum for determination of such a claim.</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Series B Preferred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ectPr>
          <w:pgSz w:w="11900" w:h="16838" w:orient="portrait"/>
          <w:cols w:equalWidth="0" w:num="1">
            <w:col w:w="11240"/>
          </w:cols>
          <w:pgMar w:left="320" w:top="1404" w:right="339" w:bottom="1440" w:gutter="0" w:footer="0" w:header="0"/>
        </w:sectPr>
      </w:pPr>
    </w:p>
    <w:bookmarkStart w:id="102" w:name="page103"/>
    <w:bookmarkEnd w:id="102"/>
    <w:p>
      <w:pPr>
        <w:jc w:val="both"/>
        <w:spacing w:after="0" w:line="222" w:lineRule="auto"/>
        <w:rPr>
          <w:sz w:val="20"/>
          <w:szCs w:val="20"/>
          <w:color w:val="auto"/>
        </w:rPr>
      </w:pPr>
      <w:r>
        <w:rPr>
          <w:rFonts w:ascii="Times New Roman" w:cs="Times New Roman" w:eastAsia="Times New Roman" w:hAnsi="Times New Roman"/>
          <w:sz w:val="18"/>
          <w:szCs w:val="18"/>
          <w:color w:val="auto"/>
        </w:rPr>
        <w:t>The Articles authorize the Company to issue up to 200,000,000 preferred shares in one or more series, and the Company’s board of directors is authorized to fix the number of shares of each series and determine the rights, designations, preferences, powers and duties of any such series. The “8.00% Fixed-to-</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Floating Rate Series B Cumulative Perpetual Redeemable Preferred Shares” are designated as one series of our authorized preferred shares, consisting of 4,940,000 Series B Preferred Shares.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Series B Preferred Shares represent perpetual equity interests in us and, unlike our indebtedness, do not give rise to a claim for payment of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principal amount at a particular date. As such, the Series B Preferred Shares rank junior to all of our current and future indebtedness and other liabilities with respect to assets available to satisfy claims against us. The Series B Preferred Shares have a fixed liquidation preference of $25.00 per Series B Preferred Share, plus an amount equal to accumulated and unpaid distributions thereon, if any, to, but excluding, the date of payment, whether or not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declared;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rights of the holders of Series B Preferred Shares to receive the liquidation preference will be subject to the proportional rights of holders of Parity Securities (as defined below) and to the other matters described under “—</w:t>
      </w: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Series B Preferred Shares trade on Nasdaq under the symbol “FTAIO.”</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89"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With respect to the payment of distributions and rights (including redemption rights) upon our liquidation, dissolution or winding up, the Series B Preferred Shares rank (i) senior and prior to our ordinary shares and any class or series of preferred shares that by its terms is designated as ranking junior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to the Series B Preferred Shares, (ii)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any class or series of preferred shares that by its terms is designated as ranking equal to the Series B Preferred Shares or does not state it is junior or senior to the Series B Preferred Shares (including our Series A Preferred Shares, Series C Preferred Shares and Series D Preferred Shares), (iii) junior to any class or series of preferred shares that is expressly designated as ranking senior to the Series B Preferred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Shares (subject to receipt of any requisite consents prior to issuance) and (iv) effectively junior to all of our existing and future indebtedness (including indebtedness convertible into our ordinary shares or preferred shares) and other liabilities and to all liabilities and any preferred equity of our existing subsidiaries and any future subsidiaries.</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The Series B Preferred Shares are not convertible into, or exchangeable for, shares of any other class or series of our share capital or other securities and are not subject to any sinking fund or other obligation to redeem or repurchase the Series B Preferred Shares. The Series B Preferred Shares are not secured, are not guaranteed by us or any of our affiliates and are not subject to any other arrangement that legally or economically enhances the ranking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B Preferred Shares.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Holders of the Series B Preferred Shares are entitled to receive, only when, as, and if declared by our board of directors, out of funds legally available</w:t>
      </w:r>
    </w:p>
    <w:p>
      <w:pPr>
        <w:spacing w:after="0" w:line="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7"/>
          <w:szCs w:val="17"/>
          <w:color w:val="auto"/>
        </w:rPr>
        <w:t>for such purpose, cumulative cash distributions based on the stated liquidation preference of $25.00 per Series B Preferred Share at a rate equal to (i) from, and including, the original issue date of the Series B Preferred Shares, being the date of the completion of the merger, to, but excluding, December 15, 2024 (the “Series B Fixed Rate Period”), 8.00% per annum, and (ii) beginning December 15, 2024 (the “Series B Floating Rate Period”), Three-Month LIBOR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 defined below) plus a spread of 644.7 basis points per annum. A “Distribution Period” means the period from, and including, each Distribution Payment Date to, but excluding, the next succeeding Distribution Payment Date, except for the initial Distribution Period, which is the period from, and including, the original issue date of the Series B Preferred Shares, being the date of the completion of the merger, to, but excluding, the next succeeding Distribution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Date.</w:t>
      </w:r>
    </w:p>
    <w:p>
      <w:pPr>
        <w:spacing w:after="0" w:line="165" w:lineRule="exact"/>
        <w:rPr>
          <w:sz w:val="20"/>
          <w:szCs w:val="20"/>
          <w:color w:val="auto"/>
        </w:rPr>
      </w:pPr>
    </w:p>
    <w:p>
      <w:pPr>
        <w:jc w:val="both"/>
        <w:spacing w:after="0" w:line="198" w:lineRule="auto"/>
        <w:rPr>
          <w:sz w:val="20"/>
          <w:szCs w:val="20"/>
          <w:color w:val="auto"/>
        </w:rPr>
      </w:pPr>
      <w:r>
        <w:rPr>
          <w:rFonts w:ascii="Times New Roman" w:cs="Times New Roman" w:eastAsia="Times New Roman" w:hAnsi="Times New Roman"/>
          <w:sz w:val="18"/>
          <w:szCs w:val="18"/>
          <w:color w:val="auto"/>
        </w:rPr>
        <w:t>When, as, and if declared by our board of directors, we pay cash distributions on the Series B Preferred Shares quarterly, in arrears, on each Distribution Payment Date, which payments began on December 15, 2022. We pay cash distributions to the holders of record of Series B Preferred Shares as they appear on our share register on the applicable record date, which for any Distribution Payment Date shall be the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calendar day of the month of such</w:t>
      </w:r>
    </w:p>
    <w:p>
      <w:pPr>
        <w:jc w:val="both"/>
        <w:spacing w:after="0" w:line="226" w:lineRule="auto"/>
        <w:rPr>
          <w:sz w:val="20"/>
          <w:szCs w:val="20"/>
          <w:color w:val="auto"/>
        </w:rPr>
      </w:pPr>
      <w:r>
        <w:rPr>
          <w:rFonts w:ascii="Times New Roman" w:cs="Times New Roman" w:eastAsia="Times New Roman" w:hAnsi="Times New Roman"/>
          <w:sz w:val="18"/>
          <w:szCs w:val="18"/>
          <w:color w:val="auto"/>
        </w:rPr>
        <w:t>Distribution Payment Date or such other record date fixed by our board of directors as the record date for such Distribution Payment Date that is not more than 60 nor less than 10 days prior to such Distribution Payment Date.</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Distributions on the Series B Preferred Shares are not mandatory. However, distributions on the Series B Preferred Shares accrue from and including,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most recent Distribution Payment Date on which all accrued distributions have been paid, whether or not we have earnings, whether or not there are funds legally available for the payment of those distributions and whether or not those distributions are declared. No interest, or sum in lieu of interest, is payable in respect of any distribution payment or payments on the Series B Preferred Shares which may be in arrears, and holders of the Series B Preferred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are not entitled to any distribution, whether payable in cash, property, or shares, in excess of the full cumulative distributions described above.</w:t>
      </w:r>
    </w:p>
    <w:p>
      <w:pPr>
        <w:sectPr>
          <w:pgSz w:w="11900" w:h="16838" w:orient="portrait"/>
          <w:cols w:equalWidth="0" w:num="1">
            <w:col w:w="11240"/>
          </w:cols>
          <w:pgMar w:left="320" w:top="1404" w:right="339" w:bottom="1440" w:gutter="0" w:footer="0" w:header="0"/>
        </w:sectPr>
      </w:pPr>
    </w:p>
    <w:bookmarkStart w:id="103" w:name="page104"/>
    <w:bookmarkEnd w:id="103"/>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If in the future we issue additional shares of the Series B Preferred Shares, distributions on those additional shares will accrue from the most recent Distribution Payment Date at the then-applicable distribution rate.</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The distribution rate for each Distribution Period in the Series B Floating Rate Period will be determined by the calculation agent using Three-Month LIBOR as in effect on the second London banking day prior to the beginning of the Distribution Period, which date is referred to as the “distribution determination date” for the relevant Distribution Period. The calculation agent then will add Three-Month LIBOR as determined on the distribution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determination date and the spread of 644.7 basis points per annum, and that sum will be the distribution rate for the applicable Distribution Period. Once the distribution rate for the Series B Preferred Shares is determined, the calculation agent will deliver that information to us and the transfer agent for the Series B Preferred Shares. Absent manifest error, the calculation agent’s determination of the distribution rate for a Distribution Period for the Series B</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Preferred Shares will be final. A “London banking day” is any day on which commercial banks are open for dealings in deposits in U.S. dollars in the London interbank market.</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used in this description of Series B Preferred Shares, the term “Three-Month LIBOR” means the London interbank offered rate for deposits in U.S.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dollars for a three month period (the “three-month LIBOR rate”), as that rate is displayed on Bloomberg on page BBAM1 (or any successor or replacement page) at approximately 11:00 a.m., London time, on the relevant distribution determination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57" w:lineRule="exact"/>
        <w:rPr>
          <w:sz w:val="20"/>
          <w:szCs w:val="20"/>
          <w:color w:val="auto"/>
        </w:rPr>
      </w:pPr>
    </w:p>
    <w:p>
      <w:pPr>
        <w:jc w:val="both"/>
        <w:ind w:left="1020" w:hanging="328"/>
        <w:spacing w:after="0" w:line="212" w:lineRule="auto"/>
        <w:tabs>
          <w:tab w:leader="none" w:pos="101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offered rate is displayed on Bloomberg on page BBAM1 (or any successor or replacement page) on the relevant distribution determination date at approximately 11:00 a.m., London time, then the calculation agent, in consultation with us, will select four major banks in the London interbank market and will request each of their principal London offices to provide a quotation of the rate at which three-month deposits in U.S. dollars in amounts of at least $1,000,000 are offered by it to prime banks in the London interbank market, on that date and at that time. If at least two quotations are provided, Three-Month LIBOR will be the arithmetic average (rounded upward if necessary to the nearest 0.00001 of 1%) of the quotations provided.</w:t>
      </w:r>
    </w:p>
    <w:p>
      <w:pPr>
        <w:spacing w:after="0" w:line="2" w:lineRule="exact"/>
        <w:rPr>
          <w:rFonts w:ascii="Times New Roman" w:cs="Times New Roman" w:eastAsia="Times New Roman" w:hAnsi="Times New Roman"/>
          <w:sz w:val="18"/>
          <w:szCs w:val="18"/>
          <w:color w:val="auto"/>
        </w:rPr>
      </w:pPr>
    </w:p>
    <w:p>
      <w:pPr>
        <w:jc w:val="both"/>
        <w:ind w:left="1020" w:hanging="328"/>
        <w:spacing w:after="0" w:line="209" w:lineRule="auto"/>
        <w:tabs>
          <w:tab w:leader="none" w:pos="101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the calculation agent in consultation with us will select three major banks in New York City and will request each of them to provide a quotation of the rate offered by it at approximately 11:00 a.m., New York City time, on the distribution determination date for loans in U.S. dollars to leading European banks for a three month period for the applicable Distribution Period in an amount of at least $1,000,000. If three quotations are provided, Three-Month LIBOR will be the arithmetic average (rounded upward if necessary to the nearest 0.00001 of 1%) of the quotations provided.</w:t>
      </w:r>
    </w:p>
    <w:p>
      <w:pPr>
        <w:spacing w:after="0" w:line="3" w:lineRule="exact"/>
        <w:rPr>
          <w:rFonts w:ascii="Times New Roman" w:cs="Times New Roman" w:eastAsia="Times New Roman" w:hAnsi="Times New Roman"/>
          <w:sz w:val="18"/>
          <w:szCs w:val="18"/>
          <w:color w:val="auto"/>
        </w:rPr>
      </w:pPr>
    </w:p>
    <w:p>
      <w:pPr>
        <w:jc w:val="both"/>
        <w:ind w:left="1020" w:hanging="328"/>
        <w:spacing w:after="0" w:line="218" w:lineRule="auto"/>
        <w:tabs>
          <w:tab w:leader="none" w:pos="101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Three-Month LIBOR for the next Distribution Period will be equal to Three-Month LIBOR in effect for the then-current Distribution Period or, in the case of the first Distribution Period in the Series B Floating Rate Period, the most recent three-month LIBOR rate on which Three-Month LIBOR could have been determined in accordance with the first sentence of this paragraph had the distribution rate been a floating rate during the Series B Fixed Rate Period.</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the event that Three-Month LIBOR is less than zero, Three-Month LIBOR shall be deemed to be zero.</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Notwithstanding the foregoing clauses (i), (ii) and (iii):</w:t>
      </w:r>
    </w:p>
    <w:p>
      <w:pPr>
        <w:spacing w:after="0" w:line="185" w:lineRule="exact"/>
        <w:rPr>
          <w:sz w:val="20"/>
          <w:szCs w:val="20"/>
          <w:color w:val="auto"/>
        </w:rPr>
      </w:pPr>
    </w:p>
    <w:p>
      <w:pPr>
        <w:ind w:left="1020" w:hanging="328"/>
        <w:spacing w:after="0" w:line="211" w:lineRule="auto"/>
        <w:tabs>
          <w:tab w:leader="none" w:pos="101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calculation agent determines on the relevant distribution determination date that LIBOR has been discontinued or is no longer viewed as an acceptable benchmark for securities like the Series B Preferred Shares (a “Series B LIBOR Event”), then the calculation agent will use a substitute or successor base rate that it has determined, in consultation with us, is the most comparable to LIBOR;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calculation agent determines there is an industry-accepted substitute or successor base rate, then the calculation agent shall use such substitute or successor base rate.</w:t>
      </w:r>
    </w:p>
    <w:p>
      <w:pPr>
        <w:spacing w:after="0" w:line="1" w:lineRule="exact"/>
        <w:rPr>
          <w:rFonts w:ascii="Times New Roman" w:cs="Times New Roman" w:eastAsia="Times New Roman" w:hAnsi="Times New Roman"/>
          <w:sz w:val="18"/>
          <w:szCs w:val="18"/>
          <w:color w:val="auto"/>
        </w:rPr>
      </w:pPr>
    </w:p>
    <w:p>
      <w:pPr>
        <w:ind w:left="1020" w:right="120" w:hanging="328"/>
        <w:spacing w:after="0" w:line="218" w:lineRule="auto"/>
        <w:tabs>
          <w:tab w:leader="none" w:pos="101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calculation agent has determined a substitute or successor base rate in accordance with the foregoing, the calculation agent, in consultation with us, may determine what business day convention to use, the definition of business day, the distribution determination date to be used and any other relevant methodology for calculating such substitute or successor base rate, including any adjustment factor needed to make such substitute or successor base rate comparable to LIBOR, or any adjustment to the applicable spread thereon, in a manner that is consistent with industry-accepted practices for such substitute or successor base rate.</w:t>
      </w:r>
    </w:p>
    <w:p>
      <w:pPr>
        <w:spacing w:after="0" w:line="160"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Notwithstanding the foregoing, if the calculation agent determines in its sole discretion that there is no alternative rate that is a substitute or successor base rate for LIBOR, the calculation agent may, in its sole discretion, or if the calculation agent fails to do so, the Company may, appoint an IFA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determine an appropriate alternative rate and any adjustments, and the decision of the IFA will be binding on the Company, the calculation agent and the holders of Series B Preferred Shares. If a Series B LIBOR Event has occurred, but for any reason an alternative rate has not been determined, an IFA has not determined an appropriate alternative rate and adjustments or an IFA has</w:t>
      </w:r>
    </w:p>
    <w:p>
      <w:pPr>
        <w:sectPr>
          <w:pgSz w:w="11900" w:h="16838" w:orient="portrait"/>
          <w:cols w:equalWidth="0" w:num="1">
            <w:col w:w="11240"/>
          </w:cols>
          <w:pgMar w:left="320" w:top="1404" w:right="339" w:bottom="1440" w:gutter="0" w:footer="0" w:header="0"/>
        </w:sectPr>
      </w:pPr>
    </w:p>
    <w:bookmarkStart w:id="104" w:name="page105"/>
    <w:bookmarkEnd w:id="104"/>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not been appointed, Three-Month LIBOR for the next Distribution Period to which the determination date relates shall be Three-Month LIBOR as in effect for the then-current Distribution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this sentence is applicable with respect to the first Distribution Period in the Series B Floating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Rate Period, the interest rate, business day convention and manner of calculating interest applicable during the Series B Fixed Rate Period will remain in effect during the Series B Floating Rate Period.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Priority Regarding Distributions</w:t>
      </w:r>
    </w:p>
    <w:p>
      <w:pPr>
        <w:spacing w:after="0" w:line="202" w:lineRule="exact"/>
        <w:rPr>
          <w:sz w:val="20"/>
          <w:szCs w:val="20"/>
          <w:color w:val="auto"/>
        </w:rPr>
      </w:pPr>
    </w:p>
    <w:p>
      <w:pPr>
        <w:jc w:val="both"/>
        <w:ind w:firstLine="360"/>
        <w:spacing w:after="0" w:line="226" w:lineRule="auto"/>
        <w:rPr>
          <w:sz w:val="20"/>
          <w:szCs w:val="20"/>
          <w:color w:val="auto"/>
        </w:rPr>
      </w:pPr>
      <w:r>
        <w:rPr>
          <w:rFonts w:ascii="Times New Roman" w:cs="Times New Roman" w:eastAsia="Times New Roman" w:hAnsi="Times New Roman"/>
          <w:sz w:val="18"/>
          <w:szCs w:val="18"/>
          <w:color w:val="auto"/>
        </w:rPr>
        <w:t>While any Series B Preferred Shares remain outstanding, unless the full cumulative distributions for all past Distribution Periods on all outstanding Series B Preferred Shares have been or contemporaneously are declared and paid in full or declared and a sum sufficient for the payment of those distributions has been set aside:</w:t>
      </w:r>
    </w:p>
    <w:p>
      <w:pPr>
        <w:spacing w:after="0" w:line="171" w:lineRule="exact"/>
        <w:rPr>
          <w:sz w:val="20"/>
          <w:szCs w:val="20"/>
          <w:color w:val="auto"/>
        </w:rPr>
      </w:pPr>
    </w:p>
    <w:p>
      <w:pPr>
        <w:ind w:left="1020" w:hanging="328"/>
        <w:spacing w:after="0" w:line="215" w:lineRule="auto"/>
        <w:tabs>
          <w:tab w:leader="none" w:pos="101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distribution will be declared and paid or set aside for payment on any Junior Securities (as defined below) (other than a distribution payable solely in shares of Junior Securities);</w:t>
      </w:r>
    </w:p>
    <w:p>
      <w:pPr>
        <w:jc w:val="both"/>
        <w:ind w:left="1020" w:hanging="328"/>
        <w:spacing w:after="0" w:line="208" w:lineRule="auto"/>
        <w:tabs>
          <w:tab w:leader="none" w:pos="101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Junior Securities will be repurchased, redeemed, or otherwise acquired for consideration by the Company or any of its subsidiaries, directly or indirectly (other than as a result of a reclassification of Junior Securities for or into other Junior Securities, or the exchange for or conversion into Junior Securities, through the use of the proceeds of a substantially contemporaneous sale of other shares of Junior Securities or pursuant to a contractually binding requirement to buy Junior Securities pursuant to a binding agreement existing prior to the original issue date of the Series B Preferred Shares), nor will any monies be paid to or made available for a sinking fund for the redemption of any such securities by the Company or any of its subsidiaries; and</w:t>
      </w:r>
    </w:p>
    <w:p>
      <w:pPr>
        <w:spacing w:after="0" w:line="3" w:lineRule="exact"/>
        <w:rPr>
          <w:rFonts w:ascii="Times New Roman" w:cs="Times New Roman" w:eastAsia="Times New Roman" w:hAnsi="Times New Roman"/>
          <w:sz w:val="18"/>
          <w:szCs w:val="18"/>
          <w:color w:val="auto"/>
        </w:rPr>
      </w:pPr>
    </w:p>
    <w:p>
      <w:pPr>
        <w:jc w:val="both"/>
        <w:ind w:left="1020" w:hanging="328"/>
        <w:spacing w:after="0" w:line="218" w:lineRule="auto"/>
        <w:tabs>
          <w:tab w:leader="none" w:pos="101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Parity Securities will be repurchased, redeemed or otherwise acquired for consideration by the Company or any of its subsidiaries (other than pursuant to pro rata offers to purchase or exchange all, or a pro rata portion of Series B Preferred Shares and such Parity Securities or as a result of a reclassification of Parity Securities for or into other Parity Securities, or by conversion into or exchange for other Parity Securities or Junior Securities).</w:t>
      </w:r>
    </w:p>
    <w:p>
      <w:pPr>
        <w:spacing w:after="0" w:line="173"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The foregoing limitations do not apply to (i) purchases or acquisitions of, or cash settlement in respect of, Junior Securities pursuant to any employee or director incentive or benefit plan or arrangement (including any of our employment, severance, or consulting agreements) of ours or of any of our subsidiaries and (ii) any distribution in connection with the implementation of a shareholder rights plan or the redemption or repurchase of any rights 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 plan, including with respect to any successor shareholder rights plan.</w:t>
      </w:r>
    </w:p>
    <w:p>
      <w:pPr>
        <w:spacing w:after="0" w:line="165"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Accumulated distributions in arrears for any past Distribution Period may be declared by the board of directors and paid on any date fixed by the board of directors, whether or not a Distribution Payment Date, to holders of the Series B Preferred Shares on the record date for such payment, which may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not be less than 10 days before such distribution. To the extent a distribution period applicable to a class of Junior Securities or Parity Securities is shorter than the Distribution Period applicable to the Series B Preferred Shares (e.g., monthly rather than quarterly), the board of directors may declare and pay regular distributions with respect to such Junior Securities or Parity Securities so long as, at the time of declaration of such distribution, the board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directors expects to have sufficient funds to pay the full cumulative distributions in respect of the Series B Preferred Shares on the next Distribution Payment Date.</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Subject to the next succeeding sentence, if all accumulated distributions in arrears on all outstanding Series B Preferred Shares and any Parity</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Securities have not been declared and paid, or sufficient funds for the payment thereof have not been set apart, payment of accumulated distributions in arrears will be made in order of their respective distribution payment dates, commencing with the earliest distribution payment date. If less than all distributions payable with respect to all Series B Preferred Shares and any Parity Securities are paid, any partial payment will be made pro rata with respect to the Series B Preferred Shares and any Parity Securities entitled to a distribution payment at such time in proportion to the aggregate amounts remaining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respect of such Series B Preferred Shares and Parity Securities at such time.</w:t>
      </w:r>
    </w:p>
    <w:p>
      <w:pPr>
        <w:spacing w:after="0" w:line="165"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As used in this description of Series B Preferred Shares, (i) “Junior Securities” means our ordinary shares and any other class or series of our share capital over which the Series B Preferred Shares has preference or priority in the payment of distributions or in the distribution of assets on our liquidation,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dissolution or winding up, (ii) “Parity Securities” means any other class or series of our share capital that ranks equally with the Series B Preferred Shares in the payment of distributions and in the distribution of assets on our liquidation, dissolution or winding up (including our Series A Preferred Shares, Series C Preferred Shares and Series D Preferred Shares) and (iii) “Senior Securities” means any other class or series of our share capital that has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preference or priority over the Series B Preferred Shares in the payment of distributions or in the distribution of assets on our liquidation, dissolution or winding up.</w:t>
      </w:r>
    </w:p>
    <w:p>
      <w:pPr>
        <w:sectPr>
          <w:pgSz w:w="11900" w:h="16838" w:orient="portrait"/>
          <w:cols w:equalWidth="0" w:num="1">
            <w:col w:w="11240"/>
          </w:cols>
          <w:pgMar w:left="320" w:top="1404" w:right="339" w:bottom="1440" w:gutter="0" w:footer="0" w:header="0"/>
        </w:sectPr>
      </w:pPr>
    </w:p>
    <w:bookmarkStart w:id="105" w:name="page106"/>
    <w:bookmarkEnd w:id="105"/>
    <w:p>
      <w:pPr>
        <w:spacing w:after="0" w:line="72"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Subject to the conditions described above, and not otherwise, distributions (payable in cash, shares, or otherwise), as may be determined by our board of directors, may be declared and paid on our ordinary shares and any Junior Securities from time to time out of any funds legally available for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and the holders of the Series B Preferred Shares will not be entitled to participate in those distributions.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Upon our voluntary or involuntary Liquidation, the holders of the outstanding Series B Preferred Shares are entitled to be paid out of our assets legally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available for distribution to our shareholders, before any distribution of assets is made to holders of ordinary shares or any other Junior Securities, a liquidating distribution in the amount of a liquidation preference of $25.00 per share, plus an amount equal to accumulated and unpaid distributions thereon, if any, to, but excluding, the date of such liquidation distribution, whether or not declared, plus the sum of any declared and unpaid distributions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for Distribution Periods prior to the Distribution Period in which the liquidation distribution is made and any declared and unpaid distributions for the then current Distribution Period in which the liquidation distribution is made to the date of such liquidation distribution. After payment of the full amount of the liquidating distributions to which they are entitled, the holders of Series B Preferred Shares will have no right or claim to any of our remaining assets.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Exchange and Preemptive Rights</w:t>
      </w:r>
    </w:p>
    <w:p>
      <w:pPr>
        <w:spacing w:after="0" w:line="81"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The Series B Preferred Shares are not entitled to any preemptive rights or other rights to purchase or subscribe for our ordinary shares or any other security, and are not convertible into or exchangeable for our ordinary shares or any other security or property at the option of the holder.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Series B Preferred Shares are not subject to any mandatory redemption, sinking fund or other similar provisions.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Holders of Series B Preferred Shares do not have the right to require the redemption or repurchase of the Series B Preferred Shares.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on or after December 15, 2024</w:t>
      </w:r>
    </w:p>
    <w:p>
      <w:pPr>
        <w:spacing w:after="0" w:line="189"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We may redeem the Series B Preferred Shares, in whole or in part, at our option, at any time or from time to time on or after December 15, 2024 (“Series B Optional Redemption”), at the redemption price equal to $25.00 per Series B Preferred Share, plus an amount equal to all accumulated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unpaid distributions thereon, if any, to, but excluding, the date of redemption, whether or not declared. We may undertake multiple Series B Optional Redemptions. Any such redemption would be effected only out of funds legally available for such purpose and would be subject to compliance with the provisions of the instruments governing our outstanding indebtedness.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upon a Rating Event</w:t>
      </w:r>
    </w:p>
    <w:p>
      <w:pPr>
        <w:spacing w:after="0" w:line="189"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At any time within 120 days after the conclusion of any review or appeal process instituted by us following the occurrence of a Series B Rating Event (as defined below), we may, at our option, redeem the Series B Preferred Shares in whole, but not in part, prior to December 15, 2024, at a redemption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price per Series B Preferred Share equal to $25.50 (102% of the liquidation preference of $25.00), plus an amount equal to all accumulated and unpaid distributions thereon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“Series B Rating Event” means a change by any rating agency to the criteria employed by such rating agency as of November 27, 2019 for purposes of assigning ratings to securities with features similar to the Series B Preferred Shares, which change results in (i) any shortening of the length of time for which the criteria in effect as of November 27, 2019 are scheduled to be in effect with respect to the Series B Preferred Shares, or (ii) a lower equity credit</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being given to the Series B Preferred Shares than the equity credit that would have been assigned to the Series B Preferred Shares by such rating agency pursuant to the criteria in effect as of November 27, 2019.</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upon a Change of Control</w:t>
      </w:r>
    </w:p>
    <w:p>
      <w:pPr>
        <w:spacing w:after="0" w:line="189"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18"/>
          <w:szCs w:val="18"/>
          <w:color w:val="auto"/>
        </w:rPr>
        <w:t>If a Change of Control (as defined in the Series B Share Designation) occurs, we may, at our option, redeem the Series B Preferred Shares, in whole but not in part, prior to December 15, 2024 and within 60 days after the</w:t>
      </w:r>
    </w:p>
    <w:p>
      <w:pPr>
        <w:sectPr>
          <w:pgSz w:w="11900" w:h="16838" w:orient="portrait"/>
          <w:cols w:equalWidth="0" w:num="1">
            <w:col w:w="11240"/>
          </w:cols>
          <w:pgMar w:left="320" w:top="1440" w:right="339" w:bottom="1440" w:gutter="0" w:footer="0" w:header="0"/>
        </w:sectPr>
      </w:pPr>
    </w:p>
    <w:bookmarkStart w:id="106" w:name="page107"/>
    <w:bookmarkEnd w:id="106"/>
    <w:p>
      <w:pPr>
        <w:jc w:val="both"/>
        <w:spacing w:after="0" w:line="222" w:lineRule="auto"/>
        <w:rPr>
          <w:sz w:val="20"/>
          <w:szCs w:val="20"/>
          <w:color w:val="auto"/>
        </w:rPr>
      </w:pPr>
      <w:r>
        <w:rPr>
          <w:rFonts w:ascii="Times New Roman" w:cs="Times New Roman" w:eastAsia="Times New Roman" w:hAnsi="Times New Roman"/>
          <w:sz w:val="18"/>
          <w:szCs w:val="18"/>
          <w:color w:val="auto"/>
        </w:rPr>
        <w:t>occurrence of such Change of Control, at a price of $25.25 per Series B Preferred Share, plus an amount equal to all accumulated and unpaid distributions thereon, if any, to, but excluding, the date of redemption, whether or not declared. Any such redemption would be effected only out of funds legally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for such purpose and would be subject to compliance with the provisions of the instruments governing our outstanding indebtedness.</w:t>
      </w:r>
    </w:p>
    <w:p>
      <w:pPr>
        <w:spacing w:after="0" w:line="165"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If (i) a Change of Control occurs (whether before, on or after December 15, 2024) and (ii) we do not give notice prior to the 31st day following the Change of Control to redeem all of the outstanding Series B Preferred Shares, the distribution rate per annum on the Series B Preferred Shares will increase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5.00%, beginning on the 31st day following such Change of Control.</w:t>
      </w:r>
    </w:p>
    <w:p>
      <w:pPr>
        <w:spacing w:after="0" w:line="165"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The Change of Control redemption feature of the Series B Preferred Shares may, in certain circumstances, make more difficult or discourage a sale or takeover of our limited liability company or a member of the Company and, thus, the removal of incumbent management. We have no present intention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engage in a transaction involving a Change of Control, although it is possible that we could decide to do so in the future.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upon a Tax Redemption Event</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a Series B Tax Redemption Event (as defined in the Series B Share Designation) occurs, we may, at our option, redeem the Series B Preferred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Shares, in whole but not in part, prior to December 15, 2024, and within 60 days after the occurrence of such Series B Tax Redemption Event, at a price of $25.25 per Series B Preferred Share, plus an amount equal to all accumulated and unpaid distributions thereon, if any, to, but excluding, the date of redemption, whether or not declared. Any such redemption would be effected only out of funds legally available for such purpose and would be subject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with the provisions of the instruments governing our outstanding indebtedness.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Owners of Series B Preferred Shares do not have any voting rights, except as set forth below or as otherwise required by applicable law. To the extent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that owners of Series B Preferred Shares are entitled to vote, each holder of Series B Preferred Shares will have one vote per share, except that when shares of any class or series of Parity Securities have the right to vote with the Series B Preferred Shares as a single class on any matter, the Series B Preferred Shares and the shares of each such Parity Securities will have one vote for each $25.00 of liquidation preference (for the avoidance of doubt, excluding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distributions).</w:t>
      </w:r>
    </w:p>
    <w:p>
      <w:pPr>
        <w:spacing w:after="0" w:line="165"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Whenever dividends on any shares of the Series B Preferred Shares are in arrears for six or more quarterly Distribution Periods, whether or not consecutive, the upper limit of the number of directors then constituting our board of directors will be automatically increased by two (if not already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increased by two by reason of the election of directors by the holders of any Other Voting Preferred Shares (as defined below) and the holders of Series B Preferred Shares, voting together as a single class). The holders of the Series B Preferred Shares, voting together as a single class with the holders of any series of Parity Securities then outstanding upon which like voting rights have been conferred and are exercisable (any such series, the “Other Voting</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 xml:space="preserve">Preferred Shares”), will be entitled to vote, by the affirmative vote of a majority of the votes entitled to be cast, for the appointment of two additional directors at a special meeting of the holders of the Series B Preferred Shares and such Other Voting Preferred Shares and at each subsequent annual meeting of the holders of our ordinary shares at which such directors are up for re-appointment;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when all distributions accumulated on the Series B</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Preferred Shares for all past Distribution Periods and the then current Distribution Period shall have been fully paid, the right of holders of the Series B Preferred Shares to appoint any directors will cease and, unless there are any Other Voting Preferred Shares entitled to vote for the election of directors, the term of office of those two directors will forthwith terminate, the office of any directors appointed by holders of the Series B Preferred Shares shall</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automatically be vacated and the upper limit of the number of directors constituting the board of directors shall be automatically reduced by two. However, the right of the holders of the Series B Preferred Shares and any Other Voting Preferred Shares to appoint two additional directors will again vest if and whenever six additional quarterly distributions have not been declared and paid, as described above. In no event shall the holders of the Series B Preferred Shares be entitled pursuant to these voting rights to elect a director that would cause us to fail to satisfy a requirement relating to director independence of</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any national securities exchange or quotation system on which any class or series of our share capital is listed or quoted. For the avoidance of doubt, in no event shall the total number of directors elected by holders of the Series B Preferred Shares and any Other Voting Preferred Shares exceed two.</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While any Series B Preferred Shares remain outstanding, the following actions will be deemed a variation of the rights of the Series B Preferred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Shares and all Other Voting Preferred Shares, acting as a single class, (i) authorize, create or issue any Senior Securities or reclassify any authorized share capital into any Senior Securities or issue any obligation or security convertible into or evidencing the right to purchase any Senior Securities or (ii) amend, alter or repeal any provision of the Articles, including by merger, consolidation or otherwise, so as to</w:t>
      </w:r>
    </w:p>
    <w:p>
      <w:pPr>
        <w:sectPr>
          <w:pgSz w:w="11900" w:h="16838" w:orient="portrait"/>
          <w:cols w:equalWidth="0" w:num="1">
            <w:col w:w="11240"/>
          </w:cols>
          <w:pgMar w:left="320" w:top="1404" w:right="339" w:bottom="1440" w:gutter="0" w:footer="0" w:header="0"/>
        </w:sectPr>
      </w:pPr>
    </w:p>
    <w:bookmarkStart w:id="107" w:name="page108"/>
    <w:bookmarkEnd w:id="107"/>
    <w:p>
      <w:pPr>
        <w:jc w:val="both"/>
        <w:spacing w:after="0" w:line="222" w:lineRule="auto"/>
        <w:rPr>
          <w:sz w:val="20"/>
          <w:szCs w:val="20"/>
          <w:color w:val="auto"/>
        </w:rPr>
      </w:pPr>
      <w:r>
        <w:rPr>
          <w:rFonts w:ascii="Times New Roman" w:cs="Times New Roman" w:eastAsia="Times New Roman" w:hAnsi="Times New Roman"/>
          <w:sz w:val="18"/>
          <w:szCs w:val="18"/>
          <w:color w:val="auto"/>
        </w:rPr>
        <w:t>adversely affect the powers, preferences or special rights of the Series B Preferred Shares, and shall in each case of clause (i) and (ii) require the approval of the holders of the Series B Preferred Shares and all Other Voting Preferred Shares in accordance with and following the procedures set out in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Articles; provided that in the case of the foregoing clause (ii), if such amendment affects materially and adversely the rights, designations, preferences, powers and duties of one or more but not all of the classes or series of the Other Voting Preferred Shares (including the Series B Preferred Shares for this purpose), the holders of the outstanding shares of the classes or series so affected, voting as a class, is required in lieu of (or, if such consent is required by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law, in addition to) the consent of the holders of the Other Voting Preferred Shares (including the Series B Preferred Shares for this purpose) in accordance with and following the procedures set out in the Articles. However, we may create additional series or classes of Parity Securities and Junior Securities and issue additional classes or series of Parity Securities and Junior Securities without notice to or the consent of any holder of the Series B Preferred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Parity Securities, the full cumulative distributions for all past Distribution Periods on all outstanding Series B Preferred Shares shall have been or contemporaneously are declared and paid in full or declared and a sum sufficient for the payment of those distributions has been set aside.</w:t>
      </w:r>
    </w:p>
    <w:p>
      <w:pPr>
        <w:spacing w:after="0" w:line="172"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Notwithstanding the foregoing, none of the following will be deemed to affect the powers, preferences or special rights of the Series B Preferred Shares:</w:t>
      </w:r>
    </w:p>
    <w:p>
      <w:pPr>
        <w:spacing w:after="0" w:line="158" w:lineRule="exact"/>
        <w:rPr>
          <w:sz w:val="20"/>
          <w:szCs w:val="20"/>
          <w:color w:val="auto"/>
        </w:rPr>
      </w:pPr>
    </w:p>
    <w:p>
      <w:pPr>
        <w:jc w:val="both"/>
        <w:ind w:left="1020" w:hanging="328"/>
        <w:spacing w:after="0" w:line="217" w:lineRule="auto"/>
        <w:tabs>
          <w:tab w:leader="none" w:pos="10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the amount of authorized ordinary shares or authorized preferred shares, or any increase or decrease in the number of shares of any series of preferred shares, or the authorization, creation and issuance of other classes or series of share capital, in each case ranking on parity with or junior to the Series B Preferred Shares as to distributions or distribution of assets upon our liquidation, dissolution or winding up;</w:t>
      </w:r>
    </w:p>
    <w:p>
      <w:pPr>
        <w:ind w:left="1020" w:hanging="328"/>
        <w:spacing w:after="0" w:line="203" w:lineRule="auto"/>
        <w:tabs>
          <w:tab w:leader="none" w:pos="10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us with or into another entity in which the Series B Preferred Shares remain outstanding with identical terms as existing immediately prior to such merger or consolidation; and</w:t>
      </w:r>
    </w:p>
    <w:p>
      <w:pPr>
        <w:jc w:val="both"/>
        <w:ind w:left="1020" w:hanging="328"/>
        <w:spacing w:after="0" w:line="223" w:lineRule="auto"/>
        <w:tabs>
          <w:tab w:leader="none" w:pos="10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us with or into another entity in which the Series B Preferred Shares are converted into or exchanged for preference securities of the surviving entity or any entity, directly or indirectly, controlling such surviving entity and such new preference securities have terms identical (other than the identity of the issuer) to the terms of the Series B Preferred Shares.</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foregoing voting rights of the holders of Series B Preferred Shares shall not apply if, at or prior to the time when the act with respect to which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vote would otherwise be required shall be effected, all outstanding Series B Preferred Shares shall have been redeemed or called for redemption upon proper notice and we shall have set aside sufficient funds for the benefit of holders of Series B Preferred Shares to effect the redemption.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0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The Articles provide for submission to the exclusive jurisdiction of the courts of the Cayman Islands in connection with any claim or dispute arising out of or in connection with the constitutional documents of the Company or otherwise related in any way to each Company shareholder’s shareholding in the Company, other than any action or suits brought to enforce any liability or duty created by the Securities Act, the Exchange Act, or any claim for which</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federal district courts of the United States of America are, as a matter of the laws of the United States, the sole and exclusive forum for determination of such a claim.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Series C Preferred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The Articles authorize the Company to issue up to 200,000,000 preferred shares in one or more series, and the Company’s board of directors is authorized to fix the number of shares of each series and determine the rights, designations, preferences, powers and duties of any such series. The “8.25% Fixed-Rate Reset Series C Cumulative Perpetual Redeemable Preferred Shares” are designated as one series of our authorized preferred shares, consisting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4,200,000 Series C Preferred Shares.</w:t>
      </w:r>
    </w:p>
    <w:p>
      <w:pPr>
        <w:spacing w:after="0" w:line="165"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The Series C Preferred Shares represent perpetual equity interests in us and, unlike our indebtedness, do not give rise to a claim for payment of a principal amount at a particular date. As such, the Series C Preferred Shares rank junior to all of our current and future indebtedness and other liabilities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with respect to assets available to satisfy claims against us. The Series C Preferred Shares have a fixed liquidation preference of $25.00 per Series C Preferred Share, plus an amount equal to accumulated and unpaid distributions thereon, if any, to, but excluding, the date of payment, whether or not declared;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rights of the holders of Series C Preferred Shares to receive the liquidation preference will be subject to the proportional rights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holders of Parity Securities (as defined below) and to the other matters described under “—</w:t>
      </w: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04" w:right="339" w:bottom="1440" w:gutter="0" w:footer="0" w:header="0"/>
        </w:sectPr>
      </w:pPr>
    </w:p>
    <w:bookmarkStart w:id="108" w:name="page109"/>
    <w:bookmarkEnd w:id="108"/>
    <w:p>
      <w:pPr>
        <w:ind w:right="5440" w:firstLine="360"/>
        <w:spacing w:after="0" w:line="461" w:lineRule="auto"/>
        <w:rPr>
          <w:sz w:val="20"/>
          <w:szCs w:val="20"/>
          <w:color w:val="auto"/>
        </w:rPr>
      </w:pPr>
      <w:r>
        <w:rPr>
          <w:rFonts w:ascii="Times New Roman" w:cs="Times New Roman" w:eastAsia="Times New Roman" w:hAnsi="Times New Roman"/>
          <w:sz w:val="18"/>
          <w:szCs w:val="18"/>
          <w:color w:val="auto"/>
        </w:rPr>
        <w:t xml:space="preserve">Our Series C Preferred Shares trade on Nasdaq under the symbol “FTAIN.” </w:t>
      </w:r>
      <w:r>
        <w:rPr>
          <w:rFonts w:ascii="Times New Roman" w:cs="Times New Roman" w:eastAsia="Times New Roman" w:hAnsi="Times New Roman"/>
          <w:sz w:val="18"/>
          <w:szCs w:val="18"/>
          <w:b w:val="1"/>
          <w:bCs w:val="1"/>
          <w:color w:val="auto"/>
        </w:rPr>
        <w:t>Ranking</w:t>
      </w:r>
    </w:p>
    <w:p>
      <w:pPr>
        <w:spacing w:after="0" w:line="1"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 xml:space="preserve">With respect to the payment of distributions and rights (including redemption rights) upon our liquidation, dissolution or winding up, the Series C Preferred Shares rank (i) senior and prior to our ordinary shares and any class or series of preferred shares that by its terms is designated as ranking junior to the Series C Preferred Shares, (ii)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any class or series of preferred shares that by its terms is designated as ranking equal to the Series C</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Preferred Shares or does not state it is junior or senior to the Series C Preferred Shares (including our Series A Preferred Shares, Series B Preferred Shares and Series D Preferred Shares), (iii) junior to any class or series of preferred shares that is expressly designated as ranking senior to the Series C Preferred Shares (subject to receipt of any requisite consents prior to issuance) and (iv) effectively junior to all of our existing and future indebtedness (including</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indebtedness convertible into our ordinary shares or preferred shares) and other liabilities and to all liabilities and any preferred equity of our existing subsidiaries and any future subsidiaries.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Series C Preferred Shares are not convertible into, or exchangeable for, shares of any other class or series of our share capital or other securities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and are not subject to any sinking fund or other obligation to redeem or repurchase the Series C Preferred Shares. The Series C Preferred Shares are not secured, are not guaranteed by us or any of our affiliates and are not subject to any other arrangement that legally or economically enhances the ranking of the Series C Preferred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89"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Holders of the Series C Preferred Shares are entitled to receive, only when, as, and if declared by our board of directors, out of funds legally available for such purpose, cumulative cash distributions based on the stated liquidation preference of $25.00 per Series C Preferred Share at a rate equal to (i) from,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including, the original issue date of the Series C Preferred Shares, being the date of the completion of the merger, to, but excluding, June 15, 2026 (the “Series C Reset Rate Period”), 8.25% per annum, and (ii) beginning June 15, 2026 (the “Series C Fixed Rate Period”), the Five-Year Treasury Rate (as defined below) plus a spread of 737.8 basis points per annum; provided that if the Five-Year Treasury Rate for any Distribution Period (as defined below)</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described in this clause (ii) cannot be determined pursuant to the definition of “Five-Year Treasury Rate,” the distribution rate for such Distribution Period will be the same as the distribution rate determined for the immediately preceding Distribution Period. A “Distribution Period” means the period from, and including, each Distribution Payment Date to, but excluding, the next succeeding Distribution Payment Date, except for the initial Distribution Period,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which is the period from, and including, the original issue date of the Series C Preferred Shares, being the date of the completion of the merger, to, but excluding, the next succeeding Distribution Payment Date.</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 purposes of calculating the distribution rate for a given Series C Fixed Rate Period, the calculation agent shall determine the “Five-Year Treasury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Rate” (for any Reset Period (as defined below) commencing on or after the First Reset Date), based on the rate on the Reset Distribution Determination Date (as defined below) and equal to:</w:t>
      </w:r>
    </w:p>
    <w:p>
      <w:pPr>
        <w:spacing w:after="0" w:line="157" w:lineRule="exact"/>
        <w:rPr>
          <w:sz w:val="20"/>
          <w:szCs w:val="20"/>
          <w:color w:val="auto"/>
        </w:rPr>
      </w:pPr>
    </w:p>
    <w:p>
      <w:pPr>
        <w:jc w:val="both"/>
        <w:ind w:left="1020" w:hanging="328"/>
        <w:spacing w:after="0" w:line="217" w:lineRule="auto"/>
        <w:tabs>
          <w:tab w:leader="none" w:pos="101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yields to maturity on actively traded U.S. treasury securities adjusted to constant maturity, for five-year maturities, for the five Business Days appearing under the caption “Treasury Constant Maturities” in the most recently published statistical release designated H.15 Daily Update or any successor publication which is published by the Federal Reserve Board, as determined by the calculation agent in its sole discretion; or</w:t>
      </w:r>
    </w:p>
    <w:p>
      <w:pPr>
        <w:jc w:val="both"/>
        <w:ind w:left="1020" w:hanging="328"/>
        <w:spacing w:after="0" w:line="213" w:lineRule="auto"/>
        <w:tabs>
          <w:tab w:leader="none" w:pos="101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calculation is provided as described in clause (i), then the calculation agent, after consulting such sources as it deems comparable to any of the foregoing calculations, or any such source as it deems reasonable from which to estimate the Five-Year Treasury Rate, shall determine the Five-Year Treasury Rate in its sole discretion, provided that if the calculation agent determines there is an industry-accepted successor Five-Year Treasury Rate, then the Calculation Agent shall use such successor rate. If the calculation agent has determined a substitute or successor rate in accordance with the foregoing, the calculation agent, in its sole discretion, may determine the “business day” convention, the definition of “business day” and the Reset Distribution Determination Date to be used and any other relevant methodology for calculating such substitute or successor rate, including any adjustment factor needed to make such substitute or successor rate comparable to the rate described in clause (i), in a manner that is consistent with industry-accepted practices for such substitute or successor rate.</w:t>
      </w:r>
    </w:p>
    <w:p>
      <w:pPr>
        <w:spacing w:after="0" w:line="157" w:lineRule="exact"/>
        <w:rPr>
          <w:sz w:val="20"/>
          <w:szCs w:val="20"/>
          <w:color w:val="auto"/>
        </w:rPr>
      </w:pPr>
    </w:p>
    <w:p>
      <w:pPr>
        <w:ind w:firstLine="360"/>
        <w:spacing w:after="0" w:line="222" w:lineRule="auto"/>
        <w:rPr>
          <w:sz w:val="20"/>
          <w:szCs w:val="20"/>
          <w:color w:val="auto"/>
        </w:rPr>
      </w:pPr>
      <w:r>
        <w:rPr>
          <w:rFonts w:ascii="Times New Roman" w:cs="Times New Roman" w:eastAsia="Times New Roman" w:hAnsi="Times New Roman"/>
          <w:sz w:val="18"/>
          <w:szCs w:val="18"/>
          <w:color w:val="auto"/>
        </w:rPr>
        <w:t>As used herein, “Reset Period” means the period from, and including, June 15, 2026 to, but excluding, the fifth-year anniversary of said date, and thereafter from, and including, the fifth-year anniversary of June 15, 2026 but excluding the following fifth-year anniversary of said date (each five-year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commencing with June 15, 2026, a “Reset Period”).</w:t>
      </w:r>
    </w:p>
    <w:p>
      <w:pPr>
        <w:sectPr>
          <w:pgSz w:w="11900" w:h="16838" w:orient="portrait"/>
          <w:cols w:equalWidth="0" w:num="1">
            <w:col w:w="11240"/>
          </w:cols>
          <w:pgMar w:left="320" w:top="1404" w:right="339" w:bottom="1440" w:gutter="0" w:footer="0" w:header="0"/>
        </w:sectPr>
      </w:pPr>
    </w:p>
    <w:bookmarkStart w:id="109" w:name="page110"/>
    <w:bookmarkEnd w:id="109"/>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As used herein, “Reset Distribution Determination Date” means, in respect of any Reset Period, the day falling three business days prior to the beginning of such Reset Period.</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When, as, and if declared by our board of directors, we pay cash distributions on the Series C Preferred Shares quarterly, in arrears, on each Distribution Payment Date, which payments began on December 15, 2022. We pay cash distributions to the holders of record of Series C Preferred Shares as they appear on our share register on the applicable record date, which for any Distribution Payment Date shall be the 1st calendar day of the month of</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such Distribution Payment Date or such other record date fixed by our board of directors as the record date for such Distribution Payment Date that is not more than 60 nor less than 10 days prior to such Distribution Payment Date.</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Distributions on the Series C Preferred Shares are not mandatory. However, distributions on the Series C Preferred Shares accrue from and including,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most recent Distribution Payment Date on which all accrued distributions have been paid, as applicable, whether or not we have earnings, whether or not there are funds legally available for the payment of those distributions and whether or not those distributions are declared. No interest, or sum in lieu of interest, is payable in respect of any distribution payment or payments on the Series C Preferred Shares which may be in arrears, and holders of the Series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 Preferred Shares are not entitled to any distribution, whether payable in cash, property, or shares, in excess of the full cumulative distributions described above.</w:t>
      </w:r>
    </w:p>
    <w:p>
      <w:pPr>
        <w:spacing w:after="0" w:line="157"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18"/>
          <w:szCs w:val="18"/>
          <w:color w:val="auto"/>
        </w:rPr>
        <w:t>If in the future we issue additional shares of the Series C Preferred Shares, distributions on those additional shares will accrue from the most recent Distribution Payment Date at the then-applicable distribution rate.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Priority Regarding Distributions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While any Series C Preferred Shares remain outstanding, unless the full cumulative distributions for all past Distribution Periods on all outstanding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Series C Preferred Shares have been or contemporaneously are declared and paid in full or declared and a sum sufficient for the payment of those distributions has been set aside:</w:t>
      </w:r>
    </w:p>
    <w:p>
      <w:pPr>
        <w:spacing w:after="0" w:line="157" w:lineRule="exact"/>
        <w:rPr>
          <w:sz w:val="20"/>
          <w:szCs w:val="20"/>
          <w:color w:val="auto"/>
        </w:rPr>
      </w:pPr>
    </w:p>
    <w:p>
      <w:pPr>
        <w:ind w:left="1020" w:hanging="328"/>
        <w:spacing w:after="0" w:line="222" w:lineRule="auto"/>
        <w:tabs>
          <w:tab w:leader="none" w:pos="101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distribution will be declared and paid or set aside for payment on any Junior Securities (as defined below) (other than a distribution payable solely in shares of Junior Securities);</w:t>
      </w:r>
    </w:p>
    <w:p>
      <w:pPr>
        <w:spacing w:after="0" w:line="1" w:lineRule="exact"/>
        <w:rPr>
          <w:rFonts w:ascii="Times New Roman" w:cs="Times New Roman" w:eastAsia="Times New Roman" w:hAnsi="Times New Roman"/>
          <w:sz w:val="18"/>
          <w:szCs w:val="18"/>
          <w:color w:val="auto"/>
        </w:rPr>
      </w:pPr>
    </w:p>
    <w:p>
      <w:pPr>
        <w:jc w:val="both"/>
        <w:ind w:left="1020" w:hanging="328"/>
        <w:spacing w:after="0" w:line="208" w:lineRule="auto"/>
        <w:tabs>
          <w:tab w:leader="none" w:pos="101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Junior Securities will be repurchased, redeemed, or otherwise acquired for consideration by the Company or any of its subsidiaries, directly or indirectly (other than as a result of a reclassification of Junior Securities for or into other Junior Securities, or the exchange for or conversion into Junior Securities, through the use of the proceeds of a substantially contemporaneous sale of other shares of Junior Securities or pursuant to a contractually binding requirement to buy Junior Securities pursuant to a binding agreement existing prior to the original issue date of the Series C Preferred Shares), nor will any monies be paid to or made available for a sinking fund for the redemption of any such securities by the Company or any of its subsidiaries; and</w:t>
      </w:r>
    </w:p>
    <w:p>
      <w:pPr>
        <w:spacing w:after="0" w:line="3" w:lineRule="exact"/>
        <w:rPr>
          <w:rFonts w:ascii="Times New Roman" w:cs="Times New Roman" w:eastAsia="Times New Roman" w:hAnsi="Times New Roman"/>
          <w:sz w:val="18"/>
          <w:szCs w:val="18"/>
          <w:color w:val="auto"/>
        </w:rPr>
      </w:pPr>
    </w:p>
    <w:p>
      <w:pPr>
        <w:jc w:val="both"/>
        <w:ind w:left="1020" w:hanging="328"/>
        <w:spacing w:after="0" w:line="218" w:lineRule="auto"/>
        <w:tabs>
          <w:tab w:leader="none" w:pos="101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Parity Securities will be repurchased, redeemed or otherwise acquired for consideration by the Company or any of its subsidiaries (other than pursuant to pro rata offers to purchase or exchange all, or a pro rata portion of Series C Preferred Shares and such Parity Securities or as a result of a reclassification of Parity Securities for or into other Parity Securities, or by conversion into or exchange for other Parity Securities or Junior Securities).</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foregoing limitations do not apply to (i) purchases or acquisitions of, or cash settlement in respect of, Junior Securities pursuant to any employee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or director incentive or benefit plan or arrangement (including any of our employment, severance, or consulting agreements) of ours or of any of our subsidiaries and (ii) any distribution in connection with the implementation of a shareholder rights plan or the redemption or repurchase of any rights under such a plan, including with respect to any successor shareholder rights plan.</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Accumulated distributions in arrears for any past Distribution Period may be declared by the board of directors and paid on any date fixed by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board of directors, whether or not a Distribution Payment Date, to holders of the Series C Preferred Shares on the record date for such payment, which may not be less than 10 days before such distribution. To the extent a distribution period applicable to a class of Junior Securities or Parity Securities is shorter than the Distribution Period applicable to the Series C Preferred Shares (e.g., monthly rather than quarterly), the board of directors may declare and pay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regular distributions with respect to such Junior Securities or Parity Securities so long as, at the time of declaration of such distribution, the board of directors expects to have sufficient funds to pay the full cumulative distributions in respect of the Series C Preferred Shares on the next Distribution Payment Date.</w:t>
      </w:r>
    </w:p>
    <w:p>
      <w:pPr>
        <w:spacing w:after="0" w:line="172" w:lineRule="exact"/>
        <w:rPr>
          <w:sz w:val="20"/>
          <w:szCs w:val="20"/>
          <w:color w:val="auto"/>
        </w:rPr>
      </w:pPr>
    </w:p>
    <w:p>
      <w:pPr>
        <w:jc w:val="both"/>
        <w:ind w:firstLine="360"/>
        <w:spacing w:after="0" w:line="226" w:lineRule="auto"/>
        <w:rPr>
          <w:sz w:val="20"/>
          <w:szCs w:val="20"/>
          <w:color w:val="auto"/>
        </w:rPr>
      </w:pPr>
      <w:r>
        <w:rPr>
          <w:rFonts w:ascii="Times New Roman" w:cs="Times New Roman" w:eastAsia="Times New Roman" w:hAnsi="Times New Roman"/>
          <w:sz w:val="18"/>
          <w:szCs w:val="18"/>
          <w:color w:val="auto"/>
        </w:rPr>
        <w:t>Subject to the next succeeding sentence, if all accumulated distributions in arrears on all outstanding Series C Preferred Shares and any Parity Securities have not been declared and paid, or sufficient funds for the payment thereof have not been set apart, payment of accumulated distributions in arrears will be made in order of their respective distribution payment dates, commencing with the earliest distribution payment date. If less than all</w:t>
      </w:r>
    </w:p>
    <w:p>
      <w:pPr>
        <w:sectPr>
          <w:pgSz w:w="11900" w:h="16838" w:orient="portrait"/>
          <w:cols w:equalWidth="0" w:num="1">
            <w:col w:w="11240"/>
          </w:cols>
          <w:pgMar w:left="320" w:top="1404" w:right="339" w:bottom="1440" w:gutter="0" w:footer="0" w:header="0"/>
        </w:sectPr>
      </w:pPr>
    </w:p>
    <w:bookmarkStart w:id="110" w:name="page111"/>
    <w:bookmarkEnd w:id="110"/>
    <w:p>
      <w:pPr>
        <w:jc w:val="both"/>
        <w:spacing w:after="0" w:line="222" w:lineRule="auto"/>
        <w:rPr>
          <w:sz w:val="20"/>
          <w:szCs w:val="20"/>
          <w:color w:val="auto"/>
        </w:rPr>
      </w:pPr>
      <w:r>
        <w:rPr>
          <w:rFonts w:ascii="Times New Roman" w:cs="Times New Roman" w:eastAsia="Times New Roman" w:hAnsi="Times New Roman"/>
          <w:sz w:val="18"/>
          <w:szCs w:val="18"/>
          <w:color w:val="auto"/>
        </w:rPr>
        <w:t>distributions payable with respect to all Series C Preferred Shares and any Parity Securities are paid, any partial payment will be made pro rata with respect to the Series C Preferred Shares and any Parity Securities entitled to a distribution payment at such time in proportion to the aggregate amounts remaining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in respect of such Series C Preferred Shares and Parity Securities at such time.</w:t>
      </w:r>
    </w:p>
    <w:p>
      <w:pPr>
        <w:spacing w:after="0" w:line="165"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As used in this description of Series C Preferred Shares, (i) “Junior Securities” means our ordinary shares and any other class or series of our share capital over which the Series C Preferred Shares has preference or priority in the payment of distributions or in the distribution of assets on our liquidation,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dissolution or winding up, (ii) “Parity Securities” means any other class or series of our share capital that ranks equally with the Series C Preferred Shares in the payment of distributions and in the distribution of assets on our liquidation, dissolution or winding up (including our Series A Preferred Shares, Series B Preferred Shares and Series D Preferred Shares) and (iii) “Senior Securities” means any other class or series of our share capital that has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preference or priority over the Series C Preferred Shares in the payment of distributions or in the distribution of assets on our liquidation, dissolution or winding up.</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Subject to the conditions described above, and not otherwise, distributions (payable in cash, shares, or otherwise), as may be determined by our board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of directors, may be declared and paid on our ordinary shares and any other Junior Securities from time to time out of any funds legally available for such payment, and the holders of the Series C Preferred Shares will not be entitled to participate in those distributions.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0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Upon our voluntary or involuntary Liquidation, the holders of the outstanding Series C Preferred Shares are entitled to be paid out of our assets legally available for distribution to our shareholders, before any distribution of assets is made to holders of ordinary shares or any other Junior Securities, a liquidating distribution in the amount of a liquidation preference of $25.00 per share, plus an amount equal to accumulated and unpaid distributions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thereon, if any, to, but excluding, the date of such liquidating distribution, whether or not declared, plus the sum of any declared and unpaid distributions for Distribution Periods prior to the Distribution Period in which the liquidating distribution is made and any declared and unpaid distributions for the then current Distribution Period in which the liquidating distribution is made to the date of such liquidating distribution. After payment of the full amount of the</w:t>
      </w:r>
    </w:p>
    <w:p>
      <w:pPr>
        <w:spacing w:after="0" w:line="2" w:lineRule="exact"/>
        <w:rPr>
          <w:sz w:val="20"/>
          <w:szCs w:val="20"/>
          <w:color w:val="auto"/>
        </w:rPr>
      </w:pPr>
    </w:p>
    <w:p>
      <w:pPr>
        <w:ind w:right="460"/>
        <w:spacing w:after="0" w:line="442" w:lineRule="auto"/>
        <w:rPr>
          <w:sz w:val="20"/>
          <w:szCs w:val="20"/>
          <w:color w:val="auto"/>
        </w:rPr>
      </w:pPr>
      <w:r>
        <w:rPr>
          <w:rFonts w:ascii="Times New Roman" w:cs="Times New Roman" w:eastAsia="Times New Roman" w:hAnsi="Times New Roman"/>
          <w:sz w:val="18"/>
          <w:szCs w:val="18"/>
          <w:color w:val="auto"/>
        </w:rPr>
        <w:t xml:space="preserve">liquidating distributions to which they are entitled, the holders of Series C Preferred Shares will have no right or claim to any of our remaining assets. </w:t>
      </w:r>
      <w:r>
        <w:rPr>
          <w:rFonts w:ascii="Times New Roman" w:cs="Times New Roman" w:eastAsia="Times New Roman" w:hAnsi="Times New Roman"/>
          <w:sz w:val="18"/>
          <w:szCs w:val="18"/>
          <w:b w:val="1"/>
          <w:bCs w:val="1"/>
          <w:color w:val="auto"/>
        </w:rPr>
        <w:t>Conversion; Exchange and Preemptive Rights</w:t>
      </w:r>
    </w:p>
    <w:p>
      <w:pPr>
        <w:spacing w:after="0" w:line="1"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18"/>
          <w:szCs w:val="18"/>
          <w:color w:val="auto"/>
        </w:rPr>
        <w:t>The Series C Preferred Shares are not entitled to any preemptive rights or other rights to purchase or subscribe for our ordinary shares or any other security, and are not convertible into or exchangeable for our ordinary shares or any other security or property at the option of the holder.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Series C Preferred Shares are not subject to any mandatory redemption, sinking fund or other similar provisions.</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Holders of Series C Preferred Shares do not have the right to require the redemption or repurchase of the Series C Preferred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on or after June 15, 2026</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may redeem the Series C Preferred Shares, in whole or in part, at our option, at any time or from time to time on or after June 15, 2026 (“Series C</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Optional Redemption”), at the redemption price equal to $25.00 per Series C Preferred Share, plus an amount equal to all accumulated and unpaid distributions thereon, if any, to, but excluding, the date of redemption, whether or not declared. We may undertake multiple Series C Optional Redemptions. Any such redemption would be effected only out of funds legally available for such purpose and would be subject to compliance with the provisions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governing our outstanding indebtedness.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upon a Rating Event</w:t>
      </w:r>
    </w:p>
    <w:p>
      <w:pPr>
        <w:spacing w:after="0" w:line="189"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At any time within 120 days after the conclusion of any review or appeal process instituted by us following the occurrence of a Series C Rating Event (as defined below), we may, at our option, redeem the Series C Preferred Shares in whole, but not in part, prior to June 15, 2026, at a redemption price per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C Preferred Share equal to $25.50 (102% of the liquidation preference of $25.00), plus an amount equal to all accumulated and unpaid</w:t>
      </w:r>
    </w:p>
    <w:p>
      <w:pPr>
        <w:sectPr>
          <w:pgSz w:w="11900" w:h="16838" w:orient="portrait"/>
          <w:cols w:equalWidth="0" w:num="1">
            <w:col w:w="11240"/>
          </w:cols>
          <w:pgMar w:left="320" w:top="1404" w:right="339" w:bottom="1440" w:gutter="0" w:footer="0" w:header="0"/>
        </w:sectPr>
      </w:pPr>
    </w:p>
    <w:bookmarkStart w:id="111" w:name="page112"/>
    <w:bookmarkEnd w:id="111"/>
    <w:p>
      <w:pPr>
        <w:jc w:val="both"/>
        <w:spacing w:after="0" w:line="237" w:lineRule="auto"/>
        <w:rPr>
          <w:sz w:val="20"/>
          <w:szCs w:val="20"/>
          <w:color w:val="auto"/>
        </w:rPr>
      </w:pPr>
      <w:r>
        <w:rPr>
          <w:rFonts w:ascii="Times New Roman" w:cs="Times New Roman" w:eastAsia="Times New Roman" w:hAnsi="Times New Roman"/>
          <w:sz w:val="18"/>
          <w:szCs w:val="18"/>
          <w:color w:val="auto"/>
        </w:rPr>
        <w:t>distributions thereon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“Series C Rating Event” means a change by any rating agency to the criteria employed by such rating agency as of March 25, 2021 for purposes of assigning ratings to securities with features similar to the Series C Preferred Shares, which change results in (i) any shortening of the length of time for which the criteria in effect as of March 25, 2021 are scheduled to be in effect with respect to the Series C Preferred Shares, or (ii) a lower equity credit</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being given to the Series C Preferred Shares than the equity credit that would have been assigned to the Series C Preferred Shares by such rating agency pursuant to the criteria in effect as of March 25, 2021.</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upon a Change of Control</w:t>
      </w:r>
    </w:p>
    <w:p>
      <w:pPr>
        <w:spacing w:after="0" w:line="20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If a Change of Control (as defined in the Series C Share Designation) occurs, we may, at our option, redeem the Series C Preferred Shares, in whole but not in part, prior to June 15, 2026 and within 60 days after the occurrence of such Change of Control, at a price of $25.25 per Series C Preferred Share, plus an amount equal to all accumulated and unpaid distributions thereon, if any, to, but excluding, the date of redemption, whether or not declared. Any</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such redemption would be effected only out of funds legally available for such purpose and would be subject to compliance with the provisions of the instruments governing our outstanding indebtedness.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(i) a Change of Control occurs (whether before, on or after June 15, 2026) and (ii) we do not give notice prior to the 31st day following the Change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of Control to redeem all of the outstanding Series C Preferred Shares, the distribution rate per annum on the Series C Preferred Shares will increase by 500 basis points, beginning on the 31st day following such Change of Control.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upon a Tax Redemption Event</w:t>
      </w:r>
    </w:p>
    <w:p>
      <w:pPr>
        <w:spacing w:after="0" w:line="22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If a Series C Tax Redemption Event (as defined in the Series C Share Designation) occurs, we may, at our option, redeem the Series C Preferred Shares, in whole but not in part, prior to June 15, 2026, and within 60 days after the occurrence of such Series C Tax Redemption Event, at a price of $25.25 per Series C Preferred Share, plus an amount equal to all accumulated and unpaid distributions thereon, if any, to, but excluding, the date of</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redemption, whether or not declared. Any such redemption would be effected only out of funds legally available for such purpose and would be subject to compliance with the provisions of the instruments governing our outstanding indebtedness.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Owners of Series C Preferred Shares do not have any voting rights, except as set forth below or as otherwise required by applicable law. To the extent that owners of Series C Preferred Shares are entitled to vote, each holder of Series C Preferred Shares will have one vote per share, except that when shares of any class or series of Parity Securities have the right to vote with the Series C Preferred Shares as a single class on any matter, the Series C Preferred</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Shares and the shares of each such Parity Securities will have one vote for each $25.00 of liquidation preference (for the avoidance of doubt, excluding accumulated distributions).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Whenever dividends on any shares of the Series C Preferred Shares are in arrears for six or more quarterly Distribution Periods, whether or not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consecutive, the upper limit of the number of directors then constituting our board of directors will be automatically increased by two (if not already increased by two by reason of the election of directors by the holders of any Other Voting Preferred Shares (as defined below) and the holders of Series C Preferred Shares, voting together as a single class). The holders of the Series C Preferred Shares, voting together as a single class with the holders of any</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 xml:space="preserve">series of Parity Securities then outstanding upon which like voting rights have been conferred and are exercisable (any such series, the “Other Voting Preferred Shares”), will be entitled to vote, by the affirmative vote of a majority of the votes entitled to be cast, for the appointment of two additional directors at a special meeting of the holders of the Series C Preferred Shares and such Other Voting Preferred Shares and at each subsequent annual meeting of the holders of our ordinary shares at which such directors are up for re-appointment;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when all distributions accumulated on the Series C</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Preferred Shares for all past Distribution Periods and the then current Distribution Period shall have been fully paid, the right of holders of the Series C Preferred Shares to appoint any directors will cease and, unless there are any Other Voting Preferred Shares entitled to vote for the election of directors, the term of office of those two directors will forthwith terminate, the office of any directors appointed by holders of the Series C Preferred Shares shall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automatically be vacated and the upper limit of the number of directors constituting the board of directors shall be automatically reduced by two. However, the right of the holders of the Series C Preferred Shares and any Other Voting Preferred Shares to appoint two additional directors will again vest if and whenever six additional quarterly distributions have not been declared and paid, as described above. In no event shall the holders of the Series C Preferred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be entitled pursuant to</w:t>
      </w:r>
    </w:p>
    <w:p>
      <w:pPr>
        <w:sectPr>
          <w:pgSz w:w="11900" w:h="16838" w:orient="portrait"/>
          <w:cols w:equalWidth="0" w:num="1">
            <w:col w:w="11240"/>
          </w:cols>
          <w:pgMar w:left="320" w:top="1404" w:right="339" w:bottom="1440" w:gutter="0" w:footer="0" w:header="0"/>
        </w:sectPr>
      </w:pPr>
    </w:p>
    <w:bookmarkStart w:id="112" w:name="page113"/>
    <w:bookmarkEnd w:id="112"/>
    <w:p>
      <w:pPr>
        <w:jc w:val="both"/>
        <w:spacing w:after="0" w:line="222" w:lineRule="auto"/>
        <w:rPr>
          <w:sz w:val="20"/>
          <w:szCs w:val="20"/>
          <w:color w:val="auto"/>
        </w:rPr>
      </w:pPr>
      <w:r>
        <w:rPr>
          <w:rFonts w:ascii="Times New Roman" w:cs="Times New Roman" w:eastAsia="Times New Roman" w:hAnsi="Times New Roman"/>
          <w:sz w:val="18"/>
          <w:szCs w:val="18"/>
          <w:color w:val="auto"/>
        </w:rPr>
        <w:t>these voting rights to elect a director that would cause us to fail to satisfy a requirement relating to director independence of any national securities exchange or quotation system on which any class or series of our share capital is listed or quoted. For the avoidance of doubt, in no event shall the total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directors elected by holders of the Series C Preferred Shares and any Other Voting Preferred Shares exceed two.</w:t>
      </w:r>
    </w:p>
    <w:p>
      <w:pPr>
        <w:spacing w:after="0" w:line="16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While any Series C Preferred Shares remain outstanding, the following actions will be deemed a variation of the rights of the Series C Preferred Shares and all Other Voting Preferred Shares, acting as a single class, (i) authorize, create or issue any Senior Securities or reclassify any authorized share capital into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any Senior Securities or issue any obligation or security convertible into or evidencing the right to purchase any Senior Securities or (ii) amend, alter or repeal any provision of the Articles, including by merger, consolidation or otherwise, so as to adversely affect the powers, preferences or special rights of the Series C Preferred Shares, and shall in each case of clause (i) and (ii) require the approval of the holders of the Series C Preferred Shares and all Other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Voting Preferred Shares in accordance with and following the procedures set out in the Articles; provided that in the case of the foregoing clause (ii), if such amendment affects materially and adversely the rights, designations, preferences, powers and duties of one or more but not all of the classes or series of the Other Voting Preferred Shares (including the Series C Preferred Shares for this purpose), the holders of the outstanding shares of the classes or series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so affected, voting as a class, is required in lieu of (or, if such consent is required by law, in addition to) the consent of the holders of the Other Voting Preferred Shares (including the Series C Preferred Shares for this purpose) in accordance with and following the procedures set out in the Articles. However, we may create additional series or classes of Parity Securities and Junior Securities and issue additional classes or series of Parity Securities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Junior Securities without notice to or the consent of any holder of the Series C Preferred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Parity Securities, the full cumulative distributions for all past Distribution Periods on all outstanding Series C Preferred Shares shall have been or contemporaneously are declared and paid in full or declared and a sum sufficient for the payment of those distributions has been set aside.</w:t>
      </w:r>
    </w:p>
    <w:p>
      <w:pPr>
        <w:spacing w:after="0" w:line="172"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Notwithstanding the foregoing, none of the following will be deemed to affect the powers, preferences or special rights of the Series C Preferred Shares:</w:t>
      </w:r>
    </w:p>
    <w:p>
      <w:pPr>
        <w:spacing w:after="0" w:line="158" w:lineRule="exact"/>
        <w:rPr>
          <w:sz w:val="20"/>
          <w:szCs w:val="20"/>
          <w:color w:val="auto"/>
        </w:rPr>
      </w:pPr>
    </w:p>
    <w:p>
      <w:pPr>
        <w:jc w:val="both"/>
        <w:ind w:left="1020" w:hanging="328"/>
        <w:spacing w:after="0" w:line="217" w:lineRule="auto"/>
        <w:tabs>
          <w:tab w:leader="none" w:pos="10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the amount of authorized ordinary shares or authorized preferred shares, or any increase or decrease in the number of shares of any series of preferred shares, or the authorization, creation and issuance of other classes or series of share capital, in each case ranking on parity with or junior to the Series C Preferred Shares as to distributions or distribution of assets upon our liquidation, dissolution or winding up;</w:t>
      </w:r>
    </w:p>
    <w:p>
      <w:pPr>
        <w:ind w:left="1020" w:hanging="328"/>
        <w:spacing w:after="0" w:line="203" w:lineRule="auto"/>
        <w:tabs>
          <w:tab w:leader="none" w:pos="10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us with or into another entity in which the Series C Preferred Shares remain outstanding with identical terms as existing immediately prior to such merger or consolidation; and</w:t>
      </w:r>
    </w:p>
    <w:p>
      <w:pPr>
        <w:ind w:left="1020" w:hanging="328"/>
        <w:spacing w:after="0" w:line="219"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us with or into another entity in which the Series C Preferred Shares are converted into or exchanged for</w:t>
      </w:r>
    </w:p>
    <w:p>
      <w:pPr>
        <w:ind w:left="1020"/>
        <w:spacing w:after="0" w:line="203" w:lineRule="auto"/>
        <w:rPr>
          <w:sz w:val="20"/>
          <w:szCs w:val="20"/>
          <w:color w:val="auto"/>
        </w:rPr>
      </w:pPr>
      <w:r>
        <w:rPr>
          <w:rFonts w:ascii="Times New Roman" w:cs="Times New Roman" w:eastAsia="Times New Roman" w:hAnsi="Times New Roman"/>
          <w:sz w:val="18"/>
          <w:szCs w:val="18"/>
          <w:color w:val="auto"/>
        </w:rPr>
        <w:t>preference securities of the surviving entity or any entity, directly or indirectly, controlling such surviving entity and such new preference securities have terms identical (other than the identity of the issuer) to the terms of the Series C Preferred Shares.</w:t>
      </w:r>
    </w:p>
    <w:p>
      <w:pPr>
        <w:ind w:left="360"/>
        <w:spacing w:after="0" w:line="220" w:lineRule="auto"/>
        <w:rPr>
          <w:sz w:val="20"/>
          <w:szCs w:val="20"/>
          <w:color w:val="auto"/>
        </w:rPr>
      </w:pPr>
      <w:r>
        <w:rPr>
          <w:rFonts w:ascii="Times New Roman" w:cs="Times New Roman" w:eastAsia="Times New Roman" w:hAnsi="Times New Roman"/>
          <w:sz w:val="18"/>
          <w:szCs w:val="18"/>
          <w:color w:val="auto"/>
        </w:rPr>
        <w:t>The foregoing voting rights of the holders of Series C Preferred Shares shall not apply if, at or prior to the time when the act with respect to which the</w:t>
      </w:r>
    </w:p>
    <w:p>
      <w:pPr>
        <w:jc w:val="both"/>
        <w:spacing w:after="0" w:line="226" w:lineRule="auto"/>
        <w:rPr>
          <w:sz w:val="20"/>
          <w:szCs w:val="20"/>
          <w:color w:val="auto"/>
        </w:rPr>
      </w:pPr>
      <w:r>
        <w:rPr>
          <w:rFonts w:ascii="Times New Roman" w:cs="Times New Roman" w:eastAsia="Times New Roman" w:hAnsi="Times New Roman"/>
          <w:sz w:val="18"/>
          <w:szCs w:val="18"/>
          <w:color w:val="auto"/>
        </w:rPr>
        <w:t>vote would otherwise be required shall be effected, all outstanding Series C Preferred Shares shall have been redeemed or called for redemption upon proper notice and we shall have set aside sufficient funds for the benefit of holders of Series C Preferred Shares to effect the redemption.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202" w:lineRule="exact"/>
        <w:rPr>
          <w:sz w:val="20"/>
          <w:szCs w:val="20"/>
          <w:color w:val="auto"/>
        </w:rPr>
      </w:pPr>
    </w:p>
    <w:p>
      <w:pPr>
        <w:jc w:val="both"/>
        <w:ind w:firstLine="360"/>
        <w:spacing w:after="0" w:line="213" w:lineRule="auto"/>
        <w:rPr>
          <w:sz w:val="20"/>
          <w:szCs w:val="20"/>
          <w:color w:val="auto"/>
        </w:rPr>
      </w:pPr>
      <w:r>
        <w:rPr>
          <w:rFonts w:ascii="Times New Roman" w:cs="Times New Roman" w:eastAsia="Times New Roman" w:hAnsi="Times New Roman"/>
          <w:sz w:val="18"/>
          <w:szCs w:val="18"/>
          <w:color w:val="auto"/>
        </w:rPr>
        <w:t>The Articles provide for submission to the exclusive jurisdiction of the courts of the Cayman Islands in connection with any claim or dispute arising out of or in connection with the constitutional documents of the Company or otherwise related in any way to each Company shareholder’s shareholding in the Company, other than any action or suits brought to enforce any liability or duty created by the Securities Act, the Exchange Act, or any claim for which the federal district courts of the United States of America are, as a matter of the laws of the United States, the sole and exclusive forum for determination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 claim.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Series D Preferred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The Articles authorize the Company to issue up to 200,000,000 preferred shares in one or more series, and the Company’s board of directors is authorized to fix the number of shares of each series and determine the rights, designations, preferences, powers and duties of any such series. The “9.500% Fixed-Rate Reset Series D Cumulative Perpetual Redeemable Preferred Shares” are designated as one series of our authorized preferred shares, consisting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2,600,000 Series D Preferred Shares.</w:t>
      </w:r>
    </w:p>
    <w:p>
      <w:pPr>
        <w:sectPr>
          <w:pgSz w:w="11900" w:h="16838" w:orient="portrait"/>
          <w:cols w:equalWidth="0" w:num="1">
            <w:col w:w="11240"/>
          </w:cols>
          <w:pgMar w:left="320" w:top="1404" w:right="339" w:bottom="1440" w:gutter="0" w:footer="0" w:header="0"/>
        </w:sectPr>
      </w:pPr>
    </w:p>
    <w:bookmarkStart w:id="113" w:name="page114"/>
    <w:bookmarkEnd w:id="113"/>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The Series D Preferred Shares represent perpetual equity interests in us and, unlike our indebtedness, do not give rise to a claim for payment of a principal amount at a particular date. As such, the Series D Preferred Shares rank junior to all of our current and future indebtedness and other liabilities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with respect to assets available to satisfy claims against us. The Series D Preferred Shares have a fixed liquidation preference of $25.00 per Series D Preferred Share, plus an amount equal to accumulated and unpaid distributions thereon, if any, to, but excluding, the date of payment, whether or not declared;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rights of the holders of Series D Preferred Shares to receive the liquidation preference will be subject to the proportional rights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holders of Parity Securities (as defined below) and to the other matters described under “—</w:t>
      </w: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Series D Preferred Shares trade on Nasdaq under the symbol “FTAIM.”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0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 xml:space="preserve">With respect to the payment of distributions and rights (including redemption rights) upon our liquidation, dissolution or winding up, the Series D Preferred Shares rank (i) senior and prior to our ordinary shares and any class or series of preferred shares that by its terms is designated as ranking junior to the Series D Preferred Shares, (ii)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any class or series of preferred shares that by its terms is designated as ranking equal to the Series 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Preferred Shares or does not state it is junior or senior to the Series D Preferred Shares (including our Series A Preferred Shares, Series B Preferred Shares and Series C Preferred Shares), (iii) junior to any class or series of preferred shares that is expressly designated as ranking senior to the Series D Preferred Shares (subject to receipt of any requisite consents prior to issuance) and (iv) effectively junior to all of our existing and future indebtedness (including</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indebtedness convertible into our ordinary shares or preferred shares) and other liabilities and to all liabilities and any preferred equity of our existing subsidiaries and any future subsidiaries.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Series D Preferred Shares are not convertible into, or exchangeable for, shares of any other class or series of our share capital or other securities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and are not subject to any sinking fund or other obligation to redeem or repurchase the Series D Preferred Shares. The Series D Preferred Shares are not secured, are not guaranteed by us or any of our affiliates and are not subject to any other arrangement that legally or economically enhances the ranking of the Series D Preferred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89"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Holders of the Series D Preferred Shares are entitled to receive, only when, as, and if declared by our board of directors, out of funds legally available for such purpose, cumulative cash distributions based on the stated liquidation preference of $25.00 per Series D Preferred Share at a rate equal to (i) from,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including, the original issue date of the Series D Preferred Shares to, but excluding June 15, 2028 (the “Series D Reset Rate Period”), 9.500% per annum, and (ii) beginning June 15, 2028 (the “Series D Fixed Rate Period”), the Five-Year Treasury Rate (as defined below) plus a spread of 516.2 basis points per annum; provided that if the Five-Year Treasury Rate for any Distribution Period (as defined below) described in this clause (ii) cannot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determined pursuant to the definition of “Five-Year Treasury Rate,” the distribution rate for such Distribution Period will be the same as the distribution rate determined or utilized for the immediately preceding Distribution Period. A “Distribution Period” means the period from, and including, each Distribution Payment Date to, but excluding, the next succeeding Distribution Payment Date, except for the initial Distribution Period, which is the period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and including, the original issue date of the Series D Preferred Shares to, but excluding, the next succeeding Distribution Payment Date.</w:t>
      </w:r>
    </w:p>
    <w:p>
      <w:pPr>
        <w:spacing w:after="0" w:line="165" w:lineRule="exact"/>
        <w:rPr>
          <w:sz w:val="20"/>
          <w:szCs w:val="20"/>
          <w:color w:val="auto"/>
        </w:rPr>
      </w:pPr>
    </w:p>
    <w:p>
      <w:pPr>
        <w:jc w:val="both"/>
        <w:ind w:right="20" w:firstLine="360"/>
        <w:spacing w:after="0" w:line="222" w:lineRule="auto"/>
        <w:rPr>
          <w:sz w:val="20"/>
          <w:szCs w:val="20"/>
          <w:color w:val="auto"/>
        </w:rPr>
      </w:pPr>
      <w:r>
        <w:rPr>
          <w:rFonts w:ascii="Times New Roman" w:cs="Times New Roman" w:eastAsia="Times New Roman" w:hAnsi="Times New Roman"/>
          <w:sz w:val="18"/>
          <w:szCs w:val="18"/>
          <w:color w:val="auto"/>
        </w:rPr>
        <w:t>For purposes of calculating the distribution rate for a given Series D Fixed Rate Period, the calculation agent shall determine the “Five-Year Treasury Rate” (for any Reset Period (as defined below) commencing on or after the Series D Reset Rate Period), based on the rate on the Reset Distribution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Date (as defined below) and equal to:</w:t>
      </w:r>
    </w:p>
    <w:p>
      <w:pPr>
        <w:spacing w:after="0" w:line="165" w:lineRule="exact"/>
        <w:rPr>
          <w:sz w:val="20"/>
          <w:szCs w:val="20"/>
          <w:color w:val="auto"/>
        </w:rPr>
      </w:pPr>
    </w:p>
    <w:p>
      <w:pPr>
        <w:jc w:val="both"/>
        <w:ind w:left="660" w:hanging="328"/>
        <w:spacing w:after="0" w:line="224" w:lineRule="auto"/>
        <w:tabs>
          <w:tab w:leader="none" w:pos="6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of the yields to maturity on actively traded U.S. treasury securities adjusted to constant maturity, for five-year maturities, for the five business days appearing under the caption “Treasury Constant Maturities” in the most recently published statistical release designated H.15 Daily Update or any successor publication which is published by the Federal Reserve Board, as determined by the calculation agent in its sole discretion, as of 5:00 p.m. (Eastern Time) as of any date of determination; or</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calculation is provided as described in clause (i), then the calculation agent, after consulting such sources as it deems comparable to any of the foregoing calculations, or any such source as it deems reasonable from which to estimate the Five-Year Treasury Rate, shall determine the Five-Year Treasury Rate in its sole discretion, provided that if the calculation agent determines there is an industry-accepted successor Five-Year Treasury Rate, then the calculation agent shall use such successor rate. If the calculation agent has determined a substitute or successor rate in accordance with the foregoing, the</w:t>
      </w:r>
    </w:p>
    <w:p>
      <w:pPr>
        <w:sectPr>
          <w:pgSz w:w="11900" w:h="16838" w:orient="portrait"/>
          <w:cols w:equalWidth="0" w:num="1">
            <w:col w:w="11240"/>
          </w:cols>
          <w:pgMar w:left="320" w:top="1404" w:right="339" w:bottom="1440" w:gutter="0" w:footer="0" w:header="0"/>
        </w:sectPr>
      </w:pPr>
    </w:p>
    <w:bookmarkStart w:id="114" w:name="page115"/>
    <w:bookmarkEnd w:id="114"/>
    <w:p>
      <w:pPr>
        <w:ind w:left="660"/>
        <w:spacing w:after="0" w:line="222" w:lineRule="auto"/>
        <w:rPr>
          <w:sz w:val="20"/>
          <w:szCs w:val="20"/>
          <w:color w:val="auto"/>
        </w:rPr>
      </w:pPr>
      <w:r>
        <w:rPr>
          <w:rFonts w:ascii="Times New Roman" w:cs="Times New Roman" w:eastAsia="Times New Roman" w:hAnsi="Times New Roman"/>
          <w:sz w:val="18"/>
          <w:szCs w:val="18"/>
          <w:color w:val="auto"/>
        </w:rPr>
        <w:t>calculation agent, in its sole discretion, may determine the “business day” convention, the definition of “business day” and the Reset Distribution Determination Date to be used and any other relevant methodology for calculating such substitute or successor rate, including any adjustment</w:t>
      </w:r>
    </w:p>
    <w:p>
      <w:pPr>
        <w:spacing w:after="0" w:line="2" w:lineRule="exact"/>
        <w:rPr>
          <w:sz w:val="20"/>
          <w:szCs w:val="20"/>
          <w:color w:val="auto"/>
        </w:rPr>
      </w:pPr>
    </w:p>
    <w:p>
      <w:pPr>
        <w:ind w:left="660"/>
        <w:spacing w:after="0" w:line="226" w:lineRule="auto"/>
        <w:rPr>
          <w:sz w:val="20"/>
          <w:szCs w:val="20"/>
          <w:color w:val="auto"/>
        </w:rPr>
      </w:pPr>
      <w:r>
        <w:rPr>
          <w:rFonts w:ascii="Times New Roman" w:cs="Times New Roman" w:eastAsia="Times New Roman" w:hAnsi="Times New Roman"/>
          <w:sz w:val="18"/>
          <w:szCs w:val="18"/>
          <w:color w:val="auto"/>
        </w:rPr>
        <w:t>factor needed to make such substitute or successor rate comparable to the rate described in clause (i), in a manner that is consistent with industry-accepted practices for such substitute or successor rate.</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used herein, “Reset Period” means the period from, and including, June 15, 2028 to, but excluding, the fifth-year anniversary of said date, and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thereafter from, and including, the fifth-year anniversary of June 15, 2028, but excluding the following fifth-year anniversary of said date (each five-year period, commencing with June 15, 2028, a “Reset Period”).</w:t>
      </w:r>
    </w:p>
    <w:p>
      <w:pPr>
        <w:spacing w:after="0" w:line="157"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18"/>
          <w:szCs w:val="18"/>
          <w:color w:val="auto"/>
        </w:rPr>
        <w:t>As used herein, “Reset Distribution Determination Date” means, in respect of any Reset Period, the day falling three business days prior to the beginning of such Reset Period.</w:t>
      </w:r>
    </w:p>
    <w:p>
      <w:pPr>
        <w:spacing w:after="0" w:line="149"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When, as, and if declared by our board of directors, we pay cash distributions on the Series D Preferred Shares quarterly, in arrears, on each Distribution Payment Date, which payments began on June 15, 2023. We pay cash distributions to the holders of record of Series D Preferred Shares as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they appear on our share register on the applicable record date, which for any Distribution Payment Date shall be the 1st calendar day of the month of such Distribution Payment Date or such other record date fixed by our board of directors as the record date for such Distribution Payment Date that is not more than 60 nor less than 10 days prior to such Distribution Payment Date.</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Distributions on the Series D Preferred Shares are not mandatory. However, distributions on the Series D Preferred Shares accrue from the most recent Distribution Payment Date on which all accrued distributions have been paid, as applicable, whether or not we have earnings, whether or not there are funds legally available for the payment of those distributions and whether or not those distributions are declared. No interest, or sum in lieu of interest, is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payable in respect of any distribution payment or payments on the Series D Preferred Shares which may be in arrears, and holders of the Series D Preferred Shares are not entitled to any distribution, whether payable in cash, property, or shares, in excess of the full cumulative distributions described above.</w:t>
      </w:r>
    </w:p>
    <w:p>
      <w:pPr>
        <w:spacing w:after="0" w:line="157"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18"/>
          <w:szCs w:val="18"/>
          <w:color w:val="auto"/>
        </w:rPr>
        <w:t>If in the future we issue additional shares of the Series D Preferred Shares, distributions on those additional shares will accrue from the most recent Distribution Payment Date at the then-applicable distribution rate.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Priority Regarding Distributions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While any Series D Preferred Shares remain outstanding, unless the full cumulative distributions for all past Distribution Periods on all outstanding</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Series D Preferred Shares have been or contemporaneously are declared and paid in full or declared and a sum sufficient for the payment of those distributions has been set aside:</w:t>
      </w:r>
    </w:p>
    <w:p>
      <w:pPr>
        <w:spacing w:after="0" w:line="157" w:lineRule="exact"/>
        <w:rPr>
          <w:sz w:val="20"/>
          <w:szCs w:val="20"/>
          <w:color w:val="auto"/>
        </w:rPr>
      </w:pPr>
    </w:p>
    <w:p>
      <w:pPr>
        <w:ind w:left="980" w:right="20" w:hanging="324"/>
        <w:spacing w:after="0" w:line="222" w:lineRule="auto"/>
        <w:tabs>
          <w:tab w:leader="none" w:pos="9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distribution will be declared and paid or set aside for payment on any Junior Securities (as defined below) (other than a distribution payable solely in shares of Junior Securities);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08" w:lineRule="auto"/>
        <w:tabs>
          <w:tab w:leader="none" w:pos="9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Junior Securities will be repurchased, redeemed, or otherwise acquired for consideration by the Company or any of its subsidiaries, directly or indirectly (other than as a result of a reclassification of Junior Securities for or into other Junior Securities, or the exchange for or conversion into Junior Securities, through the use of the proceeds of a substantially contemporaneous sale of other Junior Securities or pursuant to a contractually binding requirement to buy Junior Securities pursuant to a binding agreement existing prior to the original issue date of the Series D Preferred Shares), nor will any monies be paid to or made available for a sinking fund for the redemption of any such securities by the Company or any of its subsidiaries; and</w:t>
      </w:r>
    </w:p>
    <w:p>
      <w:pPr>
        <w:spacing w:after="0" w:line="3" w:lineRule="exact"/>
        <w:rPr>
          <w:rFonts w:ascii="Times New Roman" w:cs="Times New Roman" w:eastAsia="Times New Roman" w:hAnsi="Times New Roman"/>
          <w:sz w:val="18"/>
          <w:szCs w:val="18"/>
          <w:color w:val="auto"/>
        </w:rPr>
      </w:pPr>
    </w:p>
    <w:p>
      <w:pPr>
        <w:jc w:val="both"/>
        <w:ind w:left="980" w:hanging="324"/>
        <w:spacing w:after="0" w:line="218" w:lineRule="auto"/>
        <w:tabs>
          <w:tab w:leader="none" w:pos="9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Parity Securities will be repurchased, redeemed or otherwise acquired for consideration by the Company or any of its subsidiaries (other than pursuant to pro rata offers to purchase or exchange all, or a pro rata portion of the Series D Preferred Shares and such Parity Securities or as a result of a reclassification of Parity Securities for or into other Parity Securities, or by conversion into or exchange for other Parity Securities or Junior Securities).</w:t>
      </w:r>
    </w:p>
    <w:p>
      <w:pPr>
        <w:spacing w:after="0" w:line="159" w:lineRule="exact"/>
        <w:rPr>
          <w:sz w:val="20"/>
          <w:szCs w:val="20"/>
          <w:color w:val="auto"/>
        </w:rPr>
      </w:pPr>
    </w:p>
    <w:p>
      <w:pPr>
        <w:ind w:firstLine="360"/>
        <w:spacing w:after="0" w:line="222" w:lineRule="auto"/>
        <w:rPr>
          <w:sz w:val="20"/>
          <w:szCs w:val="20"/>
          <w:color w:val="auto"/>
        </w:rPr>
      </w:pPr>
      <w:r>
        <w:rPr>
          <w:rFonts w:ascii="Times New Roman" w:cs="Times New Roman" w:eastAsia="Times New Roman" w:hAnsi="Times New Roman"/>
          <w:sz w:val="18"/>
          <w:szCs w:val="18"/>
          <w:color w:val="auto"/>
        </w:rPr>
        <w:t>The foregoing limitations do not apply to (i) purchases or acquisitions of, or cash settlement in respect of, Junior Securities pursuant to any employee or director incentive or benefit plan or arrangement (including any of our employment, severance, or consulting agreements) of ours or of any of our</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subsidiaries and (ii) any distribution in connection with the implementation of a shareholder rights plan or the redemption or repurchase of any rights under such a plan, including with respect to any successor shareholder rights plan.</w:t>
      </w:r>
    </w:p>
    <w:p>
      <w:pPr>
        <w:spacing w:after="0" w:line="157" w:lineRule="exact"/>
        <w:rPr>
          <w:sz w:val="20"/>
          <w:szCs w:val="20"/>
          <w:color w:val="auto"/>
        </w:rPr>
      </w:pPr>
    </w:p>
    <w:p>
      <w:pPr>
        <w:ind w:firstLine="360"/>
        <w:spacing w:after="0" w:line="250" w:lineRule="auto"/>
        <w:rPr>
          <w:sz w:val="20"/>
          <w:szCs w:val="20"/>
          <w:color w:val="auto"/>
        </w:rPr>
      </w:pPr>
      <w:r>
        <w:rPr>
          <w:rFonts w:ascii="Times New Roman" w:cs="Times New Roman" w:eastAsia="Times New Roman" w:hAnsi="Times New Roman"/>
          <w:sz w:val="18"/>
          <w:szCs w:val="18"/>
          <w:color w:val="auto"/>
        </w:rPr>
        <w:t>Accumulated distributions in arrears for any past Distribution Period may be declared by the board of directors and paid on any date fixed by the board of directors, whether or not a Distribution Payment Date, to holders of the</w:t>
      </w:r>
    </w:p>
    <w:p>
      <w:pPr>
        <w:sectPr>
          <w:pgSz w:w="11900" w:h="16838" w:orient="portrait"/>
          <w:cols w:equalWidth="0" w:num="1">
            <w:col w:w="11240"/>
          </w:cols>
          <w:pgMar w:left="320" w:top="1404" w:right="339" w:bottom="1440" w:gutter="0" w:footer="0" w:header="0"/>
        </w:sectPr>
      </w:pPr>
    </w:p>
    <w:bookmarkStart w:id="115" w:name="page116"/>
    <w:bookmarkEnd w:id="115"/>
    <w:p>
      <w:pPr>
        <w:jc w:val="both"/>
        <w:spacing w:after="0" w:line="222" w:lineRule="auto"/>
        <w:rPr>
          <w:sz w:val="20"/>
          <w:szCs w:val="20"/>
          <w:color w:val="auto"/>
        </w:rPr>
      </w:pPr>
      <w:r>
        <w:rPr>
          <w:rFonts w:ascii="Times New Roman" w:cs="Times New Roman" w:eastAsia="Times New Roman" w:hAnsi="Times New Roman"/>
          <w:sz w:val="18"/>
          <w:szCs w:val="18"/>
          <w:color w:val="auto"/>
        </w:rPr>
        <w:t>Series D Preferred Shares on the record date for such payment, which may not be less than 10 days before such distribution. To the extent a distribution period applicable to a class of Junior Securities or Parity Securities is shorter than the Distribution Period applicable to the Series D Preferred Shares (e.g.,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monthly rather than quarterly), the board of directors may declare and pay regular distributions with respect to such Junior Securities or Parity Securities so long as, at the time of declaration of such distribution, the board of directors expects to have sufficient funds to pay the full cumulative distributions in respect of the Series D Preferred Shares on the next Distribution Payment Date.</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Subject to the next succeeding sentence, if all accumulated distributions in arrears on all outstanding Series D Preferred Shares and any Parity Securities have not been declared and paid, or sufficient funds for the payment thereof have not been set apart, payment of accumulated distributions in arrears will be made in order of their respective distribution payment dates, commencing with the earliest distribution payment date. If less than all</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distributions payable with respect to all Series D Preferred Shares and any Parity Securities are paid, any partial payment will be made pro rata with respect to the Series D Preferred Shares and any Parity Securities entitled to a distribution payment at such time in proportion to the aggregate amounts remaining due in respect of such Series D Preferred Shares and Parity Securities at such time.</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As used in this description of Series D Preferred Shares, (i) “Junior Securities” means our ordinary shares and any other class or series of our share capital over which the Series D Preferred Shares has preference or priority in the payment of distributions or in the distribution of assets on our liquidation, dissolution or winding up, (ii) “Parity Securities” means any other class or series of our share capital that ranks equally with the Series D Preferred Shares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the payment of distributions and in the distribution of assets on our liquidation, dissolution or winding up (including our Series A Preferred Shares, Series B Preferred Shares and Series C Preferred Shares) and (iii) “Senior Securities” means any other class or series of our share capital that has preference or priority over the Series D Preferred Shares in the payment of distributions or in the distribution of assets on our liquidation, dissolution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winding up.</w:t>
      </w:r>
    </w:p>
    <w:p>
      <w:pPr>
        <w:spacing w:after="0" w:line="165" w:lineRule="exact"/>
        <w:rPr>
          <w:sz w:val="20"/>
          <w:szCs w:val="20"/>
          <w:color w:val="auto"/>
        </w:rPr>
      </w:pPr>
    </w:p>
    <w:p>
      <w:pPr>
        <w:jc w:val="both"/>
        <w:ind w:right="20" w:firstLine="360"/>
        <w:spacing w:after="0" w:line="222" w:lineRule="auto"/>
        <w:rPr>
          <w:sz w:val="20"/>
          <w:szCs w:val="20"/>
          <w:color w:val="auto"/>
        </w:rPr>
      </w:pPr>
      <w:r>
        <w:rPr>
          <w:rFonts w:ascii="Times New Roman" w:cs="Times New Roman" w:eastAsia="Times New Roman" w:hAnsi="Times New Roman"/>
          <w:sz w:val="18"/>
          <w:szCs w:val="18"/>
          <w:color w:val="auto"/>
        </w:rPr>
        <w:t>Subject to the conditions described above, and not otherwise, distributions (payable in cash, shares, or otherwise), as may be determined by our board of directors, may be declared and paid on our ordinary shares and any other Junior Securities from time to time out of any funds legally available for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and the holders of the Series D Preferred Shares will not be entitled to participate in those distributions.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Upon our voluntary or involuntary Liquidation, the holders of the outstanding Series D Preferred Shares are entitled to be paid out of our assets legally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available for distribution to our shareholders, before any distribution of assets is made to holders of ordinary shares or any other Junior Securities, a liquidating distribution in the amount of a liquidation preference of $25.00 per share, plus an amount equal to accumulated and unpaid distributions thereon, if any, to, but excluding, the date of such liquidating distribution, whether or not declared, plus the sum of any declared and unpaid distributions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for Distribution Periods prior to the Distribution Period in which the liquidating distribution is made and any declared and unpaid distributions for the then current Distribution Period in which the liquidating distribution is made to the date of such liquidating distribution. After payment of the full amount of the liquidating distributions to which they are entitled, the holders of Series D Preferred Shares will have no right or claim to any of our remaining assets.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Exchange and Preemptive Rights</w:t>
      </w:r>
    </w:p>
    <w:p>
      <w:pPr>
        <w:spacing w:after="0" w:line="189"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The Series D Preferred Shares are not entitled to any preemptive rights or other rights to purchase or subscribe for our ordinary shares or any other security, and are not convertible into or exchangeable for our ordinary shares or any other security or property at the option of the holder.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Amounts</w:t>
      </w:r>
    </w:p>
    <w:p>
      <w:pPr>
        <w:spacing w:after="0" w:line="189"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We will make all payments on the Series D Preferred Shares free and clear of and without withholding or deduction for, or on account of, any present or future taxes, fees, duties, assessments or governmental charges of whatever nature imposed or levied by or on behalf of (i) the Cayman Islands, (ii) any jurisdiction from or through which we or any successor entity make payments on the Series D Preferred Shares or (iii) any other jurisdiction in which we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any successor entity are organized, resident or doing business (a “Taxing Jurisdiction”) or any political subdivision or taxing authority thereof or therein, unless such taxes, fees, duties, assessments or governmental charges are required to be withheld or deducted by (1) the laws (or any regulations or rulings promulgated thereunder) of a Taxing Jurisdiction or any political subdivision or taxing authority thereof or therein or (2) an official position regarding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application, administration, interpretation or enforcement of any such laws, regulations or rulings (including, without limitation, a holding by a court of competent jurisdiction or by a taxing</w:t>
      </w:r>
    </w:p>
    <w:p>
      <w:pPr>
        <w:sectPr>
          <w:pgSz w:w="11900" w:h="16838" w:orient="portrait"/>
          <w:cols w:equalWidth="0" w:num="1">
            <w:col w:w="11240"/>
          </w:cols>
          <w:pgMar w:left="320" w:top="1404" w:right="339" w:bottom="1440" w:gutter="0" w:footer="0" w:header="0"/>
        </w:sectPr>
      </w:pPr>
    </w:p>
    <w:bookmarkStart w:id="116" w:name="page117"/>
    <w:bookmarkEnd w:id="116"/>
    <w:p>
      <w:pPr>
        <w:jc w:val="both"/>
        <w:spacing w:after="0" w:line="222" w:lineRule="auto"/>
        <w:rPr>
          <w:sz w:val="20"/>
          <w:szCs w:val="20"/>
          <w:color w:val="auto"/>
        </w:rPr>
      </w:pPr>
      <w:r>
        <w:rPr>
          <w:rFonts w:ascii="Times New Roman" w:cs="Times New Roman" w:eastAsia="Times New Roman" w:hAnsi="Times New Roman"/>
          <w:sz w:val="18"/>
          <w:szCs w:val="18"/>
          <w:color w:val="auto"/>
        </w:rPr>
        <w:t>authority in a Taxing Jurisdiction or any political subdivision thereof). If any such withholding or deduction is required, we will, subject to certain limitations and exceptions described below, pay to the holders of the Series D Preferred Shares such additional amounts as distributions as will result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receipt by each holder of any Series D Preferred Shares, after withholding or deduction for any taxes, fees, duties, assessments or governmental charges, of such amounts as would have been received by such holder had no such withholding or deduction of such taxes, fees, duties, assessments or governmental charges been required (“Additional Amounts”); provided that if we determine that it is required by Cayman Islands law, we shall pay such Additional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pro-rata to all holders such that each holder receives at least the amount that would otherwise be required to be paid to such holder hereunder.</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will not be required to pay any Additional Amounts for or on account of:</w:t>
      </w:r>
    </w:p>
    <w:p>
      <w:pPr>
        <w:spacing w:after="0" w:line="185" w:lineRule="exact"/>
        <w:rPr>
          <w:sz w:val="20"/>
          <w:szCs w:val="20"/>
          <w:color w:val="auto"/>
        </w:rPr>
      </w:pPr>
    </w:p>
    <w:p>
      <w:pPr>
        <w:jc w:val="both"/>
        <w:ind w:left="980" w:hanging="324"/>
        <w:spacing w:after="0" w:line="229" w:lineRule="auto"/>
        <w:tabs>
          <w:tab w:leader="none" w:pos="97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 fee, duty, assessment or governmental charge of whatever nature that would not have been imposed but for the fact that such holder was a resident, citizen, domiciliary or national of, or engaged in business or maintained a permanent establishment or was physically present in, the relevant Taxing Jurisdiction or any political subdivision thereof or otherwise had some connection with the relevant Taxing Jurisdiction other than by reason of the mere ownership of, receipt of payment under, or enforcement of any rights under, such Series D Preferred Shares;</w:t>
      </w:r>
    </w:p>
    <w:p>
      <w:pPr>
        <w:spacing w:after="0" w:line="2" w:lineRule="exact"/>
        <w:rPr>
          <w:rFonts w:ascii="Times New Roman" w:cs="Times New Roman" w:eastAsia="Times New Roman" w:hAnsi="Times New Roman"/>
          <w:sz w:val="17"/>
          <w:szCs w:val="17"/>
          <w:color w:val="auto"/>
        </w:rPr>
      </w:pPr>
    </w:p>
    <w:p>
      <w:pPr>
        <w:ind w:left="980" w:hanging="324"/>
        <w:spacing w:after="0" w:line="203"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 transfer, personal property or similar tax, assessment or other governmental charge;</w:t>
      </w:r>
    </w:p>
    <w:p>
      <w:pPr>
        <w:ind w:left="980" w:hanging="324"/>
        <w:spacing w:after="0" w:line="211" w:lineRule="auto"/>
        <w:tabs>
          <w:tab w:leader="none" w:pos="97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fee, assessment or other governmental charge that is payable otherwise than by withholding or deduction from payment on the Series D Preferred Shares;</w:t>
      </w:r>
    </w:p>
    <w:p>
      <w:pPr>
        <w:jc w:val="both"/>
        <w:ind w:left="980" w:hanging="324"/>
        <w:spacing w:after="0" w:line="208" w:lineRule="auto"/>
        <w:tabs>
          <w:tab w:leader="none" w:pos="97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fee, duty, assessment or other governmental charge that is imposed or withheld by reason of the failure by the holder of such Series D Preferred Shares to comply with any reasonable request by us addressed to the holder within 90 days of such request (1) to provide information concerning the nationality, citizenship, residence or identity of the holder or (2) to make any declaration or other similar claim or satisfy any information or reporting requirement, which is required or imposed by statute, treaty, regulation or administrative practice of the relevant Taxing Jurisdiction or any political subdivision thereof as a precondition to exemption from all or part of such tax, fee, duty, assessment or other governmental charge;</w:t>
      </w:r>
    </w:p>
    <w:p>
      <w:pPr>
        <w:spacing w:after="0" w:line="3" w:lineRule="exact"/>
        <w:rPr>
          <w:rFonts w:ascii="Times New Roman" w:cs="Times New Roman" w:eastAsia="Times New Roman" w:hAnsi="Times New Roman"/>
          <w:sz w:val="18"/>
          <w:szCs w:val="18"/>
          <w:color w:val="auto"/>
        </w:rPr>
      </w:pPr>
    </w:p>
    <w:p>
      <w:pPr>
        <w:jc w:val="both"/>
        <w:ind w:left="980" w:hanging="324"/>
        <w:spacing w:after="0" w:line="208" w:lineRule="auto"/>
        <w:tabs>
          <w:tab w:leader="none" w:pos="97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imposed as a result of the presentation of the Series D Preferred Shares for payment (where presentation is required) more than 30 days after the relevant amount is first made available for payment to the holder (except to the extent that the holder would have been entitled to Additional Amounts had the Series D Preferred Shares been presented on the last day of such 30 day period);</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08" w:lineRule="auto"/>
        <w:tabs>
          <w:tab w:leader="none" w:pos="97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withholding, deduction, tax, duty, assessment or other government charge pursuant to Sections 1471 through 1474 of the U.S. Internal Revenue Code of 1986, as amended (the “Code”) (or any amended or successor version that is substantively comparable and not materially more onerous to comply with), any current or future regulations or official interpretations thereof, any agreement entered into pursuant to current Section 1471(b) of the Code or any amended or successor version described above, or any fiscal or regulatory legislation, rules or practices adopted pursuant to any intergovernmental agreement entered into in connection with the implementation of such Sections of the Code; or</w:t>
      </w:r>
    </w:p>
    <w:p>
      <w:pPr>
        <w:spacing w:after="0" w:line="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items (1), (2), (3), (4), (5) and (6).</w:t>
      </w:r>
    </w:p>
    <w:p>
      <w:pPr>
        <w:spacing w:after="0" w:line="165" w:lineRule="exact"/>
        <w:rPr>
          <w:sz w:val="20"/>
          <w:szCs w:val="20"/>
          <w:color w:val="auto"/>
        </w:rPr>
      </w:pPr>
    </w:p>
    <w:p>
      <w:pPr>
        <w:jc w:val="both"/>
        <w:ind w:firstLine="363"/>
        <w:spacing w:after="0" w:line="222" w:lineRule="auto"/>
        <w:rPr>
          <w:sz w:val="20"/>
          <w:szCs w:val="20"/>
          <w:color w:val="auto"/>
        </w:rPr>
      </w:pPr>
      <w:r>
        <w:rPr>
          <w:rFonts w:ascii="Times New Roman" w:cs="Times New Roman" w:eastAsia="Times New Roman" w:hAnsi="Times New Roman"/>
          <w:sz w:val="18"/>
          <w:szCs w:val="18"/>
          <w:color w:val="auto"/>
        </w:rPr>
        <w:t>In addition, we will not pay Additional Amounts with respect to any payment on any Series D Preferred Shares to any holder who is a fiduciary, partnership, limited liability company or other pass-thru entity other than the sole beneficial owner of such Series D Preferred Shares if such payment</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would be required by the laws of the relevant Taxing Jurisdiction (or any political subdivision or relevant taxing authority thereof or therein) to be included in the income for tax purposes of a beneficiary or partner or settlor with respect to such fiduciary or a member of such partnership, limited liability company or other pass-thru entity or a beneficial owner to the extent such beneficiary, partner or settlor would not have been entitled to such Additional Amounts had it been the holder of the Series D Preferred Shares.</w:t>
      </w:r>
    </w:p>
    <w:p>
      <w:pPr>
        <w:spacing w:after="0" w:line="173" w:lineRule="exact"/>
        <w:rPr>
          <w:sz w:val="20"/>
          <w:szCs w:val="20"/>
          <w:color w:val="auto"/>
        </w:rPr>
      </w:pPr>
    </w:p>
    <w:p>
      <w:pPr>
        <w:jc w:val="both"/>
        <w:ind w:firstLine="360"/>
        <w:spacing w:after="0" w:line="226" w:lineRule="auto"/>
        <w:rPr>
          <w:sz w:val="20"/>
          <w:szCs w:val="20"/>
          <w:color w:val="auto"/>
        </w:rPr>
      </w:pPr>
      <w:r>
        <w:rPr>
          <w:rFonts w:ascii="Times New Roman" w:cs="Times New Roman" w:eastAsia="Times New Roman" w:hAnsi="Times New Roman"/>
          <w:sz w:val="18"/>
          <w:szCs w:val="18"/>
          <w:color w:val="auto"/>
        </w:rPr>
        <w:t>Whenever in the Series D Preferred Share Designation or in this description of Series D Preferred Shares there is mention in any context any amount payable by the Company with respect to any of the Series D Preferred Shares, such reference shall be deemed to include payment of Additional Amounts to the extent that, in such context, such Additional Amounts are, were or would be payable in respect thereof.</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89" w:lineRule="exact"/>
        <w:rPr>
          <w:sz w:val="20"/>
          <w:szCs w:val="20"/>
          <w:color w:val="auto"/>
        </w:rPr>
      </w:pPr>
    </w:p>
    <w:p>
      <w:pPr>
        <w:jc w:val="both"/>
        <w:ind w:right="20" w:firstLine="360"/>
        <w:spacing w:after="0" w:line="237" w:lineRule="auto"/>
        <w:rPr>
          <w:sz w:val="20"/>
          <w:szCs w:val="20"/>
          <w:color w:val="auto"/>
        </w:rPr>
      </w:pPr>
      <w:r>
        <w:rPr>
          <w:rFonts w:ascii="Times New Roman" w:cs="Times New Roman" w:eastAsia="Times New Roman" w:hAnsi="Times New Roman"/>
          <w:sz w:val="18"/>
          <w:szCs w:val="18"/>
          <w:color w:val="auto"/>
        </w:rPr>
        <w:t>The Series D Preferred Shares are not subject to any mandatory redemption, sinking fund or other similar provisions. If we become obligated to pay any additional amounts, we will also have the option to redeem the Series D Preferred Shares, as described below.</w:t>
      </w:r>
    </w:p>
    <w:p>
      <w:pPr>
        <w:sectPr>
          <w:pgSz w:w="11900" w:h="16838" w:orient="portrait"/>
          <w:cols w:equalWidth="0" w:num="1">
            <w:col w:w="11240"/>
          </w:cols>
          <w:pgMar w:left="320" w:top="1404" w:right="339" w:bottom="1440" w:gutter="0" w:footer="0" w:header="0"/>
        </w:sectPr>
      </w:pPr>
    </w:p>
    <w:bookmarkStart w:id="117" w:name="page118"/>
    <w:bookmarkEnd w:id="117"/>
    <w:p>
      <w:pPr>
        <w:ind w:right="1380" w:firstLine="360"/>
        <w:spacing w:after="0" w:line="461" w:lineRule="auto"/>
        <w:rPr>
          <w:sz w:val="20"/>
          <w:szCs w:val="20"/>
          <w:color w:val="auto"/>
        </w:rPr>
      </w:pPr>
      <w:r>
        <w:rPr>
          <w:rFonts w:ascii="Times New Roman" w:cs="Times New Roman" w:eastAsia="Times New Roman" w:hAnsi="Times New Roman"/>
          <w:sz w:val="18"/>
          <w:szCs w:val="18"/>
          <w:color w:val="auto"/>
        </w:rPr>
        <w:t xml:space="preserve">Holders of Series D Preferred Shares do not have the right to require the redemption or repurchase of the Series D Preferred Shares. </w:t>
      </w:r>
      <w:r>
        <w:rPr>
          <w:rFonts w:ascii="Times New Roman" w:cs="Times New Roman" w:eastAsia="Times New Roman" w:hAnsi="Times New Roman"/>
          <w:sz w:val="18"/>
          <w:szCs w:val="18"/>
          <w:b w:val="1"/>
          <w:bCs w:val="1"/>
          <w:i w:val="1"/>
          <w:iCs w:val="1"/>
          <w:color w:val="auto"/>
        </w:rPr>
        <w:t>Optional Redemption on or after June 15, 2028</w:t>
      </w:r>
    </w:p>
    <w:p>
      <w:pPr>
        <w:spacing w:after="0" w:line="1"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We may redeem the Series D Preferred Shares, in whole or in part, at our option, at any time or from time to time on or after June 15, 2028 (“Series D Optional Redemption”), at the redemption price equal to $25.00 per Series D Preferred Share, plus an amount equal to all accumulated and unpaid distributions thereon, if any, to, but excluding, the date of redemption, whether or not declared. We may undertake multiple Series D Optional</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Redemptions. Any such redemption would be effected only out of funds legally available for such purpose and would be subject to compliance with the provisions of the instruments governing our outstanding indebtedness.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upon a Rating Event</w:t>
      </w:r>
    </w:p>
    <w:p>
      <w:pPr>
        <w:spacing w:after="0" w:line="20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At any time within 120 days after the conclusion of any review or appeal process instituted by us following the occurrence of a Series D Rating Event (as defined below), we may, at our option, redeem the Series D Preferred Shares in whole, but not in part, prior to June 15, 2028, at a redemption price per Series D Preferred Share equal to $25.50 (102% of the liquidation preference of $25.00), plus an amount equal to all accumulated and unpaid distributions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thereon to, but excluding, the date of redemption, whether or not declared. Any such redemption would be effected only out of funds legally available for such purpose and would be subject to compliance with the provisions of the instruments governing our outstanding indebtedness.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“Series D Rating Event” means a change by any rating agency to the criteria employed by such rating agency as of March 15, 2023, for purposes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assigning ratings to securities with features similar to the Series D Preferred Shares, which change results in (i) any shortening of the length of time for which the criteria in effect as of March 15, 2023, are scheduled to be in effect with respect to the Series D Preferred Shares, or (ii) a lower equity credit being given to the Series D Preferred Shares than the equity credit that would have been assigned to the Series D Preferred Shares by such rating agency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criteria in effect as of March 15,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upon a Change of Control</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a Change of Control (as defined in the Series D Preferred Share Designation) occurs, we may, at our option, redeem the Series D Preferred Shares,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whole but not in part, prior to June 15, 2028 and within 60 days after the occurrence of such Change of Control, at a price of $25.25 (101% of the liquidation preference of $25.00) per Series D Preferred Share, plus an amount equal to all accumulated and unpaid distributions thereon, if any, to, but excluding, the date of redemption, whether or not declared. Any such redemption would be effected only out of funds legally available for such purpose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would be subject to compliance with the provisions of the instruments governing our outstanding indebtedness.</w:t>
      </w:r>
    </w:p>
    <w:p>
      <w:pPr>
        <w:spacing w:after="0" w:line="165"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If (i) a Change of Control occurs (whether before, on or after June 15, 2028) and (ii) we do not give notice prior to the 31st day following the Change of Control to redeem all of the outstanding Series D Preferred Shares, the distribution rate per annum on the Series D Preferred Shares will increase by 500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points, beginning on the 31st day following such Change of Control.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upon a Series D Preferred Share Tax Redemption Event</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If a Series D Preferred Share Tax Redemption Event (as defined in the Series D Preferred Share Designation) occurs, we may, at our option, redeem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the Series D Preferred Shares, in whole but not in part, prior to June 15, 2028, at a redemption price of $25.00 per Series D Preferred Share, plus an amount equal to all accumulated and unpaid distributions thereon, if any, to, but excluding, the date of redemption, whether or not declared,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redemption may occur if the Series D Preferred Share Tax Redemption Event results directly from any action taken by the Company with the principal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purpose of triggering the optional redemption pursuant to this paragraph. Any such redemption would be effected only out of funds legally available for such purpose and would be subject to compliance with the provisions of the instruments governing our outstanding indebtedness.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Owners of Series D Preferred Shares do not have any voting rights, except as set forth below or as otherwise required by applicable law. To the extent</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that owners of Series D Preferred Shares are entitled to vote, each holder of Series D Preferred Shares will have one vote per share, except that when shares of any class or series of Parity Securities have the right to vote with the Series D Preferred Shares as a single class on any matter, the Series D</w:t>
      </w:r>
    </w:p>
    <w:p>
      <w:pPr>
        <w:sectPr>
          <w:pgSz w:w="11900" w:h="16838" w:orient="portrait"/>
          <w:cols w:equalWidth="0" w:num="1">
            <w:col w:w="11240"/>
          </w:cols>
          <w:pgMar w:left="320" w:top="1404" w:right="339" w:bottom="1440" w:gutter="0" w:footer="0" w:header="0"/>
        </w:sectPr>
      </w:pPr>
    </w:p>
    <w:bookmarkStart w:id="118" w:name="page119"/>
    <w:bookmarkEnd w:id="118"/>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Preferred Shares and the Parity Securities will have one vote for each $25.00 of liquidation preference (for the avoidance of doubt, excluding accumulated distributions).</w:t>
      </w:r>
    </w:p>
    <w:p>
      <w:pPr>
        <w:spacing w:after="0" w:line="17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Whenever dividends on any Series D Preferred Shares are in arrears for six or more quarterly Distribution Periods, whether or not consecutive, the upper limit of the number of directors then constituting our board of directors will be automatically increased by two (if not already increased by two by reason of the election of directors by the holders of any Other Voting Preferred Shares (as defined below) and the holders of Series D Preferred Shares,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voting together as a single class). The holders of the Series D Preferred Shares, voting together as a single class with the holders of any series of Parity Securities then outstanding upon which like voting rights have been conferred and are exercisable (any such series, the “Other Voting Preferred Shares”), will be entitled to vote, by the affirmative vote of a majority of the votes entitled to be cast, for the appointment of two additional directors at a special</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 xml:space="preserve">meeting of the holders of the Series D Preferred Shares and such Other Voting Preferred Shares and at each subsequent annual meeting of the holders of our ordinary shares at which such directors are up for re-appointment;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when all distributions accumulated on the Series D Preferred Shares for all past Distribution Periods and the then current Distribution Period shall have been fully paid, the right of holders of the Series D Preferred Shares to appoint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any directors will cease and, unless there are any Other Voting Preferred Shares entitled to vote for the election of directors, the term of office of those two directors will forthwith terminate, the office of any directors appointed by holders of the Series D Preferred Shares shall automatically be vacated and the upper limit of the number of directors constituting the board of directors shall be automatically reduced by two. However, the right of the holders of the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Series D Preferred Shares and any Other Voting Preferred Shares to appoint two additional directors will again vest if and whenever six additional quarterly distributions have not been declared and paid, as described above. In no event shall the holders of the Series D Preferred Shares be entitled pursuant to these voting rights to elect a director that would cause us to fail to satisfy a requirement relating to director independence of any national securities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exchange or quotation system on which any class or series of our share capital is listed or quoted. For the avoidance of doubt, in no event shall the total number of directors elected by holders of the Series D Preferred Shares and any Other Voting Preferred Shares exceed two.</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While any Series D Preferred Shares remain outstanding, the following actions will be deemed a variation of the rights of the Series D Preferred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Shares and all Other Voting Preferred Shares, acting as a single class, (i) authorize, create or issue any Senior Securities or reclassify any authorized share capital into any Senior Securities or issue any obligation or security convertible into or evidencing the right to purchase any Senior Securities or (ii) amend, alter or repeal any provision of the Articles, including by merger, consolidation or otherwise, so as to adversely affect the powers, preferences or special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rights of the Series D Preferred Shares, and shall in each case of clause (i) and (ii) require the approval of the holders of the Series D Preferred Shares and all Other Voting Preferred Shares in accordance with and following the procedures set out in the Articles;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the foregoing clause (ii), if such amendment affects materially and adversely the rights, designations, preferences, powers and duties of one or more but not all of the classes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series of the Other Voting Preferred Shares (including the Series D Preferred Shares for this purpose), the holders of the outstanding shares of the classes or series so affected, voting as a class, is required in lieu of (or, if such consent is required by law, in addition to) the consent of the holders of the Other Voting Preferred Shares (including the Series D Preferred Shares for this purpose) in accordance with and following the procedures set out in the Articles.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However, we may create additional series or classes of Parity Securities and Junior Securities and issue additional classes or series of Parity Securities and Junior Securities without notice to or the consent of any holder of the Series D Preferred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 of Parity Securities, the full cumulative distributions for all past Distribution Periods on all outstanding Series D Preferred Shares shall have been or contemporaneously 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declared and paid in full or declared and a sum sufficient for the payment of those distributions has been set aside.</w:t>
      </w:r>
    </w:p>
    <w:p>
      <w:pPr>
        <w:spacing w:after="0" w:line="165"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Notwithstanding the foregoing, none of the following will be deemed to affect the powers, preferences or special rights of the Series D Preferred Shares:</w:t>
      </w:r>
    </w:p>
    <w:p>
      <w:pPr>
        <w:spacing w:after="0" w:line="158" w:lineRule="exact"/>
        <w:rPr>
          <w:sz w:val="20"/>
          <w:szCs w:val="20"/>
          <w:color w:val="auto"/>
        </w:rPr>
      </w:pPr>
    </w:p>
    <w:p>
      <w:pPr>
        <w:jc w:val="both"/>
        <w:ind w:left="1020" w:hanging="328"/>
        <w:spacing w:after="0" w:line="217" w:lineRule="auto"/>
        <w:tabs>
          <w:tab w:leader="none" w:pos="10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the amount of authorized ordinary shares or authorized preferred shares, or any increase or decrease in the number of shares of any series of preferred shares, or the authorization, creation and issuance of other classes or series of share capital, in each case ranking on parity with or junior to the Series D Preferred Shares as to distributions or distribution of assets upon our liquidation, dissolution or winding up;</w:t>
      </w:r>
    </w:p>
    <w:p>
      <w:pPr>
        <w:ind w:left="1020" w:right="20" w:hanging="328"/>
        <w:spacing w:after="0" w:line="203" w:lineRule="auto"/>
        <w:tabs>
          <w:tab w:leader="none" w:pos="10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us with or into another entity in which the Series D Preferred Shares remain outstanding with identical terms as existing immediately prior to such merger or consolidation; and</w:t>
      </w:r>
    </w:p>
    <w:p>
      <w:pPr>
        <w:jc w:val="both"/>
        <w:ind w:left="1020" w:hanging="328"/>
        <w:spacing w:after="0" w:line="223" w:lineRule="auto"/>
        <w:tabs>
          <w:tab w:leader="none" w:pos="10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of us with or into another entity in which the Series D Preferred Shares are converted into or exchanged for preference securities of the surviving entity or any entity, directly or indirectly, controlling such surviving entity and such new preference securities have terms identical (other than the identity of the issuer) to the terms of the Series D Preferred Shares.</w:t>
      </w:r>
    </w:p>
    <w:p>
      <w:pPr>
        <w:sectPr>
          <w:pgSz w:w="11900" w:h="16838" w:orient="portrait"/>
          <w:cols w:equalWidth="0" w:num="1">
            <w:col w:w="11240"/>
          </w:cols>
          <w:pgMar w:left="320" w:top="1404" w:right="339" w:bottom="1440" w:gutter="0" w:footer="0" w:header="0"/>
        </w:sectPr>
      </w:pPr>
    </w:p>
    <w:bookmarkStart w:id="119" w:name="page120"/>
    <w:bookmarkEnd w:id="119"/>
    <w:p>
      <w:pPr>
        <w:spacing w:after="0" w:line="180" w:lineRule="exact"/>
        <w:rPr>
          <w:sz w:val="20"/>
          <w:szCs w:val="20"/>
          <w:color w:val="auto"/>
        </w:rPr>
      </w:pPr>
    </w:p>
    <w:p>
      <w:pPr>
        <w:jc w:val="both"/>
        <w:ind w:right="20" w:firstLine="363"/>
        <w:spacing w:after="0" w:line="222" w:lineRule="auto"/>
        <w:rPr>
          <w:sz w:val="20"/>
          <w:szCs w:val="20"/>
          <w:color w:val="auto"/>
        </w:rPr>
      </w:pPr>
      <w:r>
        <w:rPr>
          <w:rFonts w:ascii="Times New Roman" w:cs="Times New Roman" w:eastAsia="Times New Roman" w:hAnsi="Times New Roman"/>
          <w:sz w:val="18"/>
          <w:szCs w:val="18"/>
          <w:color w:val="auto"/>
        </w:rPr>
        <w:t>The foregoing voting rights of the holders of Series D Preferred Shares shall not apply if, at or prior to the time when the act with respect to which the vote would otherwise be required shall be effected, all outstanding Series D Preferred Shares shall have been redeemed or called for redemption upon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 notice and we shall have set aside sufficient funds for the benefit of holders of Series D Preferred Shares to effect the redemption.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Articles provide for submission to the exclusive jurisdiction of the courts of the Cayman Islands in connection with any claim or dispute arising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out of or in connection with the constitutional documents of the Company or otherwise related in any way to each Company shareholder’s shareholding in the Company, other than any action or suits brought to enforce any liability or duty created by the Securities Act, the Exchange Act, or any claim for which the federal district courts of the United States of America are, as a matter of the laws of the United States, the sole and exclusive forum for determination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 claim.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16" w:lineRule="exact"/>
        <w:rPr>
          <w:sz w:val="20"/>
          <w:szCs w:val="20"/>
          <w:color w:val="auto"/>
        </w:rPr>
      </w:pPr>
    </w:p>
    <w:p>
      <w:pPr>
        <w:jc w:val="both"/>
        <w:ind w:right="20" w:firstLine="360"/>
        <w:spacing w:after="0" w:line="250" w:lineRule="auto"/>
        <w:rPr>
          <w:sz w:val="20"/>
          <w:szCs w:val="20"/>
          <w:color w:val="auto"/>
        </w:rPr>
      </w:pPr>
      <w:r>
        <w:rPr>
          <w:rFonts w:ascii="Times New Roman" w:cs="Times New Roman" w:eastAsia="Times New Roman" w:hAnsi="Times New Roman"/>
          <w:sz w:val="18"/>
          <w:szCs w:val="18"/>
          <w:color w:val="auto"/>
        </w:rPr>
        <w:t>Dividends are recorded if and when declared by the board of directors. The then board of directors of FTAI declared cash dividends of $1.20, $1.26 and $1.32 per ordinary share during each of the years ended December 31, 2023, 2022 and 2021, respectively.</w:t>
      </w:r>
    </w:p>
    <w:p>
      <w:pPr>
        <w:spacing w:after="0" w:line="149"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Additionally, the then board of directors of FTAI declared cash dividends on the FTAI Series A Preferred Shares of $2.06, $2.06 and $2.06 per share for the years ended December 31, 2023, 2022 and 2021, respectively, the Series B Preferred Shares of $2.00, $2.00 and $2.00 per share for the years ended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December 31, 2023, 2022 and 2021, respectively, the Series C Preferred Shares of $2.06, $2.06 and $1.49 per share for the years ended December 31, 2023, 2022 and 2021, respectively and the Series D Preferred Shares of $1.78 per share for the year ended December 31, 2023.</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Exempted Company</w:t>
      </w:r>
    </w:p>
    <w:p>
      <w:pPr>
        <w:spacing w:after="0" w:line="20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The Company is an exempted company with limited liability incorporated under the laws of Cayman Islands. The Companies Act (As Revised) of the Cayman Islands (the “Cayman Companies Act”) distinguishes between ordinary resident companies and exempted companies. Any company that is registered in the Cayman Islands but conducts business mainly outside of the Cayman Islands may apply to be registered as an exempted company.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for an exempted company are essentially the same as for an ordinary company except for the exemptions and privileges listed below:</w:t>
      </w:r>
    </w:p>
    <w:p>
      <w:pPr>
        <w:spacing w:after="0" w:line="192"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file an annual return of its shareholders with the registrar of Companies of the Cayman Islands;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open to inspection;</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general meeting;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no par value shares;</w:t>
      </w:r>
    </w:p>
    <w:p>
      <w:pPr>
        <w:spacing w:after="0" w:line="22" w:lineRule="exact"/>
        <w:rPr>
          <w:rFonts w:ascii="Times New Roman" w:cs="Times New Roman" w:eastAsia="Times New Roman" w:hAnsi="Times New Roman"/>
          <w:sz w:val="18"/>
          <w:szCs w:val="18"/>
          <w:color w:val="auto"/>
        </w:rPr>
      </w:pPr>
    </w:p>
    <w:p>
      <w:pPr>
        <w:ind w:left="660" w:right="180" w:hanging="328"/>
        <w:spacing w:after="0" w:line="273" w:lineRule="auto"/>
        <w:tabs>
          <w:tab w:leader="none" w:pos="6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20 years in the first instance);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Cayman Islands Law and Our Articles</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is a summary of certain provisions of our Articles that may function to have an anti-takeover effect and may delay, deter or prevent a</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tender offer or takeover attempt that a shareholder might consider to be in its best interest, including those attempts that might result in a premium over the market price for the shares held by shareholders.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72"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Our authorized but unissued ordinary shares and preferred shares will be available for future issuance without obtaining shareholder approval. These additional shares may be utilized for a variety of corporate purposes, including future offerings to raise additional capital and corporate acquisitions.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existence of authorized but unissued ordinary shares and preferred shares could render more difficult or discourage an attempt to obtain control over us by means of a proxy contest, tender offer, merger or otherwise.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Provisions of Our Articles</w:t>
      </w:r>
    </w:p>
    <w:p>
      <w:pPr>
        <w:spacing w:after="0" w:line="20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Our Articles provide that our board shall consist of not fewer than three and not more than nine directors as the board of directors may from time to time determine. Our board of directors consists of seven directors and is divided into three classes that are, as nearly as possible, of equal size. Each class of directors is elected for a three-year term of office, but the terms are staggered so that the term of only one class of directors expires at each annual general</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meeting. We believe that classification of our board of directors helps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generally required to effect a change in a majority of our board of directors.</w:t>
      </w:r>
    </w:p>
    <w:p>
      <w:pPr>
        <w:spacing w:after="0" w:line="165" w:lineRule="exact"/>
        <w:rPr>
          <w:sz w:val="20"/>
          <w:szCs w:val="20"/>
          <w:color w:val="auto"/>
        </w:rPr>
      </w:pPr>
    </w:p>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to be in their best interest.</w:t>
      </w:r>
    </w:p>
    <w:p>
      <w:pPr>
        <w:spacing w:after="0" w:line="165" w:lineRule="exact"/>
        <w:rPr>
          <w:sz w:val="20"/>
          <w:szCs w:val="20"/>
          <w:color w:val="auto"/>
        </w:rPr>
      </w:pPr>
    </w:p>
    <w:p>
      <w:pPr>
        <w:jc w:val="both"/>
        <w:ind w:firstLine="360"/>
        <w:spacing w:after="0" w:line="237" w:lineRule="auto"/>
        <w:rPr>
          <w:sz w:val="20"/>
          <w:szCs w:val="20"/>
          <w:color w:val="auto"/>
        </w:rPr>
      </w:pPr>
      <w:r>
        <w:rPr>
          <w:rFonts w:ascii="Times New Roman" w:cs="Times New Roman" w:eastAsia="Times New Roman" w:hAnsi="Times New Roman"/>
          <w:sz w:val="18"/>
          <w:szCs w:val="18"/>
          <w:color w:val="auto"/>
        </w:rPr>
        <w:t>In addition, our Articles provide that a director may be removed, only for cause, and only by the affirmative vote of at least 80% of the then issued and outstanding ordinary shares entitled to vote in the election of directors.</w:t>
      </w:r>
    </w:p>
    <w:p>
      <w:pPr>
        <w:spacing w:after="0" w:line="172" w:lineRule="exact"/>
        <w:rPr>
          <w:sz w:val="20"/>
          <w:szCs w:val="20"/>
          <w:color w:val="auto"/>
        </w:rPr>
      </w:pPr>
    </w:p>
    <w:p>
      <w:pPr>
        <w:jc w:val="both"/>
        <w:ind w:right="20" w:firstLine="360"/>
        <w:spacing w:after="0" w:line="237" w:lineRule="auto"/>
        <w:rPr>
          <w:sz w:val="20"/>
          <w:szCs w:val="20"/>
          <w:color w:val="auto"/>
        </w:rPr>
      </w:pPr>
      <w:r>
        <w:rPr>
          <w:rFonts w:ascii="Times New Roman" w:cs="Times New Roman" w:eastAsia="Times New Roman" w:hAnsi="Times New Roman"/>
          <w:sz w:val="18"/>
          <w:szCs w:val="18"/>
          <w:color w:val="auto"/>
        </w:rPr>
        <w:t>In addition, our board of directors has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1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Pursuant to our Articles, preferred shares may be issued from time to time, and the board of directors is authorized to determine and alter all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designations, preferences, rights, powers and duties without limitation. Our Articles do not provide our shareholders with the ability to call general meetings of the shareholders.</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See also, “</w:t>
      </w:r>
      <w:r>
        <w:rPr>
          <w:rFonts w:ascii="Times New Roman" w:cs="Times New Roman" w:eastAsia="Times New Roman" w:hAnsi="Times New Roman"/>
          <w:sz w:val="18"/>
          <w:szCs w:val="18"/>
          <w:i w:val="1"/>
          <w:iCs w:val="1"/>
          <w:color w:val="auto"/>
        </w:rPr>
        <w:t>Series A Preferred Shares-Optional Redemption upon a Change of Control,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Series B Preferred Shares-Optional Redemption upon a</w:t>
      </w:r>
    </w:p>
    <w:p>
      <w:pPr>
        <w:spacing w:after="0" w:line="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Series C Preferred Shares-Optional Redemption upon a Change of Control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Series D Preferred Shares-Optional Redemption upon a Change of Control.</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of Our Shareholders to Act</w:t>
      </w:r>
    </w:p>
    <w:p>
      <w:pPr>
        <w:spacing w:after="0" w:line="202" w:lineRule="exact"/>
        <w:rPr>
          <w:sz w:val="20"/>
          <w:szCs w:val="20"/>
          <w:color w:val="auto"/>
        </w:rPr>
      </w:pPr>
    </w:p>
    <w:p>
      <w:pPr>
        <w:jc w:val="both"/>
        <w:ind w:firstLine="360"/>
        <w:spacing w:after="0" w:line="216" w:lineRule="auto"/>
        <w:rPr>
          <w:sz w:val="20"/>
          <w:szCs w:val="20"/>
          <w:color w:val="auto"/>
        </w:rPr>
      </w:pPr>
      <w:r>
        <w:rPr>
          <w:rFonts w:ascii="Times New Roman" w:cs="Times New Roman" w:eastAsia="Times New Roman" w:hAnsi="Times New Roman"/>
          <w:sz w:val="18"/>
          <w:szCs w:val="18"/>
          <w:color w:val="auto"/>
        </w:rPr>
        <w:t>Our Articles do not permit our shareholders to call general meetings. General meetings of shareholders may be called by the Board of Directors, the Chief Executive Officer, the Chairperson or a committee of the Board of Directors that has been duly designated by the Board of Directors and whose powers include the authority to call such meetings. Written notice of any general meeting so called shall be given to each shareholder of record entitled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at such meeting not less than 10 or more than 60 days before the date of such meeting, unless otherwise required by law.</w:t>
      </w:r>
    </w:p>
    <w:p>
      <w:pPr>
        <w:spacing w:after="0" w:line="16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Articles do not permit our shareholders to pass resolutions in writing.</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Articles provide that nominations of persons for election to our board of directors at any annual general meeting, or at any extraordinary meeting</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of our shareholders called for the purpose of electing directors, may be made (a) by or at the direction of our board of directors or (b) by certain shareholders. In addition to any other applicable requirements, for business to be properly brought before an annual general meeting by a shareholder, such shareholder must have given timely notice thereof in proper written form. To be timely, a shareholder’s notice must be delivered to or mailed and received at our registered office (i) in the case of an annual general meeting, not less than 90 days nor more than 120 days prior to the anniversary date of the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immediately preceding annual general meeting; and (ii) in the case of an extraordinary meeting, not later than the tenth day following the day on which such notice of the date of the extraordinary meeting was mailed or such public disclosure of the date of the extraordinary meeting was made, whichever first occurs.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Liability and Indemnification of Directors and Officers</w:t>
      </w:r>
    </w:p>
    <w:p>
      <w:pPr>
        <w:sectPr>
          <w:pgSz w:w="11900" w:h="16838" w:orient="portrait"/>
          <w:cols w:equalWidth="0" w:num="1">
            <w:col w:w="11240"/>
          </w:cols>
          <w:pgMar w:left="320" w:top="1440" w:right="339" w:bottom="1440" w:gutter="0" w:footer="0" w:header="0"/>
        </w:sectPr>
      </w:pPr>
    </w:p>
    <w:bookmarkStart w:id="121" w:name="page122"/>
    <w:bookmarkEnd w:id="121"/>
    <w:p>
      <w:pPr>
        <w:jc w:val="both"/>
        <w:ind w:firstLine="360"/>
        <w:spacing w:after="0" w:line="222" w:lineRule="auto"/>
        <w:rPr>
          <w:sz w:val="20"/>
          <w:szCs w:val="20"/>
          <w:color w:val="auto"/>
        </w:rPr>
      </w:pPr>
      <w:r>
        <w:rPr>
          <w:rFonts w:ascii="Times New Roman" w:cs="Times New Roman" w:eastAsia="Times New Roman" w:hAnsi="Times New Roman"/>
          <w:sz w:val="18"/>
          <w:szCs w:val="18"/>
          <w:color w:val="auto"/>
        </w:rPr>
        <w:t>Our Articles provide that our directors shall not, to the maximum extent permitted by law, be liable to us for any loss or damage incurred by us as a result (whether direct or indirect) of the carrying out of their functions unless that liability arises through the actual fraud, willful neglect or willful default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of such director, and provided further that such director acted in good faith and in a manner such director reasonably believed to be in or not opposed to our best interests and had no reasonable cause to believe such director’s conduct was unlawful.</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Articles provide that we indemnify our directors and officers to the fullest extent permitted by law. We are also expressly authorized to advance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certain expenses (including attorneys’ fees and disbursements and court costs) to our directors and officers and carry directors’ and officers’ insurance providing indemnification for our directors and officers for some liabilities. We believe that these indemnification provisions and insurance are useful to attract and retain qualified directors and officers.</w:t>
      </w:r>
    </w:p>
    <w:p>
      <w:pPr>
        <w:spacing w:after="0" w:line="172" w:lineRule="exact"/>
        <w:rPr>
          <w:sz w:val="20"/>
          <w:szCs w:val="20"/>
          <w:color w:val="auto"/>
        </w:rPr>
      </w:pPr>
    </w:p>
    <w:p>
      <w:pPr>
        <w:jc w:val="both"/>
        <w:ind w:firstLine="360"/>
        <w:spacing w:after="0" w:line="229" w:lineRule="auto"/>
        <w:rPr>
          <w:sz w:val="20"/>
          <w:szCs w:val="20"/>
          <w:color w:val="auto"/>
        </w:rPr>
      </w:pPr>
      <w:r>
        <w:rPr>
          <w:rFonts w:ascii="Times New Roman" w:cs="Times New Roman" w:eastAsia="Times New Roman" w:hAnsi="Times New Roman"/>
          <w:sz w:val="17"/>
          <w:szCs w:val="17"/>
          <w:color w:val="auto"/>
        </w:rPr>
        <w:t>We have entered into separate indemnification agreements with each of our directors and executive officers. Each indemnification agreement provides, among other things, for indemnification to the fullest extent permitted by law and our Articles against (i) any and all expenses and liabilities, including judgments, fines, penalties and amounts paid in settlement of any claim with our approval and counsel fees and disbursements, (ii) any liability pursuant to</w:t>
      </w: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a loan guarantee, or otherwise, for any of our indebtedness, and (iii) any liabilities incurred as a result of acting on our behalf (as a fiduciary or otherwise) in connection with an employee benefit plan. The indemnification agreements provide for the advancement or payment of all expenses to the indemnitee and for reimbursement to us if it is found that such indemnitee is not entitled to such indemnification under applicable law and our Articles.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Opportunity</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our Articles, to the extent permitted by law:</w:t>
      </w:r>
    </w:p>
    <w:p>
      <w:pPr>
        <w:spacing w:after="0" w:line="185" w:lineRule="exact"/>
        <w:rPr>
          <w:sz w:val="20"/>
          <w:szCs w:val="20"/>
          <w:color w:val="auto"/>
        </w:rPr>
      </w:pPr>
    </w:p>
    <w:p>
      <w:pPr>
        <w:jc w:val="both"/>
        <w:ind w:left="1020" w:right="140" w:hanging="328"/>
        <w:spacing w:after="0" w:line="216" w:lineRule="auto"/>
        <w:tabs>
          <w:tab w:leader="none" w:pos="10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Fortress Investment Group LLC (“Fortress”) and its respective affiliates, including FIG LLC (the “Manager”) and Master GP,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1" w:lineRule="exact"/>
        <w:rPr>
          <w:rFonts w:ascii="Times New Roman" w:cs="Times New Roman" w:eastAsia="Times New Roman" w:hAnsi="Times New Roman"/>
          <w:sz w:val="18"/>
          <w:szCs w:val="18"/>
          <w:color w:val="auto"/>
        </w:rPr>
      </w:pPr>
    </w:p>
    <w:p>
      <w:pPr>
        <w:ind w:left="1020" w:right="560" w:hanging="328"/>
        <w:spacing w:after="0" w:line="208" w:lineRule="auto"/>
        <w:tabs>
          <w:tab w:leader="none" w:pos="10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Fortress and its respective affiliates, including the Manager and Master GP, or any of their officers, directors or employees acquire knowledge of a potential transaction that could be a corporate opportunity, it has no duty to offer such corporate opportunity to us, our shareholders or affiliates;</w:t>
      </w:r>
    </w:p>
    <w:p>
      <w:pPr>
        <w:spacing w:after="0" w:line="1" w:lineRule="exact"/>
        <w:rPr>
          <w:rFonts w:ascii="Times New Roman" w:cs="Times New Roman" w:eastAsia="Times New Roman" w:hAnsi="Times New Roman"/>
          <w:sz w:val="18"/>
          <w:szCs w:val="18"/>
          <w:color w:val="auto"/>
        </w:rPr>
      </w:pPr>
    </w:p>
    <w:p>
      <w:pPr>
        <w:ind w:left="1020" w:right="40" w:hanging="328"/>
        <w:spacing w:after="0" w:line="216" w:lineRule="auto"/>
        <w:tabs>
          <w:tab w:leader="none" w:pos="10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renounced any interest or expectancy in, or in being offered an opportunity to participate in, such corporate opportunities; and in the event that any of our directors and officers who is also a director, officer or employee of Fortress and their respective affiliates, including the Manager and Master GP, acquire knowledge of a corporate opportunity or is offered a corporate opportunity, provided that this knowledge was not acquired solely in such person’s capacity as our director or officer and such person acted in good faith, then such person is deemed to have fully satisfied such person’s fiduciary duty and is not liable to us if Fortress and their respective affiliates, including the Manager and Master GP, pursues or acquires the corporate opportunity or if such person did not present the corporate opportunity to 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Transfer Agent</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transfer agent for the Company’s shares is Equiniti Trust Company LLC, 48 Wall Street, Floor 23, New York, NY 10005.</w:t>
      </w:r>
    </w:p>
    <w:p>
      <w:pPr>
        <w:sectPr>
          <w:pgSz w:w="11900" w:h="16838" w:orient="portrait"/>
          <w:cols w:equalWidth="0" w:num="1">
            <w:col w:w="11240"/>
          </w:cols>
          <w:pgMar w:left="320" w:top="1404"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23"/>
        </w:trPr>
        <w:tc>
          <w:tcPr>
            <w:tcW w:w="4400" w:type="dxa"/>
            <w:vAlign w:val="bottom"/>
          </w:tcPr>
          <w:p>
            <w:pPr>
              <w:spacing w:after="0"/>
              <w:rPr>
                <w:sz w:val="19"/>
                <w:szCs w:val="19"/>
                <w:color w:val="auto"/>
              </w:rPr>
            </w:pPr>
          </w:p>
        </w:tc>
        <w:tc>
          <w:tcPr>
            <w:tcW w:w="6840" w:type="dxa"/>
            <w:vAlign w:val="bottom"/>
          </w:tcPr>
          <w:p>
            <w:pPr>
              <w:ind w:left="780"/>
              <w:spacing w:after="0"/>
              <w:rPr>
                <w:sz w:val="20"/>
                <w:szCs w:val="20"/>
                <w:color w:val="auto"/>
              </w:rPr>
            </w:pPr>
            <w:r>
              <w:rPr>
                <w:rFonts w:ascii="Arial" w:cs="Arial" w:eastAsia="Arial" w:hAnsi="Arial"/>
                <w:sz w:val="16"/>
                <w:szCs w:val="16"/>
                <w:b w:val="1"/>
                <w:bCs w:val="1"/>
                <w:color w:val="auto"/>
              </w:rPr>
              <w:t>Exhibit 21.1</w:t>
            </w:r>
          </w:p>
        </w:tc>
      </w:tr>
      <w:tr>
        <w:trPr>
          <w:trHeight w:val="209"/>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6840" w:type="dxa"/>
            <w:vAlign w:val="bottom"/>
            <w:tcBorders>
              <w:bottom w:val="single" w:sz="8" w:color="auto"/>
            </w:tcBorders>
          </w:tcPr>
          <w:p>
            <w:pPr>
              <w:ind w:left="3920"/>
              <w:spacing w:after="0"/>
              <w:rPr>
                <w:sz w:val="20"/>
                <w:szCs w:val="20"/>
                <w:color w:val="auto"/>
              </w:rPr>
            </w:pPr>
            <w:r>
              <w:rPr>
                <w:rFonts w:ascii="Arial" w:cs="Arial" w:eastAsia="Arial" w:hAnsi="Arial"/>
                <w:sz w:val="14"/>
                <w:szCs w:val="14"/>
                <w:b w:val="1"/>
                <w:bCs w:val="1"/>
                <w:color w:val="auto"/>
              </w:rPr>
              <w:t>State of Incorporation/Formation</w:t>
            </w:r>
          </w:p>
        </w:tc>
      </w:tr>
      <w:tr>
        <w:trPr>
          <w:trHeight w:val="19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Aviation Ltd.</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Cayman Islands</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Fortress Transportation and Infrastructure Investors LLC</w:t>
            </w:r>
          </w:p>
        </w:tc>
        <w:tc>
          <w:tcPr>
            <w:tcW w:w="6840" w:type="dxa"/>
            <w:vAlign w:val="bottom"/>
          </w:tcPr>
          <w:p>
            <w:pPr>
              <w:ind w:left="3920"/>
              <w:spacing w:after="0"/>
              <w:rPr>
                <w:sz w:val="20"/>
                <w:szCs w:val="20"/>
                <w:color w:val="auto"/>
              </w:rPr>
            </w:pPr>
            <w:r>
              <w:rPr>
                <w:rFonts w:ascii="Arial" w:cs="Arial" w:eastAsia="Arial" w:hAnsi="Arial"/>
                <w:sz w:val="14"/>
                <w:szCs w:val="14"/>
                <w:color w:val="auto"/>
              </w:rPr>
              <w:t>Delaware, USA</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Aviation Holdco Ltd.</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Cayman Islands</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AirOpCo 1ET Bermuda Ltd.</w:t>
            </w:r>
          </w:p>
        </w:tc>
        <w:tc>
          <w:tcPr>
            <w:tcW w:w="6840" w:type="dxa"/>
            <w:vAlign w:val="bottom"/>
          </w:tcPr>
          <w:p>
            <w:pPr>
              <w:ind w:left="3920"/>
              <w:spacing w:after="0"/>
              <w:rPr>
                <w:sz w:val="20"/>
                <w:szCs w:val="20"/>
                <w:color w:val="auto"/>
              </w:rPr>
            </w:pPr>
            <w:r>
              <w:rPr>
                <w:rFonts w:ascii="Arial" w:cs="Arial" w:eastAsia="Arial" w:hAnsi="Arial"/>
                <w:sz w:val="14"/>
                <w:szCs w:val="14"/>
                <w:color w:val="auto"/>
              </w:rPr>
              <w:t>Bermuda</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2 UZ Ireland DAC</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Ireland</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AirOpCo I SD Ireland DAC</w:t>
            </w:r>
          </w:p>
        </w:tc>
        <w:tc>
          <w:tcPr>
            <w:tcW w:w="6840" w:type="dxa"/>
            <w:vAlign w:val="bottom"/>
          </w:tcPr>
          <w:p>
            <w:pPr>
              <w:ind w:left="3920"/>
              <w:spacing w:after="0"/>
              <w:rPr>
                <w:sz w:val="20"/>
                <w:szCs w:val="20"/>
                <w:color w:val="auto"/>
              </w:rPr>
            </w:pPr>
            <w:r>
              <w:rPr>
                <w:rFonts w:ascii="Arial" w:cs="Arial" w:eastAsia="Arial" w:hAnsi="Arial"/>
                <w:sz w:val="14"/>
                <w:szCs w:val="14"/>
                <w:color w:val="auto"/>
              </w:rPr>
              <w:t>Ireland</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AirOpCo II KO Ireland DAC</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Ireland</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AirOpCo II ME Ireland DAC</w:t>
            </w:r>
          </w:p>
        </w:tc>
        <w:tc>
          <w:tcPr>
            <w:tcW w:w="6840" w:type="dxa"/>
            <w:vAlign w:val="bottom"/>
          </w:tcPr>
          <w:p>
            <w:pPr>
              <w:ind w:left="3920"/>
              <w:spacing w:after="0"/>
              <w:rPr>
                <w:sz w:val="20"/>
                <w:szCs w:val="20"/>
                <w:color w:val="auto"/>
              </w:rPr>
            </w:pPr>
            <w:r>
              <w:rPr>
                <w:rFonts w:ascii="Arial" w:cs="Arial" w:eastAsia="Arial" w:hAnsi="Arial"/>
                <w:sz w:val="14"/>
                <w:szCs w:val="14"/>
                <w:color w:val="auto"/>
              </w:rPr>
              <w:t>Ireland</w:t>
            </w:r>
          </w:p>
        </w:tc>
      </w:tr>
      <w:tr>
        <w:trPr>
          <w:trHeight w:val="20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Falcon MSN 177 LLC (50% ownership)</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Delaware, USA</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FTAI AirOpCo UK Ltd.</w:t>
            </w:r>
          </w:p>
        </w:tc>
        <w:tc>
          <w:tcPr>
            <w:tcW w:w="6840" w:type="dxa"/>
            <w:vAlign w:val="bottom"/>
          </w:tcPr>
          <w:p>
            <w:pPr>
              <w:ind w:left="3920"/>
              <w:spacing w:after="0"/>
              <w:rPr>
                <w:sz w:val="20"/>
                <w:szCs w:val="20"/>
                <w:color w:val="auto"/>
              </w:rPr>
            </w:pPr>
            <w:r>
              <w:rPr>
                <w:rFonts w:ascii="Arial" w:cs="Arial" w:eastAsia="Arial" w:hAnsi="Arial"/>
                <w:sz w:val="14"/>
                <w:szCs w:val="14"/>
                <w:color w:val="auto"/>
              </w:rPr>
              <w:t>England and Wales</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Aviation Canada LLC</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Delaware, USA</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FTAI Aviation Canada ULC</w:t>
            </w:r>
          </w:p>
        </w:tc>
        <w:tc>
          <w:tcPr>
            <w:tcW w:w="6840" w:type="dxa"/>
            <w:vAlign w:val="bottom"/>
          </w:tcPr>
          <w:p>
            <w:pPr>
              <w:ind w:left="3920"/>
              <w:spacing w:after="0"/>
              <w:rPr>
                <w:sz w:val="20"/>
                <w:szCs w:val="20"/>
                <w:color w:val="auto"/>
              </w:rPr>
            </w:pPr>
            <w:r>
              <w:rPr>
                <w:rFonts w:ascii="Arial" w:cs="Arial" w:eastAsia="Arial" w:hAnsi="Arial"/>
                <w:sz w:val="14"/>
                <w:szCs w:val="14"/>
                <w:color w:val="auto"/>
              </w:rPr>
              <w:t>Canada</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Aviation LLC</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Delaware, USA</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FTAI Avion DAC</w:t>
            </w:r>
          </w:p>
        </w:tc>
        <w:tc>
          <w:tcPr>
            <w:tcW w:w="6840" w:type="dxa"/>
            <w:vAlign w:val="bottom"/>
          </w:tcPr>
          <w:p>
            <w:pPr>
              <w:ind w:left="3920"/>
              <w:spacing w:after="0"/>
              <w:rPr>
                <w:sz w:val="20"/>
                <w:szCs w:val="20"/>
                <w:color w:val="auto"/>
              </w:rPr>
            </w:pPr>
            <w:r>
              <w:rPr>
                <w:rFonts w:ascii="Arial" w:cs="Arial" w:eastAsia="Arial" w:hAnsi="Arial"/>
                <w:sz w:val="14"/>
                <w:szCs w:val="14"/>
                <w:color w:val="auto"/>
              </w:rPr>
              <w:t>Ireland</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CHR JV Holdings LLC</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Delaware, USA</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FTAI Finance JV L.P.</w:t>
            </w:r>
          </w:p>
        </w:tc>
        <w:tc>
          <w:tcPr>
            <w:tcW w:w="6840" w:type="dxa"/>
            <w:vAlign w:val="bottom"/>
          </w:tcPr>
          <w:p>
            <w:pPr>
              <w:ind w:left="3920"/>
              <w:spacing w:after="0"/>
              <w:rPr>
                <w:sz w:val="20"/>
                <w:szCs w:val="20"/>
                <w:color w:val="auto"/>
              </w:rPr>
            </w:pPr>
            <w:r>
              <w:rPr>
                <w:rFonts w:ascii="Arial" w:cs="Arial" w:eastAsia="Arial" w:hAnsi="Arial"/>
                <w:sz w:val="14"/>
                <w:szCs w:val="14"/>
                <w:color w:val="auto"/>
              </w:rPr>
              <w:t>Delaware, USA</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Finance JV Parent LLC</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Delaware, USA</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FTAI IES Pioneer Ltd.</w:t>
            </w:r>
          </w:p>
        </w:tc>
        <w:tc>
          <w:tcPr>
            <w:tcW w:w="6840" w:type="dxa"/>
            <w:vAlign w:val="bottom"/>
          </w:tcPr>
          <w:p>
            <w:pPr>
              <w:ind w:left="3920"/>
              <w:spacing w:after="0"/>
              <w:rPr>
                <w:sz w:val="20"/>
                <w:szCs w:val="20"/>
                <w:color w:val="auto"/>
              </w:rPr>
            </w:pPr>
            <w:r>
              <w:rPr>
                <w:rFonts w:ascii="Arial" w:cs="Arial" w:eastAsia="Arial" w:hAnsi="Arial"/>
                <w:sz w:val="14"/>
                <w:szCs w:val="14"/>
                <w:color w:val="auto"/>
              </w:rPr>
              <w:t>Malaysia</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Irish Finco DAC</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Ireland</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FTAI Italia DAC</w:t>
            </w:r>
          </w:p>
        </w:tc>
        <w:tc>
          <w:tcPr>
            <w:tcW w:w="6840" w:type="dxa"/>
            <w:vAlign w:val="bottom"/>
          </w:tcPr>
          <w:p>
            <w:pPr>
              <w:ind w:left="3920"/>
              <w:spacing w:after="0"/>
              <w:rPr>
                <w:sz w:val="20"/>
                <w:szCs w:val="20"/>
                <w:color w:val="auto"/>
              </w:rPr>
            </w:pPr>
            <w:r>
              <w:rPr>
                <w:rFonts w:ascii="Arial" w:cs="Arial" w:eastAsia="Arial" w:hAnsi="Arial"/>
                <w:sz w:val="14"/>
                <w:szCs w:val="14"/>
                <w:color w:val="auto"/>
              </w:rPr>
              <w:t>Ireland</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Ocean LLC</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Marshall Islands</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FTAI Ocean Pty Ltd.</w:t>
            </w:r>
          </w:p>
        </w:tc>
        <w:tc>
          <w:tcPr>
            <w:tcW w:w="6840" w:type="dxa"/>
            <w:vAlign w:val="bottom"/>
          </w:tcPr>
          <w:p>
            <w:pPr>
              <w:ind w:left="3920"/>
              <w:spacing w:after="0"/>
              <w:rPr>
                <w:sz w:val="20"/>
                <w:szCs w:val="20"/>
                <w:color w:val="auto"/>
              </w:rPr>
            </w:pPr>
            <w:r>
              <w:rPr>
                <w:rFonts w:ascii="Arial" w:cs="Arial" w:eastAsia="Arial" w:hAnsi="Arial"/>
                <w:sz w:val="14"/>
                <w:szCs w:val="14"/>
                <w:color w:val="auto"/>
              </w:rPr>
              <w:t>Australia</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Offshore Holdco LLC</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Delaware, USA</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FTAI Offshore Holdings L.P.</w:t>
            </w:r>
          </w:p>
        </w:tc>
        <w:tc>
          <w:tcPr>
            <w:tcW w:w="6840" w:type="dxa"/>
            <w:vAlign w:val="bottom"/>
          </w:tcPr>
          <w:p>
            <w:pPr>
              <w:ind w:left="3920"/>
              <w:spacing w:after="0"/>
              <w:rPr>
                <w:sz w:val="20"/>
                <w:szCs w:val="20"/>
                <w:color w:val="auto"/>
              </w:rPr>
            </w:pPr>
            <w:r>
              <w:rPr>
                <w:rFonts w:ascii="Arial" w:cs="Arial" w:eastAsia="Arial" w:hAnsi="Arial"/>
                <w:sz w:val="14"/>
                <w:szCs w:val="14"/>
                <w:color w:val="auto"/>
              </w:rPr>
              <w:t>Cayman Islands</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Offshore Pte Ltd.</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Singapore</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FTAI Pioneer Malaysia Shareholder LLC</w:t>
            </w:r>
          </w:p>
        </w:tc>
        <w:tc>
          <w:tcPr>
            <w:tcW w:w="6840" w:type="dxa"/>
            <w:vAlign w:val="bottom"/>
          </w:tcPr>
          <w:p>
            <w:pPr>
              <w:ind w:left="3920"/>
              <w:spacing w:after="0"/>
              <w:rPr>
                <w:sz w:val="20"/>
                <w:szCs w:val="20"/>
                <w:color w:val="auto"/>
              </w:rPr>
            </w:pPr>
            <w:r>
              <w:rPr>
                <w:rFonts w:ascii="Arial" w:cs="Arial" w:eastAsia="Arial" w:hAnsi="Arial"/>
                <w:sz w:val="14"/>
                <w:szCs w:val="14"/>
                <w:color w:val="auto"/>
              </w:rPr>
              <w:t>Delaware, USA</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Pioneer Marshall LLC</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Marshall Islands</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FTAI Pioneer MI LLC</w:t>
            </w:r>
          </w:p>
        </w:tc>
        <w:tc>
          <w:tcPr>
            <w:tcW w:w="6840" w:type="dxa"/>
            <w:vAlign w:val="bottom"/>
          </w:tcPr>
          <w:p>
            <w:pPr>
              <w:ind w:left="3920"/>
              <w:spacing w:after="0"/>
              <w:rPr>
                <w:sz w:val="20"/>
                <w:szCs w:val="20"/>
                <w:color w:val="auto"/>
              </w:rPr>
            </w:pPr>
            <w:r>
              <w:rPr>
                <w:rFonts w:ascii="Arial" w:cs="Arial" w:eastAsia="Arial" w:hAnsi="Arial"/>
                <w:sz w:val="14"/>
                <w:szCs w:val="14"/>
                <w:color w:val="auto"/>
              </w:rPr>
              <w:t>Marshall Islands</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Pioneer SDN Bhd</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Malaysia</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FTAI Pioneer Singapore Pte Ltd.</w:t>
            </w:r>
          </w:p>
        </w:tc>
        <w:tc>
          <w:tcPr>
            <w:tcW w:w="6840" w:type="dxa"/>
            <w:vAlign w:val="bottom"/>
          </w:tcPr>
          <w:p>
            <w:pPr>
              <w:ind w:left="3920"/>
              <w:spacing w:after="0"/>
              <w:rPr>
                <w:sz w:val="20"/>
                <w:szCs w:val="20"/>
                <w:color w:val="auto"/>
              </w:rPr>
            </w:pPr>
            <w:r>
              <w:rPr>
                <w:rFonts w:ascii="Arial" w:cs="Arial" w:eastAsia="Arial" w:hAnsi="Arial"/>
                <w:sz w:val="14"/>
                <w:szCs w:val="14"/>
                <w:color w:val="auto"/>
              </w:rPr>
              <w:t>Singapore</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Pride Chartering LLC</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Marshall Islands</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FTAI Pride Labuan Ltd.</w:t>
            </w:r>
          </w:p>
        </w:tc>
        <w:tc>
          <w:tcPr>
            <w:tcW w:w="6840" w:type="dxa"/>
            <w:vAlign w:val="bottom"/>
          </w:tcPr>
          <w:p>
            <w:pPr>
              <w:ind w:left="3920"/>
              <w:spacing w:after="0"/>
              <w:rPr>
                <w:sz w:val="20"/>
                <w:szCs w:val="20"/>
                <w:color w:val="auto"/>
              </w:rPr>
            </w:pPr>
            <w:r>
              <w:rPr>
                <w:rFonts w:ascii="Arial" w:cs="Arial" w:eastAsia="Arial" w:hAnsi="Arial"/>
                <w:sz w:val="14"/>
                <w:szCs w:val="14"/>
                <w:color w:val="auto"/>
              </w:rPr>
              <w:t>Malaysia</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Pride LLC</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Marshall Islands</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FTAI Pride Malaysia SDN BHD</w:t>
            </w:r>
          </w:p>
        </w:tc>
        <w:tc>
          <w:tcPr>
            <w:tcW w:w="6840" w:type="dxa"/>
            <w:vAlign w:val="bottom"/>
          </w:tcPr>
          <w:p>
            <w:pPr>
              <w:ind w:left="3920"/>
              <w:spacing w:after="0"/>
              <w:rPr>
                <w:sz w:val="20"/>
                <w:szCs w:val="20"/>
                <w:color w:val="auto"/>
              </w:rPr>
            </w:pPr>
            <w:r>
              <w:rPr>
                <w:rFonts w:ascii="Arial" w:cs="Arial" w:eastAsia="Arial" w:hAnsi="Arial"/>
                <w:sz w:val="14"/>
                <w:szCs w:val="14"/>
                <w:color w:val="auto"/>
              </w:rPr>
              <w:t>Malaysia</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FTAI Subsea 88 Ltd.</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Bermuda</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High Turbine Technologies LLC</w:t>
            </w:r>
          </w:p>
        </w:tc>
        <w:tc>
          <w:tcPr>
            <w:tcW w:w="6840" w:type="dxa"/>
            <w:vAlign w:val="bottom"/>
          </w:tcPr>
          <w:p>
            <w:pPr>
              <w:ind w:left="3920"/>
              <w:spacing w:after="0"/>
              <w:rPr>
                <w:sz w:val="20"/>
                <w:szCs w:val="20"/>
                <w:color w:val="auto"/>
              </w:rPr>
            </w:pPr>
            <w:r>
              <w:rPr>
                <w:rFonts w:ascii="Arial" w:cs="Arial" w:eastAsia="Arial" w:hAnsi="Arial"/>
                <w:sz w:val="14"/>
                <w:szCs w:val="14"/>
                <w:color w:val="auto"/>
              </w:rPr>
              <w:t>Delaware, USA</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 Victoire Holdings Sarl</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France</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Quick Turn Engine Center LLC</w:t>
            </w:r>
          </w:p>
        </w:tc>
        <w:tc>
          <w:tcPr>
            <w:tcW w:w="6840" w:type="dxa"/>
            <w:vAlign w:val="bottom"/>
          </w:tcPr>
          <w:p>
            <w:pPr>
              <w:ind w:left="3920"/>
              <w:spacing w:after="0"/>
              <w:rPr>
                <w:sz w:val="20"/>
                <w:szCs w:val="20"/>
                <w:color w:val="auto"/>
              </w:rPr>
            </w:pPr>
            <w:r>
              <w:rPr>
                <w:rFonts w:ascii="Arial" w:cs="Arial" w:eastAsia="Arial" w:hAnsi="Arial"/>
                <w:sz w:val="14"/>
                <w:szCs w:val="14"/>
                <w:color w:val="auto"/>
              </w:rPr>
              <w:t>Delaware, USA</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1 USA Sub LLC</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Delaware, USA</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WWTAI AirOpCo 1 Bermuda Ltd.</w:t>
            </w:r>
          </w:p>
        </w:tc>
        <w:tc>
          <w:tcPr>
            <w:tcW w:w="6840" w:type="dxa"/>
            <w:vAlign w:val="bottom"/>
          </w:tcPr>
          <w:p>
            <w:pPr>
              <w:ind w:left="3920"/>
              <w:spacing w:after="0"/>
              <w:rPr>
                <w:sz w:val="20"/>
                <w:szCs w:val="20"/>
                <w:color w:val="auto"/>
              </w:rPr>
            </w:pPr>
            <w:r>
              <w:rPr>
                <w:rFonts w:ascii="Arial" w:cs="Arial" w:eastAsia="Arial" w:hAnsi="Arial"/>
                <w:sz w:val="14"/>
                <w:szCs w:val="14"/>
                <w:color w:val="auto"/>
              </w:rPr>
              <w:t>Bermuda</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2 Bermuda Ltd.</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Bermuda</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WWTAI AirOpCo 2 USA LLC</w:t>
            </w:r>
          </w:p>
        </w:tc>
        <w:tc>
          <w:tcPr>
            <w:tcW w:w="6840" w:type="dxa"/>
            <w:vAlign w:val="bottom"/>
          </w:tcPr>
          <w:p>
            <w:pPr>
              <w:ind w:left="3920"/>
              <w:spacing w:after="0"/>
              <w:rPr>
                <w:sz w:val="20"/>
                <w:szCs w:val="20"/>
                <w:color w:val="auto"/>
              </w:rPr>
            </w:pPr>
            <w:r>
              <w:rPr>
                <w:rFonts w:ascii="Arial" w:cs="Arial" w:eastAsia="Arial" w:hAnsi="Arial"/>
                <w:sz w:val="14"/>
                <w:szCs w:val="14"/>
                <w:color w:val="auto"/>
              </w:rPr>
              <w:t>Delaware, USA</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BPA Ireland Limited</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Ireland</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WWTAI AirOpCo I USA LLC</w:t>
            </w:r>
          </w:p>
        </w:tc>
        <w:tc>
          <w:tcPr>
            <w:tcW w:w="6840" w:type="dxa"/>
            <w:vAlign w:val="bottom"/>
          </w:tcPr>
          <w:p>
            <w:pPr>
              <w:ind w:left="3920"/>
              <w:spacing w:after="0"/>
              <w:rPr>
                <w:sz w:val="20"/>
                <w:szCs w:val="20"/>
                <w:color w:val="auto"/>
              </w:rPr>
            </w:pPr>
            <w:r>
              <w:rPr>
                <w:rFonts w:ascii="Arial" w:cs="Arial" w:eastAsia="Arial" w:hAnsi="Arial"/>
                <w:sz w:val="14"/>
                <w:szCs w:val="14"/>
                <w:color w:val="auto"/>
              </w:rPr>
              <w:t>Delaware, USA</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AirOpco II DAC</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Ireland</w:t>
            </w:r>
          </w:p>
        </w:tc>
      </w:tr>
      <w:tr>
        <w:trPr>
          <w:trHeight w:val="198"/>
        </w:trPr>
        <w:tc>
          <w:tcPr>
            <w:tcW w:w="4400" w:type="dxa"/>
            <w:vAlign w:val="bottom"/>
          </w:tcPr>
          <w:p>
            <w:pPr>
              <w:ind w:left="20"/>
              <w:spacing w:after="0"/>
              <w:rPr>
                <w:sz w:val="20"/>
                <w:szCs w:val="20"/>
                <w:color w:val="auto"/>
              </w:rPr>
            </w:pPr>
            <w:r>
              <w:rPr>
                <w:rFonts w:ascii="Arial" w:cs="Arial" w:eastAsia="Arial" w:hAnsi="Arial"/>
                <w:sz w:val="14"/>
                <w:szCs w:val="14"/>
                <w:color w:val="auto"/>
              </w:rPr>
              <w:t>WWTAI AirOpCo Malta Limited</w:t>
            </w:r>
          </w:p>
        </w:tc>
        <w:tc>
          <w:tcPr>
            <w:tcW w:w="6840" w:type="dxa"/>
            <w:vAlign w:val="bottom"/>
          </w:tcPr>
          <w:p>
            <w:pPr>
              <w:ind w:left="3920"/>
              <w:spacing w:after="0"/>
              <w:rPr>
                <w:sz w:val="20"/>
                <w:szCs w:val="20"/>
                <w:color w:val="auto"/>
              </w:rPr>
            </w:pPr>
            <w:r>
              <w:rPr>
                <w:rFonts w:ascii="Arial" w:cs="Arial" w:eastAsia="Arial" w:hAnsi="Arial"/>
                <w:sz w:val="14"/>
                <w:szCs w:val="14"/>
                <w:color w:val="auto"/>
              </w:rPr>
              <w:t>Malta</w:t>
            </w:r>
          </w:p>
        </w:tc>
      </w:tr>
      <w:tr>
        <w:trPr>
          <w:trHeight w:val="207"/>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Aviation LLC</w:t>
            </w:r>
          </w:p>
        </w:tc>
        <w:tc>
          <w:tcPr>
            <w:tcW w:w="68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Delaware, USA</w:t>
            </w:r>
          </w:p>
        </w:tc>
      </w:tr>
    </w:tbl>
    <w:p>
      <w:pPr>
        <w:sectPr>
          <w:pgSz w:w="11900" w:h="16838" w:orient="portrait"/>
          <w:cols w:equalWidth="0" w:num="1">
            <w:col w:w="11240"/>
          </w:cols>
          <w:pgMar w:left="320" w:top="895" w:right="3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Entity Name</w:t>
            </w:r>
          </w:p>
        </w:tc>
        <w:tc>
          <w:tcPr>
            <w:tcW w:w="6220" w:type="dxa"/>
            <w:vAlign w:val="bottom"/>
            <w:tcBorders>
              <w:bottom w:val="single" w:sz="8" w:color="auto"/>
            </w:tcBorders>
          </w:tcPr>
          <w:p>
            <w:pPr>
              <w:ind w:left="3300"/>
              <w:spacing w:after="0"/>
              <w:rPr>
                <w:sz w:val="20"/>
                <w:szCs w:val="20"/>
                <w:color w:val="auto"/>
              </w:rPr>
            </w:pPr>
            <w:r>
              <w:rPr>
                <w:rFonts w:ascii="Arial" w:cs="Arial" w:eastAsia="Arial" w:hAnsi="Arial"/>
                <w:sz w:val="14"/>
                <w:szCs w:val="14"/>
                <w:b w:val="1"/>
                <w:bCs w:val="1"/>
                <w:color w:val="auto"/>
              </w:rPr>
              <w:t>State of Incorporation/Formation</w:t>
            </w:r>
          </w:p>
        </w:tc>
      </w:tr>
      <w:tr>
        <w:trPr>
          <w:trHeight w:val="193"/>
        </w:trPr>
        <w:tc>
          <w:tcPr>
            <w:tcW w:w="5020" w:type="dxa"/>
            <w:vAlign w:val="bottom"/>
          </w:tcPr>
          <w:p>
            <w:pPr>
              <w:ind w:left="20"/>
              <w:spacing w:after="0"/>
              <w:rPr>
                <w:sz w:val="20"/>
                <w:szCs w:val="20"/>
                <w:color w:val="auto"/>
              </w:rPr>
            </w:pPr>
            <w:r>
              <w:rPr>
                <w:rFonts w:ascii="Arial" w:cs="Arial" w:eastAsia="Arial" w:hAnsi="Arial"/>
                <w:sz w:val="14"/>
                <w:szCs w:val="14"/>
                <w:color w:val="auto"/>
              </w:rPr>
              <w:t>WWTAI Finance Ltd.</w:t>
            </w:r>
          </w:p>
        </w:tc>
        <w:tc>
          <w:tcPr>
            <w:tcW w:w="6220" w:type="dxa"/>
            <w:vAlign w:val="bottom"/>
          </w:tcPr>
          <w:p>
            <w:pPr>
              <w:ind w:left="3300"/>
              <w:spacing w:after="0"/>
              <w:rPr>
                <w:sz w:val="20"/>
                <w:szCs w:val="20"/>
                <w:color w:val="auto"/>
              </w:rPr>
            </w:pPr>
            <w:r>
              <w:rPr>
                <w:rFonts w:ascii="Arial" w:cs="Arial" w:eastAsia="Arial" w:hAnsi="Arial"/>
                <w:sz w:val="14"/>
                <w:szCs w:val="14"/>
                <w:color w:val="auto"/>
              </w:rPr>
              <w:t>Bermuda</w:t>
            </w:r>
          </w:p>
        </w:tc>
      </w:tr>
      <w:tr>
        <w:trPr>
          <w:trHeight w:val="207"/>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WWTAI IES MT6015 Ltd.</w:t>
            </w:r>
          </w:p>
        </w:tc>
        <w:tc>
          <w:tcPr>
            <w:tcW w:w="6220" w:type="dxa"/>
            <w:vAlign w:val="bottom"/>
            <w:shd w:val="clear" w:color="auto" w:fill="CCEEFF"/>
          </w:tcPr>
          <w:p>
            <w:pPr>
              <w:ind w:left="3300"/>
              <w:spacing w:after="0"/>
              <w:rPr>
                <w:sz w:val="20"/>
                <w:szCs w:val="20"/>
                <w:color w:val="auto"/>
              </w:rPr>
            </w:pPr>
            <w:r>
              <w:rPr>
                <w:rFonts w:ascii="Arial" w:cs="Arial" w:eastAsia="Arial" w:hAnsi="Arial"/>
                <w:sz w:val="14"/>
                <w:szCs w:val="14"/>
                <w:color w:val="auto"/>
              </w:rPr>
              <w:t>Malaysia</w:t>
            </w:r>
          </w:p>
        </w:tc>
      </w:tr>
      <w:tr>
        <w:trPr>
          <w:trHeight w:val="194"/>
        </w:trPr>
        <w:tc>
          <w:tcPr>
            <w:tcW w:w="5020" w:type="dxa"/>
            <w:vAlign w:val="bottom"/>
          </w:tcPr>
          <w:p>
            <w:pPr>
              <w:ind w:left="20"/>
              <w:spacing w:after="0"/>
              <w:rPr>
                <w:sz w:val="20"/>
                <w:szCs w:val="20"/>
                <w:color w:val="auto"/>
              </w:rPr>
            </w:pPr>
            <w:r>
              <w:rPr>
                <w:rFonts w:ascii="Arial" w:cs="Arial" w:eastAsia="Arial" w:hAnsi="Arial"/>
                <w:sz w:val="14"/>
                <w:szCs w:val="14"/>
                <w:color w:val="auto"/>
              </w:rPr>
              <w:t>WWTAI Offshore Co 1 Ltd.</w:t>
            </w:r>
          </w:p>
        </w:tc>
        <w:tc>
          <w:tcPr>
            <w:tcW w:w="6220" w:type="dxa"/>
            <w:vAlign w:val="bottom"/>
          </w:tcPr>
          <w:p>
            <w:pPr>
              <w:ind w:left="3300"/>
              <w:spacing w:after="0"/>
              <w:rPr>
                <w:sz w:val="20"/>
                <w:szCs w:val="20"/>
                <w:color w:val="auto"/>
              </w:rPr>
            </w:pPr>
            <w:r>
              <w:rPr>
                <w:rFonts w:ascii="Arial" w:cs="Arial" w:eastAsia="Arial" w:hAnsi="Arial"/>
                <w:sz w:val="14"/>
                <w:szCs w:val="14"/>
                <w:color w:val="auto"/>
              </w:rPr>
              <w:t>Bermuda</w:t>
            </w:r>
          </w:p>
        </w:tc>
      </w:tr>
    </w:tbl>
    <w:p>
      <w:pPr>
        <w:sectPr>
          <w:pgSz w:w="11900" w:h="16838" w:orient="portrait"/>
          <w:cols w:equalWidth="0" w:num="1">
            <w:col w:w="11240"/>
          </w:cols>
          <w:pgMar w:left="320" w:top="940" w:right="33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6"/>
          <w:szCs w:val="16"/>
          <w:b w:val="1"/>
          <w:bCs w:val="1"/>
          <w:color w:val="333333"/>
        </w:rPr>
        <w:t>EXHIBIT 23.1</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consent to the incorporation by reference in the Registration Statement (Form S-3 No. 333-270042) of FTAI Aviation Ltd. and in the related Prospectus of our reports dated February 26, 2024, with respect to the consolidated financial statements of FTAI Aviation Ltd., and the effectiveness of internal control over financial reporting of FTAI Aviation Ltd., included in this Annual Report (Form 10-K) for the year ended December 31, 2023.</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26, 2024</w:t>
      </w:r>
    </w:p>
    <w:p>
      <w:pPr>
        <w:sectPr>
          <w:pgSz w:w="11900" w:h="16838" w:orient="portrait"/>
          <w:cols w:equalWidth="0" w:num="1">
            <w:col w:w="11240"/>
          </w:cols>
          <w:pgMar w:left="320" w:top="895"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EXECUTIVE OFFICER</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262" w:lineRule="exact"/>
        <w:rPr>
          <w:sz w:val="20"/>
          <w:szCs w:val="20"/>
          <w:color w:val="auto"/>
        </w:rPr>
      </w:pPr>
    </w:p>
    <w:p>
      <w:pPr>
        <w:ind w:left="320" w:hanging="312"/>
        <w:spacing w:after="0"/>
        <w:tabs>
          <w:tab w:leader="none" w:pos="3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FTAI Aviation Ltd. (the “registrant”);</w:t>
      </w:r>
    </w:p>
    <w:p>
      <w:pPr>
        <w:spacing w:after="0" w:line="167" w:lineRule="exact"/>
        <w:rPr>
          <w:rFonts w:ascii="Arial" w:cs="Arial" w:eastAsia="Arial" w:hAnsi="Arial"/>
          <w:sz w:val="16"/>
          <w:szCs w:val="16"/>
          <w:color w:val="auto"/>
        </w:rPr>
      </w:pPr>
    </w:p>
    <w:p>
      <w:pPr>
        <w:ind w:right="20" w:firstLine="8"/>
        <w:spacing w:after="0" w:line="286" w:lineRule="auto"/>
        <w:tabs>
          <w:tab w:leader="none" w:pos="373"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Arial" w:cs="Arial" w:eastAsia="Arial" w:hAnsi="Arial"/>
          <w:sz w:val="16"/>
          <w:szCs w:val="16"/>
          <w:color w:val="auto"/>
        </w:rPr>
      </w:pPr>
    </w:p>
    <w:p>
      <w:pPr>
        <w:ind w:firstLine="8"/>
        <w:spacing w:after="0" w:line="286" w:lineRule="auto"/>
        <w:tabs>
          <w:tab w:leader="none" w:pos="406"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6"/>
          <w:szCs w:val="16"/>
          <w:color w:val="auto"/>
        </w:rPr>
      </w:pPr>
    </w:p>
    <w:p>
      <w:pPr>
        <w:jc w:val="both"/>
        <w:ind w:firstLine="8"/>
        <w:spacing w:after="0" w:line="266" w:lineRule="auto"/>
        <w:tabs>
          <w:tab w:leader="none" w:pos="411"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6"/>
          <w:szCs w:val="16"/>
          <w:color w:val="auto"/>
        </w:rPr>
      </w:pPr>
    </w:p>
    <w:p>
      <w:pPr>
        <w:jc w:val="both"/>
        <w:ind w:firstLine="656"/>
        <w:spacing w:after="0" w:line="266" w:lineRule="auto"/>
        <w:tabs>
          <w:tab w:leader="none" w:pos="1038"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jc w:val="both"/>
        <w:ind w:right="20" w:firstLine="656"/>
        <w:spacing w:after="0" w:line="275" w:lineRule="auto"/>
        <w:tabs>
          <w:tab w:leader="none" w:pos="1167"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firstLine="656"/>
        <w:spacing w:after="0" w:line="286" w:lineRule="auto"/>
        <w:tabs>
          <w:tab w:leader="none" w:pos="1105"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jc w:val="both"/>
        <w:ind w:firstLine="656"/>
        <w:spacing w:after="0" w:line="275" w:lineRule="auto"/>
        <w:tabs>
          <w:tab w:leader="none" w:pos="1049" w:val="left"/>
        </w:tabs>
        <w:numPr>
          <w:ilvl w:val="1"/>
          <w:numId w:val="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firstLine="8"/>
        <w:spacing w:after="0" w:line="286" w:lineRule="auto"/>
        <w:tabs>
          <w:tab w:leader="none" w:pos="36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6"/>
          <w:szCs w:val="16"/>
          <w:color w:val="auto"/>
        </w:rPr>
      </w:pPr>
    </w:p>
    <w:p>
      <w:pPr>
        <w:ind w:firstLine="656"/>
        <w:spacing w:after="0" w:line="286" w:lineRule="auto"/>
        <w:tabs>
          <w:tab w:leader="none" w:pos="1031"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6"/>
          <w:szCs w:val="16"/>
          <w:color w:val="auto"/>
        </w:rPr>
      </w:pPr>
    </w:p>
    <w:p>
      <w:pPr>
        <w:ind w:right="20" w:firstLine="656"/>
        <w:spacing w:after="0" w:line="286" w:lineRule="auto"/>
        <w:tabs>
          <w:tab w:leader="none" w:pos="1019" w:val="left"/>
        </w:tabs>
        <w:numPr>
          <w:ilvl w:val="1"/>
          <w:numId w:val="6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580" w:type="dxa"/>
            <w:vAlign w:val="bottom"/>
          </w:tcPr>
          <w:p>
            <w:pPr>
              <w:spacing w:after="0"/>
              <w:rPr>
                <w:sz w:val="20"/>
                <w:szCs w:val="20"/>
                <w:color w:val="auto"/>
              </w:rPr>
            </w:pPr>
            <w:r>
              <w:rPr>
                <w:rFonts w:ascii="Arial" w:cs="Arial" w:eastAsia="Arial" w:hAnsi="Arial"/>
                <w:sz w:val="16"/>
                <w:szCs w:val="16"/>
                <w:color w:val="auto"/>
              </w:rPr>
              <w:t>February 26, 2024</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Joseph P. Adams, Jr.</w:t>
            </w:r>
          </w:p>
        </w:tc>
      </w:tr>
      <w:tr>
        <w:trPr>
          <w:trHeight w:val="210"/>
        </w:trPr>
        <w:tc>
          <w:tcPr>
            <w:tcW w:w="5580" w:type="dxa"/>
            <w:vAlign w:val="bottom"/>
          </w:tcPr>
          <w:p>
            <w:pPr>
              <w:spacing w:after="0"/>
              <w:rPr>
                <w:sz w:val="20"/>
                <w:szCs w:val="20"/>
                <w:color w:val="auto"/>
              </w:rPr>
            </w:pPr>
            <w:r>
              <w:rPr>
                <w:rFonts w:ascii="Arial" w:cs="Arial" w:eastAsia="Arial" w:hAnsi="Arial"/>
                <w:sz w:val="16"/>
                <w:szCs w:val="16"/>
                <w:color w:val="auto"/>
              </w:rPr>
              <w:t>(Date)</w:t>
            </w:r>
          </w:p>
        </w:tc>
        <w:tc>
          <w:tcPr>
            <w:tcW w:w="5600" w:type="dxa"/>
            <w:vAlign w:val="bottom"/>
          </w:tcPr>
          <w:p>
            <w:pPr>
              <w:ind w:left="20"/>
              <w:spacing w:after="0"/>
              <w:rPr>
                <w:sz w:val="20"/>
                <w:szCs w:val="20"/>
                <w:color w:val="auto"/>
              </w:rPr>
            </w:pPr>
            <w:r>
              <w:rPr>
                <w:rFonts w:ascii="Arial" w:cs="Arial" w:eastAsia="Arial" w:hAnsi="Arial"/>
                <w:sz w:val="16"/>
                <w:szCs w:val="16"/>
                <w:color w:val="auto"/>
              </w:rPr>
              <w:t>Joseph P. Adams, Jr.</w:t>
            </w:r>
          </w:p>
        </w:tc>
      </w:tr>
      <w:tr>
        <w:trPr>
          <w:trHeight w:val="215"/>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240"/>
          </w:cols>
          <w:pgMar w:left="320" w:top="890"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FINANCIAL OFFICER</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I, Eun (Angela) Nam, certify that:</w:t>
      </w:r>
    </w:p>
    <w:p>
      <w:pPr>
        <w:spacing w:after="0" w:line="262"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FTAI Aviation Ltd. (the “registrant”);</w:t>
      </w:r>
    </w:p>
    <w:p>
      <w:pPr>
        <w:spacing w:after="0" w:line="167" w:lineRule="exact"/>
        <w:rPr>
          <w:rFonts w:ascii="Arial" w:cs="Arial" w:eastAsia="Arial" w:hAnsi="Arial"/>
          <w:sz w:val="16"/>
          <w:szCs w:val="16"/>
          <w:color w:val="auto"/>
        </w:rPr>
      </w:pPr>
    </w:p>
    <w:p>
      <w:pPr>
        <w:ind w:right="20" w:firstLine="8"/>
        <w:spacing w:after="0" w:line="286" w:lineRule="auto"/>
        <w:tabs>
          <w:tab w:leader="none" w:pos="373"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Arial" w:cs="Arial" w:eastAsia="Arial" w:hAnsi="Arial"/>
          <w:sz w:val="16"/>
          <w:szCs w:val="16"/>
          <w:color w:val="auto"/>
        </w:rPr>
      </w:pPr>
    </w:p>
    <w:p>
      <w:pPr>
        <w:ind w:firstLine="8"/>
        <w:spacing w:after="0" w:line="286" w:lineRule="auto"/>
        <w:tabs>
          <w:tab w:leader="none" w:pos="406"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6"/>
          <w:szCs w:val="16"/>
          <w:color w:val="auto"/>
        </w:rPr>
      </w:pPr>
    </w:p>
    <w:p>
      <w:pPr>
        <w:jc w:val="both"/>
        <w:ind w:firstLine="8"/>
        <w:spacing w:after="0" w:line="266" w:lineRule="auto"/>
        <w:tabs>
          <w:tab w:leader="none" w:pos="411"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6"/>
          <w:szCs w:val="16"/>
          <w:color w:val="auto"/>
        </w:rPr>
      </w:pPr>
    </w:p>
    <w:p>
      <w:pPr>
        <w:jc w:val="both"/>
        <w:ind w:firstLine="656"/>
        <w:spacing w:after="0" w:line="266" w:lineRule="auto"/>
        <w:tabs>
          <w:tab w:leader="none" w:pos="1038"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6"/>
          <w:szCs w:val="16"/>
          <w:color w:val="auto"/>
        </w:rPr>
      </w:pPr>
    </w:p>
    <w:p>
      <w:pPr>
        <w:jc w:val="both"/>
        <w:ind w:right="20" w:firstLine="656"/>
        <w:spacing w:after="0" w:line="275" w:lineRule="auto"/>
        <w:tabs>
          <w:tab w:leader="none" w:pos="1167"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firstLine="656"/>
        <w:spacing w:after="0" w:line="286" w:lineRule="auto"/>
        <w:tabs>
          <w:tab w:leader="none" w:pos="1105"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jc w:val="both"/>
        <w:ind w:firstLine="656"/>
        <w:spacing w:after="0" w:line="275" w:lineRule="auto"/>
        <w:tabs>
          <w:tab w:leader="none" w:pos="1049" w:val="left"/>
        </w:tabs>
        <w:numPr>
          <w:ilvl w:val="1"/>
          <w:numId w:val="6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firstLine="8"/>
        <w:spacing w:after="0" w:line="286" w:lineRule="auto"/>
        <w:tabs>
          <w:tab w:leader="none" w:pos="36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6"/>
          <w:szCs w:val="16"/>
          <w:color w:val="auto"/>
        </w:rPr>
      </w:pPr>
    </w:p>
    <w:p>
      <w:pPr>
        <w:ind w:firstLine="656"/>
        <w:spacing w:after="0" w:line="286" w:lineRule="auto"/>
        <w:tabs>
          <w:tab w:leader="none" w:pos="1031"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6"/>
          <w:szCs w:val="16"/>
          <w:color w:val="auto"/>
        </w:rPr>
      </w:pPr>
    </w:p>
    <w:p>
      <w:pPr>
        <w:ind w:right="20" w:firstLine="656"/>
        <w:spacing w:after="0" w:line="286" w:lineRule="auto"/>
        <w:tabs>
          <w:tab w:leader="none" w:pos="1019" w:val="left"/>
        </w:tabs>
        <w:numPr>
          <w:ilvl w:val="1"/>
          <w:numId w:val="6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80" w:type="dxa"/>
            <w:vAlign w:val="bottom"/>
          </w:tcPr>
          <w:p>
            <w:pPr>
              <w:spacing w:after="0"/>
              <w:rPr>
                <w:sz w:val="20"/>
                <w:szCs w:val="20"/>
                <w:color w:val="auto"/>
              </w:rPr>
            </w:pPr>
            <w:r>
              <w:rPr>
                <w:rFonts w:ascii="Arial" w:cs="Arial" w:eastAsia="Arial" w:hAnsi="Arial"/>
                <w:sz w:val="16"/>
                <w:szCs w:val="16"/>
                <w:color w:val="auto"/>
              </w:rPr>
              <w:t>February 26, 2024</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Eun (Angela) Nam</w:t>
            </w:r>
          </w:p>
        </w:tc>
      </w:tr>
      <w:tr>
        <w:trPr>
          <w:trHeight w:val="210"/>
        </w:trPr>
        <w:tc>
          <w:tcPr>
            <w:tcW w:w="5580" w:type="dxa"/>
            <w:vAlign w:val="bottom"/>
          </w:tcPr>
          <w:p>
            <w:pPr>
              <w:spacing w:after="0"/>
              <w:rPr>
                <w:sz w:val="20"/>
                <w:szCs w:val="20"/>
                <w:color w:val="auto"/>
              </w:rPr>
            </w:pPr>
            <w:r>
              <w:rPr>
                <w:rFonts w:ascii="Arial" w:cs="Arial" w:eastAsia="Arial" w:hAnsi="Arial"/>
                <w:sz w:val="16"/>
                <w:szCs w:val="16"/>
                <w:color w:val="auto"/>
              </w:rPr>
              <w:t>(Date)</w:t>
            </w:r>
          </w:p>
        </w:tc>
        <w:tc>
          <w:tcPr>
            <w:tcW w:w="5600" w:type="dxa"/>
            <w:vAlign w:val="bottom"/>
          </w:tcPr>
          <w:p>
            <w:pPr>
              <w:ind w:left="20"/>
              <w:spacing w:after="0"/>
              <w:rPr>
                <w:sz w:val="20"/>
                <w:szCs w:val="20"/>
                <w:color w:val="auto"/>
              </w:rPr>
            </w:pPr>
            <w:r>
              <w:rPr>
                <w:rFonts w:ascii="Arial" w:cs="Arial" w:eastAsia="Arial" w:hAnsi="Arial"/>
                <w:sz w:val="16"/>
                <w:szCs w:val="16"/>
                <w:color w:val="auto"/>
              </w:rPr>
              <w:t>Eun (Angela) Nam</w:t>
            </w:r>
          </w:p>
        </w:tc>
      </w:tr>
      <w:tr>
        <w:trPr>
          <w:trHeight w:val="215"/>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6"/>
                <w:szCs w:val="16"/>
                <w:color w:val="auto"/>
              </w:rPr>
              <w:t>Chief Financial Officer and Chief Accounting Officer</w:t>
            </w:r>
          </w:p>
        </w:tc>
      </w:tr>
    </w:tbl>
    <w:p>
      <w:pPr>
        <w:sectPr>
          <w:pgSz w:w="11900" w:h="16838" w:orient="portrait"/>
          <w:cols w:equalWidth="0" w:num="1">
            <w:col w:w="11240"/>
          </w:cols>
          <w:pgMar w:left="320" w:top="890" w:right="3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Annual Report on Form 10-K of FTAI Aviation Ltd. (the “Company”) for the annual period ended December 31, 2023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51" w:lineRule="exact"/>
        <w:rPr>
          <w:sz w:val="20"/>
          <w:szCs w:val="20"/>
          <w:color w:val="auto"/>
        </w:rPr>
      </w:pPr>
    </w:p>
    <w:p>
      <w:pPr>
        <w:ind w:left="380" w:hanging="372"/>
        <w:spacing w:after="0"/>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67" w:lineRule="exact"/>
        <w:rPr>
          <w:rFonts w:ascii="Arial" w:cs="Arial" w:eastAsia="Arial" w:hAnsi="Arial"/>
          <w:sz w:val="16"/>
          <w:szCs w:val="16"/>
          <w:color w:val="auto"/>
        </w:rPr>
      </w:pPr>
    </w:p>
    <w:p>
      <w:pPr>
        <w:ind w:left="380" w:hanging="372"/>
        <w:spacing w:after="0"/>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5490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Joseph P. Adams, Jr.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26, 2024</w:t>
      </w:r>
    </w:p>
    <w:p>
      <w:pPr>
        <w:sectPr>
          <w:pgSz w:w="11900" w:h="16838" w:orient="portrait"/>
          <w:cols w:equalWidth="0" w:num="1">
            <w:col w:w="11240"/>
          </w:cols>
          <w:pgMar w:left="320" w:top="890" w:right="33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Annual Report on Form 10-K of FTAI Aviation Ltd. (the “Company”) for the annual period ended December 31, 2023 as filed with the Securities and Exchange Commission on the date hereof (the “Report”), Eun (Angela) Nam, as Chief Financial Officer of the Company, hereby certifies, pursuant to 18 U.S.C. Section 1350, as adopted pursuant to Section 906 of the Sarbanes-Oxley Act of 2002, that, to the best of her knowledge:</w:t>
      </w:r>
    </w:p>
    <w:p>
      <w:pPr>
        <w:spacing w:after="0" w:line="191" w:lineRule="exact"/>
        <w:rPr>
          <w:sz w:val="20"/>
          <w:szCs w:val="20"/>
          <w:color w:val="auto"/>
        </w:rPr>
      </w:pPr>
    </w:p>
    <w:p>
      <w:pPr>
        <w:ind w:left="380" w:hanging="372"/>
        <w:spacing w:after="0"/>
        <w:tabs>
          <w:tab w:leader="none" w:pos="3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380" w:hanging="372"/>
        <w:spacing w:after="0"/>
        <w:tabs>
          <w:tab w:leader="none" w:pos="3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Eun (Angela) 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5490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Eun (Angela) Nam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 and Chief Accounting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26, 2024</w:t>
      </w:r>
    </w:p>
    <w:p>
      <w:pPr>
        <w:sectPr>
          <w:pgSz w:w="11900" w:h="16838" w:orient="portrait"/>
          <w:cols w:equalWidth="0" w:num="1">
            <w:col w:w="11240"/>
          </w:cols>
          <w:pgMar w:left="320" w:top="890"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FTAI AVIATION LTD.</w:t>
      </w:r>
    </w:p>
    <w:p>
      <w:pPr>
        <w:spacing w:after="0" w:line="18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02" w:lineRule="exact"/>
        <w:rPr>
          <w:sz w:val="20"/>
          <w:szCs w:val="20"/>
          <w:color w:val="auto"/>
        </w:rPr>
      </w:pPr>
    </w:p>
    <w:p>
      <w:pPr>
        <w:ind w:right="460" w:firstLine="324"/>
        <w:spacing w:after="0" w:line="237"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FTAI Aviation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determined that it is appropriate for the Company to adopt this Clawback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to be applied to the Executive Officers of the Company effective as of the Effective Date.</w:t>
      </w:r>
    </w:p>
    <w:p>
      <w:pPr>
        <w:spacing w:after="0" w:line="154"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this Policy, the following definitions shall apply:</w:t>
      </w:r>
    </w:p>
    <w:p>
      <w:pPr>
        <w:spacing w:after="0" w:line="185" w:lineRule="exact"/>
        <w:rPr>
          <w:sz w:val="20"/>
          <w:szCs w:val="20"/>
          <w:color w:val="auto"/>
        </w:rPr>
      </w:pPr>
    </w:p>
    <w:p>
      <w:pPr>
        <w:ind w:left="960" w:hanging="30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w:t>
      </w:r>
    </w:p>
    <w:p>
      <w:pPr>
        <w:spacing w:after="0" w:line="184"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means the Company and each of its Subsidiaries, as applicable.</w:t>
      </w:r>
    </w:p>
    <w:p>
      <w:pPr>
        <w:spacing w:after="0" w:line="198" w:lineRule="exact"/>
        <w:rPr>
          <w:rFonts w:ascii="Times New Roman" w:cs="Times New Roman" w:eastAsia="Times New Roman" w:hAnsi="Times New Roman"/>
          <w:sz w:val="18"/>
          <w:szCs w:val="18"/>
          <w:color w:val="auto"/>
        </w:rPr>
      </w:pPr>
    </w:p>
    <w:p>
      <w:pPr>
        <w:ind w:left="980" w:right="20" w:hanging="324"/>
        <w:spacing w:after="0" w:line="224" w:lineRule="auto"/>
        <w:tabs>
          <w:tab w:leader="none" w:pos="9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Compensation</w:t>
      </w:r>
      <w:r>
        <w:rPr>
          <w:rFonts w:ascii="Times New Roman" w:cs="Times New Roman" w:eastAsia="Times New Roman" w:hAnsi="Times New Roman"/>
          <w:sz w:val="18"/>
          <w:szCs w:val="18"/>
          <w:color w:val="auto"/>
        </w:rPr>
        <w:t>” means any Incentive-Based Compensation granted, vested or paid to a person who served as an Executive Officer at any time during the performance period for the Incentive-Based Compensation and that was received (i) on or after the effective date of Nasdaq Rule 5608 (i.e., October 2, 2023), (ii) after the person became an Executive Officer and (iii) at a time that the Company had a class of securities listed on a national securities exchange or a national securities association.</w:t>
      </w:r>
    </w:p>
    <w:p>
      <w:pPr>
        <w:spacing w:after="0" w:line="15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December 1, 2023.</w:t>
      </w:r>
    </w:p>
    <w:p>
      <w:pPr>
        <w:spacing w:after="0" w:line="184" w:lineRule="exact"/>
        <w:rPr>
          <w:rFonts w:ascii="Times New Roman" w:cs="Times New Roman" w:eastAsia="Times New Roman" w:hAnsi="Times New Roman"/>
          <w:sz w:val="18"/>
          <w:szCs w:val="18"/>
          <w:color w:val="auto"/>
        </w:rPr>
      </w:pPr>
    </w:p>
    <w:p>
      <w:pPr>
        <w:ind w:left="980" w:right="100" w:hanging="324"/>
        <w:spacing w:after="0" w:line="215" w:lineRule="auto"/>
        <w:tabs>
          <w:tab w:leader="none" w:pos="9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means the amount of Covered Compensation granted, vested or paid to a person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the Nasdaq.</w:t>
      </w:r>
    </w:p>
    <w:p>
      <w:pPr>
        <w:spacing w:after="0" w:line="17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184" w:lineRule="exact"/>
        <w:rPr>
          <w:rFonts w:ascii="Times New Roman" w:cs="Times New Roman" w:eastAsia="Times New Roman" w:hAnsi="Times New Roman"/>
          <w:sz w:val="18"/>
          <w:szCs w:val="18"/>
          <w:color w:val="auto"/>
        </w:rPr>
      </w:pPr>
    </w:p>
    <w:p>
      <w:pPr>
        <w:ind w:left="980" w:right="140" w:hanging="324"/>
        <w:spacing w:after="0" w:line="231" w:lineRule="auto"/>
        <w:tabs>
          <w:tab w:leader="none" w:pos="9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means each “officer” of the Company as defined under Rule 16a-1(f) under Section 16 of the Exchange Act, which shall be deemed to include any individuals identified by the Company as executive officers pursuant to Item 401(b) of Regulation S-K under the Exchange Act. Both current and former Executive Officers are subject to the Policy in accordance with its terms.</w:t>
      </w:r>
    </w:p>
    <w:p>
      <w:pPr>
        <w:spacing w:after="0" w:line="158" w:lineRule="exact"/>
        <w:rPr>
          <w:rFonts w:ascii="Times New Roman" w:cs="Times New Roman" w:eastAsia="Times New Roman" w:hAnsi="Times New Roman"/>
          <w:sz w:val="18"/>
          <w:szCs w:val="18"/>
          <w:color w:val="auto"/>
        </w:rPr>
      </w:pPr>
    </w:p>
    <w:p>
      <w:pPr>
        <w:ind w:left="980" w:right="80" w:hanging="324"/>
        <w:spacing w:after="0" w:line="220" w:lineRule="auto"/>
        <w:tabs>
          <w:tab w:leader="none" w:pos="96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w:t>
      </w:r>
      <w:r>
        <w:rPr>
          <w:rFonts w:ascii="Times New Roman" w:cs="Times New Roman" w:eastAsia="Times New Roman" w:hAnsi="Times New Roman"/>
          <w:sz w:val="18"/>
          <w:szCs w:val="18"/>
          <w:color w:val="auto"/>
        </w:rPr>
        <w:t>” means (i) any measure that is determined and presented in accordance with the accounting principles used in preparing the Company’s financial statements, and any measures derived wholly or in part from such measures and may consist of GAAP or non-GAAP financial measures (as defined under Regulation G of the Exchange Act and Item 10 of Regulation S-K under the Exchange Act), (ii) stock price or (iii) total shareholder return. Financial Reporting Measures may or may not be filed with the SEC and may be presented outside the Company’s financial statements, such as in Managements’ Discussion and Analysis of Financial Conditions and Result of Operations or in the performance graph required under Item 201(e) of Regulation S-K under the Exchange Act.</w:t>
      </w:r>
    </w:p>
    <w:p>
      <w:pPr>
        <w:spacing w:after="0" w:line="15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Home Country</w:t>
      </w:r>
      <w:r>
        <w:rPr>
          <w:rFonts w:ascii="Times New Roman" w:cs="Times New Roman" w:eastAsia="Times New Roman" w:hAnsi="Times New Roman"/>
          <w:sz w:val="18"/>
          <w:szCs w:val="18"/>
          <w:color w:val="auto"/>
        </w:rPr>
        <w:t>” means the Company’s jurisdiction of incorporation.</w:t>
      </w:r>
    </w:p>
    <w:p>
      <w:pPr>
        <w:spacing w:after="0" w:line="184" w:lineRule="exact"/>
        <w:rPr>
          <w:rFonts w:ascii="Times New Roman" w:cs="Times New Roman" w:eastAsia="Times New Roman" w:hAnsi="Times New Roman"/>
          <w:sz w:val="18"/>
          <w:szCs w:val="18"/>
          <w:color w:val="auto"/>
        </w:rPr>
      </w:pPr>
    </w:p>
    <w:p>
      <w:pPr>
        <w:ind w:left="980" w:right="160" w:hanging="324"/>
        <w:spacing w:after="0" w:line="250" w:lineRule="auto"/>
        <w:tabs>
          <w:tab w:leader="none" w:pos="97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w:t>
      </w:r>
    </w:p>
    <w:p>
      <w:pPr>
        <w:spacing w:after="0" w:line="149" w:lineRule="exact"/>
        <w:rPr>
          <w:rFonts w:ascii="Times New Roman" w:cs="Times New Roman" w:eastAsia="Times New Roman" w:hAnsi="Times New Roman"/>
          <w:sz w:val="18"/>
          <w:szCs w:val="18"/>
          <w:color w:val="auto"/>
        </w:rPr>
      </w:pPr>
    </w:p>
    <w:p>
      <w:pPr>
        <w:ind w:left="980" w:right="200" w:hanging="324"/>
        <w:spacing w:after="0" w:line="224" w:lineRule="auto"/>
        <w:tabs>
          <w:tab w:leader="none" w:pos="97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Lookback Period</w:t>
      </w:r>
      <w:r>
        <w:rPr>
          <w:rFonts w:ascii="Times New Roman" w:cs="Times New Roman" w:eastAsia="Times New Roman" w:hAnsi="Times New Roman"/>
          <w:sz w:val="18"/>
          <w:szCs w:val="18"/>
          <w:color w:val="auto"/>
        </w:rPr>
        <w:t>”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w:t>
      </w:r>
    </w:p>
    <w:p>
      <w:pPr>
        <w:sectPr>
          <w:pgSz w:w="11900" w:h="16838" w:orient="portrait"/>
          <w:cols w:equalWidth="0" w:num="1">
            <w:col w:w="11240"/>
          </w:cols>
          <w:pgMar w:left="320" w:top="558" w:right="339" w:bottom="1440" w:gutter="0" w:footer="0" w:header="0"/>
        </w:sectPr>
      </w:pPr>
    </w:p>
    <w:bookmarkStart w:id="130" w:name="page131"/>
    <w:bookmarkEnd w:id="130"/>
    <w:p>
      <w:pPr>
        <w:ind w:left="980" w:right="60"/>
        <w:spacing w:after="0" w:line="236" w:lineRule="auto"/>
        <w:rPr>
          <w:sz w:val="20"/>
          <w:szCs w:val="20"/>
          <w:color w:val="auto"/>
        </w:rPr>
      </w:pPr>
      <w:r>
        <w:rPr>
          <w:rFonts w:ascii="Times New Roman" w:cs="Times New Roman" w:eastAsia="Times New Roman" w:hAnsi="Times New Roman"/>
          <w:sz w:val="17"/>
          <w:szCs w:val="17"/>
          <w:color w:val="auto"/>
        </w:rPr>
        <w:t>of the Board, or the officer or officers of the Company authorized to take such action if Board action is not required, concludes, or reasonably should have concluded, that the Company is required to prepare a Restatement, or (ii) the date a court, regulator or other legally authorized</w:t>
      </w:r>
    </w:p>
    <w:p>
      <w:pPr>
        <w:ind w:left="980" w:right="120"/>
        <w:spacing w:after="0" w:line="226" w:lineRule="auto"/>
        <w:rPr>
          <w:sz w:val="20"/>
          <w:szCs w:val="20"/>
          <w:color w:val="auto"/>
        </w:rPr>
      </w:pPr>
      <w:r>
        <w:rPr>
          <w:rFonts w:ascii="Times New Roman" w:cs="Times New Roman" w:eastAsia="Times New Roman" w:hAnsi="Times New Roman"/>
          <w:sz w:val="18"/>
          <w:szCs w:val="18"/>
          <w:color w:val="auto"/>
        </w:rPr>
        <w:t>body directs the Company to prepare a Restatement. Recovery of any Erroneously Awarded Compensation under the Policy is not dependent on if or when the Restatement is actually filed.</w:t>
      </w:r>
    </w:p>
    <w:p>
      <w:pPr>
        <w:spacing w:after="0" w:line="157" w:lineRule="exact"/>
        <w:rPr>
          <w:sz w:val="20"/>
          <w:szCs w:val="20"/>
          <w:color w:val="auto"/>
        </w:rPr>
      </w:pPr>
    </w:p>
    <w:p>
      <w:pPr>
        <w:ind w:left="980" w:hanging="324"/>
        <w:spacing w:after="0"/>
        <w:tabs>
          <w:tab w:leader="none" w:pos="9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198" w:lineRule="exact"/>
        <w:rPr>
          <w:rFonts w:ascii="Times New Roman" w:cs="Times New Roman" w:eastAsia="Times New Roman" w:hAnsi="Times New Roman"/>
          <w:sz w:val="18"/>
          <w:szCs w:val="18"/>
          <w:color w:val="auto"/>
        </w:rPr>
      </w:pPr>
    </w:p>
    <w:p>
      <w:pPr>
        <w:ind w:left="980" w:right="20" w:hanging="324"/>
        <w:spacing w:after="0" w:line="226" w:lineRule="auto"/>
        <w:tabs>
          <w:tab w:leader="none" w:pos="97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Received</w:t>
      </w:r>
      <w:r>
        <w:rPr>
          <w:rFonts w:ascii="Times New Roman" w:cs="Times New Roman" w:eastAsia="Times New Roman" w:hAnsi="Times New Roman"/>
          <w:sz w:val="18"/>
          <w:szCs w:val="18"/>
          <w:color w:val="auto"/>
        </w:rPr>
        <w:t>.”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spacing w:after="0" w:line="171" w:lineRule="exact"/>
        <w:rPr>
          <w:rFonts w:ascii="Times New Roman" w:cs="Times New Roman" w:eastAsia="Times New Roman" w:hAnsi="Times New Roman"/>
          <w:sz w:val="18"/>
          <w:szCs w:val="18"/>
          <w:color w:val="auto"/>
        </w:rPr>
      </w:pPr>
    </w:p>
    <w:p>
      <w:pPr>
        <w:ind w:left="980" w:right="140" w:hanging="324"/>
        <w:spacing w:after="0" w:line="214" w:lineRule="auto"/>
        <w:tabs>
          <w:tab w:leader="none" w:pos="97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Restatement</w:t>
      </w:r>
      <w:r>
        <w:rPr>
          <w:rFonts w:ascii="Times New Roman" w:cs="Times New Roman" w:eastAsia="Times New Roman" w:hAnsi="Times New Roman"/>
          <w:sz w:val="18"/>
          <w:szCs w:val="18"/>
          <w:color w:val="auto"/>
        </w:rPr>
        <w:t>” 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within the meaning of Exchange Act Rule 10D-1 and Nasdaq Rule 5608. Changes to the Company’s financial statements that do not represent error corrections under the then-current relevant accounting standards will not constitute Restatements. Recovery of any Erroneously Awarded Compensation under the Policy is not dependent on fraud or misconduct by any person in connection with the Restatement.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98" w:lineRule="exact"/>
        <w:rPr>
          <w:rFonts w:ascii="Times New Roman" w:cs="Times New Roman" w:eastAsia="Times New Roman" w:hAnsi="Times New Roman"/>
          <w:sz w:val="18"/>
          <w:szCs w:val="18"/>
          <w:color w:val="auto"/>
        </w:rPr>
      </w:pPr>
    </w:p>
    <w:p>
      <w:pPr>
        <w:ind w:left="980" w:right="80" w:hanging="324"/>
        <w:spacing w:after="0" w:line="237" w:lineRule="auto"/>
        <w:tabs>
          <w:tab w:leader="none" w:pos="977"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any domestic or foreign corporation, partnership, association, joint stock company, joint venture, trust or unincorporated organization “affiliated” with the Company, that is, directly or indirectly, through one or more intermediaries, “controlling”, “controlled by” or “under common control with”, the Company. “Control” for this purpose means the possession, direct or indirect, of the power to direct or cause the direction of the management and policies of such person, whether through the ownership of voting securities, contract or otherwise.</w:t>
      </w:r>
    </w:p>
    <w:p>
      <w:pPr>
        <w:spacing w:after="0" w:line="15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Recoupment of Erroneously Awarded Compensation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the event of a Restatement, any Erroneously Awarded Compensation received during the Lookback Period (a) that is then-outstanding but has not</w:t>
      </w:r>
    </w:p>
    <w:p>
      <w:pPr>
        <w:spacing w:after="0" w:line="2"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yet been paid shall be automatically and immediately forfeited and (b) that has been paid to any person shall be subject to reasonably prompt repayment to the Company Group in accordance with Section 3 of this Policy. The Committee must pursue (and shall not have the discretion to waive) the forfeiture and/or repayment of such Erroneously Awarded Compensation in accordance with Section 3 of this Policy, except as provided below.</w:t>
      </w:r>
    </w:p>
    <w:p>
      <w:pPr>
        <w:spacing w:after="0" w:line="172" w:lineRule="exact"/>
        <w:rPr>
          <w:sz w:val="20"/>
          <w:szCs w:val="20"/>
          <w:color w:val="auto"/>
        </w:rPr>
      </w:pPr>
    </w:p>
    <w:p>
      <w:pPr>
        <w:ind w:right="60" w:firstLine="324"/>
        <w:spacing w:after="0" w:line="216" w:lineRule="auto"/>
        <w:rPr>
          <w:sz w:val="20"/>
          <w:szCs w:val="20"/>
          <w:color w:val="auto"/>
        </w:rPr>
      </w:pPr>
      <w:r>
        <w:rPr>
          <w:rFonts w:ascii="Times New Roman" w:cs="Times New Roman" w:eastAsia="Times New Roman" w:hAnsi="Times New Roman"/>
          <w:sz w:val="18"/>
          <w:szCs w:val="18"/>
          <w:color w:val="auto"/>
        </w:rPr>
        <w:t>Notwithstanding the foregoing, the Committee (or, if the Committee is not composed entirely of independent directors, a majority of the independent directors serving on the Board) may determine not to pursue the forfeiture and/or recovery of Erroneously Awarded Compensation from any person if the Committee determines that such forfeiture and/or recovery would be impracticable due to any of the following circumstances: (i) the direct expense paid to</w:t>
      </w:r>
    </w:p>
    <w:p>
      <w:pPr>
        <w:spacing w:after="0" w:line="1"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a third party (for example, reasonable legal expenses and consulting fees) to assist in enforcing the Policy would exceed the amount to be recovered (following reasonable attempts by the Company Group to recover such Erroneously Awarded Compensation, the documentation of such attempts, and the provision of such documentation to the Nasdaq), (ii) pursuing such recovery would violate the Company’s Home Country laws adopted prior to November</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28, 2022 (provided that the Company obtains an opinion of Home Country counsel acceptable to the Nasdaq that recovery would result in such a violation and provides such opinion to the Nasdaq), or (iii) recovery would likely cause any otherwise tax-qualified retirement plan, under which benefits are broadly available to employees of Company Group, to fail to meet the requirements of 26 U.S.C. 401(a)(13) or 26 U.S.C. 411(a) and regulations thereunder.</w:t>
      </w:r>
    </w:p>
    <w:p>
      <w:pPr>
        <w:spacing w:after="0" w:line="168"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Means of Repayment</w:t>
      </w:r>
    </w:p>
    <w:p>
      <w:pPr>
        <w:spacing w:after="0" w:line="189" w:lineRule="exact"/>
        <w:rPr>
          <w:sz w:val="20"/>
          <w:szCs w:val="20"/>
          <w:color w:val="auto"/>
        </w:rPr>
      </w:pPr>
    </w:p>
    <w:p>
      <w:pPr>
        <w:ind w:right="140" w:firstLine="324"/>
        <w:spacing w:after="0" w:line="236" w:lineRule="auto"/>
        <w:rPr>
          <w:sz w:val="20"/>
          <w:szCs w:val="20"/>
          <w:color w:val="auto"/>
        </w:rPr>
      </w:pPr>
      <w:r>
        <w:rPr>
          <w:rFonts w:ascii="Times New Roman" w:cs="Times New Roman" w:eastAsia="Times New Roman" w:hAnsi="Times New Roman"/>
          <w:sz w:val="17"/>
          <w:szCs w:val="17"/>
          <w:color w:val="auto"/>
        </w:rPr>
        <w:t>In the event that the Committee determines that any person shall repay any Erroneously Awarded Compensation, the Committee shall provide written notice to such person by email or certified mail to the physical address on file with the Company Group for such person, and the person shall satisfy such</w:t>
      </w:r>
    </w:p>
    <w:p>
      <w:pPr>
        <w:ind w:right="120"/>
        <w:spacing w:after="0" w:line="226" w:lineRule="auto"/>
        <w:rPr>
          <w:sz w:val="20"/>
          <w:szCs w:val="20"/>
          <w:color w:val="auto"/>
        </w:rPr>
      </w:pPr>
      <w:r>
        <w:rPr>
          <w:rFonts w:ascii="Times New Roman" w:cs="Times New Roman" w:eastAsia="Times New Roman" w:hAnsi="Times New Roman"/>
          <w:sz w:val="18"/>
          <w:szCs w:val="18"/>
          <w:color w:val="auto"/>
        </w:rPr>
        <w:t>repayment in a manner and on such terms as required by the Committee, and the Company Group shall be entitled to set off the repayment amount against any amount owed to the</w:t>
      </w:r>
    </w:p>
    <w:p>
      <w:pPr>
        <w:sectPr>
          <w:pgSz w:w="11900" w:h="16838" w:orient="portrait"/>
          <w:cols w:equalWidth="0" w:num="1">
            <w:col w:w="11240"/>
          </w:cols>
          <w:pgMar w:left="320" w:top="1431" w:right="339" w:bottom="1440" w:gutter="0" w:footer="0" w:header="0"/>
        </w:sectPr>
      </w:pPr>
    </w:p>
    <w:bookmarkStart w:id="131" w:name="page132"/>
    <w:bookmarkEnd w:id="131"/>
    <w:p>
      <w:pPr>
        <w:ind w:right="20"/>
        <w:spacing w:after="0" w:line="236" w:lineRule="auto"/>
        <w:rPr>
          <w:sz w:val="20"/>
          <w:szCs w:val="20"/>
          <w:color w:val="auto"/>
        </w:rPr>
      </w:pPr>
      <w:r>
        <w:rPr>
          <w:rFonts w:ascii="Times New Roman" w:cs="Times New Roman" w:eastAsia="Times New Roman" w:hAnsi="Times New Roman"/>
          <w:sz w:val="17"/>
          <w:szCs w:val="17"/>
          <w:color w:val="auto"/>
        </w:rPr>
        <w:t>person by the Company Group, to require the forfeiture of any award granted by the Company Group to the person, or to take any and all necessary actions to reasonably promptly recoup the repayment amount from the person, in each case, to the fullest extent permitted under applicable law, including without</w:t>
      </w:r>
    </w:p>
    <w:p>
      <w:pPr>
        <w:ind w:right="60"/>
        <w:spacing w:after="0" w:line="218" w:lineRule="auto"/>
        <w:rPr>
          <w:sz w:val="20"/>
          <w:szCs w:val="20"/>
          <w:color w:val="auto"/>
        </w:rPr>
      </w:pPr>
      <w:r>
        <w:rPr>
          <w:rFonts w:ascii="Times New Roman" w:cs="Times New Roman" w:eastAsia="Times New Roman" w:hAnsi="Times New Roman"/>
          <w:sz w:val="18"/>
          <w:szCs w:val="18"/>
          <w:color w:val="auto"/>
        </w:rPr>
        <w:t>limitation, Section 409A of the Internal Revenue Code and the regulations and guidance thereunder. If the Committee does not specify a repayment timing in the written notice described above, the applicable person shall be required to repay the Erroneously Awarded Compensation to the Company Group by wire, cash or cashier’s check no later than thirty (30) days after receipt of such notice.</w:t>
      </w:r>
    </w:p>
    <w:p>
      <w:pPr>
        <w:spacing w:after="0" w:line="168"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Indemnification</w:t>
      </w:r>
    </w:p>
    <w:p>
      <w:pPr>
        <w:spacing w:after="0" w:line="189" w:lineRule="exact"/>
        <w:rPr>
          <w:sz w:val="20"/>
          <w:szCs w:val="20"/>
          <w:color w:val="auto"/>
        </w:rPr>
      </w:pPr>
    </w:p>
    <w:p>
      <w:pPr>
        <w:ind w:right="140" w:firstLine="324"/>
        <w:spacing w:after="0" w:line="236" w:lineRule="auto"/>
        <w:rPr>
          <w:sz w:val="20"/>
          <w:szCs w:val="20"/>
          <w:color w:val="auto"/>
        </w:rPr>
      </w:pPr>
      <w:r>
        <w:rPr>
          <w:rFonts w:ascii="Times New Roman" w:cs="Times New Roman" w:eastAsia="Times New Roman" w:hAnsi="Times New Roman"/>
          <w:sz w:val="17"/>
          <w:szCs w:val="17"/>
          <w:color w:val="auto"/>
        </w:rPr>
        <w:t>No person shall be indemnified, insured or reimbursed by the Company Group in respect of any loss of compensation by such person in accordance with this Policy, nor shall any person receive any advancement of expenses for disputes related to any loss of compensation by such person in accordance</w:t>
      </w:r>
    </w:p>
    <w:p>
      <w:pPr>
        <w:jc w:val="both"/>
        <w:ind w:right="280"/>
        <w:spacing w:after="0" w:line="220" w:lineRule="auto"/>
        <w:rPr>
          <w:sz w:val="20"/>
          <w:szCs w:val="20"/>
          <w:color w:val="auto"/>
        </w:rPr>
      </w:pPr>
      <w:r>
        <w:rPr>
          <w:rFonts w:ascii="Times New Roman" w:cs="Times New Roman" w:eastAsia="Times New Roman" w:hAnsi="Times New Roman"/>
          <w:sz w:val="17"/>
          <w:szCs w:val="17"/>
          <w:color w:val="auto"/>
        </w:rPr>
        <w:t xml:space="preserve">with this Policy, and no person shall be paid or reimbursed by the Company Group for 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Times New Roman" w:cs="Times New Roman" w:eastAsia="Times New Roman" w:hAnsi="Times New Roman"/>
          <w:sz w:val="17"/>
          <w:szCs w:val="17"/>
          <w:i w:val="1"/>
          <w:iCs w:val="1"/>
          <w:color w:val="auto"/>
        </w:rPr>
        <w:t>de facto</w:t>
      </w:r>
      <w:r>
        <w:rPr>
          <w:rFonts w:ascii="Times New Roman" w:cs="Times New Roman" w:eastAsia="Times New Roman" w:hAnsi="Times New Roman"/>
          <w:sz w:val="17"/>
          <w:szCs w:val="17"/>
          <w:color w:val="auto"/>
        </w:rPr>
        <w:t xml:space="preserve"> indemnification (for example, providing the person a new cash award which would be</w:t>
      </w:r>
    </w:p>
    <w:p>
      <w:pPr>
        <w:spacing w:after="0" w:line="2"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8"/>
          <w:szCs w:val="18"/>
          <w:color w:val="auto"/>
        </w:rPr>
        <w:t>cancelled to effect the recovery of any Erroneously Awarded Compensation). In no event shall the Company Group be required to award any person an additional payment if any Restatement would result in a higher incentive compensation payment.</w:t>
      </w:r>
    </w:p>
    <w:p>
      <w:pPr>
        <w:spacing w:after="0" w:line="153"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02" w:lineRule="exact"/>
        <w:rPr>
          <w:sz w:val="20"/>
          <w:szCs w:val="20"/>
          <w:color w:val="auto"/>
        </w:rPr>
      </w:pPr>
    </w:p>
    <w:p>
      <w:pPr>
        <w:ind w:right="60" w:firstLine="324"/>
        <w:spacing w:after="0" w:line="226" w:lineRule="auto"/>
        <w:rPr>
          <w:sz w:val="20"/>
          <w:szCs w:val="20"/>
          <w:color w:val="auto"/>
        </w:rPr>
      </w:pPr>
      <w:r>
        <w:rPr>
          <w:rFonts w:ascii="Times New Roman" w:cs="Times New Roman" w:eastAsia="Times New Roman" w:hAnsi="Times New Roman"/>
          <w:sz w:val="18"/>
          <w:szCs w:val="18"/>
          <w:color w:val="auto"/>
        </w:rPr>
        <w:t>This Policy generally will be administered and interpreted by the Committee. Any determination by the Committee with respect to this Policy shall be final, conclusive and binding on all interested parties. Any discretionary determinations of the Committee under this Policy need not be uniform with respect to all persons, and may be made selectively amongst persons, whether or not such persons are similarly situated.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Policy is intended to satisfy the requirements of Section 954 of the Dodd-Frank Wall Street Reform and Consumer Protection Act, as it may be</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amended from time to time, and any related rules or regulations promulgated by the SEC or the Nasdaq, including any additional or new requirements that become effective after the Effective Date which upon effectiveness shall be deemed to automatically amend this Policy to the extent necessary to comply with such additional or new requirements.</w:t>
      </w:r>
    </w:p>
    <w:p>
      <w:pPr>
        <w:spacing w:after="0" w:line="172" w:lineRule="exact"/>
        <w:rPr>
          <w:sz w:val="20"/>
          <w:szCs w:val="20"/>
          <w:color w:val="auto"/>
        </w:rPr>
      </w:pPr>
    </w:p>
    <w:p>
      <w:pPr>
        <w:ind w:firstLine="324"/>
        <w:spacing w:after="0" w:line="229" w:lineRule="auto"/>
        <w:rPr>
          <w:sz w:val="20"/>
          <w:szCs w:val="20"/>
          <w:color w:val="auto"/>
        </w:rPr>
      </w:pPr>
      <w:r>
        <w:rPr>
          <w:rFonts w:ascii="Times New Roman" w:cs="Times New Roman" w:eastAsia="Times New Roman" w:hAnsi="Times New Roman"/>
          <w:sz w:val="17"/>
          <w:szCs w:val="17"/>
          <w:color w:val="auto"/>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w:t>
      </w:r>
    </w:p>
    <w:p>
      <w:pPr>
        <w:ind w:right="40"/>
        <w:spacing w:after="0" w:line="218" w:lineRule="auto"/>
        <w:rPr>
          <w:sz w:val="20"/>
          <w:szCs w:val="20"/>
          <w:color w:val="auto"/>
        </w:rPr>
      </w:pPr>
      <w:r>
        <w:rPr>
          <w:rFonts w:ascii="Times New Roman" w:cs="Times New Roman" w:eastAsia="Times New Roman" w:hAnsi="Times New Roman"/>
          <w:sz w:val="18"/>
          <w:szCs w:val="18"/>
          <w:color w:val="auto"/>
        </w:rPr>
        <w:t>of this Policy shall not affect the validity or enforceability of any other provision of this Policy. Recoupment of Erroneously Awarded Compensation under this Policy is not dependent upon the Company Group satisfying any conditions in this Policy, including any requirement to provide applicable documentation to the Nasdaq.</w:t>
      </w:r>
    </w:p>
    <w:p>
      <w:pPr>
        <w:spacing w:after="0" w:line="172" w:lineRule="exact"/>
        <w:rPr>
          <w:sz w:val="20"/>
          <w:szCs w:val="20"/>
          <w:color w:val="auto"/>
        </w:rPr>
      </w:pPr>
    </w:p>
    <w:p>
      <w:pPr>
        <w:jc w:val="both"/>
        <w:ind w:right="20" w:firstLine="324"/>
        <w:spacing w:after="0" w:line="229" w:lineRule="auto"/>
        <w:rPr>
          <w:sz w:val="20"/>
          <w:szCs w:val="20"/>
          <w:color w:val="auto"/>
        </w:rPr>
      </w:pPr>
      <w:r>
        <w:rPr>
          <w:rFonts w:ascii="Times New Roman" w:cs="Times New Roman" w:eastAsia="Times New Roman" w:hAnsi="Times New Roman"/>
          <w:sz w:val="17"/>
          <w:szCs w:val="17"/>
          <w:color w:val="auto"/>
        </w:rPr>
        <w:t>The rights of the Company Group under this Policy to seek forfeiture or reimbursement are in addition to, and not in lieu of, any rights of recoupment, or remedies or rights other than recoupment, that may be available to the Company Group pursuant to the terms of any law, government regulation or stock exchange listing requirement or any other policy, code of conduct, employee handbook, employment agreement, equity award agreement, or other plan or</w:t>
      </w:r>
    </w:p>
    <w:p>
      <w:pPr>
        <w:spacing w:after="0"/>
        <w:rPr>
          <w:sz w:val="20"/>
          <w:szCs w:val="20"/>
          <w:color w:val="auto"/>
        </w:rPr>
      </w:pPr>
      <w:r>
        <w:rPr>
          <w:rFonts w:ascii="Times New Roman" w:cs="Times New Roman" w:eastAsia="Times New Roman" w:hAnsi="Times New Roman"/>
          <w:sz w:val="18"/>
          <w:szCs w:val="18"/>
          <w:color w:val="auto"/>
        </w:rPr>
        <w:t>agreement of the Company Group.</w:t>
      </w:r>
    </w:p>
    <w:p>
      <w:pPr>
        <w:spacing w:after="0" w:line="161"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Termination</w:t>
      </w:r>
    </w:p>
    <w:p>
      <w:pPr>
        <w:spacing w:after="0" w:line="189"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To the extent permitted by, and in a manner consistent with applicable law, including SEC and Nasdaq rules, the Committee may terminate, suspend or amend this Policy at any time in its discretion.</w:t>
      </w:r>
    </w:p>
    <w:p>
      <w:pPr>
        <w:spacing w:after="0" w:line="145"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w:t>
      </w:r>
    </w:p>
    <w:p>
      <w:pPr>
        <w:spacing w:after="0" w:line="189" w:lineRule="exact"/>
        <w:rPr>
          <w:sz w:val="20"/>
          <w:szCs w:val="20"/>
          <w:color w:val="auto"/>
        </w:rPr>
      </w:pPr>
    </w:p>
    <w:p>
      <w:pPr>
        <w:ind w:right="520" w:firstLine="324"/>
        <w:spacing w:after="0" w:line="250" w:lineRule="auto"/>
        <w:rPr>
          <w:sz w:val="20"/>
          <w:szCs w:val="20"/>
          <w:color w:val="auto"/>
        </w:rPr>
      </w:pPr>
      <w:r>
        <w:rPr>
          <w:rFonts w:ascii="Times New Roman" w:cs="Times New Roman" w:eastAsia="Times New Roman" w:hAnsi="Times New Roman"/>
          <w:sz w:val="18"/>
          <w:szCs w:val="18"/>
          <w:color w:val="auto"/>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sectPr>
          <w:pgSz w:w="11900" w:h="16838" w:orient="portrait"/>
          <w:cols w:equalWidth="0" w:num="1">
            <w:col w:w="11200"/>
          </w:cols>
          <w:pgMar w:left="320" w:top="1431" w:right="379" w:bottom="1440" w:gutter="0" w:footer="0" w:header="0"/>
        </w:sectPr>
      </w:pPr>
    </w:p>
    <w:bookmarkStart w:id="132" w:name="page133"/>
    <w:bookmarkEnd w:id="132"/>
    <w:p>
      <w:pPr>
        <w:spacing w:after="0" w:line="17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FTAI AVIATION LTD.</w:t>
      </w:r>
    </w:p>
    <w:p>
      <w:pPr>
        <w:spacing w:after="0" w:line="18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ACKNOWLEDGMENT, CONSENT AND AGREEMENT</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acknowledge that I have received and reviewed a copy of the FTAI Aviation Ltd. Clawback Policy (as may be amended from time to time, the</w:t>
      </w:r>
    </w:p>
    <w:p>
      <w:pPr>
        <w:spacing w:after="0" w:line="21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and I have been given an opportunity to ask questions about the Policy and review it with my counsel. I knowingly, voluntarily and irrevocably</w:t>
      </w:r>
    </w:p>
    <w:p>
      <w:pPr>
        <w:ind w:right="160"/>
        <w:spacing w:after="0" w:line="220" w:lineRule="auto"/>
        <w:rPr>
          <w:sz w:val="20"/>
          <w:szCs w:val="20"/>
          <w:color w:val="auto"/>
        </w:rPr>
      </w:pPr>
      <w:r>
        <w:rPr>
          <w:rFonts w:ascii="Times New Roman" w:cs="Times New Roman" w:eastAsia="Times New Roman" w:hAnsi="Times New Roman"/>
          <w:sz w:val="17"/>
          <w:szCs w:val="17"/>
          <w:color w:val="auto"/>
        </w:rPr>
        <w:t>consent to and agree to be bound by and subject to the Policy’s terms and conditions, including that I will return any Erroneously Awarded Compensation that is required to be repaid in accordance with the Policy. I further acknowledge, understand and agree that (i) the compensation that I receive, have received or may become entitled to receive from the Company Group is subject to the Policy, and the Policy may affect such compensation and (ii) I have</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no right to indemnification, insurance payments or other reimbursement by or from the Company Group for any compensation that is subject to recoupment and/or forfeiture under the Policy. Capitalized terms not defined herein have the meanings set forth in the Policy.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Signed:</w:t>
      </w:r>
      <w:r>
        <w:rPr>
          <w:sz w:val="20"/>
          <w:szCs w:val="20"/>
          <w:color w:val="auto"/>
        </w:rPr>
        <w:tab/>
      </w:r>
      <w:r>
        <w:rPr>
          <w:rFonts w:ascii="Times New Roman" w:cs="Times New Roman" w:eastAsia="Times New Roman" w:hAnsi="Times New Roman"/>
          <w:sz w:val="18"/>
          <w:szCs w:val="18"/>
          <w:b w:val="1"/>
          <w:bCs w:val="1"/>
          <w:color w:val="auto"/>
        </w:rPr>
        <w:t>_________________________________________</w:t>
      </w:r>
    </w:p>
    <w:p>
      <w:pPr>
        <w:spacing w:after="0" w:line="198" w:lineRule="exact"/>
        <w:rPr>
          <w:sz w:val="20"/>
          <w:szCs w:val="20"/>
          <w:color w:val="auto"/>
        </w:rPr>
      </w:pPr>
    </w:p>
    <w:p>
      <w:pPr>
        <w:ind w:left="3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Print Name:</w:t>
      </w:r>
      <w:r>
        <w:rPr>
          <w:sz w:val="20"/>
          <w:szCs w:val="20"/>
          <w:color w:val="auto"/>
        </w:rPr>
        <w:tab/>
      </w:r>
      <w:r>
        <w:rPr>
          <w:rFonts w:ascii="Times New Roman" w:cs="Times New Roman" w:eastAsia="Times New Roman" w:hAnsi="Times New Roman"/>
          <w:sz w:val="17"/>
          <w:szCs w:val="17"/>
          <w:b w:val="1"/>
          <w:bCs w:val="1"/>
          <w:color w:val="auto"/>
        </w:rPr>
        <w:t>_________________________________________</w:t>
      </w:r>
    </w:p>
    <w:p>
      <w:pPr>
        <w:spacing w:after="0" w:line="185" w:lineRule="exact"/>
        <w:rPr>
          <w:sz w:val="20"/>
          <w:szCs w:val="20"/>
          <w:color w:val="auto"/>
        </w:rPr>
      </w:pPr>
    </w:p>
    <w:p>
      <w:pPr>
        <w:ind w:left="34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b w:val="1"/>
          <w:bCs w:val="1"/>
          <w:color w:val="auto"/>
        </w:rPr>
        <w:t>_________________________________________</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1)"/>
      <w:numFmt w:val="decimal"/>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1)"/>
      <w:numFmt w:val="lowerRoman"/>
      <w:start w:val="5"/>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1)"/>
      <w:numFmt w:val="decimal"/>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1)"/>
      <w:numFmt w:val="decimal"/>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1)"/>
      <w:numFmt w:val="lowerRoman"/>
      <w:start w:val="3"/>
    </w:lvl>
    <w:lvl w:ilvl="1">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1)"/>
      <w:numFmt w:val="decimal"/>
      <w:start w:val="1"/>
    </w:lvl>
  </w:abstractNum>
  <w:abstractNum w:abstractNumId="27">
    <w:nsid w:val="749ABB43"/>
    <w:multiLevelType w:val="hybridMultilevel"/>
    <w:lvl w:ilvl="0">
      <w:lvlJc w:val="left"/>
      <w:lvlText w:val="(%1)"/>
      <w:numFmt w:val="decimal"/>
      <w:start w:val="1"/>
    </w:lvl>
  </w:abstractNum>
  <w:abstractNum w:abstractNumId="28">
    <w:nsid w:val="3DC240FB"/>
    <w:multiLevelType w:val="hybridMultilevel"/>
    <w:lvl w:ilvl="0">
      <w:lvlJc w:val="left"/>
      <w:lvlText w:val="(%1)"/>
      <w:numFmt w:val="decimal"/>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1)"/>
      <w:numFmt w:val="decimal"/>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1)"/>
      <w:numFmt w:val="decimal"/>
      <w:start w:val="1"/>
    </w:lvl>
  </w:abstractNum>
  <w:abstractNum w:abstractNumId="34">
    <w:nsid w:val="520EEDD1"/>
    <w:multiLevelType w:val="hybridMultilevel"/>
    <w:lvl w:ilvl="0">
      <w:lvlJc w:val="left"/>
      <w:lvlText w:val="(%1)"/>
      <w:numFmt w:val="decimal"/>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1"/>
      <w:numFmt w:val="decimal"/>
      <w:start w:val="101"/>
    </w:lvl>
  </w:abstractNum>
  <w:abstractNum w:abstractNumId="39">
    <w:nsid w:val="275AC794"/>
    <w:multiLevelType w:val="hybridMultilevel"/>
    <w:lvl w:ilvl="0">
      <w:lvlJc w:val="left"/>
      <w:lvlText w:val="†"/>
      <w:numFmt w:val="bullet"/>
      <w:start w:val="1"/>
    </w:lvl>
    <w:lvl w:ilvl="1">
      <w:lvlJc w:val="left"/>
      <w:lvlText w:val="%2"/>
      <w:numFmt w:val="decimal"/>
      <w:start w:val="104"/>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decimal"/>
      <w:start w:val="2"/>
    </w:lvl>
  </w:abstractNum>
  <w:abstractNum w:abstractNumId="44">
    <w:nsid w:val="47398C89"/>
    <w:multiLevelType w:val="hybridMultilevel"/>
    <w:lvl w:ilvl="0">
      <w:lvlJc w:val="left"/>
      <w:lvlText w:val="(%1)"/>
      <w:numFmt w:val="decimal"/>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decimal"/>
      <w:start w:val="1"/>
    </w:lvl>
  </w:abstractNum>
  <w:abstractNum w:abstractNumId="48">
    <w:nsid w:val="D34B6A8"/>
    <w:multiLevelType w:val="hybridMultilevel"/>
    <w:lvl w:ilvl="0">
      <w:lvlJc w:val="left"/>
      <w:lvlText w:val="(%1)"/>
      <w:numFmt w:val="decimal"/>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1)"/>
      <w:numFmt w:val="decimal"/>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1."/>
      <w:numFmt w:val="decimal"/>
      <w:start w:val="1"/>
    </w:lvl>
    <w:lvl w:ilvl="1">
      <w:lvlJc w:val="left"/>
      <w:lvlText w:val="(%2)"/>
      <w:numFmt w:val="lowerLetter"/>
      <w:start w:val="1"/>
    </w:lvl>
  </w:abstractNum>
  <w:abstractNum w:abstractNumId="60">
    <w:nsid w:val="4AD084E9"/>
    <w:multiLevelType w:val="hybridMultilevel"/>
    <w:lvl w:ilvl="0">
      <w:lvlJc w:val="left"/>
      <w:lvlText w:val="%1."/>
      <w:numFmt w:val="decimal"/>
      <w:start w:val="1"/>
    </w:lvl>
    <w:lvl w:ilvl="1">
      <w:lvlJc w:val="left"/>
      <w:lvlText w:val="(%2)"/>
      <w:numFmt w:val="lowerLetter"/>
      <w:start w:val="1"/>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1"/>
      <w:numFmt w:val="decimal"/>
      <w:start w:val="1"/>
    </w:lvl>
    <w:lvl w:ilvl="1">
      <w:lvlJc w:val="left"/>
      <w:lvlText w:val="%2)"/>
      <w:numFmt w:val="decimal"/>
      <w:start w:val="12"/>
    </w:lvl>
  </w:abstractNum>
  <w:abstractNum w:abstractNumId="66">
    <w:nsid w:val="15014ACB"/>
    <w:multiLevelType w:val="hybridMultilevel"/>
    <w:lvl w:ilvl="0">
      <w:lvlJc w:val="left"/>
      <w:lvlText w:val="%1."/>
      <w:numFmt w:val="decimal"/>
      <w:start w:val="2"/>
    </w:lvl>
    <w:lvl w:ilvl="1">
      <w:lvlJc w:val="left"/>
      <w:lvlText w:val="%2"/>
      <w:numFmt w:val="decimal"/>
      <w:start w:val="1"/>
    </w:lvl>
  </w:abstractNum>
  <w:abstractNum w:abstractNumId="67">
    <w:nsid w:val="5F5E7FD0"/>
    <w:multiLevelType w:val="hybridMultilevel"/>
    <w:lvl w:ilvl="0">
      <w:lvlJc w:val="left"/>
      <w:lvlText w:val="%1."/>
      <w:numFmt w:val="decimal"/>
      <w:start w:val="3"/>
    </w:lvl>
  </w:abstractNum>
  <w:abstractNum w:abstractNumId="68">
    <w:nsid w:val="98A3148"/>
    <w:multiLevelType w:val="hybridMultilevel"/>
    <w:lvl w:ilvl="0">
      <w:lvlJc w:val="left"/>
      <w:lvlText w:val="%1."/>
      <w:numFmt w:val="decimal"/>
      <w:start w:val="4"/>
    </w:lvl>
  </w:abstractNum>
  <w:abstractNum w:abstractNumId="69">
    <w:nsid w:val="799D0247"/>
    <w:multiLevelType w:val="hybridMultilevel"/>
    <w:lvl w:ilvl="0">
      <w:lvlJc w:val="left"/>
      <w:lvlText w:val="%1."/>
      <w:numFmt w:val="decimal"/>
      <w:start w:val="5"/>
    </w:lvl>
  </w:abstractNum>
  <w:abstractNum w:abstractNumId="70">
    <w:nsid w:val="6B94764"/>
    <w:multiLevelType w:val="hybridMultilevel"/>
    <w:lvl w:ilvl="0">
      <w:lvlJc w:val="left"/>
      <w:lvlText w:val="%1."/>
      <w:numFmt w:val="decimal"/>
      <w:start w:val="6"/>
    </w:lvl>
  </w:abstractNum>
  <w:abstractNum w:abstractNumId="71">
    <w:nsid w:val="42C296B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9" Type="http://schemas.openxmlformats.org/officeDocument/2006/relationships/image" Target="media/image101.png"/><Relationship Id="rId112"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2" Type="http://schemas.openxmlformats.org/officeDocument/2006/relationships/image" Target="media/image109.png"/><Relationship Id="rId124" Type="http://schemas.openxmlformats.org/officeDocument/2006/relationships/image" Target="media/image110.png"/><Relationship Id="rId127" Type="http://schemas.openxmlformats.org/officeDocument/2006/relationships/image" Target="media/image111.png"/><Relationship Id="rId130" Type="http://schemas.openxmlformats.org/officeDocument/2006/relationships/image" Target="media/image112.png"/><Relationship Id="rId132" Type="http://schemas.openxmlformats.org/officeDocument/2006/relationships/image" Target="media/image113.png"/><Relationship Id="rId134" Type="http://schemas.openxmlformats.org/officeDocument/2006/relationships/image" Target="media/image114.png"/><Relationship Id="rId137" Type="http://schemas.openxmlformats.org/officeDocument/2006/relationships/image" Target="media/image115.png"/><Relationship Id="rId139" Type="http://schemas.openxmlformats.org/officeDocument/2006/relationships/image" Target="media/image116.png"/><Relationship Id="rId141"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3" Type="http://schemas.openxmlformats.org/officeDocument/2006/relationships/image" Target="media/image122.png"/><Relationship Id="rId156"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08" Type="http://schemas.openxmlformats.org/officeDocument/2006/relationships/hyperlink" Target="https://www.sec.gov/Archives/edgar/data/1590364/000114036122036824/ny20005522x1_defm14a.htm" TargetMode="External"/><Relationship Id="rId110" Type="http://schemas.openxmlformats.org/officeDocument/2006/relationships/hyperlink" Target="https://www.sec.gov/ix?doc=/Archives/edgar/data/0001590364/000114036122027698/brhc10040167_8k.htm" TargetMode="External"/><Relationship Id="rId111" Type="http://schemas.openxmlformats.org/officeDocument/2006/relationships/hyperlink" Target="https://www.sec.gov/ix?doc=/Archives/edgar/data/0001590364/000114036122041407/brhc10044100_8k.htm" TargetMode="External"/><Relationship Id="rId113" Type="http://schemas.openxmlformats.org/officeDocument/2006/relationships/hyperlink" Target="https://www.sec.gov/ix?doc=/Archives/edgar/data/1590364/000114036122041407/brhc10044100_8k.htm" TargetMode="External"/><Relationship Id="rId118" Type="http://schemas.openxmlformats.org/officeDocument/2006/relationships/hyperlink" Target="https://www.sec.gov/Archives/edgar/data/1590364/000114036123011743/brhc10049807_ex4-1.htm" TargetMode="External"/><Relationship Id="rId121" Type="http://schemas.openxmlformats.org/officeDocument/2006/relationships/hyperlink" Target="https://www.sec.gov/Archives/edgar/data/1590364/000114036123011743/brhc10049807_ex4-2.htm" TargetMode="External"/><Relationship Id="rId123" Type="http://schemas.openxmlformats.org/officeDocument/2006/relationships/hyperlink" Target="https://www.sec.gov/Archives/edgar/data/1590364/000114036118038650/ex4_1.htm" TargetMode="External"/><Relationship Id="rId125" Type="http://schemas.openxmlformats.org/officeDocument/2006/relationships/hyperlink" Target="https://www.sec.gov/Archives/edgar/data/1590364/000114036119009546/nc10001919x3_ex4-1.htm" TargetMode="External"/><Relationship Id="rId126" Type="http://schemas.openxmlformats.org/officeDocument/2006/relationships/hyperlink" Target="https://www.sec.gov/Archives/edgar/data/1590364/000114036120029408/brhc10018302_ex4-1.htm" TargetMode="External"/><Relationship Id="rId128" Type="http://schemas.openxmlformats.org/officeDocument/2006/relationships/hyperlink" Target="https://www.sec.gov/Archives/edgar/data/0001590364/000114036122041407/brhc10044100_ex4-1.htm" TargetMode="External"/><Relationship Id="rId129" Type="http://schemas.openxmlformats.org/officeDocument/2006/relationships/hyperlink" Target="https://www.sec.gov/Archives/edgar/data/1590364/000114036120016865/nt1003669x5_ex4-1.htm" TargetMode="External"/><Relationship Id="rId131" Type="http://schemas.openxmlformats.org/officeDocument/2006/relationships/hyperlink" Target="https://www.sec.gov/Archives/edgar/data/0001590364/000114036122041407/brhc10044100_ex4-2.htm" TargetMode="External"/><Relationship Id="rId133" Type="http://schemas.openxmlformats.org/officeDocument/2006/relationships/hyperlink" Target="http://www.sec.gov/Archives/edgar/data/1590364/000114036121012434/nt10022837x5_ex4-1.htm" TargetMode="External"/><Relationship Id="rId135" Type="http://schemas.openxmlformats.org/officeDocument/2006/relationships/hyperlink" Target="http://www.sec.gov/Archives/edgar/data/1590364/000114036121032467/ny20000775x4_ex4-1.htm" TargetMode="External"/><Relationship Id="rId136" Type="http://schemas.openxmlformats.org/officeDocument/2006/relationships/hyperlink" Target="https://www.sec.gov/Archives/edgar/data/0001590364/000114036122041407/brhc10044100_ex4-3.htm" TargetMode="External"/><Relationship Id="rId138" Type="http://schemas.openxmlformats.org/officeDocument/2006/relationships/hyperlink" Target="https://www.sec.gov/Archives/edgar/data/1590364/000114036123054468/ef20015109_ex4-1.htm" TargetMode="External"/><Relationship Id="rId140" Type="http://schemas.openxmlformats.org/officeDocument/2006/relationships/hyperlink" Target="https://www.sec.gov/Archives/edgar/data/1590364/000114036122027698/brhc10040167_ex10-1.htm" TargetMode="External"/><Relationship Id="rId142" Type="http://schemas.openxmlformats.org/officeDocument/2006/relationships/hyperlink" Target="https://www.sec.gov/Archives/edgar/data/1590364/000114036122041421/brhc10044020_ex10-1.htm" TargetMode="External"/><Relationship Id="rId143" Type="http://schemas.openxmlformats.org/officeDocument/2006/relationships/hyperlink" Target="https://www.sec.gov/Archives/edgar/data/1590364/000114036122041421/brhc10044020_ex10-2.htm" TargetMode="External"/><Relationship Id="rId144" Type="http://schemas.openxmlformats.org/officeDocument/2006/relationships/hyperlink" Target="https://www.sec.gov/Archives/edgar/data/1590364/000159036423000007/ftaiaviation12312022ex104.htm" TargetMode="External"/><Relationship Id="rId145" Type="http://schemas.openxmlformats.org/officeDocument/2006/relationships/hyperlink" Target="https://www.sec.gov/Archives/edgar/data/1942420/000114036122029494/ny20005018x1_ex10-5.htm" TargetMode="External"/><Relationship Id="rId148" Type="http://schemas.openxmlformats.org/officeDocument/2006/relationships/hyperlink" Target="https://www.sec.gov/Archives/edgar/data/1942420/000114036122029494/ny20005018x1_ex10-6.htm" TargetMode="External"/><Relationship Id="rId149" Type="http://schemas.openxmlformats.org/officeDocument/2006/relationships/hyperlink" Target="https://www.sec.gov/Archives/edgar/data/1942420/000114036122029494/ny20005018x1_ex10-7.htm" TargetMode="External"/><Relationship Id="rId152" Type="http://schemas.openxmlformats.org/officeDocument/2006/relationships/hyperlink" Target="https://www.sec.gov/Archives/edgar/data/1590364/000114036122034108/brhc10042070_ex10-1.htm" TargetMode="External"/><Relationship Id="rId154" Type="http://schemas.openxmlformats.org/officeDocument/2006/relationships/hyperlink" Target="https://www.sec.gov/Archives/edgar/data/1590364/000159036423000007/ftaiaviation12312022ex1010.htm" TargetMode="External"/><Relationship Id="rId155" Type="http://schemas.openxmlformats.org/officeDocument/2006/relationships/hyperlink" Target="https://www.sec.gov/Archives/edgar/data/1590364/000159036423000013/ftai3312023exhibit1011.htm" TargetMode="External"/><Relationship Id="rId157" Type="http://schemas.openxmlformats.org/officeDocument/2006/relationships/hyperlink" Target="https://www.sec.gov/Archives/edgar/data/0001590364/000114036122041407/brhc10044100_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2024-02-26T05:20:18Z</dcterms:created>
  <dcterms:modified xsi:type="dcterms:W3CDTF">2024-02-26T05:20:18Z</dcterms:modified>
</cp:coreProperties>
</file>