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2060" w:hanging="191"/>
        <w:spacing w:after="0"/>
        <w:tabs>
          <w:tab w:leader="none" w:pos="20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left="4300" w:right="1700" w:hanging="2595"/>
        <w:spacing w:after="0" w:line="578"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rPr>
      </w:pP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27"/>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1"/>
              </w:rPr>
              <w:t>1345 Avenue of the Americas, New York, NY</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60" w:type="dxa"/>
            <w:vAlign w:val="bottom"/>
            <w:gridSpan w:val="4"/>
          </w:tcPr>
          <w:p>
            <w:pPr>
              <w:jc w:val="center"/>
              <w:ind w:right="3440"/>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(212) 798-6100</w:t>
            </w:r>
          </w:p>
        </w:tc>
      </w:tr>
      <w:tr>
        <w:trPr>
          <w:trHeight w:val="33"/>
        </w:trPr>
        <w:tc>
          <w:tcPr>
            <w:tcW w:w="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7960" w:type="dxa"/>
            <w:vAlign w:val="bottom"/>
            <w:gridSpan w:val="4"/>
          </w:tcPr>
          <w:p>
            <w:pPr>
              <w:jc w:val="center"/>
              <w:ind w:right="346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65"/>
        </w:trPr>
        <w:tc>
          <w:tcPr>
            <w:tcW w:w="40" w:type="dxa"/>
            <w:vAlign w:val="bottom"/>
          </w:tcPr>
          <w:p>
            <w:pPr>
              <w:spacing w:after="0"/>
              <w:rPr>
                <w:sz w:val="24"/>
                <w:szCs w:val="24"/>
                <w:color w:val="auto"/>
              </w:rPr>
            </w:pPr>
          </w:p>
        </w:tc>
        <w:tc>
          <w:tcPr>
            <w:tcW w:w="3420" w:type="dxa"/>
            <w:vAlign w:val="bottom"/>
          </w:tcPr>
          <w:p>
            <w:pPr>
              <w:jc w:val="center"/>
              <w:ind w:left="1739"/>
              <w:spacing w:after="0"/>
              <w:rPr>
                <w:sz w:val="20"/>
                <w:szCs w:val="20"/>
                <w:color w:val="auto"/>
              </w:rPr>
            </w:pPr>
            <w:r>
              <w:rPr>
                <w:rFonts w:ascii="Arial" w:cs="Arial" w:eastAsia="Arial" w:hAnsi="Arial"/>
                <w:sz w:val="16"/>
                <w:szCs w:val="16"/>
                <w:b w:val="1"/>
                <w:bCs w:val="1"/>
                <w:color w:val="auto"/>
                <w:w w:val="89"/>
              </w:rPr>
              <w:t>Title of each class:</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7"/>
        </w:trPr>
        <w:tc>
          <w:tcPr>
            <w:tcW w:w="4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3420" w:type="dxa"/>
            <w:vAlign w:val="bottom"/>
          </w:tcPr>
          <w:p>
            <w:pPr>
              <w:jc w:val="center"/>
              <w:ind w:left="1739"/>
              <w:spacing w:after="0"/>
              <w:rPr>
                <w:sz w:val="20"/>
                <w:szCs w:val="20"/>
                <w:color w:val="auto"/>
              </w:rPr>
            </w:pPr>
            <w:r>
              <w:rPr>
                <w:rFonts w:ascii="Arial" w:cs="Arial" w:eastAsia="Arial" w:hAnsi="Arial"/>
                <w:sz w:val="16"/>
                <w:szCs w:val="16"/>
                <w:color w:val="auto"/>
                <w:w w:val="89"/>
              </w:rPr>
              <w:t>Class A common shares</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New York Stock Exchange (NYSE)</w:t>
            </w: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76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4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89"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200"/>
        <w:spacing w:after="0" w:line="275"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2015 was $400 million.</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There were 75,730,165 common shares representing limited liability company interests outstanding at March 8, 2016.</w:t>
      </w:r>
    </w:p>
    <w:p>
      <w:pPr>
        <w:sectPr>
          <w:pgSz w:w="11900" w:h="16838" w:orient="portrait"/>
          <w:cols w:equalWidth="0" w:num="1">
            <w:col w:w="11420"/>
          </w:cols>
          <w:pgMar w:left="240" w:top="234" w:right="239" w:bottom="1440" w:gutter="0" w:footer="0" w:header="0"/>
          <w:type w:val="continuous"/>
        </w:sectPr>
      </w:pPr>
    </w:p>
    <w:bookmarkStart w:id="1" w:name="page2"/>
    <w:bookmarkEnd w:id="1"/>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definitive proxy statement for the registrant's 2016 annual meeting, to be filed within 120 days after the close of the registrant's fiscal year, are incorporated by reference into Part III of this Annual Report on Form 10-K.</w:t>
      </w:r>
    </w:p>
    <w:p>
      <w:pPr>
        <w:sectPr>
          <w:pgSz w:w="11900" w:h="16838" w:orient="portrait"/>
          <w:cols w:equalWidth="0" w:num="1">
            <w:col w:w="10960"/>
          </w:cols>
          <w:pgMar w:left="240" w:top="126" w:right="6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12"/>
          </w:tcPr>
          <w:p>
            <w:pPr>
              <w:jc w:val="center"/>
              <w:ind w:right="2700"/>
              <w:spacing w:after="0"/>
              <w:rPr>
                <w:sz w:val="20"/>
                <w:szCs w:val="20"/>
                <w:color w:val="auto"/>
              </w:rPr>
            </w:pPr>
            <w:r>
              <w:rPr>
                <w:rFonts w:ascii="Arial" w:cs="Arial" w:eastAsia="Arial" w:hAnsi="Arial"/>
                <w:sz w:val="14"/>
                <w:szCs w:val="14"/>
                <w:b w:val="1"/>
                <w:bCs w:val="1"/>
                <w:color w:val="auto"/>
              </w:rPr>
              <w:t>PART I</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1700" w:type="dxa"/>
            <w:vAlign w:val="bottom"/>
            <w:tcBorders>
              <w:bottom w:val="single" w:sz="8" w:color="0000EE"/>
            </w:tcBorders>
            <w:gridSpan w:val="12"/>
          </w:tcPr>
          <w:p>
            <w:pPr>
              <w:spacing w:after="0"/>
              <w:rPr>
                <w:rFonts w:ascii="Arial" w:cs="Arial" w:eastAsia="Arial" w:hAnsi="Arial"/>
                <w:sz w:val="14"/>
                <w:szCs w:val="14"/>
                <w:color w:val="0000EE"/>
                <w:w w:val="93"/>
              </w:rPr>
            </w:pPr>
            <w:hyperlink w:anchor="page5">
              <w:r>
                <w:rPr>
                  <w:rFonts w:ascii="Arial" w:cs="Arial" w:eastAsia="Arial" w:hAnsi="Arial"/>
                  <w:sz w:val="14"/>
                  <w:szCs w:val="14"/>
                  <w:color w:val="0000EE"/>
                  <w:w w:val="93"/>
                </w:rPr>
                <w:t>Forward-Looking Statements</w:t>
              </w:r>
            </w:hyperlink>
          </w:p>
        </w:tc>
        <w:tc>
          <w:tcPr>
            <w:tcW w:w="6660" w:type="dxa"/>
            <w:vAlign w:val="bottom"/>
            <w:gridSpan w:val="27"/>
          </w:tcPr>
          <w:p>
            <w:pPr>
              <w:spacing w:after="0"/>
              <w:rPr>
                <w:sz w:val="21"/>
                <w:szCs w:val="21"/>
                <w:color w:val="auto"/>
              </w:rPr>
            </w:pPr>
          </w:p>
        </w:tc>
        <w:tc>
          <w:tcPr>
            <w:tcW w:w="1880" w:type="dxa"/>
            <w:vAlign w:val="bottom"/>
            <w:gridSpan w:val="2"/>
          </w:tcPr>
          <w:p>
            <w:pPr>
              <w:spacing w:after="0"/>
              <w:rPr>
                <w:sz w:val="21"/>
                <w:szCs w:val="21"/>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4</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360" w:type="dxa"/>
            <w:vAlign w:val="bottom"/>
            <w:gridSpan w:val="39"/>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Business</w:t>
              </w:r>
            </w:hyperlink>
          </w:p>
        </w:tc>
        <w:tc>
          <w:tcPr>
            <w:tcW w:w="1960" w:type="dxa"/>
            <w:vAlign w:val="bottom"/>
            <w:gridSpan w:val="3"/>
          </w:tcPr>
          <w:p>
            <w:pPr>
              <w:jc w:val="right"/>
              <w:spacing w:after="0"/>
              <w:rPr>
                <w:rFonts w:ascii="Arial" w:cs="Arial" w:eastAsia="Arial" w:hAnsi="Arial"/>
                <w:sz w:val="14"/>
                <w:szCs w:val="14"/>
                <w:color w:val="0000EE"/>
              </w:rPr>
            </w:pPr>
            <w:hyperlink w:anchor="page7">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1A.</w:t>
            </w: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720" w:type="dxa"/>
            <w:vAlign w:val="bottom"/>
            <w:tcBorders>
              <w:bottom w:val="single" w:sz="8" w:color="0000EE"/>
            </w:tcBorders>
            <w:gridSpan w:val="4"/>
          </w:tcPr>
          <w:p>
            <w:pPr>
              <w:spacing w:after="0"/>
              <w:rPr>
                <w:rFonts w:ascii="Arial" w:cs="Arial" w:eastAsia="Arial" w:hAnsi="Arial"/>
                <w:sz w:val="14"/>
                <w:szCs w:val="14"/>
                <w:color w:val="0000EE"/>
                <w:w w:val="89"/>
              </w:rPr>
            </w:pPr>
            <w:hyperlink w:anchor="page15">
              <w:r>
                <w:rPr>
                  <w:rFonts w:ascii="Arial" w:cs="Arial" w:eastAsia="Arial" w:hAnsi="Arial"/>
                  <w:sz w:val="14"/>
                  <w:szCs w:val="14"/>
                  <w:color w:val="0000EE"/>
                  <w:w w:val="89"/>
                </w:rPr>
                <w:t>Risk Factors</w:t>
              </w:r>
            </w:hyperlink>
          </w:p>
        </w:tc>
        <w:tc>
          <w:tcPr>
            <w:tcW w:w="7640" w:type="dxa"/>
            <w:vAlign w:val="bottom"/>
            <w:gridSpan w:val="35"/>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15">
              <w:r>
                <w:rPr>
                  <w:rFonts w:ascii="Arial" w:cs="Arial" w:eastAsia="Arial" w:hAnsi="Arial"/>
                  <w:sz w:val="14"/>
                  <w:szCs w:val="14"/>
                  <w:color w:val="0000EE"/>
                  <w:w w:val="89"/>
                </w:rPr>
                <w:t>15</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1640" w:type="dxa"/>
            <w:vAlign w:val="bottom"/>
            <w:tcBorders>
              <w:bottom w:val="single" w:sz="8" w:color="0000EE"/>
            </w:tcBorders>
            <w:gridSpan w:val="10"/>
          </w:tcPr>
          <w:p>
            <w:pPr>
              <w:spacing w:after="0"/>
              <w:rPr>
                <w:rFonts w:ascii="Arial" w:cs="Arial" w:eastAsia="Arial" w:hAnsi="Arial"/>
                <w:sz w:val="14"/>
                <w:szCs w:val="14"/>
                <w:color w:val="0000EE"/>
                <w:w w:val="92"/>
              </w:rPr>
            </w:pPr>
            <w:hyperlink w:anchor="page35">
              <w:r>
                <w:rPr>
                  <w:rFonts w:ascii="Arial" w:cs="Arial" w:eastAsia="Arial" w:hAnsi="Arial"/>
                  <w:sz w:val="14"/>
                  <w:szCs w:val="14"/>
                  <w:color w:val="0000EE"/>
                  <w:w w:val="92"/>
                </w:rPr>
                <w:t>Unresolved Staff Comments</w:t>
              </w:r>
            </w:hyperlink>
          </w:p>
        </w:tc>
        <w:tc>
          <w:tcPr>
            <w:tcW w:w="6720" w:type="dxa"/>
            <w:vAlign w:val="bottom"/>
            <w:gridSpan w:val="29"/>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34</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580" w:type="dxa"/>
            <w:vAlign w:val="bottom"/>
            <w:tcBorders>
              <w:bottom w:val="single" w:sz="8" w:color="0000EE"/>
            </w:tcBorders>
            <w:gridSpan w:val="3"/>
          </w:tcPr>
          <w:p>
            <w:pPr>
              <w:spacing w:after="0"/>
              <w:rPr>
                <w:rFonts w:ascii="Arial" w:cs="Arial" w:eastAsia="Arial" w:hAnsi="Arial"/>
                <w:sz w:val="14"/>
                <w:szCs w:val="14"/>
                <w:color w:val="0000EE"/>
                <w:w w:val="87"/>
              </w:rPr>
            </w:pPr>
            <w:hyperlink w:anchor="page35">
              <w:r>
                <w:rPr>
                  <w:rFonts w:ascii="Arial" w:cs="Arial" w:eastAsia="Arial" w:hAnsi="Arial"/>
                  <w:sz w:val="14"/>
                  <w:szCs w:val="14"/>
                  <w:color w:val="0000EE"/>
                  <w:w w:val="87"/>
                </w:rPr>
                <w:t>Properties</w:t>
              </w:r>
            </w:hyperlink>
          </w:p>
        </w:tc>
        <w:tc>
          <w:tcPr>
            <w:tcW w:w="7780" w:type="dxa"/>
            <w:vAlign w:val="bottom"/>
            <w:gridSpan w:val="36"/>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34</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360" w:type="dxa"/>
            <w:vAlign w:val="bottom"/>
            <w:gridSpan w:val="39"/>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Legal Proceedings</w:t>
              </w:r>
            </w:hyperlink>
          </w:p>
        </w:tc>
        <w:tc>
          <w:tcPr>
            <w:tcW w:w="196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35</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4.</w:t>
            </w:r>
          </w:p>
        </w:tc>
        <w:tc>
          <w:tcPr>
            <w:tcW w:w="3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8360" w:type="dxa"/>
            <w:vAlign w:val="bottom"/>
            <w:gridSpan w:val="39"/>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Mine Safety Disclosures</w:t>
              </w:r>
            </w:hyperlink>
          </w:p>
        </w:tc>
        <w:tc>
          <w:tcPr>
            <w:tcW w:w="196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35</w:t>
              </w:r>
            </w:hyperlink>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12"/>
          </w:tcPr>
          <w:p>
            <w:pPr>
              <w:jc w:val="center"/>
              <w:ind w:right="2680"/>
              <w:spacing w:after="0"/>
              <w:rPr>
                <w:sz w:val="20"/>
                <w:szCs w:val="20"/>
                <w:color w:val="auto"/>
              </w:rPr>
            </w:pPr>
            <w:r>
              <w:rPr>
                <w:rFonts w:ascii="Arial" w:cs="Arial" w:eastAsia="Arial" w:hAnsi="Arial"/>
                <w:sz w:val="14"/>
                <w:szCs w:val="14"/>
                <w:b w:val="1"/>
                <w:bCs w:val="1"/>
                <w:color w:val="auto"/>
              </w:rPr>
              <w:t>PART II</w:t>
            </w:r>
          </w:p>
        </w:tc>
        <w:tc>
          <w:tcPr>
            <w:tcW w:w="18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6440" w:type="dxa"/>
            <w:vAlign w:val="bottom"/>
            <w:tcBorders>
              <w:bottom w:val="single" w:sz="8" w:color="0000EE"/>
            </w:tcBorders>
            <w:gridSpan w:val="37"/>
          </w:tcPr>
          <w:p>
            <w:pPr>
              <w:spacing w:after="0"/>
              <w:rPr>
                <w:rFonts w:ascii="Arial" w:cs="Arial" w:eastAsia="Arial" w:hAnsi="Arial"/>
                <w:sz w:val="14"/>
                <w:szCs w:val="14"/>
                <w:color w:val="0000EE"/>
                <w:w w:val="92"/>
              </w:rPr>
            </w:pPr>
            <w:hyperlink w:anchor="page36">
              <w:r>
                <w:rPr>
                  <w:rFonts w:ascii="Arial" w:cs="Arial" w:eastAsia="Arial" w:hAnsi="Arial"/>
                  <w:sz w:val="14"/>
                  <w:szCs w:val="14"/>
                  <w:color w:val="0000EE"/>
                  <w:w w:val="92"/>
                </w:rPr>
                <w:t>Market for Registrant's Common Equity, Related Stockholder Matters and Issuer Purchases of Equity Securities</w:t>
              </w:r>
            </w:hyperlink>
          </w:p>
        </w:tc>
        <w:tc>
          <w:tcPr>
            <w:tcW w:w="192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6">
              <w:r>
                <w:rPr>
                  <w:rFonts w:ascii="Arial" w:cs="Arial" w:eastAsia="Arial" w:hAnsi="Arial"/>
                  <w:sz w:val="14"/>
                  <w:szCs w:val="14"/>
                  <w:color w:val="0000EE"/>
                  <w:w w:val="89"/>
                </w:rPr>
                <w:t>35</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360" w:type="dxa"/>
            <w:vAlign w:val="bottom"/>
            <w:gridSpan w:val="39"/>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Selected Financial Data</w:t>
              </w:r>
            </w:hyperlink>
          </w:p>
        </w:tc>
        <w:tc>
          <w:tcPr>
            <w:tcW w:w="1960" w:type="dxa"/>
            <w:vAlign w:val="bottom"/>
            <w:gridSpan w:val="3"/>
          </w:tcPr>
          <w:p>
            <w:pPr>
              <w:jc w:val="right"/>
              <w:spacing w:after="0"/>
              <w:rPr>
                <w:rFonts w:ascii="Arial" w:cs="Arial" w:eastAsia="Arial" w:hAnsi="Arial"/>
                <w:sz w:val="14"/>
                <w:szCs w:val="14"/>
                <w:color w:val="0000EE"/>
              </w:rPr>
            </w:pPr>
            <w:hyperlink w:anchor="page38">
              <w:r>
                <w:rPr>
                  <w:rFonts w:ascii="Arial" w:cs="Arial" w:eastAsia="Arial" w:hAnsi="Arial"/>
                  <w:sz w:val="14"/>
                  <w:szCs w:val="14"/>
                  <w:color w:val="0000EE"/>
                </w:rPr>
                <w:t>38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7.</w:t>
            </w:r>
          </w:p>
        </w:tc>
        <w:tc>
          <w:tcPr>
            <w:tcW w:w="8360" w:type="dxa"/>
            <w:vAlign w:val="bottom"/>
            <w:gridSpan w:val="39"/>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Management’s Discussion and Analysis of Financial Condition and Results of Operations</w:t>
              </w:r>
            </w:hyperlink>
          </w:p>
        </w:tc>
        <w:tc>
          <w:tcPr>
            <w:tcW w:w="1800" w:type="dxa"/>
            <w:vAlign w:val="bottom"/>
            <w:vMerge w:val="restart"/>
          </w:tcPr>
          <w:p>
            <w:pPr>
              <w:spacing w:after="0"/>
              <w:rPr>
                <w:sz w:val="24"/>
                <w:szCs w:val="24"/>
                <w:color w:val="auto"/>
              </w:rPr>
            </w:pPr>
          </w:p>
        </w:tc>
        <w:tc>
          <w:tcPr>
            <w:tcW w:w="160" w:type="dxa"/>
            <w:vAlign w:val="bottom"/>
            <w:gridSpan w:val="2"/>
            <w:vMerge w:val="restart"/>
          </w:tcPr>
          <w:p>
            <w:pPr>
              <w:jc w:val="right"/>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40</w:t>
              </w:r>
            </w:hyperlink>
          </w:p>
        </w:tc>
        <w:tc>
          <w:tcPr>
            <w:tcW w:w="0" w:type="dxa"/>
            <w:vAlign w:val="bottom"/>
          </w:tcPr>
          <w:p>
            <w:pPr>
              <w:spacing w:after="0"/>
              <w:rPr>
                <w:sz w:val="1"/>
                <w:szCs w:val="1"/>
                <w:color w:val="auto"/>
              </w:rPr>
            </w:pPr>
          </w:p>
        </w:tc>
      </w:tr>
      <w:tr>
        <w:trPr>
          <w:trHeight w:val="66"/>
        </w:trPr>
        <w:tc>
          <w:tcPr>
            <w:tcW w:w="1040" w:type="dxa"/>
            <w:vAlign w:val="bottom"/>
            <w:vMerge w:val="continue"/>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60" w:type="dxa"/>
            <w:vAlign w:val="bottom"/>
            <w:tcBorders>
              <w:bottom w:val="single" w:sz="8" w:color="0000E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360" w:type="dxa"/>
            <w:vAlign w:val="bottom"/>
            <w:gridSpan w:val="39"/>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Quantitative and Qualitative Disclosures About Market Risk</w:t>
              </w:r>
            </w:hyperlink>
          </w:p>
        </w:tc>
        <w:tc>
          <w:tcPr>
            <w:tcW w:w="1960" w:type="dxa"/>
            <w:vAlign w:val="bottom"/>
            <w:gridSpan w:val="3"/>
          </w:tcPr>
          <w:p>
            <w:pPr>
              <w:jc w:val="right"/>
              <w:spacing w:after="0"/>
              <w:rPr>
                <w:rFonts w:ascii="Arial" w:cs="Arial" w:eastAsia="Arial" w:hAnsi="Arial"/>
                <w:sz w:val="14"/>
                <w:szCs w:val="14"/>
                <w:color w:val="0000EE"/>
              </w:rPr>
            </w:pPr>
            <w:hyperlink w:anchor="page87">
              <w:r>
                <w:rPr>
                  <w:rFonts w:ascii="Arial" w:cs="Arial" w:eastAsia="Arial" w:hAnsi="Arial"/>
                  <w:sz w:val="14"/>
                  <w:szCs w:val="14"/>
                  <w:color w:val="0000EE"/>
                </w:rPr>
                <w:t>86</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8.</w:t>
            </w:r>
          </w:p>
        </w:tc>
        <w:tc>
          <w:tcPr>
            <w:tcW w:w="3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5520" w:type="dxa"/>
            <w:vAlign w:val="bottom"/>
            <w:tcBorders>
              <w:bottom w:val="single" w:sz="8" w:color="0000EE"/>
            </w:tcBorders>
            <w:gridSpan w:val="35"/>
          </w:tcPr>
          <w:p>
            <w:pPr>
              <w:spacing w:after="0"/>
              <w:rPr>
                <w:rFonts w:ascii="Arial" w:cs="Arial" w:eastAsia="Arial" w:hAnsi="Arial"/>
                <w:sz w:val="14"/>
                <w:szCs w:val="14"/>
                <w:color w:val="0000EE"/>
                <w:w w:val="93"/>
              </w:rPr>
            </w:pPr>
            <w:hyperlink w:anchor="page88">
              <w:r>
                <w:rPr>
                  <w:rFonts w:ascii="Arial" w:cs="Arial" w:eastAsia="Arial" w:hAnsi="Arial"/>
                  <w:sz w:val="14"/>
                  <w:szCs w:val="14"/>
                  <w:color w:val="0000EE"/>
                  <w:w w:val="93"/>
                </w:rPr>
                <w:t>Consolidated Financial Statements of Fortress Transportation and Infrastructure Investors LLC:</w:t>
              </w:r>
            </w:hyperlink>
          </w:p>
        </w:tc>
        <w:tc>
          <w:tcPr>
            <w:tcW w:w="2840" w:type="dxa"/>
            <w:vAlign w:val="bottom"/>
            <w:gridSpan w:val="4"/>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360" w:type="dxa"/>
            <w:vAlign w:val="bottom"/>
            <w:gridSpan w:val="39"/>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Report of Independent Registered Public Accounting Firm</w:t>
              </w:r>
            </w:hyperlink>
          </w:p>
        </w:tc>
        <w:tc>
          <w:tcPr>
            <w:tcW w:w="1960" w:type="dxa"/>
            <w:vAlign w:val="bottom"/>
            <w:gridSpan w:val="3"/>
          </w:tcPr>
          <w:p>
            <w:pPr>
              <w:jc w:val="right"/>
              <w:spacing w:after="0"/>
              <w:rPr>
                <w:rFonts w:ascii="Arial" w:cs="Arial" w:eastAsia="Arial" w:hAnsi="Arial"/>
                <w:sz w:val="14"/>
                <w:szCs w:val="14"/>
                <w:color w:val="0000EE"/>
              </w:rPr>
            </w:pPr>
            <w:hyperlink w:anchor="page89">
              <w:r>
                <w:rPr>
                  <w:rFonts w:ascii="Arial" w:cs="Arial" w:eastAsia="Arial" w:hAnsi="Arial"/>
                  <w:sz w:val="14"/>
                  <w:szCs w:val="14"/>
                  <w:color w:val="0000EE"/>
                </w:rPr>
                <w:t>89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560" w:type="dxa"/>
            <w:vAlign w:val="bottom"/>
            <w:tcBorders>
              <w:bottom w:val="single" w:sz="8" w:color="0000EE"/>
            </w:tcBorders>
            <w:gridSpan w:val="28"/>
          </w:tcPr>
          <w:p>
            <w:pPr>
              <w:spacing w:after="0"/>
              <w:rPr>
                <w:rFonts w:ascii="Arial" w:cs="Arial" w:eastAsia="Arial" w:hAnsi="Arial"/>
                <w:sz w:val="14"/>
                <w:szCs w:val="14"/>
                <w:color w:val="0000EE"/>
                <w:w w:val="91"/>
              </w:rPr>
            </w:pPr>
            <w:hyperlink w:anchor="page90">
              <w:r>
                <w:rPr>
                  <w:rFonts w:ascii="Arial" w:cs="Arial" w:eastAsia="Arial" w:hAnsi="Arial"/>
                  <w:sz w:val="14"/>
                  <w:szCs w:val="14"/>
                  <w:color w:val="0000EE"/>
                  <w:w w:val="91"/>
                </w:rPr>
                <w:t>Consolidated Balance Sheets as of December 31, 2015 and December 31, 2014</w:t>
              </w:r>
            </w:hyperlink>
          </w:p>
        </w:tc>
        <w:tc>
          <w:tcPr>
            <w:tcW w:w="3800" w:type="dxa"/>
            <w:vAlign w:val="bottom"/>
            <w:gridSpan w:val="11"/>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0">
              <w:r>
                <w:rPr>
                  <w:rFonts w:ascii="Arial" w:cs="Arial" w:eastAsia="Arial" w:hAnsi="Arial"/>
                  <w:sz w:val="14"/>
                  <w:szCs w:val="14"/>
                  <w:color w:val="0000EE"/>
                  <w:w w:val="89"/>
                </w:rPr>
                <w:t>90</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480" w:type="dxa"/>
            <w:vAlign w:val="bottom"/>
            <w:tcBorders>
              <w:bottom w:val="single" w:sz="8" w:color="0000EE"/>
            </w:tcBorders>
            <w:gridSpan w:val="33"/>
          </w:tcPr>
          <w:p>
            <w:pPr>
              <w:spacing w:after="0"/>
              <w:rPr>
                <w:rFonts w:ascii="Arial" w:cs="Arial" w:eastAsia="Arial" w:hAnsi="Arial"/>
                <w:sz w:val="14"/>
                <w:szCs w:val="14"/>
                <w:color w:val="0000EE"/>
                <w:w w:val="91"/>
              </w:rPr>
            </w:pPr>
            <w:hyperlink w:anchor="page91">
              <w:r>
                <w:rPr>
                  <w:rFonts w:ascii="Arial" w:cs="Arial" w:eastAsia="Arial" w:hAnsi="Arial"/>
                  <w:sz w:val="14"/>
                  <w:szCs w:val="14"/>
                  <w:color w:val="0000EE"/>
                  <w:w w:val="91"/>
                </w:rPr>
                <w:t>Consolidated Statements of Operations for the years ended December 31, 2015, 2014 and 2013</w:t>
              </w:r>
            </w:hyperlink>
          </w:p>
        </w:tc>
        <w:tc>
          <w:tcPr>
            <w:tcW w:w="2880" w:type="dxa"/>
            <w:vAlign w:val="bottom"/>
            <w:gridSpan w:val="6"/>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1">
              <w:r>
                <w:rPr>
                  <w:rFonts w:ascii="Arial" w:cs="Arial" w:eastAsia="Arial" w:hAnsi="Arial"/>
                  <w:sz w:val="14"/>
                  <w:szCs w:val="14"/>
                  <w:color w:val="0000EE"/>
                  <w:w w:val="89"/>
                </w:rPr>
                <w:t>91</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6620" w:type="dxa"/>
            <w:vAlign w:val="bottom"/>
            <w:tcBorders>
              <w:bottom w:val="single" w:sz="8" w:color="0000EE"/>
            </w:tcBorders>
            <w:gridSpan w:val="38"/>
          </w:tcPr>
          <w:p>
            <w:pPr>
              <w:spacing w:after="0"/>
              <w:rPr>
                <w:rFonts w:ascii="Arial" w:cs="Arial" w:eastAsia="Arial" w:hAnsi="Arial"/>
                <w:sz w:val="14"/>
                <w:szCs w:val="14"/>
                <w:color w:val="0000EE"/>
                <w:w w:val="91"/>
              </w:rPr>
            </w:pPr>
            <w:hyperlink w:anchor="page92">
              <w:r>
                <w:rPr>
                  <w:rFonts w:ascii="Arial" w:cs="Arial" w:eastAsia="Arial" w:hAnsi="Arial"/>
                  <w:sz w:val="14"/>
                  <w:szCs w:val="14"/>
                  <w:color w:val="0000EE"/>
                  <w:w w:val="91"/>
                </w:rPr>
                <w:t>Consolidated Statements of Comprehensive (Loss) Income for the years ended December 31, 2015, 2014 and 2013</w:t>
              </w:r>
            </w:hyperlink>
          </w:p>
        </w:tc>
        <w:tc>
          <w:tcPr>
            <w:tcW w:w="17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2">
              <w:r>
                <w:rPr>
                  <w:rFonts w:ascii="Arial" w:cs="Arial" w:eastAsia="Arial" w:hAnsi="Arial"/>
                  <w:sz w:val="14"/>
                  <w:szCs w:val="14"/>
                  <w:color w:val="0000EE"/>
                  <w:w w:val="89"/>
                </w:rPr>
                <w:t>92</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500" w:type="dxa"/>
            <w:vAlign w:val="bottom"/>
            <w:tcBorders>
              <w:bottom w:val="single" w:sz="8" w:color="0000EE"/>
            </w:tcBorders>
            <w:gridSpan w:val="34"/>
          </w:tcPr>
          <w:p>
            <w:pPr>
              <w:spacing w:after="0"/>
              <w:rPr>
                <w:rFonts w:ascii="Arial" w:cs="Arial" w:eastAsia="Arial" w:hAnsi="Arial"/>
                <w:sz w:val="14"/>
                <w:szCs w:val="14"/>
                <w:color w:val="0000EE"/>
                <w:w w:val="91"/>
              </w:rPr>
            </w:pPr>
            <w:hyperlink w:anchor="page93">
              <w:r>
                <w:rPr>
                  <w:rFonts w:ascii="Arial" w:cs="Arial" w:eastAsia="Arial" w:hAnsi="Arial"/>
                  <w:sz w:val="14"/>
                  <w:szCs w:val="14"/>
                  <w:color w:val="0000EE"/>
                  <w:w w:val="91"/>
                </w:rPr>
                <w:t>Consolidated Statement of Changes in Equity for the years ended December 31, 2015 and 2014</w:t>
              </w:r>
            </w:hyperlink>
          </w:p>
        </w:tc>
        <w:tc>
          <w:tcPr>
            <w:tcW w:w="2860" w:type="dxa"/>
            <w:vAlign w:val="bottom"/>
            <w:gridSpan w:val="5"/>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3">
              <w:r>
                <w:rPr>
                  <w:rFonts w:ascii="Arial" w:cs="Arial" w:eastAsia="Arial" w:hAnsi="Arial"/>
                  <w:sz w:val="14"/>
                  <w:szCs w:val="14"/>
                  <w:color w:val="0000EE"/>
                  <w:w w:val="89"/>
                </w:rPr>
                <w:t>93</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520" w:type="dxa"/>
            <w:vAlign w:val="bottom"/>
            <w:tcBorders>
              <w:bottom w:val="single" w:sz="8" w:color="0000EE"/>
            </w:tcBorders>
            <w:gridSpan w:val="35"/>
          </w:tcPr>
          <w:p>
            <w:pPr>
              <w:spacing w:after="0"/>
              <w:rPr>
                <w:rFonts w:ascii="Arial" w:cs="Arial" w:eastAsia="Arial" w:hAnsi="Arial"/>
                <w:sz w:val="14"/>
                <w:szCs w:val="14"/>
                <w:color w:val="0000EE"/>
                <w:w w:val="91"/>
              </w:rPr>
            </w:pPr>
            <w:hyperlink w:anchor="page94">
              <w:r>
                <w:rPr>
                  <w:rFonts w:ascii="Arial" w:cs="Arial" w:eastAsia="Arial" w:hAnsi="Arial"/>
                  <w:sz w:val="14"/>
                  <w:szCs w:val="14"/>
                  <w:color w:val="0000EE"/>
                  <w:w w:val="91"/>
                </w:rPr>
                <w:t>Consolidated Statements of Cash Flows for the years ended December 31, 2015, 2014 and 2013</w:t>
              </w:r>
            </w:hyperlink>
          </w:p>
        </w:tc>
        <w:tc>
          <w:tcPr>
            <w:tcW w:w="2840" w:type="dxa"/>
            <w:vAlign w:val="bottom"/>
            <w:gridSpan w:val="4"/>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252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96">
              <w:r>
                <w:rPr>
                  <w:rFonts w:ascii="Arial" w:cs="Arial" w:eastAsia="Arial" w:hAnsi="Arial"/>
                  <w:sz w:val="14"/>
                  <w:szCs w:val="14"/>
                  <w:color w:val="0000EE"/>
                  <w:w w:val="91"/>
                </w:rPr>
                <w:t>Notes to Consolidated Financial Statements</w:t>
              </w:r>
            </w:hyperlink>
          </w:p>
        </w:tc>
        <w:tc>
          <w:tcPr>
            <w:tcW w:w="5840" w:type="dxa"/>
            <w:vAlign w:val="bottom"/>
            <w:gridSpan w:val="21"/>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6">
              <w:r>
                <w:rPr>
                  <w:rFonts w:ascii="Arial" w:cs="Arial" w:eastAsia="Arial" w:hAnsi="Arial"/>
                  <w:sz w:val="14"/>
                  <w:szCs w:val="14"/>
                  <w:color w:val="0000EE"/>
                  <w:w w:val="89"/>
                </w:rPr>
                <w:t>96</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Borders>
              <w:bottom w:val="single" w:sz="8" w:color="0000EE"/>
            </w:tcBorders>
            <w:gridSpan w:val="8"/>
          </w:tcPr>
          <w:p>
            <w:pPr>
              <w:spacing w:after="0"/>
              <w:rPr>
                <w:rFonts w:ascii="Arial" w:cs="Arial" w:eastAsia="Arial" w:hAnsi="Arial"/>
                <w:sz w:val="14"/>
                <w:szCs w:val="14"/>
                <w:color w:val="0000EE"/>
                <w:w w:val="93"/>
              </w:rPr>
            </w:pPr>
            <w:hyperlink w:anchor="page97">
              <w:r>
                <w:rPr>
                  <w:rFonts w:ascii="Arial" w:cs="Arial" w:eastAsia="Arial" w:hAnsi="Arial"/>
                  <w:sz w:val="14"/>
                  <w:szCs w:val="14"/>
                  <w:color w:val="0000EE"/>
                  <w:w w:val="93"/>
                </w:rPr>
                <w:t>Note 1: Organization</w:t>
              </w:r>
            </w:hyperlink>
          </w:p>
        </w:tc>
        <w:tc>
          <w:tcPr>
            <w:tcW w:w="6800" w:type="dxa"/>
            <w:vAlign w:val="bottom"/>
            <w:gridSpan w:val="30"/>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96</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tcBorders>
              <w:bottom w:val="single" w:sz="8" w:color="0000EE"/>
            </w:tcBorders>
            <w:gridSpan w:val="23"/>
          </w:tcPr>
          <w:p>
            <w:pPr>
              <w:spacing w:after="0"/>
              <w:rPr>
                <w:rFonts w:ascii="Arial" w:cs="Arial" w:eastAsia="Arial" w:hAnsi="Arial"/>
                <w:sz w:val="14"/>
                <w:szCs w:val="14"/>
                <w:color w:val="0000EE"/>
                <w:w w:val="95"/>
              </w:rPr>
            </w:pPr>
            <w:hyperlink w:anchor="page97">
              <w:r>
                <w:rPr>
                  <w:rFonts w:ascii="Arial" w:cs="Arial" w:eastAsia="Arial" w:hAnsi="Arial"/>
                  <w:sz w:val="14"/>
                  <w:szCs w:val="14"/>
                  <w:color w:val="0000EE"/>
                  <w:w w:val="95"/>
                </w:rPr>
                <w:t>Note 2: Summary of Significant Accounting Policies</w:t>
              </w:r>
            </w:hyperlink>
          </w:p>
        </w:tc>
        <w:tc>
          <w:tcPr>
            <w:tcW w:w="4960" w:type="dxa"/>
            <w:vAlign w:val="bottom"/>
            <w:gridSpan w:val="15"/>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96</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7"/>
          </w:tcPr>
          <w:p>
            <w:pPr>
              <w:spacing w:after="0"/>
              <w:rPr>
                <w:rFonts w:ascii="Arial" w:cs="Arial" w:eastAsia="Arial" w:hAnsi="Arial"/>
                <w:sz w:val="14"/>
                <w:szCs w:val="14"/>
                <w:color w:val="0000EE"/>
                <w:w w:val="95"/>
              </w:rPr>
            </w:pPr>
            <w:hyperlink w:anchor="page105">
              <w:r>
                <w:rPr>
                  <w:rFonts w:ascii="Arial" w:cs="Arial" w:eastAsia="Arial" w:hAnsi="Arial"/>
                  <w:sz w:val="14"/>
                  <w:szCs w:val="14"/>
                  <w:color w:val="0000EE"/>
                  <w:w w:val="95"/>
                </w:rPr>
                <w:t>Note 3: Acquisitions</w:t>
              </w:r>
            </w:hyperlink>
          </w:p>
        </w:tc>
        <w:tc>
          <w:tcPr>
            <w:tcW w:w="6820" w:type="dxa"/>
            <w:vAlign w:val="bottom"/>
            <w:gridSpan w:val="31"/>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05">
              <w:r>
                <w:rPr>
                  <w:rFonts w:ascii="Arial" w:cs="Arial" w:eastAsia="Arial" w:hAnsi="Arial"/>
                  <w:sz w:val="14"/>
                  <w:szCs w:val="14"/>
                  <w:color w:val="0000EE"/>
                </w:rPr>
                <w:t>104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20" w:type="dxa"/>
            <w:vAlign w:val="bottom"/>
            <w:gridSpan w:val="38"/>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Note 4: Leasing Equipment, net</w:t>
              </w:r>
            </w:hyperlink>
          </w:p>
        </w:tc>
        <w:tc>
          <w:tcPr>
            <w:tcW w:w="1960" w:type="dxa"/>
            <w:vAlign w:val="bottom"/>
            <w:gridSpan w:val="3"/>
          </w:tcPr>
          <w:p>
            <w:pPr>
              <w:jc w:val="right"/>
              <w:spacing w:after="0"/>
              <w:rPr>
                <w:rFonts w:ascii="Arial" w:cs="Arial" w:eastAsia="Arial" w:hAnsi="Arial"/>
                <w:sz w:val="14"/>
                <w:szCs w:val="14"/>
                <w:color w:val="0000EE"/>
              </w:rPr>
            </w:pPr>
            <w:hyperlink w:anchor="page108">
              <w:r>
                <w:rPr>
                  <w:rFonts w:ascii="Arial" w:cs="Arial" w:eastAsia="Arial" w:hAnsi="Arial"/>
                  <w:sz w:val="14"/>
                  <w:szCs w:val="14"/>
                  <w:color w:val="0000EE"/>
                </w:rPr>
                <w:t>107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15"/>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Note 5: Finance Leases, net</w:t>
              </w:r>
            </w:hyperlink>
          </w:p>
        </w:tc>
        <w:tc>
          <w:tcPr>
            <w:tcW w:w="6180" w:type="dxa"/>
            <w:vAlign w:val="bottom"/>
            <w:gridSpan w:val="23"/>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08">
              <w:r>
                <w:rPr>
                  <w:rFonts w:ascii="Arial" w:cs="Arial" w:eastAsia="Arial" w:hAnsi="Arial"/>
                  <w:sz w:val="14"/>
                  <w:szCs w:val="14"/>
                  <w:color w:val="0000EE"/>
                </w:rPr>
                <w:t>107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20" w:type="dxa"/>
            <w:vAlign w:val="bottom"/>
            <w:gridSpan w:val="38"/>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Note 6: Property, Plant and Equipment, net</w:t>
              </w:r>
            </w:hyperlink>
          </w:p>
        </w:tc>
        <w:tc>
          <w:tcPr>
            <w:tcW w:w="1960" w:type="dxa"/>
            <w:vAlign w:val="bottom"/>
            <w:gridSpan w:val="3"/>
          </w:tcPr>
          <w:p>
            <w:pPr>
              <w:jc w:val="right"/>
              <w:spacing w:after="0"/>
              <w:rPr>
                <w:rFonts w:ascii="Arial" w:cs="Arial" w:eastAsia="Arial" w:hAnsi="Arial"/>
                <w:sz w:val="14"/>
                <w:szCs w:val="14"/>
                <w:color w:val="0000EE"/>
              </w:rPr>
            </w:pPr>
            <w:hyperlink w:anchor="page109">
              <w:r>
                <w:rPr>
                  <w:rFonts w:ascii="Arial" w:cs="Arial" w:eastAsia="Arial" w:hAnsi="Arial"/>
                  <w:sz w:val="14"/>
                  <w:szCs w:val="14"/>
                  <w:color w:val="0000EE"/>
                </w:rPr>
                <w:t>108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0" w:type="dxa"/>
            <w:vAlign w:val="bottom"/>
            <w:gridSpan w:val="20"/>
          </w:tcPr>
          <w:p>
            <w:pPr>
              <w:spacing w:after="0"/>
              <w:rPr>
                <w:rFonts w:ascii="Arial" w:cs="Arial" w:eastAsia="Arial" w:hAnsi="Arial"/>
                <w:sz w:val="14"/>
                <w:szCs w:val="14"/>
                <w:color w:val="0000EE"/>
                <w:w w:val="94"/>
              </w:rPr>
            </w:pPr>
            <w:hyperlink w:anchor="page110">
              <w:r>
                <w:rPr>
                  <w:rFonts w:ascii="Arial" w:cs="Arial" w:eastAsia="Arial" w:hAnsi="Arial"/>
                  <w:sz w:val="14"/>
                  <w:szCs w:val="14"/>
                  <w:color w:val="0000EE"/>
                  <w:w w:val="94"/>
                </w:rPr>
                <w:t>Note 7: Investment in Unconsolidated Entity</w:t>
              </w:r>
            </w:hyperlink>
          </w:p>
        </w:tc>
        <w:tc>
          <w:tcPr>
            <w:tcW w:w="5420" w:type="dxa"/>
            <w:vAlign w:val="bottom"/>
            <w:gridSpan w:val="18"/>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10">
              <w:r>
                <w:rPr>
                  <w:rFonts w:ascii="Arial" w:cs="Arial" w:eastAsia="Arial" w:hAnsi="Arial"/>
                  <w:sz w:val="14"/>
                  <w:szCs w:val="14"/>
                  <w:color w:val="0000EE"/>
                </w:rPr>
                <w:t>109</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tcBorders>
              <w:top w:val="single" w:sz="8" w:color="0000EE"/>
            </w:tcBorders>
            <w:gridSpan w:val="19"/>
          </w:tcPr>
          <w:p>
            <w:pPr>
              <w:spacing w:after="0"/>
              <w:rPr>
                <w:rFonts w:ascii="Arial" w:cs="Arial" w:eastAsia="Arial" w:hAnsi="Arial"/>
                <w:sz w:val="14"/>
                <w:szCs w:val="14"/>
                <w:color w:val="0000EE"/>
                <w:w w:val="94"/>
              </w:rPr>
            </w:pPr>
            <w:hyperlink w:anchor="page112">
              <w:r>
                <w:rPr>
                  <w:rFonts w:ascii="Arial" w:cs="Arial" w:eastAsia="Arial" w:hAnsi="Arial"/>
                  <w:sz w:val="14"/>
                  <w:szCs w:val="14"/>
                  <w:color w:val="0000EE"/>
                  <w:w w:val="94"/>
                </w:rPr>
                <w:t>Note 8: Intangible Assets and Liabilities, net</w:t>
              </w:r>
            </w:hyperlink>
          </w:p>
        </w:tc>
        <w:tc>
          <w:tcPr>
            <w:tcW w:w="20" w:type="dxa"/>
            <w:vAlign w:val="bottom"/>
            <w:tcBorders>
              <w:top w:val="single" w:sz="8" w:color="0000EE"/>
            </w:tcBorders>
          </w:tcPr>
          <w:p>
            <w:pPr>
              <w:spacing w:after="0"/>
              <w:rPr>
                <w:sz w:val="21"/>
                <w:szCs w:val="21"/>
                <w:color w:val="auto"/>
              </w:rPr>
            </w:pPr>
          </w:p>
        </w:tc>
        <w:tc>
          <w:tcPr>
            <w:tcW w:w="5420" w:type="dxa"/>
            <w:vAlign w:val="bottom"/>
            <w:gridSpan w:val="18"/>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Borders>
              <w:top w:val="single" w:sz="8" w:color="0000EE"/>
            </w:tcBorders>
            <w:gridSpan w:val="2"/>
          </w:tcPr>
          <w:p>
            <w:pPr>
              <w:jc w:val="right"/>
              <w:spacing w:after="0"/>
              <w:rPr>
                <w:rFonts w:ascii="Arial" w:cs="Arial" w:eastAsia="Arial" w:hAnsi="Arial"/>
                <w:sz w:val="11"/>
                <w:szCs w:val="11"/>
                <w:color w:val="0000EE"/>
                <w:w w:val="76"/>
              </w:rPr>
            </w:pPr>
            <w:hyperlink w:anchor="page112">
              <w:r>
                <w:rPr>
                  <w:rFonts w:ascii="Arial" w:cs="Arial" w:eastAsia="Arial" w:hAnsi="Arial"/>
                  <w:sz w:val="11"/>
                  <w:szCs w:val="11"/>
                  <w:color w:val="0000EE"/>
                  <w:w w:val="76"/>
                </w:rPr>
                <w:t>112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gridSpan w:val="19"/>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Note 9: Debt</w:t>
              </w:r>
            </w:hyperlink>
          </w:p>
        </w:tc>
        <w:tc>
          <w:tcPr>
            <w:tcW w:w="5440" w:type="dxa"/>
            <w:vAlign w:val="bottom"/>
            <w:gridSpan w:val="19"/>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14">
              <w:r>
                <w:rPr>
                  <w:rFonts w:ascii="Arial" w:cs="Arial" w:eastAsia="Arial" w:hAnsi="Arial"/>
                  <w:sz w:val="14"/>
                  <w:szCs w:val="14"/>
                  <w:color w:val="0000EE"/>
                </w:rPr>
                <w:t>113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gridSpan w:val="16"/>
          </w:tcPr>
          <w:p>
            <w:pPr>
              <w:spacing w:after="0"/>
              <w:rPr>
                <w:rFonts w:ascii="Arial" w:cs="Arial" w:eastAsia="Arial" w:hAnsi="Arial"/>
                <w:sz w:val="14"/>
                <w:szCs w:val="14"/>
                <w:color w:val="0000EE"/>
                <w:w w:val="92"/>
              </w:rPr>
            </w:pPr>
            <w:hyperlink w:anchor="page117">
              <w:r>
                <w:rPr>
                  <w:rFonts w:ascii="Arial" w:cs="Arial" w:eastAsia="Arial" w:hAnsi="Arial"/>
                  <w:sz w:val="14"/>
                  <w:szCs w:val="14"/>
                  <w:color w:val="0000EE"/>
                  <w:w w:val="92"/>
                </w:rPr>
                <w:t>Note 10: Fair Value Measurements</w:t>
              </w:r>
            </w:hyperlink>
          </w:p>
        </w:tc>
        <w:tc>
          <w:tcPr>
            <w:tcW w:w="6000" w:type="dxa"/>
            <w:vAlign w:val="bottom"/>
            <w:gridSpan w:val="22"/>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17">
              <w:r>
                <w:rPr>
                  <w:rFonts w:ascii="Arial" w:cs="Arial" w:eastAsia="Arial" w:hAnsi="Arial"/>
                  <w:sz w:val="14"/>
                  <w:szCs w:val="14"/>
                  <w:color w:val="0000EE"/>
                </w:rPr>
                <w:t>116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6"/>
          </w:tcPr>
          <w:p>
            <w:pPr>
              <w:spacing w:after="0"/>
              <w:rPr>
                <w:rFonts w:ascii="Arial" w:cs="Arial" w:eastAsia="Arial" w:hAnsi="Arial"/>
                <w:sz w:val="14"/>
                <w:szCs w:val="14"/>
                <w:color w:val="0000EE"/>
                <w:w w:val="85"/>
              </w:rPr>
            </w:pPr>
            <w:hyperlink w:anchor="page119">
              <w:r>
                <w:rPr>
                  <w:rFonts w:ascii="Arial" w:cs="Arial" w:eastAsia="Arial" w:hAnsi="Arial"/>
                  <w:sz w:val="14"/>
                  <w:szCs w:val="14"/>
                  <w:color w:val="0000EE"/>
                  <w:w w:val="85"/>
                </w:rPr>
                <w:t>Note 11: Revenues</w:t>
              </w:r>
            </w:hyperlink>
          </w:p>
        </w:tc>
        <w:tc>
          <w:tcPr>
            <w:tcW w:w="960" w:type="dxa"/>
            <w:vAlign w:val="bottom"/>
            <w:gridSpan w:val="10"/>
          </w:tcPr>
          <w:p>
            <w:pPr>
              <w:spacing w:after="0"/>
              <w:rPr>
                <w:sz w:val="21"/>
                <w:szCs w:val="21"/>
                <w:color w:val="auto"/>
              </w:rPr>
            </w:pPr>
          </w:p>
        </w:tc>
        <w:tc>
          <w:tcPr>
            <w:tcW w:w="6000" w:type="dxa"/>
            <w:vAlign w:val="bottom"/>
            <w:gridSpan w:val="22"/>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19">
              <w:r>
                <w:rPr>
                  <w:rFonts w:ascii="Arial" w:cs="Arial" w:eastAsia="Arial" w:hAnsi="Arial"/>
                  <w:sz w:val="14"/>
                  <w:szCs w:val="14"/>
                  <w:color w:val="0000EE"/>
                </w:rPr>
                <w:t>118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gridSpan w:val="17"/>
          </w:tcPr>
          <w:p>
            <w:pPr>
              <w:spacing w:after="0"/>
              <w:rPr>
                <w:rFonts w:ascii="Arial" w:cs="Arial" w:eastAsia="Arial" w:hAnsi="Arial"/>
                <w:sz w:val="14"/>
                <w:szCs w:val="14"/>
                <w:color w:val="0000EE"/>
                <w:w w:val="91"/>
              </w:rPr>
            </w:pPr>
            <w:hyperlink w:anchor="page120">
              <w:r>
                <w:rPr>
                  <w:rFonts w:ascii="Arial" w:cs="Arial" w:eastAsia="Arial" w:hAnsi="Arial"/>
                  <w:sz w:val="14"/>
                  <w:szCs w:val="14"/>
                  <w:color w:val="0000EE"/>
                  <w:w w:val="91"/>
                </w:rPr>
                <w:t>Note 12: Equity-Based Compensation</w:t>
              </w:r>
            </w:hyperlink>
          </w:p>
        </w:tc>
        <w:tc>
          <w:tcPr>
            <w:tcW w:w="5840" w:type="dxa"/>
            <w:vAlign w:val="bottom"/>
            <w:gridSpan w:val="21"/>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20">
              <w:r>
                <w:rPr>
                  <w:rFonts w:ascii="Arial" w:cs="Arial" w:eastAsia="Arial" w:hAnsi="Arial"/>
                  <w:sz w:val="14"/>
                  <w:szCs w:val="14"/>
                  <w:color w:val="0000EE"/>
                </w:rPr>
                <w:t>119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gridSpan w:val="17"/>
          </w:tcPr>
          <w:p>
            <w:pPr>
              <w:spacing w:after="0"/>
              <w:rPr>
                <w:rFonts w:ascii="Arial" w:cs="Arial" w:eastAsia="Arial" w:hAnsi="Arial"/>
                <w:sz w:val="14"/>
                <w:szCs w:val="14"/>
                <w:color w:val="0000EE"/>
              </w:rPr>
            </w:pPr>
            <w:hyperlink w:anchor="page122">
              <w:r>
                <w:rPr>
                  <w:rFonts w:ascii="Arial" w:cs="Arial" w:eastAsia="Arial" w:hAnsi="Arial"/>
                  <w:sz w:val="14"/>
                  <w:szCs w:val="14"/>
                  <w:color w:val="0000EE"/>
                </w:rPr>
                <w:t>Note 13: Income Taxes</w:t>
              </w:r>
            </w:hyperlink>
          </w:p>
        </w:tc>
        <w:tc>
          <w:tcPr>
            <w:tcW w:w="5840" w:type="dxa"/>
            <w:vAlign w:val="bottom"/>
            <w:gridSpan w:val="21"/>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22">
              <w:r>
                <w:rPr>
                  <w:rFonts w:ascii="Arial" w:cs="Arial" w:eastAsia="Arial" w:hAnsi="Arial"/>
                  <w:sz w:val="14"/>
                  <w:szCs w:val="14"/>
                  <w:color w:val="0000EE"/>
                </w:rPr>
                <w:t>121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26"/>
          </w:tcPr>
          <w:p>
            <w:pPr>
              <w:spacing w:after="0"/>
              <w:rPr>
                <w:rFonts w:ascii="Arial" w:cs="Arial" w:eastAsia="Arial" w:hAnsi="Arial"/>
                <w:sz w:val="14"/>
                <w:szCs w:val="14"/>
                <w:color w:val="0000EE"/>
                <w:w w:val="93"/>
              </w:rPr>
            </w:pPr>
            <w:hyperlink w:anchor="page124">
              <w:r>
                <w:rPr>
                  <w:rFonts w:ascii="Arial" w:cs="Arial" w:eastAsia="Arial" w:hAnsi="Arial"/>
                  <w:sz w:val="14"/>
                  <w:szCs w:val="14"/>
                  <w:color w:val="0000EE"/>
                  <w:w w:val="93"/>
                </w:rPr>
                <w:t>Note 14: Management Agreement and Affiliate Transactions</w:t>
              </w:r>
            </w:hyperlink>
          </w:p>
        </w:tc>
        <w:tc>
          <w:tcPr>
            <w:tcW w:w="4520" w:type="dxa"/>
            <w:vAlign w:val="bottom"/>
            <w:gridSpan w:val="12"/>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24">
              <w:r>
                <w:rPr>
                  <w:rFonts w:ascii="Arial" w:cs="Arial" w:eastAsia="Arial" w:hAnsi="Arial"/>
                  <w:sz w:val="14"/>
                  <w:szCs w:val="14"/>
                  <w:color w:val="0000EE"/>
                </w:rPr>
                <w:t>123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26"/>
          </w:tcPr>
          <w:p>
            <w:pPr>
              <w:spacing w:after="0"/>
              <w:rPr>
                <w:rFonts w:ascii="Arial" w:cs="Arial" w:eastAsia="Arial" w:hAnsi="Arial"/>
                <w:sz w:val="14"/>
                <w:szCs w:val="14"/>
                <w:color w:val="0000EE"/>
              </w:rPr>
            </w:pPr>
            <w:hyperlink w:anchor="page126">
              <w:r>
                <w:rPr>
                  <w:rFonts w:ascii="Arial" w:cs="Arial" w:eastAsia="Arial" w:hAnsi="Arial"/>
                  <w:sz w:val="14"/>
                  <w:szCs w:val="14"/>
                  <w:color w:val="0000EE"/>
                </w:rPr>
                <w:t>Note 15: Segment Information</w:t>
              </w:r>
            </w:hyperlink>
          </w:p>
        </w:tc>
        <w:tc>
          <w:tcPr>
            <w:tcW w:w="4520" w:type="dxa"/>
            <w:vAlign w:val="bottom"/>
            <w:gridSpan w:val="12"/>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26">
              <w:r>
                <w:rPr>
                  <w:rFonts w:ascii="Arial" w:cs="Arial" w:eastAsia="Arial" w:hAnsi="Arial"/>
                  <w:sz w:val="14"/>
                  <w:szCs w:val="14"/>
                  <w:color w:val="0000EE"/>
                </w:rPr>
                <w:t>125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13"/>
          </w:tcPr>
          <w:p>
            <w:pPr>
              <w:spacing w:after="0"/>
              <w:rPr>
                <w:rFonts w:ascii="Arial" w:cs="Arial" w:eastAsia="Arial" w:hAnsi="Arial"/>
                <w:sz w:val="14"/>
                <w:szCs w:val="14"/>
                <w:color w:val="0000EE"/>
                <w:w w:val="90"/>
              </w:rPr>
            </w:pPr>
            <w:hyperlink w:anchor="page134">
              <w:r>
                <w:rPr>
                  <w:rFonts w:ascii="Arial" w:cs="Arial" w:eastAsia="Arial" w:hAnsi="Arial"/>
                  <w:sz w:val="14"/>
                  <w:szCs w:val="14"/>
                  <w:color w:val="0000EE"/>
                  <w:w w:val="90"/>
                </w:rPr>
                <w:t>Note 16: Earnings per Share</w:t>
              </w:r>
            </w:hyperlink>
          </w:p>
        </w:tc>
        <w:tc>
          <w:tcPr>
            <w:tcW w:w="120" w:type="dxa"/>
            <w:vAlign w:val="bottom"/>
          </w:tcPr>
          <w:p>
            <w:pPr>
              <w:spacing w:after="0"/>
              <w:rPr>
                <w:sz w:val="21"/>
                <w:szCs w:val="21"/>
                <w:color w:val="auto"/>
              </w:rPr>
            </w:pPr>
          </w:p>
        </w:tc>
        <w:tc>
          <w:tcPr>
            <w:tcW w:w="6260" w:type="dxa"/>
            <w:vAlign w:val="bottom"/>
            <w:gridSpan w:val="24"/>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4">
              <w:r>
                <w:rPr>
                  <w:rFonts w:ascii="Arial" w:cs="Arial" w:eastAsia="Arial" w:hAnsi="Arial"/>
                  <w:sz w:val="14"/>
                  <w:szCs w:val="14"/>
                  <w:color w:val="0000EE"/>
                </w:rPr>
                <w:t>133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540" w:type="dxa"/>
            <w:vAlign w:val="bottom"/>
            <w:tcBorders>
              <w:left w:val="single" w:sz="8" w:color="0000EE"/>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20" w:type="dxa"/>
            <w:vAlign w:val="bottom"/>
            <w:gridSpan w:val="38"/>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Note 17: Commitments and Contingencies</w:t>
              </w:r>
            </w:hyperlink>
          </w:p>
        </w:tc>
        <w:tc>
          <w:tcPr>
            <w:tcW w:w="1960" w:type="dxa"/>
            <w:vAlign w:val="bottom"/>
            <w:gridSpan w:val="3"/>
          </w:tcPr>
          <w:p>
            <w:pPr>
              <w:jc w:val="right"/>
              <w:spacing w:after="0"/>
              <w:rPr>
                <w:rFonts w:ascii="Arial" w:cs="Arial" w:eastAsia="Arial" w:hAnsi="Arial"/>
                <w:sz w:val="14"/>
                <w:szCs w:val="14"/>
                <w:color w:val="0000EE"/>
              </w:rPr>
            </w:pPr>
            <w:hyperlink w:anchor="page135">
              <w:r>
                <w:rPr>
                  <w:rFonts w:ascii="Arial" w:cs="Arial" w:eastAsia="Arial" w:hAnsi="Arial"/>
                  <w:sz w:val="14"/>
                  <w:szCs w:val="14"/>
                  <w:color w:val="0000EE"/>
                </w:rPr>
                <w:t>134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24"/>
          </w:tcPr>
          <w:p>
            <w:pPr>
              <w:spacing w:after="0"/>
              <w:rPr>
                <w:rFonts w:ascii="Arial" w:cs="Arial" w:eastAsia="Arial" w:hAnsi="Arial"/>
                <w:sz w:val="14"/>
                <w:szCs w:val="14"/>
                <w:color w:val="0000EE"/>
                <w:w w:val="94"/>
              </w:rPr>
            </w:pPr>
            <w:hyperlink w:anchor="page135">
              <w:r>
                <w:rPr>
                  <w:rFonts w:ascii="Arial" w:cs="Arial" w:eastAsia="Arial" w:hAnsi="Arial"/>
                  <w:sz w:val="14"/>
                  <w:szCs w:val="14"/>
                  <w:color w:val="0000EE"/>
                  <w:w w:val="94"/>
                </w:rPr>
                <w:t>Note 18: Quarterly Financial Information (Unaudited)</w:t>
              </w:r>
            </w:hyperlink>
          </w:p>
        </w:tc>
        <w:tc>
          <w:tcPr>
            <w:tcW w:w="4900" w:type="dxa"/>
            <w:vAlign w:val="bottom"/>
            <w:gridSpan w:val="14"/>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5">
              <w:r>
                <w:rPr>
                  <w:rFonts w:ascii="Arial" w:cs="Arial" w:eastAsia="Arial" w:hAnsi="Arial"/>
                  <w:sz w:val="14"/>
                  <w:szCs w:val="14"/>
                  <w:color w:val="0000EE"/>
                </w:rPr>
                <w:t>134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13"/>
          </w:tcPr>
          <w:p>
            <w:pPr>
              <w:spacing w:after="0"/>
              <w:rPr>
                <w:rFonts w:ascii="Arial" w:cs="Arial" w:eastAsia="Arial" w:hAnsi="Arial"/>
                <w:sz w:val="14"/>
                <w:szCs w:val="14"/>
                <w:color w:val="0000EE"/>
                <w:w w:val="89"/>
              </w:rPr>
            </w:pPr>
            <w:hyperlink w:anchor="page136">
              <w:r>
                <w:rPr>
                  <w:rFonts w:ascii="Arial" w:cs="Arial" w:eastAsia="Arial" w:hAnsi="Arial"/>
                  <w:sz w:val="14"/>
                  <w:szCs w:val="14"/>
                  <w:color w:val="0000EE"/>
                  <w:w w:val="89"/>
                </w:rPr>
                <w:t>Note 19: Subsequent Events</w:t>
              </w:r>
            </w:hyperlink>
          </w:p>
        </w:tc>
        <w:tc>
          <w:tcPr>
            <w:tcW w:w="1480" w:type="dxa"/>
            <w:vAlign w:val="bottom"/>
            <w:gridSpan w:val="11"/>
          </w:tcPr>
          <w:p>
            <w:pPr>
              <w:spacing w:after="0"/>
              <w:rPr>
                <w:sz w:val="21"/>
                <w:szCs w:val="21"/>
                <w:color w:val="auto"/>
              </w:rPr>
            </w:pPr>
          </w:p>
        </w:tc>
        <w:tc>
          <w:tcPr>
            <w:tcW w:w="4900" w:type="dxa"/>
            <w:vAlign w:val="bottom"/>
            <w:gridSpan w:val="14"/>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6">
              <w:r>
                <w:rPr>
                  <w:rFonts w:ascii="Arial" w:cs="Arial" w:eastAsia="Arial" w:hAnsi="Arial"/>
                  <w:sz w:val="14"/>
                  <w:szCs w:val="14"/>
                  <w:color w:val="0000EE"/>
                </w:rPr>
                <w:t>135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7"/>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360" w:type="dxa"/>
            <w:vAlign w:val="bottom"/>
            <w:gridSpan w:val="39"/>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Consolidated Financial Statements of Intermodal Finance I Ltd:</w:t>
              </w:r>
            </w:hyperlink>
          </w:p>
        </w:tc>
        <w:tc>
          <w:tcPr>
            <w:tcW w:w="1960" w:type="dxa"/>
            <w:vAlign w:val="bottom"/>
            <w:gridSpan w:val="3"/>
          </w:tcPr>
          <w:p>
            <w:pPr>
              <w:jc w:val="right"/>
              <w:spacing w:after="0"/>
              <w:rPr>
                <w:rFonts w:ascii="Arial" w:cs="Arial" w:eastAsia="Arial" w:hAnsi="Arial"/>
                <w:sz w:val="14"/>
                <w:szCs w:val="14"/>
                <w:color w:val="0000EE"/>
              </w:rPr>
            </w:pPr>
            <w:hyperlink w:anchor="page138">
              <w:r>
                <w:rPr>
                  <w:rFonts w:ascii="Arial" w:cs="Arial" w:eastAsia="Arial" w:hAnsi="Arial"/>
                  <w:sz w:val="14"/>
                  <w:szCs w:val="14"/>
                  <w:color w:val="0000EE"/>
                </w:rPr>
                <w:t>137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660" w:type="dxa"/>
            <w:vAlign w:val="bottom"/>
            <w:gridSpan w:val="26"/>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Report of Independent Registered Public Accounting Firm</w:t>
              </w:r>
            </w:hyperlink>
          </w:p>
        </w:tc>
        <w:tc>
          <w:tcPr>
            <w:tcW w:w="4700" w:type="dxa"/>
            <w:vAlign w:val="bottom"/>
            <w:gridSpan w:val="13"/>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8">
              <w:r>
                <w:rPr>
                  <w:rFonts w:ascii="Arial" w:cs="Arial" w:eastAsia="Arial" w:hAnsi="Arial"/>
                  <w:sz w:val="14"/>
                  <w:szCs w:val="14"/>
                  <w:color w:val="0000EE"/>
                </w:rPr>
                <w:t>137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560" w:type="dxa"/>
            <w:vAlign w:val="bottom"/>
            <w:gridSpan w:val="28"/>
          </w:tcPr>
          <w:p>
            <w:pPr>
              <w:spacing w:after="0"/>
              <w:rPr>
                <w:rFonts w:ascii="Arial" w:cs="Arial" w:eastAsia="Arial" w:hAnsi="Arial"/>
                <w:sz w:val="14"/>
                <w:szCs w:val="14"/>
                <w:color w:val="0000EE"/>
                <w:w w:val="91"/>
              </w:rPr>
            </w:pPr>
            <w:hyperlink w:anchor="page138">
              <w:r>
                <w:rPr>
                  <w:rFonts w:ascii="Arial" w:cs="Arial" w:eastAsia="Arial" w:hAnsi="Arial"/>
                  <w:sz w:val="14"/>
                  <w:szCs w:val="14"/>
                  <w:color w:val="0000EE"/>
                  <w:w w:val="91"/>
                </w:rPr>
                <w:t>Consolidated Balance Sheets as of December 31, 2015 and December 31, 2014</w:t>
              </w:r>
            </w:hyperlink>
          </w:p>
        </w:tc>
        <w:tc>
          <w:tcPr>
            <w:tcW w:w="3800" w:type="dxa"/>
            <w:vAlign w:val="bottom"/>
            <w:gridSpan w:val="11"/>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8">
              <w:r>
                <w:rPr>
                  <w:rFonts w:ascii="Arial" w:cs="Arial" w:eastAsia="Arial" w:hAnsi="Arial"/>
                  <w:sz w:val="14"/>
                  <w:szCs w:val="14"/>
                  <w:color w:val="0000EE"/>
                </w:rPr>
                <w:t>138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280" w:type="dxa"/>
            <w:vAlign w:val="bottom"/>
            <w:gridSpan w:val="31"/>
          </w:tcPr>
          <w:p>
            <w:pPr>
              <w:spacing w:after="0"/>
              <w:rPr>
                <w:rFonts w:ascii="Arial" w:cs="Arial" w:eastAsia="Arial" w:hAnsi="Arial"/>
                <w:sz w:val="14"/>
                <w:szCs w:val="14"/>
                <w:color w:val="0000EE"/>
                <w:w w:val="91"/>
              </w:rPr>
            </w:pPr>
            <w:hyperlink w:anchor="page139">
              <w:r>
                <w:rPr>
                  <w:rFonts w:ascii="Arial" w:cs="Arial" w:eastAsia="Arial" w:hAnsi="Arial"/>
                  <w:sz w:val="14"/>
                  <w:szCs w:val="14"/>
                  <w:color w:val="0000EE"/>
                  <w:w w:val="91"/>
                </w:rPr>
                <w:t>Consolidated Statements of Income for the years ended December 31, 2015, 2014 and 2013</w:t>
              </w:r>
            </w:hyperlink>
          </w:p>
        </w:tc>
        <w:tc>
          <w:tcPr>
            <w:tcW w:w="3080" w:type="dxa"/>
            <w:vAlign w:val="bottom"/>
            <w:gridSpan w:val="8"/>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39">
              <w:r>
                <w:rPr>
                  <w:rFonts w:ascii="Arial" w:cs="Arial" w:eastAsia="Arial" w:hAnsi="Arial"/>
                  <w:sz w:val="14"/>
                  <w:szCs w:val="14"/>
                  <w:color w:val="0000EE"/>
                </w:rPr>
                <w:t>139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220" w:type="dxa"/>
            <w:vAlign w:val="bottom"/>
            <w:gridSpan w:val="36"/>
          </w:tcPr>
          <w:p>
            <w:pPr>
              <w:spacing w:after="0"/>
              <w:rPr>
                <w:rFonts w:ascii="Arial" w:cs="Arial" w:eastAsia="Arial" w:hAnsi="Arial"/>
                <w:sz w:val="14"/>
                <w:szCs w:val="14"/>
                <w:color w:val="0000EE"/>
                <w:w w:val="91"/>
              </w:rPr>
            </w:pPr>
            <w:hyperlink w:anchor="page140">
              <w:r>
                <w:rPr>
                  <w:rFonts w:ascii="Arial" w:cs="Arial" w:eastAsia="Arial" w:hAnsi="Arial"/>
                  <w:sz w:val="14"/>
                  <w:szCs w:val="14"/>
                  <w:color w:val="0000EE"/>
                  <w:w w:val="91"/>
                </w:rPr>
                <w:t>Consolidated Statements of Comprehensive Income for the years ended December 31, 2015, 2014 and 2013</w:t>
              </w:r>
            </w:hyperlink>
          </w:p>
        </w:tc>
        <w:tc>
          <w:tcPr>
            <w:tcW w:w="2140" w:type="dxa"/>
            <w:vAlign w:val="bottom"/>
            <w:gridSpan w:val="3"/>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40">
              <w:r>
                <w:rPr>
                  <w:rFonts w:ascii="Arial" w:cs="Arial" w:eastAsia="Arial" w:hAnsi="Arial"/>
                  <w:sz w:val="14"/>
                  <w:szCs w:val="14"/>
                  <w:color w:val="0000EE"/>
                </w:rPr>
                <w:t>140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520" w:type="dxa"/>
            <w:vAlign w:val="bottom"/>
            <w:gridSpan w:val="35"/>
          </w:tcPr>
          <w:p>
            <w:pPr>
              <w:spacing w:after="0"/>
              <w:rPr>
                <w:rFonts w:ascii="Arial" w:cs="Arial" w:eastAsia="Arial" w:hAnsi="Arial"/>
                <w:sz w:val="14"/>
                <w:szCs w:val="14"/>
                <w:color w:val="0000EE"/>
                <w:w w:val="91"/>
              </w:rPr>
            </w:pPr>
            <w:hyperlink w:anchor="page141">
              <w:r>
                <w:rPr>
                  <w:rFonts w:ascii="Arial" w:cs="Arial" w:eastAsia="Arial" w:hAnsi="Arial"/>
                  <w:sz w:val="14"/>
                  <w:szCs w:val="14"/>
                  <w:color w:val="0000EE"/>
                  <w:w w:val="91"/>
                </w:rPr>
                <w:t>Consolidated Statements of Cash Flows for the years ended December 31, 2015, 2014 and 2013</w:t>
              </w:r>
            </w:hyperlink>
          </w:p>
        </w:tc>
        <w:tc>
          <w:tcPr>
            <w:tcW w:w="700" w:type="dxa"/>
            <w:vAlign w:val="bottom"/>
          </w:tcPr>
          <w:p>
            <w:pPr>
              <w:spacing w:after="0"/>
              <w:rPr>
                <w:sz w:val="21"/>
                <w:szCs w:val="21"/>
                <w:color w:val="auto"/>
              </w:rPr>
            </w:pPr>
          </w:p>
        </w:tc>
        <w:tc>
          <w:tcPr>
            <w:tcW w:w="2140" w:type="dxa"/>
            <w:vAlign w:val="bottom"/>
            <w:gridSpan w:val="3"/>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41">
              <w:r>
                <w:rPr>
                  <w:rFonts w:ascii="Arial" w:cs="Arial" w:eastAsia="Arial" w:hAnsi="Arial"/>
                  <w:sz w:val="14"/>
                  <w:szCs w:val="14"/>
                  <w:color w:val="0000EE"/>
                </w:rPr>
                <w:t>141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420" w:type="dxa"/>
            <w:vAlign w:val="bottom"/>
            <w:gridSpan w:val="32"/>
          </w:tcPr>
          <w:p>
            <w:pPr>
              <w:spacing w:after="0"/>
              <w:rPr>
                <w:rFonts w:ascii="Arial" w:cs="Arial" w:eastAsia="Arial" w:hAnsi="Arial"/>
                <w:sz w:val="14"/>
                <w:szCs w:val="14"/>
                <w:color w:val="0000EE"/>
                <w:w w:val="92"/>
              </w:rPr>
            </w:pPr>
            <w:hyperlink w:anchor="page142">
              <w:r>
                <w:rPr>
                  <w:rFonts w:ascii="Arial" w:cs="Arial" w:eastAsia="Arial" w:hAnsi="Arial"/>
                  <w:sz w:val="14"/>
                  <w:szCs w:val="14"/>
                  <w:color w:val="0000EE"/>
                  <w:w w:val="92"/>
                </w:rPr>
                <w:t>Consolidated Statement of Members' Equity for the years ended December 31, 2015 and 2014</w:t>
              </w:r>
            </w:hyperlink>
          </w:p>
        </w:tc>
        <w:tc>
          <w:tcPr>
            <w:tcW w:w="100" w:type="dxa"/>
            <w:vAlign w:val="bottom"/>
            <w:gridSpan w:val="3"/>
          </w:tcPr>
          <w:p>
            <w:pPr>
              <w:spacing w:after="0"/>
              <w:rPr>
                <w:sz w:val="21"/>
                <w:szCs w:val="21"/>
                <w:color w:val="auto"/>
              </w:rPr>
            </w:pPr>
          </w:p>
        </w:tc>
        <w:tc>
          <w:tcPr>
            <w:tcW w:w="2840" w:type="dxa"/>
            <w:vAlign w:val="bottom"/>
            <w:gridSpan w:val="4"/>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42">
              <w:r>
                <w:rPr>
                  <w:rFonts w:ascii="Arial" w:cs="Arial" w:eastAsia="Arial" w:hAnsi="Arial"/>
                  <w:sz w:val="14"/>
                  <w:szCs w:val="14"/>
                  <w:color w:val="0000EE"/>
                </w:rPr>
                <w:t>142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520" w:type="dxa"/>
            <w:vAlign w:val="bottom"/>
            <w:gridSpan w:val="18"/>
          </w:tcPr>
          <w:p>
            <w:pPr>
              <w:spacing w:after="0"/>
              <w:rPr>
                <w:rFonts w:ascii="Arial" w:cs="Arial" w:eastAsia="Arial" w:hAnsi="Arial"/>
                <w:sz w:val="14"/>
                <w:szCs w:val="14"/>
                <w:color w:val="0000EE"/>
                <w:w w:val="91"/>
              </w:rPr>
            </w:pPr>
            <w:hyperlink w:anchor="page143">
              <w:r>
                <w:rPr>
                  <w:rFonts w:ascii="Arial" w:cs="Arial" w:eastAsia="Arial" w:hAnsi="Arial"/>
                  <w:sz w:val="14"/>
                  <w:szCs w:val="14"/>
                  <w:color w:val="0000EE"/>
                  <w:w w:val="91"/>
                </w:rPr>
                <w:t>Notes to Consolidated Financial Statements</w:t>
              </w:r>
            </w:hyperlink>
          </w:p>
        </w:tc>
        <w:tc>
          <w:tcPr>
            <w:tcW w:w="2900" w:type="dxa"/>
            <w:vAlign w:val="bottom"/>
            <w:gridSpan w:val="14"/>
          </w:tcPr>
          <w:p>
            <w:pPr>
              <w:spacing w:after="0"/>
              <w:rPr>
                <w:sz w:val="21"/>
                <w:szCs w:val="21"/>
                <w:color w:val="auto"/>
              </w:rPr>
            </w:pPr>
          </w:p>
        </w:tc>
        <w:tc>
          <w:tcPr>
            <w:tcW w:w="2940" w:type="dxa"/>
            <w:vAlign w:val="bottom"/>
            <w:gridSpan w:val="7"/>
          </w:tcPr>
          <w:p>
            <w:pPr>
              <w:spacing w:after="0"/>
              <w:rPr>
                <w:sz w:val="21"/>
                <w:szCs w:val="21"/>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43">
              <w:r>
                <w:rPr>
                  <w:rFonts w:ascii="Arial" w:cs="Arial" w:eastAsia="Arial" w:hAnsi="Arial"/>
                  <w:sz w:val="14"/>
                  <w:szCs w:val="14"/>
                  <w:color w:val="0000EE"/>
                </w:rPr>
                <w:t>143</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9.</w:t>
            </w: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1"/>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5180" w:type="dxa"/>
            <w:vAlign w:val="bottom"/>
            <w:gridSpan w:val="30"/>
          </w:tcPr>
          <w:p>
            <w:pPr>
              <w:spacing w:after="0"/>
              <w:rPr>
                <w:rFonts w:ascii="Arial" w:cs="Arial" w:eastAsia="Arial" w:hAnsi="Arial"/>
                <w:sz w:val="14"/>
                <w:szCs w:val="14"/>
                <w:color w:val="0000EE"/>
                <w:w w:val="93"/>
              </w:rPr>
            </w:pPr>
            <w:hyperlink w:anchor="page156">
              <w:r>
                <w:rPr>
                  <w:rFonts w:ascii="Arial" w:cs="Arial" w:eastAsia="Arial" w:hAnsi="Arial"/>
                  <w:sz w:val="14"/>
                  <w:szCs w:val="14"/>
                  <w:color w:val="0000EE"/>
                  <w:w w:val="93"/>
                </w:rPr>
                <w:t>Changes in and Disagreements with Accountants on Accounting and Financial Disclosure</w:t>
              </w:r>
            </w:hyperlink>
          </w:p>
        </w:tc>
        <w:tc>
          <w:tcPr>
            <w:tcW w:w="3180" w:type="dxa"/>
            <w:vAlign w:val="bottom"/>
            <w:gridSpan w:val="9"/>
          </w:tcPr>
          <w:p>
            <w:pPr>
              <w:spacing w:after="0"/>
              <w:rPr>
                <w:sz w:val="15"/>
                <w:szCs w:val="15"/>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56">
              <w:r>
                <w:rPr>
                  <w:rFonts w:ascii="Arial" w:cs="Arial" w:eastAsia="Arial" w:hAnsi="Arial"/>
                  <w:sz w:val="14"/>
                  <w:szCs w:val="14"/>
                  <w:color w:val="0000EE"/>
                </w:rPr>
                <w:t>156</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9A.</w:t>
            </w: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tcBorders>
              <w:left w:val="single" w:sz="8" w:color="0000EE"/>
            </w:tcBorders>
            <w:gridSpan w:val="15"/>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5180" w:type="dxa"/>
            <w:vAlign w:val="bottom"/>
            <w:gridSpan w:val="30"/>
          </w:tcPr>
          <w:p>
            <w:pPr>
              <w:spacing w:after="0"/>
              <w:rPr>
                <w:rFonts w:ascii="Arial" w:cs="Arial" w:eastAsia="Arial" w:hAnsi="Arial"/>
                <w:sz w:val="14"/>
                <w:szCs w:val="14"/>
                <w:color w:val="0000EE"/>
              </w:rPr>
            </w:pPr>
            <w:hyperlink w:anchor="page157">
              <w:r>
                <w:rPr>
                  <w:rFonts w:ascii="Arial" w:cs="Arial" w:eastAsia="Arial" w:hAnsi="Arial"/>
                  <w:sz w:val="14"/>
                  <w:szCs w:val="14"/>
                  <w:color w:val="0000EE"/>
                </w:rPr>
                <w:t>Controls and Procedures</w:t>
              </w:r>
            </w:hyperlink>
          </w:p>
        </w:tc>
        <w:tc>
          <w:tcPr>
            <w:tcW w:w="3180" w:type="dxa"/>
            <w:vAlign w:val="bottom"/>
            <w:gridSpan w:val="9"/>
          </w:tcPr>
          <w:p>
            <w:pPr>
              <w:spacing w:after="0"/>
              <w:rPr>
                <w:sz w:val="15"/>
                <w:szCs w:val="15"/>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57">
              <w:r>
                <w:rPr>
                  <w:rFonts w:ascii="Arial" w:cs="Arial" w:eastAsia="Arial" w:hAnsi="Arial"/>
                  <w:sz w:val="14"/>
                  <w:szCs w:val="14"/>
                  <w:color w:val="0000EE"/>
                </w:rPr>
                <w:t>156</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9B.</w:t>
            </w: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5100" w:type="dxa"/>
            <w:vAlign w:val="bottom"/>
            <w:gridSpan w:val="17"/>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400" w:type="dxa"/>
            <w:vAlign w:val="bottom"/>
            <w:gridSpan w:val="7"/>
          </w:tcPr>
          <w:p>
            <w:pPr>
              <w:spacing w:after="0"/>
              <w:rPr>
                <w:rFonts w:ascii="Arial" w:cs="Arial" w:eastAsia="Arial" w:hAnsi="Arial"/>
                <w:sz w:val="14"/>
                <w:szCs w:val="14"/>
                <w:color w:val="0000EE"/>
              </w:rPr>
            </w:pPr>
            <w:hyperlink w:anchor="page157">
              <w:r>
                <w:rPr>
                  <w:rFonts w:ascii="Arial" w:cs="Arial" w:eastAsia="Arial" w:hAnsi="Arial"/>
                  <w:sz w:val="14"/>
                  <w:szCs w:val="14"/>
                  <w:color w:val="0000EE"/>
                </w:rPr>
                <w:t>Other Information</w:t>
              </w:r>
            </w:hyperlink>
          </w:p>
        </w:tc>
        <w:tc>
          <w:tcPr>
            <w:tcW w:w="6960" w:type="dxa"/>
            <w:vAlign w:val="bottom"/>
            <w:gridSpan w:val="32"/>
          </w:tcPr>
          <w:p>
            <w:pPr>
              <w:spacing w:after="0"/>
              <w:rPr>
                <w:sz w:val="15"/>
                <w:szCs w:val="15"/>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57">
              <w:r>
                <w:rPr>
                  <w:rFonts w:ascii="Arial" w:cs="Arial" w:eastAsia="Arial" w:hAnsi="Arial"/>
                  <w:sz w:val="14"/>
                  <w:szCs w:val="14"/>
                  <w:color w:val="0000EE"/>
                </w:rPr>
                <w:t>156</w:t>
              </w:r>
            </w:hyperlink>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12"/>
          </w:tcPr>
          <w:p>
            <w:pPr>
              <w:jc w:val="center"/>
              <w:ind w:right="2700"/>
              <w:spacing w:after="0"/>
              <w:rPr>
                <w:sz w:val="20"/>
                <w:szCs w:val="20"/>
                <w:color w:val="auto"/>
              </w:rPr>
            </w:pPr>
            <w:r>
              <w:rPr>
                <w:rFonts w:ascii="Arial" w:cs="Arial" w:eastAsia="Arial" w:hAnsi="Arial"/>
                <w:sz w:val="14"/>
                <w:szCs w:val="14"/>
                <w:b w:val="1"/>
                <w:bCs w:val="1"/>
                <w:color w:val="auto"/>
              </w:rPr>
              <w:t>PART III</w:t>
            </w:r>
          </w:p>
        </w:tc>
        <w:tc>
          <w:tcPr>
            <w:tcW w:w="18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360" w:type="dxa"/>
            <w:vAlign w:val="bottom"/>
            <w:gridSpan w:val="39"/>
          </w:tcPr>
          <w:p>
            <w:pPr>
              <w:spacing w:after="0"/>
              <w:rPr>
                <w:rFonts w:ascii="Arial" w:cs="Arial" w:eastAsia="Arial" w:hAnsi="Arial"/>
                <w:sz w:val="14"/>
                <w:szCs w:val="14"/>
                <w:color w:val="0000EE"/>
              </w:rPr>
            </w:pPr>
            <w:hyperlink w:anchor="page159">
              <w:r>
                <w:rPr>
                  <w:rFonts w:ascii="Arial" w:cs="Arial" w:eastAsia="Arial" w:hAnsi="Arial"/>
                  <w:sz w:val="14"/>
                  <w:szCs w:val="14"/>
                  <w:color w:val="0000EE"/>
                </w:rPr>
                <w:t>Directors, Executive Officers and Corporate Governance</w:t>
              </w:r>
            </w:hyperlink>
          </w:p>
        </w:tc>
        <w:tc>
          <w:tcPr>
            <w:tcW w:w="1960" w:type="dxa"/>
            <w:vAlign w:val="bottom"/>
            <w:gridSpan w:val="3"/>
          </w:tcPr>
          <w:p>
            <w:pPr>
              <w:jc w:val="right"/>
              <w:spacing w:after="0"/>
              <w:rPr>
                <w:rFonts w:ascii="Arial" w:cs="Arial" w:eastAsia="Arial" w:hAnsi="Arial"/>
                <w:sz w:val="14"/>
                <w:szCs w:val="14"/>
                <w:color w:val="0000EE"/>
              </w:rPr>
            </w:pPr>
            <w:hyperlink w:anchor="page159">
              <w:r>
                <w:rPr>
                  <w:rFonts w:ascii="Arial" w:cs="Arial" w:eastAsia="Arial" w:hAnsi="Arial"/>
                  <w:sz w:val="14"/>
                  <w:szCs w:val="14"/>
                  <w:color w:val="0000EE"/>
                </w:rPr>
                <w:t>158</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Item 11.</w:t>
            </w:r>
          </w:p>
        </w:tc>
        <w:tc>
          <w:tcPr>
            <w:tcW w:w="1400" w:type="dxa"/>
            <w:vAlign w:val="bottom"/>
            <w:gridSpan w:val="7"/>
            <w:shd w:val="clear" w:color="auto" w:fill="0000EE"/>
          </w:tcPr>
          <w:p>
            <w:pPr>
              <w:spacing w:after="0" w:line="20" w:lineRule="exact"/>
              <w:rPr>
                <w:sz w:val="1"/>
                <w:szCs w:val="1"/>
                <w:color w:val="auto"/>
              </w:rPr>
            </w:pPr>
          </w:p>
        </w:tc>
        <w:tc>
          <w:tcPr>
            <w:tcW w:w="1860" w:type="dxa"/>
            <w:vAlign w:val="bottom"/>
            <w:tcBorders>
              <w:left w:val="single" w:sz="8" w:color="0000EE"/>
            </w:tcBorders>
            <w:gridSpan w:val="15"/>
            <w:shd w:val="clear" w:color="auto" w:fill="0000EE"/>
          </w:tcPr>
          <w:p>
            <w:pPr>
              <w:spacing w:after="0" w:line="20" w:lineRule="exact"/>
              <w:rPr>
                <w:sz w:val="1"/>
                <w:szCs w:val="1"/>
                <w:color w:val="auto"/>
              </w:rPr>
            </w:pPr>
          </w:p>
        </w:tc>
        <w:tc>
          <w:tcPr>
            <w:tcW w:w="5100" w:type="dxa"/>
            <w:vAlign w:val="bottom"/>
            <w:gridSpan w:val="17"/>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40" w:type="dxa"/>
            <w:vAlign w:val="bottom"/>
            <w:vMerge w:val="continue"/>
          </w:tcPr>
          <w:p>
            <w:pPr>
              <w:spacing w:after="0"/>
              <w:rPr>
                <w:sz w:val="24"/>
                <w:szCs w:val="24"/>
                <w:color w:val="auto"/>
              </w:rPr>
            </w:pPr>
          </w:p>
        </w:tc>
        <w:tc>
          <w:tcPr>
            <w:tcW w:w="1400" w:type="dxa"/>
            <w:vAlign w:val="bottom"/>
            <w:gridSpan w:val="7"/>
          </w:tcPr>
          <w:p>
            <w:pPr>
              <w:spacing w:after="0"/>
              <w:rPr>
                <w:rFonts w:ascii="Arial" w:cs="Arial" w:eastAsia="Arial" w:hAnsi="Arial"/>
                <w:sz w:val="14"/>
                <w:szCs w:val="14"/>
                <w:color w:val="0000EE"/>
                <w:w w:val="87"/>
              </w:rPr>
            </w:pPr>
            <w:hyperlink w:anchor="page159">
              <w:r>
                <w:rPr>
                  <w:rFonts w:ascii="Arial" w:cs="Arial" w:eastAsia="Arial" w:hAnsi="Arial"/>
                  <w:sz w:val="14"/>
                  <w:szCs w:val="14"/>
                  <w:color w:val="0000EE"/>
                  <w:w w:val="87"/>
                </w:rPr>
                <w:t>Executive Compensation</w:t>
              </w:r>
            </w:hyperlink>
          </w:p>
        </w:tc>
        <w:tc>
          <w:tcPr>
            <w:tcW w:w="1860" w:type="dxa"/>
            <w:vAlign w:val="bottom"/>
            <w:gridSpan w:val="15"/>
          </w:tcPr>
          <w:p>
            <w:pPr>
              <w:spacing w:after="0"/>
              <w:rPr>
                <w:sz w:val="24"/>
                <w:szCs w:val="24"/>
                <w:color w:val="auto"/>
              </w:rPr>
            </w:pPr>
          </w:p>
        </w:tc>
        <w:tc>
          <w:tcPr>
            <w:tcW w:w="5100" w:type="dxa"/>
            <w:vAlign w:val="bottom"/>
            <w:gridSpan w:val="17"/>
          </w:tcPr>
          <w:p>
            <w:pPr>
              <w:spacing w:after="0"/>
              <w:rPr>
                <w:sz w:val="24"/>
                <w:szCs w:val="24"/>
                <w:color w:val="auto"/>
              </w:rPr>
            </w:pPr>
          </w:p>
        </w:tc>
        <w:tc>
          <w:tcPr>
            <w:tcW w:w="1960" w:type="dxa"/>
            <w:vAlign w:val="bottom"/>
            <w:gridSpan w:val="3"/>
          </w:tcPr>
          <w:p>
            <w:pPr>
              <w:jc w:val="right"/>
              <w:spacing w:after="0"/>
              <w:rPr>
                <w:rFonts w:ascii="Arial" w:cs="Arial" w:eastAsia="Arial" w:hAnsi="Arial"/>
                <w:sz w:val="14"/>
                <w:szCs w:val="14"/>
                <w:color w:val="0000EE"/>
              </w:rPr>
            </w:pPr>
            <w:hyperlink w:anchor="page159">
              <w:r>
                <w:rPr>
                  <w:rFonts w:ascii="Arial" w:cs="Arial" w:eastAsia="Arial" w:hAnsi="Arial"/>
                  <w:sz w:val="14"/>
                  <w:szCs w:val="14"/>
                  <w:color w:val="0000EE"/>
                </w:rPr>
                <w:t>159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61" w:right="259" w:bottom="0" w:gutter="0" w:footer="0" w:header="0"/>
        </w:sectPr>
      </w:pPr>
    </w:p>
    <w:p>
      <w:pPr>
        <w:spacing w:after="0" w:line="155" w:lineRule="exact"/>
        <w:rPr>
          <w:sz w:val="20"/>
          <w:szCs w:val="20"/>
          <w:color w:val="auto"/>
        </w:rPr>
      </w:pPr>
    </w:p>
    <w:p>
      <w:pPr>
        <w:spacing w:after="0"/>
        <w:tabs>
          <w:tab w:leader="none" w:pos="1020" w:val="left"/>
          <w:tab w:leader="none" w:pos="11120" w:val="left"/>
        </w:tabs>
        <w:rPr>
          <w:rFonts w:ascii="Arial" w:cs="Arial" w:eastAsia="Arial" w:hAnsi="Arial"/>
          <w:sz w:val="13"/>
          <w:szCs w:val="13"/>
          <w:u w:val="single" w:color="auto"/>
          <w:color w:val="0000EE"/>
        </w:rPr>
      </w:pPr>
      <w:r>
        <w:rPr>
          <w:rFonts w:ascii="Arial" w:cs="Arial" w:eastAsia="Arial" w:hAnsi="Arial"/>
          <w:sz w:val="14"/>
          <w:szCs w:val="14"/>
          <w:b w:val="1"/>
          <w:bCs w:val="1"/>
          <w:color w:val="auto"/>
        </w:rPr>
        <w:t>Item 12.</w:t>
      </w:r>
      <w:r>
        <w:rPr>
          <w:sz w:val="20"/>
          <w:szCs w:val="20"/>
          <w:color w:val="auto"/>
        </w:rPr>
        <w:tab/>
      </w:r>
      <w:hyperlink w:anchor="page160">
        <w:r>
          <w:rPr>
            <w:rFonts w:ascii="Arial" w:cs="Arial" w:eastAsia="Arial" w:hAnsi="Arial"/>
            <w:sz w:val="14"/>
            <w:szCs w:val="14"/>
            <w:u w:val="single" w:color="auto"/>
            <w:color w:val="0000EE"/>
          </w:rPr>
          <w:t>Security Ownership of Certain Beneficial Owners and Management and Related Stockholder Matters</w:t>
        </w:r>
      </w:hyperlink>
      <w:r>
        <w:rPr>
          <w:rFonts w:ascii="Arial" w:cs="Arial" w:eastAsia="Arial" w:hAnsi="Arial"/>
          <w:sz w:val="14"/>
          <w:szCs w:val="14"/>
          <w:u w:val="single" w:color="auto"/>
          <w:color w:val="0000EE"/>
        </w:rPr>
        <w:tab/>
      </w:r>
      <w:hyperlink w:anchor="page160">
        <w:r>
          <w:rPr>
            <w:rFonts w:ascii="Arial" w:cs="Arial" w:eastAsia="Arial" w:hAnsi="Arial"/>
            <w:sz w:val="13"/>
            <w:szCs w:val="13"/>
            <w:u w:val="single" w:color="auto"/>
            <w:color w:val="0000EE"/>
          </w:rPr>
          <w:t>159</w:t>
        </w:r>
      </w:hyperlink>
    </w:p>
    <w:p>
      <w:pPr>
        <w:sectPr>
          <w:pgSz w:w="11900" w:h="16838" w:orient="portrait"/>
          <w:cols w:equalWidth="0" w:num="1">
            <w:col w:w="11360"/>
          </w:cols>
          <w:pgMar w:left="280" w:top="661" w:right="2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2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gridSpan w:val="2"/>
          </w:tcPr>
          <w:p>
            <w:pPr>
              <w:jc w:val="right"/>
              <w:spacing w:after="0"/>
              <w:rPr>
                <w:rFonts w:ascii="Arial" w:cs="Arial" w:eastAsia="Arial" w:hAnsi="Arial"/>
                <w:sz w:val="14"/>
                <w:szCs w:val="14"/>
                <w:color w:val="0000EE"/>
              </w:rPr>
            </w:pPr>
            <w:hyperlink w:anchor="page160">
              <w:r>
                <w:rPr>
                  <w:rFonts w:ascii="Arial" w:cs="Arial" w:eastAsia="Arial" w:hAnsi="Arial"/>
                  <w:sz w:val="14"/>
                  <w:szCs w:val="14"/>
                  <w:color w:val="0000EE"/>
                </w:rPr>
                <w:t>159</w:t>
              </w:r>
            </w:hyperlink>
          </w:p>
        </w:tc>
      </w:tr>
      <w:tr>
        <w:trPr>
          <w:trHeight w:val="264"/>
        </w:trPr>
        <w:tc>
          <w:tcPr>
            <w:tcW w:w="1040" w:type="dxa"/>
            <w:vAlign w:val="bottom"/>
          </w:tcPr>
          <w:p>
            <w:pPr>
              <w:spacing w:after="0"/>
              <w:rPr>
                <w:sz w:val="22"/>
                <w:szCs w:val="22"/>
                <w:color w:val="auto"/>
              </w:rPr>
            </w:pPr>
          </w:p>
        </w:tc>
        <w:tc>
          <w:tcPr>
            <w:tcW w:w="436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160">
              <w:r>
                <w:rPr>
                  <w:rFonts w:ascii="Arial" w:cs="Arial" w:eastAsia="Arial" w:hAnsi="Arial"/>
                  <w:sz w:val="14"/>
                  <w:szCs w:val="14"/>
                  <w:color w:val="0000EE"/>
                  <w:w w:val="91"/>
                </w:rPr>
                <w:t>Certain Relationships and Related Transactions, and Director Independence</w:t>
              </w:r>
            </w:hyperlink>
          </w:p>
        </w:tc>
        <w:tc>
          <w:tcPr>
            <w:tcW w:w="6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4420" w:type="dxa"/>
            <w:vAlign w:val="bottom"/>
            <w:gridSpan w:val="3"/>
          </w:tcPr>
          <w:p>
            <w:pPr>
              <w:spacing w:after="0"/>
              <w:rPr>
                <w:rFonts w:ascii="Arial" w:cs="Arial" w:eastAsia="Arial" w:hAnsi="Arial"/>
                <w:sz w:val="14"/>
                <w:szCs w:val="14"/>
                <w:color w:val="0000EE"/>
              </w:rPr>
            </w:pPr>
            <w:hyperlink w:anchor="page160">
              <w:r>
                <w:rPr>
                  <w:rFonts w:ascii="Arial" w:cs="Arial" w:eastAsia="Arial" w:hAnsi="Arial"/>
                  <w:sz w:val="14"/>
                  <w:szCs w:val="14"/>
                  <w:color w:val="0000EE"/>
                </w:rPr>
                <w:t>Principal Accountant Fees and Services</w:t>
              </w:r>
            </w:hyperlink>
          </w:p>
        </w:tc>
        <w:tc>
          <w:tcPr>
            <w:tcW w:w="5900" w:type="dxa"/>
            <w:vAlign w:val="bottom"/>
            <w:gridSpan w:val="2"/>
          </w:tcPr>
          <w:p>
            <w:pPr>
              <w:jc w:val="right"/>
              <w:spacing w:after="0"/>
              <w:rPr>
                <w:rFonts w:ascii="Arial" w:cs="Arial" w:eastAsia="Arial" w:hAnsi="Arial"/>
                <w:sz w:val="14"/>
                <w:szCs w:val="14"/>
                <w:color w:val="0000EE"/>
              </w:rPr>
            </w:pPr>
            <w:hyperlink w:anchor="page160">
              <w:r>
                <w:rPr>
                  <w:rFonts w:ascii="Arial" w:cs="Arial" w:eastAsia="Arial" w:hAnsi="Arial"/>
                  <w:sz w:val="14"/>
                  <w:szCs w:val="14"/>
                  <w:color w:val="0000EE"/>
                </w:rPr>
                <w:t>159</w:t>
              </w:r>
            </w:hyperlink>
          </w:p>
        </w:tc>
      </w:tr>
      <w:tr>
        <w:trPr>
          <w:trHeight w:val="279"/>
        </w:trPr>
        <w:tc>
          <w:tcPr>
            <w:tcW w:w="1040" w:type="dxa"/>
            <w:vAlign w:val="bottom"/>
          </w:tcPr>
          <w:p>
            <w:pPr>
              <w:spacing w:after="0"/>
              <w:rPr>
                <w:sz w:val="24"/>
                <w:szCs w:val="24"/>
                <w:color w:val="auto"/>
              </w:rPr>
            </w:pPr>
          </w:p>
        </w:tc>
        <w:tc>
          <w:tcPr>
            <w:tcW w:w="232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PART IV</w:t>
            </w:r>
          </w:p>
        </w:tc>
        <w:tc>
          <w:tcPr>
            <w:tcW w:w="220" w:type="dxa"/>
            <w:vAlign w:val="bottom"/>
            <w:tcBorders>
              <w:top w:val="single" w:sz="8" w:color="0000EE"/>
            </w:tcBorders>
          </w:tcPr>
          <w:p>
            <w:pPr>
              <w:spacing w:after="0"/>
              <w:rPr>
                <w:sz w:val="24"/>
                <w:szCs w:val="24"/>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2320" w:type="dxa"/>
            <w:vAlign w:val="bottom"/>
          </w:tcPr>
          <w:p>
            <w:pPr>
              <w:spacing w:after="0"/>
              <w:rPr>
                <w:rFonts w:ascii="Arial" w:cs="Arial" w:eastAsia="Arial" w:hAnsi="Arial"/>
                <w:sz w:val="14"/>
                <w:szCs w:val="14"/>
                <w:color w:val="0000EE"/>
                <w:w w:val="91"/>
              </w:rPr>
            </w:pPr>
            <w:hyperlink w:anchor="page160">
              <w:r>
                <w:rPr>
                  <w:rFonts w:ascii="Arial" w:cs="Arial" w:eastAsia="Arial" w:hAnsi="Arial"/>
                  <w:sz w:val="14"/>
                  <w:szCs w:val="14"/>
                  <w:color w:val="0000EE"/>
                  <w:w w:val="91"/>
                </w:rPr>
                <w:t>Exhibits, Financial Statement Schedules</w:t>
              </w:r>
            </w:hyperlink>
          </w:p>
        </w:tc>
        <w:tc>
          <w:tcPr>
            <w:tcW w:w="2100" w:type="dxa"/>
            <w:vAlign w:val="bottom"/>
            <w:gridSpan w:val="2"/>
          </w:tcPr>
          <w:p>
            <w:pPr>
              <w:spacing w:after="0"/>
              <w:rPr>
                <w:sz w:val="15"/>
                <w:szCs w:val="15"/>
                <w:color w:val="auto"/>
              </w:rPr>
            </w:pPr>
          </w:p>
        </w:tc>
        <w:tc>
          <w:tcPr>
            <w:tcW w:w="5900" w:type="dxa"/>
            <w:vAlign w:val="bottom"/>
            <w:gridSpan w:val="2"/>
          </w:tcPr>
          <w:p>
            <w:pPr>
              <w:jc w:val="right"/>
              <w:spacing w:after="0"/>
              <w:rPr>
                <w:rFonts w:ascii="Arial" w:cs="Arial" w:eastAsia="Arial" w:hAnsi="Arial"/>
                <w:sz w:val="14"/>
                <w:szCs w:val="14"/>
                <w:color w:val="0000EE"/>
              </w:rPr>
            </w:pPr>
            <w:hyperlink w:anchor="page160">
              <w:r>
                <w:rPr>
                  <w:rFonts w:ascii="Arial" w:cs="Arial" w:eastAsia="Arial" w:hAnsi="Arial"/>
                  <w:sz w:val="14"/>
                  <w:szCs w:val="14"/>
                  <w:color w:val="0000EE"/>
                </w:rPr>
                <w:t>159</w:t>
              </w:r>
            </w:hyperlink>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11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0"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cash flows received from our assets, as well as contractual limitations on the use of our aviation assets to secure debt for borrowed money;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1940 Act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40" w:lineRule="exact"/>
        <w:rPr>
          <w:rFonts w:ascii="Arial" w:cs="Arial" w:eastAsia="Arial" w:hAnsi="Arial"/>
          <w:sz w:val="16"/>
          <w:szCs w:val="16"/>
          <w:color w:val="auto"/>
        </w:rPr>
      </w:pPr>
    </w:p>
    <w:p>
      <w:pPr>
        <w:ind w:left="820" w:right="18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Manager and its professionals and conflicts of interest in our relationship with our Manager;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report.</w:t>
      </w:r>
    </w:p>
    <w:p>
      <w:pPr>
        <w:sectPr>
          <w:pgSz w:w="11900" w:h="16838" w:orient="portrait"/>
          <w:cols w:equalWidth="0" w:num="1">
            <w:col w:w="11420"/>
          </w:cols>
          <w:pgMar w:left="240" w:top="661" w:right="239" w:bottom="1440" w:gutter="0" w:footer="0" w:header="0"/>
        </w:sectPr>
      </w:pPr>
    </w:p>
    <w:bookmarkStart w:id="5" w:name="page6"/>
    <w:bookmarkEnd w:id="5"/>
    <w:p>
      <w:pPr>
        <w:jc w:val="both"/>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20" w:firstLine="392"/>
        <w:spacing w:after="0" w:line="255" w:lineRule="auto"/>
        <w:rPr>
          <w:sz w:val="20"/>
          <w:szCs w:val="20"/>
          <w:color w:val="auto"/>
        </w:rPr>
      </w:pPr>
      <w:r>
        <w:rPr>
          <w:rFonts w:ascii="Arial" w:cs="Arial" w:eastAsia="Arial" w:hAnsi="Arial"/>
          <w:sz w:val="18"/>
          <w:szCs w:val="18"/>
          <w:color w:val="auto"/>
        </w:rPr>
        <w:t>Fortress Transportation and Infrastructure Investors LLC, a Delaware limited liability company (the “Company”), was formed on February 19, 2014. Except as otherwise specified, “FTAI”, “we”, “us”, “our”, and “the Company” refer to the Company and its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0.05% of Holdco and is the general partner of Holdco, which was formed on May 9, 2011 and commenced operations on June 23, 2011.</w:t>
      </w:r>
    </w:p>
    <w:p>
      <w:pPr>
        <w:spacing w:after="0" w:line="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Pursuant to a management agreement, we are externally managed and advised by FIG LLC (the “Manager”), an affiliate of Fortress Investment Group LLC (“Fortress”). Fortress is a leading global investment management firm with $70.5 billion of assets under management as of December 31, 2015, and has a dedicated team of professionals who collectively have acquired over $17 billion in transportation-related assets since 2002.</w:t>
      </w:r>
    </w:p>
    <w:p>
      <w:pPr>
        <w:spacing w:after="0" w:line="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As of December 31, 2015, we had total consolidated assets of $1.6 billion and total equity of $1.3 billion.</w:t>
      </w:r>
    </w:p>
    <w:p>
      <w:pPr>
        <w:spacing w:after="0" w:line="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long-life assets or operating businesses that provide mission-critical services or functions to transportation networks and typically have high barriers to entry,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is typically long-lived, moveable and leased by us to companies that provide transportation services on either operating leases or finance leases. Our leases generally provide for long-term contractual cash flow with high cash-on-cash yields and may include structural protections to mitigate credit risk. We believe that our existing asset base provides stable cash flow generation with over half of our revenue contracted and the remainder coming from markets with stable or growing demand outlook.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1" w:right="239" w:bottom="1440" w:gutter="0" w:footer="0" w:header="0"/>
        </w:sectPr>
      </w:pPr>
    </w:p>
    <w:bookmarkStart w:id="7" w:name="page8"/>
    <w:bookmarkEnd w:id="7"/>
    <w:p>
      <w:pPr>
        <w:ind w:firstLine="405"/>
        <w:spacing w:after="0" w:line="277" w:lineRule="auto"/>
        <w:rPr>
          <w:sz w:val="20"/>
          <w:szCs w:val="20"/>
          <w:color w:val="auto"/>
        </w:rPr>
      </w:pPr>
      <w:r>
        <w:rPr>
          <w:rFonts w:ascii="Arial" w:cs="Arial" w:eastAsia="Arial" w:hAnsi="Arial"/>
          <w:sz w:val="18"/>
          <w:szCs w:val="18"/>
          <w:color w:val="auto"/>
        </w:rPr>
        <w:t>The charts below illustrate our existing assets, and our equity deployed in acquiring these assets separated by reporting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6130" cy="301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613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$384 million of assets and $380 million of equity reflected in our corporate operating segment.</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Jefferson Terminal and Railroad are included in our Infrastructure Business; Aviation Leasing, Offshore Energy and Shipping Containers are included in our Equipment Leasing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6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 Process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from earnings growth and asset appreciation.</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2015, in connection with the IPO, the Company entered into a new management agreement with the Manager, (the “Management Agreement”), an affiliate of Fortress, pursuant to which 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Management Agreement, 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8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 2.2223% for such quarter; and (3) 10.0% of the amount of pre-incentive allocation net income, if any, that exceeds 2.2223% for such quarter.</w:t>
      </w:r>
    </w:p>
    <w:p>
      <w:pPr>
        <w:spacing w:after="0" w:line="70"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"Capital Gains Incentive Allocation" is calculated and distributable in arrears as of the end of each calendar year and is equal to 10% of the Company’s pro rata share of cumulative realized gains from the date of the Company's initial public offering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pays all of its operating expenses, except those specifically required to be borne by the Manager under the Management Agreement. 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3" w:right="239" w:bottom="1440" w:gutter="0" w:footer="0" w:header="0"/>
        </w:sectPr>
      </w:pPr>
    </w:p>
    <w:bookmarkStart w:id="9" w:name="page10"/>
    <w:bookmarkEnd w:id="9"/>
    <w:p>
      <w:pPr>
        <w:jc w:val="both"/>
        <w:ind w:firstLine="405"/>
        <w:spacing w:after="0" w:line="259" w:lineRule="auto"/>
        <w:rPr>
          <w:sz w:val="20"/>
          <w:szCs w:val="20"/>
          <w:color w:val="auto"/>
        </w:rPr>
      </w:pPr>
      <w:r>
        <w:rPr>
          <w:rFonts w:ascii="Arial" w:cs="Arial" w:eastAsia="Arial" w:hAnsi="Arial"/>
          <w:sz w:val="18"/>
          <w:szCs w:val="18"/>
          <w:color w:val="auto"/>
        </w:rPr>
        <w:t>If the Company terminates the Management Agreement, it will generally be required to pay the Manager a termination fee, as defined by the Management Agreement. Upon the successful completion of an offering of the Company’s common shares or other equity securities (including securities issued as consideration in an acquisition), the Company will grant the Manager options to purchase common shares, as defined by the Management Agreement.</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Please refer to Note 14 of our consolidated financial statements included in Item 8 in this Annual Report on Form 10-K for further details regarding our Management Agreement.</w:t>
      </w:r>
    </w:p>
    <w:p>
      <w:pPr>
        <w:spacing w:after="0" w:line="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Our Portfolio</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Jefferson Terminal</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2014, we and certain other Fortress affiliates purchased substantially all of the assets and assumed certain liabilities of Jefferson Terminal, a Texas-based group of companies developing crude oil and refined products logistics assets. As of December 31, 2015, our equity interest in Jefferson is approximately 60%, and other affiliates of Fortress own an additional approximately 20%.</w:t>
      </w:r>
    </w:p>
    <w:p>
      <w:pPr>
        <w:spacing w:after="0" w:line="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Jefferson is currently developing a large multi-modal crude oil and refined products handling terminal at the Port of Beaumont, Texas (the “Port”) and also owns several other key assets involved in the transportation and processing of crude oil and related products. The majority of Jefferson’s revenue is expected to be derived from operations at Jefferson Terminal. Jefferson Terminal has a unique combination of direct rail service from three Class I railroads, barge docks and deep water ship loading capacity, capabilities to handle multiple types of crude oil including free-flowing crude as well as bitumen, and a prime location close to Port Arthur and Lake Charles, which are home to refineries with over 2.2 million barrels per day of capacity.</w:t>
      </w:r>
    </w:p>
    <w:p>
      <w:pPr>
        <w:spacing w:after="0" w:line="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terminal’s prime location and excellent transportation connectivity make it ideally suited to provide logistics solutions to local refineries, including blending, storage and delivery of crude oil, ethanol, propane and refined products. Heavy and extra heavy crude from western Canada (extra heavy crude is predominantly known as ‘bitumen’) is in especially high demand in the Gulf Coast because refineries in the area are configured to handle heavier blends of crude (previously sourced almost exclusively from Mexico and Venezuela) than those in other parts of the U.S. Canadian bitumen offers Gulf Coast refineries an excellent feedstock, which is most cheaply and easily transported by rail rather than pipeline because of its high viscosity. Jefferson is one of only a few terminals in the Gulf that has the heated system capabilities to handle this type of heavy crude.</w:t>
      </w:r>
    </w:p>
    <w:p>
      <w:pPr>
        <w:spacing w:after="0" w:line="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Jefferson Terminal is located on approximately 250 acres of land at the Port. Today, Jefferson leases 196 acres from the Port under three separate leases. The three leases have 50 year terms that terminate in June 2062 (20 acres), August 2063 (31 acres), and January 2065 (145 acres). As part of the leases, Jefferson has been granted the concession to operate as the sole handler of liquid hydrocarbons at the Port. Jefferson does not own any land at Jefferson Terminal, but does own the equipment and leasehold improvements carried out as part of the Jefferson Terminal build-out. The Port has invested over $40 million in infrastructure which is being leased by Jefferson Terminal, and plans to invest another $5 million over the next six to 12 months.</w:t>
      </w:r>
    </w:p>
    <w:p>
      <w:pPr>
        <w:spacing w:after="0" w:line="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Jefferson has finished construction and begun operations on both the light oil unloading track (the “Light System”), which has the capacity to handle up to two unit trains (240 cars) per day of light, free-flowing crude, and the heavy oil unloading track (the “Heavy System”), which has the capacity to unload up to one unit train (120 cars) per day of heavy crude or bitumen requiring heating. In addition, Jefferson Terminal has two truck unloading bays, capable of handling approximately 50 trucks, each carrying 170 barrels, per day. In aggregate, including rail and truck handling, Jefferson Terminal has a total unloading capacity of 230,000 barrels per day, and storage tanks with capacity to hold approximately 700,000 barrels. Today, crude oil is brought into the Terminal by rail or truck and then either held in storage, or loaded directly onto a barge for transportation to one of the local refineries or larger storage hubs. We also have the ability to unload or load directly from or to an ocean-going ship (up to Aframax size), which would allow our customers to export crude oil or refined product. We are currently developing direct pipeline connections to local refineries, which will provide them with a lower cost of transportation to and from the Terminal.</w:t>
      </w:r>
    </w:p>
    <w:p>
      <w:pPr>
        <w:spacing w:after="0" w:line="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addition to Jefferson Terminal, Jefferson owns several other energy and transportation-related assets, including 300 tank railcars; a gas processing and condensate stabilization plant; pipeline rights-of-way; and an additional private marine terminal that can be developed to load refined petroleum products onto barges. These assets represent additional opportunities to generate stable, recurring cash flow and can be developed in the future to take advantage of the growing demand for crude oil transportation and processing assets. Over the next twelve months, we expect to invest equity capital to fund working capital needs and future construction as new take-or-pay contracts, which may require additional infrastructure, are executed.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10" w:name="page11"/>
    <w:bookmarkEnd w:id="10"/>
    <w:p>
      <w:pPr>
        <w:ind w:left="80"/>
        <w:spacing w:after="0"/>
        <w:rPr>
          <w:sz w:val="20"/>
          <w:szCs w:val="20"/>
          <w:color w:val="auto"/>
        </w:rPr>
      </w:pPr>
      <w:r>
        <w:rPr>
          <w:rFonts w:ascii="Arial" w:cs="Arial" w:eastAsia="Arial" w:hAnsi="Arial"/>
          <w:sz w:val="18"/>
          <w:szCs w:val="18"/>
          <w:i w:val="1"/>
          <w:iCs w:val="1"/>
          <w:color w:val="auto"/>
        </w:rPr>
        <w:t>CMQR</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second quarter of 2014, we acquired via a bankruptcy proceeding certain assets and assumed certain liabilities of the Montreal, Maine &amp; Atlantic Railroad ("MM&amp;A"). Subsequent to the purchase, MM&amp;A was renamed the Central Maine &amp; Quebec Railroad ("CMQR").</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CMQR is a 480-mile Class II railroad that runs from Montreal to the east coast of Maine, primarily transporting pulp and paper, construction products and chemicals. The CMQR offers the most direct route from ports in Montreal and on the east coast of the United States to manufacturers and other customers in Maine and Quebec. We believe that CMQR represents an investment in critical infrastructure with a captive customer base at an attractive valuation and significant growth potential. Following the acquisition close in June 2014, we put in place a new management team composed of a number of former RailAmerica, Inc. executives, including John Giles, the former CEO of RailAmerica,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Leasing Equipment</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Aviation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own and manage 60 aviation assets, including 18 commercial passenger aircraft and 42 commercial jet engines.</w:t>
      </w:r>
    </w:p>
    <w:p>
      <w:pPr>
        <w:spacing w:after="0" w:line="117"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As of December 31, 2015, 17 of our commercial aircraft, and 23 of our jet engines were leased to operators or other third parties. Aviation assets currently off lease are either undergoing repair and/or maintenance, or are currently held in short term storage awaiting a future lease. On an equity-weighted basis, our aviation equipment was approximately 86% utilized as of December 31, 2015. Our aircraft assets currently have a weighted average remaining lease term of 33 months, and our engine assets currently on-lease have an average remaining lease term of 13 months. In each case, we work closely with our existing customers to extend current leases, thus avoiding downtime and remarketing costs. The chart below describes the assets in our Aviation Leasing segment:</w:t>
      </w:r>
    </w:p>
    <w:p>
      <w:pPr>
        <w:spacing w:after="0" w:line="126" w:lineRule="exact"/>
        <w:rPr>
          <w:sz w:val="20"/>
          <w:szCs w:val="20"/>
          <w:color w:val="auto"/>
        </w:rPr>
      </w:pPr>
    </w:p>
    <w:tbl>
      <w:tblPr>
        <w:tblLayout w:type="fixed"/>
        <w:tblInd w:w="1700" w:type="dxa"/>
        <w:tblCellMar>
          <w:top w:w="0" w:type="dxa"/>
          <w:left w:w="0" w:type="dxa"/>
          <w:bottom w:w="0" w:type="dxa"/>
          <w:right w:w="0" w:type="dxa"/>
        </w:tblCellMar>
      </w:tblPr>
      <w:tr>
        <w:trPr>
          <w:trHeight w:val="250"/>
        </w:trPr>
        <w:tc>
          <w:tcPr>
            <w:tcW w:w="20" w:type="dxa"/>
            <w:vAlign w:val="bottom"/>
            <w:tcBorders>
              <w:bottom w:val="single" w:sz="8" w:color="00497F"/>
            </w:tcBorders>
            <w:shd w:val="clear" w:color="auto" w:fill="00497F"/>
          </w:tcPr>
          <w:p>
            <w:pPr>
              <w:spacing w:after="0"/>
              <w:rPr>
                <w:sz w:val="21"/>
                <w:szCs w:val="21"/>
                <w:color w:val="auto"/>
              </w:rPr>
            </w:pPr>
          </w:p>
        </w:tc>
        <w:tc>
          <w:tcPr>
            <w:tcW w:w="2560" w:type="dxa"/>
            <w:vAlign w:val="bottom"/>
            <w:tcBorders>
              <w:bottom w:val="single" w:sz="8" w:color="00497F"/>
            </w:tcBorders>
            <w:gridSpan w:val="3"/>
            <w:shd w:val="clear" w:color="auto" w:fill="00497F"/>
          </w:tcPr>
          <w:p>
            <w:pPr>
              <w:ind w:left="20"/>
              <w:spacing w:after="0"/>
              <w:rPr>
                <w:sz w:val="20"/>
                <w:szCs w:val="20"/>
                <w:color w:val="auto"/>
              </w:rPr>
            </w:pPr>
            <w:r>
              <w:rPr>
                <w:rFonts w:ascii="Arial" w:cs="Arial" w:eastAsia="Arial" w:hAnsi="Arial"/>
                <w:sz w:val="18"/>
                <w:szCs w:val="18"/>
                <w:b w:val="1"/>
                <w:bCs w:val="1"/>
                <w:color w:val="FFFFFF"/>
                <w:shd w:val="clear" w:color="auto" w:fill="00497F"/>
              </w:rPr>
              <w:t>Aviation Assets</w:t>
            </w:r>
          </w:p>
        </w:tc>
        <w:tc>
          <w:tcPr>
            <w:tcW w:w="2560" w:type="dxa"/>
            <w:vAlign w:val="bottom"/>
            <w:tcBorders>
              <w:bottom w:val="single" w:sz="8" w:color="00497F"/>
            </w:tcBorders>
            <w:shd w:val="clear" w:color="auto" w:fill="00497F"/>
          </w:tcPr>
          <w:p>
            <w:pPr>
              <w:jc w:val="right"/>
              <w:ind w:right="750"/>
              <w:spacing w:after="0"/>
              <w:rPr>
                <w:sz w:val="20"/>
                <w:szCs w:val="20"/>
                <w:color w:val="auto"/>
              </w:rPr>
            </w:pPr>
            <w:r>
              <w:rPr>
                <w:rFonts w:ascii="Arial" w:cs="Arial" w:eastAsia="Arial" w:hAnsi="Arial"/>
                <w:sz w:val="18"/>
                <w:szCs w:val="18"/>
                <w:b w:val="1"/>
                <w:bCs w:val="1"/>
                <w:color w:val="FFFFFF"/>
                <w:shd w:val="clear" w:color="auto" w:fill="00497F"/>
              </w:rPr>
              <w:t>Widebody</w:t>
            </w:r>
          </w:p>
        </w:tc>
        <w:tc>
          <w:tcPr>
            <w:tcW w:w="2400" w:type="dxa"/>
            <w:vAlign w:val="bottom"/>
            <w:tcBorders>
              <w:bottom w:val="single" w:sz="8" w:color="00497F"/>
            </w:tcBorders>
            <w:shd w:val="clear" w:color="auto" w:fill="00497F"/>
          </w:tcPr>
          <w:p>
            <w:pPr>
              <w:jc w:val="right"/>
              <w:ind w:right="1330"/>
              <w:spacing w:after="0"/>
              <w:rPr>
                <w:sz w:val="20"/>
                <w:szCs w:val="20"/>
                <w:color w:val="auto"/>
              </w:rPr>
            </w:pPr>
            <w:r>
              <w:rPr>
                <w:rFonts w:ascii="Arial" w:cs="Arial" w:eastAsia="Arial" w:hAnsi="Arial"/>
                <w:sz w:val="18"/>
                <w:szCs w:val="18"/>
                <w:b w:val="1"/>
                <w:bCs w:val="1"/>
                <w:color w:val="FFFFFF"/>
                <w:w w:val="91"/>
                <w:shd w:val="clear" w:color="auto" w:fill="00497F"/>
              </w:rPr>
              <w:t>Narrowbody</w:t>
            </w:r>
          </w:p>
        </w:tc>
        <w:tc>
          <w:tcPr>
            <w:tcW w:w="500" w:type="dxa"/>
            <w:vAlign w:val="bottom"/>
            <w:tcBorders>
              <w:bottom w:val="single" w:sz="8" w:color="00497F"/>
            </w:tcBorders>
            <w:shd w:val="clear" w:color="auto" w:fill="00497F"/>
          </w:tcPr>
          <w:p>
            <w:pPr>
              <w:jc w:val="right"/>
              <w:ind w:right="10"/>
              <w:spacing w:after="0"/>
              <w:rPr>
                <w:sz w:val="20"/>
                <w:szCs w:val="20"/>
                <w:color w:val="auto"/>
              </w:rPr>
            </w:pPr>
            <w:r>
              <w:rPr>
                <w:rFonts w:ascii="Arial" w:cs="Arial" w:eastAsia="Arial" w:hAnsi="Arial"/>
                <w:sz w:val="18"/>
                <w:szCs w:val="18"/>
                <w:b w:val="1"/>
                <w:bCs w:val="1"/>
                <w:color w:val="FFFFFF"/>
                <w:w w:val="88"/>
                <w:shd w:val="clear" w:color="auto" w:fill="00497F"/>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3"/>
          </w:tcPr>
          <w:p>
            <w:pPr>
              <w:ind w:left="20"/>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2015</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4</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2015</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3</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15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Arial" w:cs="Arial" w:eastAsia="Arial" w:hAnsi="Arial"/>
                <w:sz w:val="18"/>
                <w:szCs w:val="18"/>
                <w:b w:val="1"/>
                <w:bCs w:val="1"/>
                <w:i w:val="1"/>
                <w:iCs w:val="1"/>
                <w:color w:val="auto"/>
              </w:rPr>
              <w:t>Jet Engines</w:t>
            </w: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560" w:type="dxa"/>
            <w:vAlign w:val="bottom"/>
            <w:gridSpan w:val="3"/>
            <w:vMerge w:val="continue"/>
          </w:tcPr>
          <w:p>
            <w:pPr>
              <w:spacing w:after="0"/>
              <w:rPr>
                <w:sz w:val="24"/>
                <w:szCs w:val="24"/>
                <w:color w:val="auto"/>
              </w:rPr>
            </w:pPr>
          </w:p>
        </w:tc>
        <w:tc>
          <w:tcPr>
            <w:tcW w:w="2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2015</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12</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15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17</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560" w:type="dxa"/>
            <w:vAlign w:val="bottom"/>
          </w:tcPr>
          <w:p>
            <w:pPr>
              <w:jc w:val="right"/>
              <w:ind w:right="690"/>
              <w:spacing w:after="0"/>
              <w:rPr>
                <w:sz w:val="20"/>
                <w:szCs w:val="20"/>
                <w:color w:val="auto"/>
              </w:rPr>
            </w:pPr>
            <w:r>
              <w:rPr>
                <w:rFonts w:ascii="Arial" w:cs="Arial" w:eastAsia="Arial" w:hAnsi="Arial"/>
                <w:sz w:val="18"/>
                <w:szCs w:val="18"/>
                <w:color w:val="auto"/>
              </w:rPr>
              <w:t>(1)</w:t>
            </w:r>
          </w:p>
        </w:tc>
        <w:tc>
          <w:tcPr>
            <w:tcW w:w="2400" w:type="dxa"/>
            <w:vAlign w:val="bottom"/>
          </w:tcPr>
          <w:p>
            <w:pPr>
              <w:jc w:val="right"/>
              <w:ind w:right="127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2015</w:t>
            </w: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18</w:t>
            </w:r>
          </w:p>
        </w:tc>
        <w:tc>
          <w:tcPr>
            <w:tcW w:w="2400" w:type="dxa"/>
            <w:vAlign w:val="bottom"/>
          </w:tcPr>
          <w:p>
            <w:pPr>
              <w:jc w:val="right"/>
              <w:ind w:right="1330"/>
              <w:spacing w:after="0"/>
              <w:rPr>
                <w:sz w:val="20"/>
                <w:szCs w:val="20"/>
                <w:color w:val="auto"/>
              </w:rPr>
            </w:pPr>
            <w:r>
              <w:rPr>
                <w:rFonts w:ascii="Arial" w:cs="Arial" w:eastAsia="Arial" w:hAnsi="Arial"/>
                <w:sz w:val="18"/>
                <w:szCs w:val="18"/>
                <w:color w:val="auto"/>
              </w:rPr>
              <w:t>24</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Offshore Energy</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own one Anchor Handling Towing Supply ("AHTS") vessel, one construction support vessel, and one Remote Operated Vehicle ("ROV") support vessel. In addition, we have contracted with a Norwegian shipyard to build a new IMR vessel. We seek to lease our assets in our Offshore Energy segment on medium to long-term charters. Depending upon the charter, the charterer may assume the operating expense and utilization risk. The AHTS vessel is a 2010-built DP-1, 5,150 bhp vessel used in the offshore oil and gas industry. The AHTS vessel was built by Guangzhou Panyu Lingshan Shipyard Ltd. in China and is designed to provide support services to offshore platforms, rigs and larger construction vessels. The AHTS vessel has accommodation for 30 personnel and is equipped with an advanced firefighting system and rescue boat to provide standby / emergency rescue services and a winch with total bollard pull of 68.5 tons. The AHTS vessel is subject to a 10-year direct finance lease with a local Mexican operator. We own 100% of the AHTS vessel and our finance lease will expire in November 2023. The AHTS vessel is currently unlevered.</w:t>
      </w:r>
    </w:p>
    <w:p>
      <w:pPr>
        <w:spacing w:after="0" w:line="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construction support vessel is a 2014-built subsea construction support vessel for the SURF (subsea, umbilicals, risers, and flowlines), IMR, and Pipelay markets. The construction support vessel was built at Davie Shipyard in Quebec, Canada and is designed to provide a range of services including flexible and small-diameter rigid pipelay, cable lay, saturation diving, ROV support, well intervention, top hole drilling and subsea installation. Our construction support vessel has advanced dynamic positioning (DP-3) systems, a 250-ton subsea crane, a moon pool, 2,000 square meters of open deck space and 100-person accommodation. The construction support vessel finished its most recent charter during November 2015 and we expect to enter into a new charter for the vessel during Q1 2016. The construction support vessel is 50% levered as of December 31,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7" w:right="239" w:bottom="1440" w:gutter="0" w:footer="0" w:header="0"/>
        </w:sectPr>
      </w:pPr>
    </w:p>
    <w:bookmarkStart w:id="11" w:name="page12"/>
    <w:bookmarkEnd w:id="11"/>
    <w:p>
      <w:pPr>
        <w:jc w:val="both"/>
        <w:ind w:firstLine="454"/>
        <w:spacing w:after="0" w:line="273" w:lineRule="auto"/>
        <w:rPr>
          <w:sz w:val="20"/>
          <w:szCs w:val="20"/>
          <w:color w:val="auto"/>
        </w:rPr>
      </w:pPr>
      <w:r>
        <w:rPr>
          <w:rFonts w:ascii="Arial" w:cs="Arial" w:eastAsia="Arial" w:hAnsi="Arial"/>
          <w:sz w:val="17"/>
          <w:szCs w:val="17"/>
          <w:color w:val="auto"/>
        </w:rPr>
        <w:t>Our ROV support vessel is a 2011-built DP-2, 6,000 bhp ROV support vessel that is used in the offshore oil and gas industry. The ROV support vessel was built by Jaya Holdings at their yard in Batam, Indonesia and is designed to provide construction support services including ROV support, dive support, accommodation and subsea and platform lifts. The ROV support vessel has accommodation for 120 personnel, a moon pool, a 50-ton crane, and can carry up to three ROVs. As of December 31, 2015, the ROV support vessel was subject to a bareboat charter with a local Malaysian operator, who in turn leased the vessel to major oil companies in that region. On February 16, 2016, we terminated this lease arrangement and are currently actively pursuing a new lessee. We own 85% of the vessel. The ROV support vessel is currently unlevered.</w:t>
      </w:r>
    </w:p>
    <w:p>
      <w:pPr>
        <w:spacing w:after="0" w:line="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IMR vessel is under construction at the Kleven Shipyard in Norway and is scheduled to be delivered during Q1 2016. The vessel is a DP-2 construction support and IMR vessel with a 150-ton crane, a moon pool, 1,100 square meters of deck space and accommodation for 90 personnel. The vessel will have reduced fuel consumption and lower emissions, and is designed for a broad range of construction support activities including ROV support, subsea installations, well intervention, top-hole drilling and supply and transport duties. We own 50% of the IMR vessel and our planned lessee is a co-owner of the remaining 50%. Upon delivery, we expect the the vessel will enter a bareboat charter. We expect to arrange debt financing for this vessel prior to delivery.</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chart below describes the assets in our Offshore Energy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246380</wp:posOffset>
            </wp:positionV>
            <wp:extent cx="7212330" cy="2452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2452370"/>
                    </a:xfrm>
                    <a:prstGeom prst="rect">
                      <a:avLst/>
                    </a:prstGeom>
                    <a:noFill/>
                  </pic:spPr>
                </pic:pic>
              </a:graphicData>
            </a:graphic>
          </wp:anchor>
        </w:drawing>
      </w:r>
    </w:p>
    <w:p>
      <w:pPr>
        <w:spacing w:after="0" w:line="3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8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Year Built</w:t>
            </w:r>
          </w:p>
        </w:tc>
        <w:tc>
          <w:tcPr>
            <w:tcW w:w="350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Lease Expiration</w:t>
            </w:r>
          </w:p>
        </w:tc>
        <w:tc>
          <w:tcPr>
            <w:tcW w:w="202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Economic Interest (%)</w:t>
            </w:r>
          </w:p>
        </w:tc>
      </w:tr>
      <w:tr>
        <w:trPr>
          <w:trHeight w:val="33"/>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Off-hire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April 2019 (1)</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85%</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EstimatedQ1</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Estimated March</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20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260" w:hanging="184"/>
        <w:spacing w:after="0"/>
        <w:tabs>
          <w:tab w:leader="none" w:pos="2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On February 16, 2016, the Company terminated its lease arrangement related to its ROV support vessel and is currently actively pursuing a new lessee.</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Intermodal Transport</w:t>
      </w:r>
    </w:p>
    <w:p>
      <w:pPr>
        <w:spacing w:after="0" w:line="1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own, either directly or through a joint venture, interests in approximately 138,000 maritime shipping containers and related equipment through three separate portfolios. The majority of these shipping containers are currently leased to operators or other third parties, and as of December 31, 2015 are 66.5% levered.</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own a 51% interest in a portfolio of approximately 96,000 shipping containers of various types, including both dry and refrigerated units. Of these, approximately 59,000 are subject to direct finance leases with five separate shipping lines, and the majority of those finance leases contain bargain purchase options at lease expiration. The remaining 37,000 containers in this portfolio are subject to operating leases with a large Asian shipping line with an average remaining lease term of approximately 0.3 years. Across the portfolio of 96,000 containers, the remaining average lease term is approximately one year.</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second portfolio is comprised of approximately 39,000 shipping containers that are subject to a direct finance lease with a major Asian shipping line. The containers in this portfolio consist of 20’ Dry, 40’ Dry and 40’ High Cube dry containers (“HC Dry”). The containers are subject to a direct finance lease that expires in December 2017, at which point the lessee has an obligation to purchase the containers at a fixed price. On March 9, 2016, the Company consummated the sale of this portfolio.</w:t>
      </w:r>
    </w:p>
    <w:p>
      <w:pPr>
        <w:spacing w:after="0" w:line="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third portfolio is comprised of approximately 3,000 shipping containers and related equipment that are subject to direct finance leases with a major US-based shipping line. It consists of a mix of intermodal equipment, including 45’ and 53’ Dry Containers, generator sets, and 53’ Chassis. The equipment is subject to direct finance leases that expire in ~0.5-2.5 years, at which point the lessee has an obligation to purchase the containers at a fixed price.</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chart below describes the assets in our Shipping Containers segment as of December 31,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3"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183515</wp:posOffset>
            </wp:positionH>
            <wp:positionV relativeFrom="page">
              <wp:posOffset>320675</wp:posOffset>
            </wp:positionV>
            <wp:extent cx="7212330" cy="2126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2126615"/>
                    </a:xfrm>
                    <a:prstGeom prst="rect">
                      <a:avLst/>
                    </a:prstGeom>
                    <a:noFill/>
                  </pic:spPr>
                </pic:pic>
              </a:graphicData>
            </a:graphic>
          </wp:anchor>
        </w:drawing>
        <w:t>Shipping Containers Assets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3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00" w:type="dxa"/>
            <w:vAlign w:val="bottom"/>
            <w:tcBorders>
              <w:top w:val="single" w:sz="8" w:color="auto"/>
              <w:bottom w:val="single" w:sz="8" w:color="D8D8D8"/>
              <w:right w:val="single" w:sz="8" w:color="auto"/>
            </w:tcBorders>
            <w:shd w:val="clear" w:color="auto" w:fill="D8D8D8"/>
          </w:tcPr>
          <w:p>
            <w:pPr>
              <w:ind w:left="660"/>
              <w:spacing w:after="0"/>
              <w:rPr>
                <w:sz w:val="20"/>
                <w:szCs w:val="20"/>
                <w:color w:val="auto"/>
              </w:rPr>
            </w:pPr>
            <w:r>
              <w:rPr>
                <w:rFonts w:ascii="Arial" w:cs="Arial" w:eastAsia="Arial" w:hAnsi="Arial"/>
                <w:sz w:val="16"/>
                <w:szCs w:val="16"/>
                <w:color w:val="auto"/>
              </w:rPr>
              <w:t>Type</w:t>
            </w:r>
          </w:p>
        </w:tc>
        <w:tc>
          <w:tcPr>
            <w:tcW w:w="1700" w:type="dxa"/>
            <w:vAlign w:val="bottom"/>
            <w:tcBorders>
              <w:top w:val="single" w:sz="8" w:color="auto"/>
              <w:bottom w:val="single" w:sz="8" w:color="D8D8D8"/>
              <w:right w:val="single" w:sz="8" w:color="auto"/>
            </w:tcBorders>
            <w:shd w:val="clear" w:color="auto" w:fill="D8D8D8"/>
          </w:tcPr>
          <w:p>
            <w:pPr>
              <w:ind w:left="40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260" w:type="dxa"/>
            <w:vAlign w:val="bottom"/>
            <w:tcBorders>
              <w:top w:val="single" w:sz="8" w:color="auto"/>
              <w:bottom w:val="single" w:sz="8" w:color="D8D8D8"/>
            </w:tcBorders>
            <w:shd w:val="clear" w:color="auto" w:fill="D8D8D8"/>
          </w:tcPr>
          <w:p>
            <w:pPr>
              <w:spacing w:after="0"/>
              <w:rPr>
                <w:sz w:val="23"/>
                <w:szCs w:val="23"/>
                <w:color w:val="auto"/>
              </w:rPr>
            </w:pPr>
          </w:p>
        </w:tc>
        <w:tc>
          <w:tcPr>
            <w:tcW w:w="1440" w:type="dxa"/>
            <w:vAlign w:val="bottom"/>
            <w:tcBorders>
              <w:top w:val="single" w:sz="8" w:color="auto"/>
              <w:bottom w:val="single" w:sz="8" w:color="D8D8D8"/>
              <w:right w:val="single" w:sz="8" w:color="auto"/>
            </w:tcBorders>
            <w:shd w:val="clear" w:color="auto" w:fill="D8D8D8"/>
          </w:tcPr>
          <w:p>
            <w:pPr>
              <w:ind w:left="10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380"/>
              <w:spacing w:after="0"/>
              <w:rPr>
                <w:sz w:val="20"/>
                <w:szCs w:val="20"/>
                <w:color w:val="auto"/>
              </w:rPr>
            </w:pPr>
            <w:r>
              <w:rPr>
                <w:rFonts w:ascii="Arial" w:cs="Arial" w:eastAsia="Arial" w:hAnsi="Arial"/>
                <w:sz w:val="16"/>
                <w:szCs w:val="16"/>
                <w:color w:val="auto"/>
              </w:rPr>
              <w:t>Economic Interest (%)</w:t>
            </w:r>
          </w:p>
        </w:tc>
      </w:tr>
      <w:tr>
        <w:trPr>
          <w:trHeight w:val="222"/>
        </w:trPr>
        <w:tc>
          <w:tcPr>
            <w:tcW w:w="23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 Dry</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w:t>
            </w:r>
          </w:p>
        </w:tc>
      </w:tr>
      <w:tr>
        <w:trPr>
          <w:trHeight w:val="216"/>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96,000</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 Reefer</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HC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HC Reefer</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 Dry</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 Dry</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30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8"/>
                <w:szCs w:val="18"/>
                <w:color w:val="auto"/>
              </w:rPr>
              <w:t xml:space="preserve">39,000 </w:t>
            </w:r>
            <w:r>
              <w:rPr>
                <w:rFonts w:ascii="Arial" w:cs="Arial" w:eastAsia="Arial" w:hAnsi="Arial"/>
                <w:sz w:val="25"/>
                <w:szCs w:val="25"/>
                <w:color w:val="auto"/>
                <w:vertAlign w:val="superscript"/>
              </w:rPr>
              <w:t>(1)</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HC Dry</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 Dry</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~7.5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3,000</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53’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53’ Chassis</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On March 9, 2016, the Company consummated the sale of Portfolio #2.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Process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and our Manager monitor the credit quality of our various lessees on an ongoing basis. This monitoring includes interacting with our customers regularly to monitor collections, review period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the years ended December 31, 2015 and 2014, we earned approximately 21.0% and 39.0%, respectively, of our revenue from our largest customers.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3"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prospects, financial condition, results of operations and cash flows by decreasing revenues and increasing storage, positioning, collection, recovery and lost equipment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7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w:t>
      </w:r>
    </w:p>
    <w:p>
      <w:pPr>
        <w:spacing w:after="0" w:line="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and as a result, we have no employees other than 34 individuals employed by Jefferson and 124 individuals employed by CMQR, of which 47 CMQR employees are covered under a collective bargaining agreement that has currently expired and is under negotiation.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One or more of our officers and directors have responsibilities and commitments to entities other than us. In addition, we do not have a policy that expressly prohibits our directors, officers, securityholders or affiliates from engaging in business activities of the types conducted by us for their own account. However, our code of business conduct and ethics prohibits, subject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3" w:right="2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terms of our organizational documents, the directors, officers and employees of our Manager from engaging in any transaction that involves an actual conflict of interest with us. In other words, this means that our Manager and its members, managers, officers and employees may pursue acquisition opportunities in transportation and transportation-related infrastructure assets, and that we may acquire or dispose of transportation or transportation-related infrastructure assets in which such persons have a personal interest, subject to pre-approval by the independent members of our board of directors in certain circumstances. In the event of a violation of this code of business of conduct and ethics that does not constitute bad faith, willful misconduct, gross negligence or reckless disregard of our Manager’s duties, neither or Manager nor its members, managers, officers or employees will be liable to us. See “Risk Factors-Risks Related to Our Manager-There are conflicts of interest in our relationship with our Manager.”</w:t>
      </w:r>
    </w:p>
    <w:p>
      <w:pPr>
        <w:spacing w:after="0" w:line="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 Fortress had approximately $70.5 billion of assets under management as of December 31, 2015.</w:t>
      </w:r>
    </w:p>
    <w:p>
      <w:pPr>
        <w:spacing w:after="0" w:line="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Please refer to Note 15 of our consolidated financial statements included in Item 8 in this Annual Report on Form 10-K for a report, by geographic area for each segment, of revenues from our external customers, for the years ended December 31, 2015 and 2014, as well as a report, by geographic area for each segment, of our total property, plant and equipment and equipment held for lease as of December 31, 2015 and 2014.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Readers Can Find Additional Information</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Readers may read and copy any document that Fortress files at the SEC’s Public Reference Room located at 100 F Street, N.E., Washington, D.C. 20549, U.S.A. Please call the SEC at 1-800-SEC-0330 for further information on the Public Reference Room. Our SEC filings are also available to the public from the SEC’s internet site at http://www.sec.gov. Copies of these reports, proxy statements and other information can also be inspected at the offices of the New York Stock Exchange, Inc., 20 Broad Street, New York, New York 10005, U.S.A.</w:t>
      </w:r>
    </w:p>
    <w:p>
      <w:pPr>
        <w:spacing w:after="0" w:line="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the company’s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3" w:right="239" w:bottom="1440" w:gutter="0" w:footer="0" w:header="0"/>
        </w:sectPr>
      </w:pPr>
    </w:p>
    <w:bookmarkStart w:id="15" w:name="page16"/>
    <w:bookmarkEnd w:id="15"/>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Manager, risks related to taxation and risks related to our common shares. However, these categories do overlap and should not be considered exclusive.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3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2015 has resulted in lower exploration and production budgets worldwide, with industry experts predicting that exploration and production spending will decrease by approximately 25% in 2016, as compared to 2015.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85"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ectPr>
          <w:pgSz w:w="11900" w:h="16838" w:orient="portrait"/>
          <w:cols w:equalWidth="0" w:num="1">
            <w:col w:w="11420"/>
          </w:cols>
          <w:pgMar w:left="240" w:top="229" w:right="239" w:bottom="1440" w:gutter="0" w:footer="0" w:header="0"/>
        </w:sectPr>
      </w:pPr>
    </w:p>
    <w:bookmarkStart w:id="16" w:name="page17"/>
    <w:bookmarkEnd w:id="16"/>
    <w:p>
      <w:pPr>
        <w:jc w:val="both"/>
        <w:ind w:firstLine="432"/>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5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3"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our operating results and growth prospects. In addition, some of our counterparties may reside in jurisdictions with legal and regulatory regimes that make it difficult and costly to enforce such counterparties’ obligations.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in the fourth quarter of 2015, we took redelivery of a construction support vessel, the Pride, because its prior charter has expired and we do not currently have a replacement lessee under contract.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3"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and lessors as those in the United States and where the legal system is not as well developed. As a result, the remedies available and the relative success and expedience of collection and enforcement proceedings with respect to the our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3" w:right="239" w:bottom="1440" w:gutter="0" w:footer="0" w:header="0"/>
        </w:sectPr>
      </w:pPr>
    </w:p>
    <w:bookmarkStart w:id="19" w:name="page20"/>
    <w:bookmarkEnd w:id="19"/>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5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3" w:right="239" w:bottom="1440" w:gutter="0" w:footer="0" w:header="0"/>
        </w:sectPr>
      </w:pPr>
    </w:p>
    <w:bookmarkStart w:id="20" w:name="page21"/>
    <w:bookmarkEnd w:id="20"/>
    <w:p>
      <w:pPr>
        <w:jc w:val="both"/>
        <w:ind w:firstLine="405"/>
        <w:spacing w:after="0" w:line="270" w:lineRule="auto"/>
        <w:rPr>
          <w:sz w:val="20"/>
          <w:szCs w:val="20"/>
          <w:color w:val="auto"/>
        </w:rPr>
      </w:pPr>
      <w:r>
        <w:rPr>
          <w:rFonts w:ascii="Arial" w:cs="Arial" w:eastAsia="Arial" w:hAnsi="Arial"/>
          <w:sz w:val="17"/>
          <w:szCs w:val="17"/>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3"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3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2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December 31, 2015 and we do not anticipate any expenditures relating to environmental clean-up (including impacts to the Chaudière River) as a result of the Incident.</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3" w:right="239" w:bottom="1440" w:gutter="0" w:footer="0" w:header="0"/>
        </w:sectPr>
      </w:pPr>
    </w:p>
    <w:bookmarkStart w:id="22" w:name="page23"/>
    <w:bookmarkEnd w:id="22"/>
    <w:p>
      <w:pPr>
        <w:ind w:firstLine="9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U.S. Treasury sanctions regulations restricting doing business with certain nations or specially designated nationals;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regulatory or financial requirements to comply with foreign bureaucratic actions;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compliance with applicable anti-corruption laws and regulations;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changing taxation policies, including confiscatory taxation;</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governmental corruption.</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3"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ectPr>
          <w:pgSz w:w="11900" w:h="16838" w:orient="portrait"/>
          <w:cols w:equalWidth="0" w:num="1">
            <w:col w:w="11420"/>
          </w:cols>
          <w:pgMar w:left="240" w:top="233"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of 1940, it could have a material adverse effect on our business, prospects, financial condition, results of operations and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3" w:right="239" w:bottom="1440" w:gutter="0" w:footer="0" w:header="0"/>
        </w:sectPr>
      </w:pPr>
    </w:p>
    <w:bookmarkStart w:id="25" w:name="page26"/>
    <w:bookmarkEnd w:id="25"/>
    <w:p>
      <w:pPr>
        <w:jc w:val="both"/>
        <w:ind w:firstLine="464"/>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3" w:right="239" w:bottom="1440" w:gutter="0" w:footer="0" w:header="0"/>
        </w:sectPr>
      </w:pPr>
    </w:p>
    <w:bookmarkStart w:id="26" w:name="page27"/>
    <w:bookmarkEnd w:id="26"/>
    <w:p>
      <w:pPr>
        <w:jc w:val="both"/>
        <w:ind w:firstLine="432"/>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Management Agreement, the Partnership Agreement and our operating agreement were negotiated among affiliated parties, and their terms, including fees payable, may not be as favorable to us as if they had been negotiated with an unaffiliated third-party.</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$70.5 billion of assets under management as of December 31, 2015.</w:t>
      </w:r>
    </w:p>
    <w:p>
      <w:pPr>
        <w:spacing w:after="0" w:line="6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has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27" w:name="page28"/>
    <w:bookmarkEnd w:id="27"/>
    <w:p>
      <w:pPr>
        <w:jc w:val="both"/>
        <w:ind w:firstLine="432"/>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5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6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3"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73" w:lineRule="exact"/>
        <w:rPr>
          <w:sz w:val="20"/>
          <w:szCs w:val="20"/>
          <w:color w:val="auto"/>
        </w:rPr>
      </w:pPr>
    </w:p>
    <w:p>
      <w:pPr>
        <w:jc w:val="both"/>
        <w:ind w:firstLine="326"/>
        <w:spacing w:after="0" w:line="276" w:lineRule="auto"/>
        <w:rPr>
          <w:sz w:val="20"/>
          <w:szCs w:val="20"/>
          <w:color w:val="auto"/>
        </w:rPr>
      </w:pPr>
      <w:r>
        <w:rPr>
          <w:rFonts w:ascii="Arial" w:cs="Arial" w:eastAsia="Arial" w:hAnsi="Arial"/>
          <w:sz w:val="17"/>
          <w:szCs w:val="17"/>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3"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8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3" w:right="23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8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8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3" w:right="239" w:bottom="1440" w:gutter="0" w:footer="0" w:header="0"/>
        </w:sectPr>
      </w:pPr>
    </w:p>
    <w:bookmarkStart w:id="31" w:name="page32"/>
    <w:bookmarkEnd w:id="31"/>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the market for our shares will provide you with adequate liquidity.</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common shares began trading on the NYSE on May 15, 2015. 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Even if an active trading market develops and is sustained, 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8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ectPr>
          <w:pgSz w:w="11900" w:h="16838" w:orient="portrait"/>
          <w:cols w:equalWidth="0" w:num="1">
            <w:col w:w="11420"/>
          </w:cols>
          <w:pgMar w:left="240" w:top="233" w:right="239" w:bottom="1440" w:gutter="0" w:footer="0" w:header="0"/>
        </w:sectPr>
      </w:pPr>
    </w:p>
    <w:bookmarkStart w:id="32" w:name="page33"/>
    <w:bookmarkEnd w:id="32"/>
    <w:p>
      <w:pPr>
        <w:jc w:val="both"/>
        <w:ind w:firstLine="432"/>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20" w:firstLine="8"/>
        <w:spacing w:after="0" w:line="255" w:lineRule="auto"/>
        <w:tabs>
          <w:tab w:leader="none" w:pos="2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8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will be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While we have begun the process of evaluating our internal controls, we are in the early phases of our review.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fail to implement the requirements of Section 404 in a timely manner, we may be subject to sanctions or investigation by regulatory authorities, including the SEC or the NYSE. Furthermore, if we discover a material weakness, our share price could decline and our ability to raise capital could be impaired.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other than our common shares), and any such offering or the exercise of the option in connection with such offering would cause dilution.</w:t>
      </w:r>
    </w:p>
    <w:p>
      <w:pPr>
        <w:spacing w:after="0" w:line="117" w:lineRule="exact"/>
        <w:rPr>
          <w:sz w:val="20"/>
          <w:szCs w:val="20"/>
          <w:color w:val="auto"/>
        </w:rPr>
      </w:pPr>
    </w:p>
    <w:p>
      <w:pPr>
        <w:jc w:val="both"/>
        <w:ind w:firstLine="315"/>
        <w:spacing w:after="0" w:line="253" w:lineRule="auto"/>
        <w:rPr>
          <w:sz w:val="20"/>
          <w:szCs w:val="20"/>
          <w:color w:val="auto"/>
        </w:rPr>
      </w:pPr>
      <w:r>
        <w:rPr>
          <w:rFonts w:ascii="Arial" w:cs="Arial" w:eastAsia="Arial" w:hAnsi="Arial"/>
          <w:sz w:val="18"/>
          <w:szCs w:val="18"/>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As a public company, there can be no assurance that we will pay dividends in amounts or on a basis consistent with prior distributions to our investors, if at all. Because we are a holding company and have no direct operations, we will only be able to pay dividends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33"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85"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a newly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added independent directors and created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5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1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 affiliate of our Manager leases principal executive offices at 1345 Avenue of the Americas, New York, NY 10105. We also lease office space from an affiliate of our Manager in Florida, Ireland, and Dubai. Our Railroad operating segment owns approximately 480 miles of rail lines, related corridor, and railyards in Maine, Vermont, Quebec, Canada, as well as leases approximately 8,500 square feet of office space and approximately 20 acres of railroad facilities in Maine. Our Jefferson Terminal operating segment leases approximately 200 acres of property for its terminal facilities and leases approximately 9,600 square feet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3"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of office space in Texas. We believe that our office facilities and properties are suitable and adequate for our business as it is contemplated to be conducted.</w:t>
      </w:r>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w w:val="92"/>
              </w:rPr>
              <w:t>Not applicable.</w:t>
            </w:r>
          </w:p>
        </w:tc>
        <w:tc>
          <w:tcPr>
            <w:tcW w:w="9500" w:type="dxa"/>
            <w:vAlign w:val="bottom"/>
            <w:vMerge w:val="restart"/>
          </w:tcPr>
          <w:p>
            <w:pPr>
              <w:ind w:left="4260"/>
              <w:spacing w:after="0"/>
              <w:rPr>
                <w:sz w:val="20"/>
                <w:szCs w:val="20"/>
                <w:color w:val="auto"/>
              </w:rPr>
            </w:pPr>
            <w:r>
              <w:rPr>
                <w:rFonts w:ascii="Arial" w:cs="Arial" w:eastAsia="Arial" w:hAnsi="Arial"/>
                <w:sz w:val="18"/>
                <w:szCs w:val="18"/>
                <w:b w:val="1"/>
                <w:bCs w:val="1"/>
                <w:color w:val="auto"/>
              </w:rPr>
              <w:t>PART II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500" w:type="dxa"/>
            <w:vAlign w:val="bottom"/>
          </w:tcPr>
          <w:p>
            <w:pPr>
              <w:ind w:left="840"/>
              <w:spacing w:after="0"/>
              <w:rPr>
                <w:sz w:val="20"/>
                <w:szCs w:val="20"/>
                <w:color w:val="auto"/>
              </w:rPr>
            </w:pPr>
            <w:r>
              <w:rPr>
                <w:rFonts w:ascii="Arial" w:cs="Arial" w:eastAsia="Arial" w:hAnsi="Arial"/>
                <w:sz w:val="18"/>
                <w:szCs w:val="18"/>
                <w:b w:val="1"/>
                <w:bCs w:val="1"/>
                <w:color w:val="auto"/>
                <w:w w:val="90"/>
              </w:rPr>
              <w:t>Market for Registrant's Common Equity, Related Stockholder Matters and Issuer Purchases of Equity Securities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one class of common stock which began trading on the NYSE under the symbol “FTAI” on May 15, 2015, the date of our initial public offering. The following table sets forth, for the periods indicated, the high, low and last sale prices in dollars on the NYSE for our shares and the dividends per share we declared with respect to the periods indicated.</w:t>
      </w:r>
    </w:p>
    <w:p>
      <w:pPr>
        <w:spacing w:after="0" w:line="115" w:lineRule="exact"/>
        <w:rPr>
          <w:sz w:val="20"/>
          <w:szCs w:val="20"/>
          <w:color w:val="auto"/>
        </w:rPr>
      </w:pPr>
    </w:p>
    <w:tbl>
      <w:tblPr>
        <w:tblLayout w:type="fixed"/>
        <w:tblInd w:w="2140" w:type="dxa"/>
        <w:tblCellMar>
          <w:top w:w="0" w:type="dxa"/>
          <w:left w:w="0" w:type="dxa"/>
          <w:bottom w:w="0" w:type="dxa"/>
          <w:right w:w="0" w:type="dxa"/>
        </w:tblCellMar>
      </w:tblPr>
      <w:tr>
        <w:trPr>
          <w:trHeight w:val="225"/>
        </w:trPr>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High</w:t>
            </w:r>
          </w:p>
        </w:tc>
        <w:tc>
          <w:tcPr>
            <w:tcW w:w="28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Low</w:t>
            </w:r>
          </w:p>
        </w:tc>
        <w:tc>
          <w:tcPr>
            <w:tcW w:w="20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Last Sale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Dividends</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2"/>
              </w:rPr>
              <w:t>Declared (A)</w:t>
            </w:r>
          </w:p>
        </w:tc>
        <w:tc>
          <w:tcPr>
            <w:tcW w:w="0" w:type="dxa"/>
            <w:vAlign w:val="bottom"/>
          </w:tcPr>
          <w:p>
            <w:pPr>
              <w:spacing w:after="0"/>
              <w:rPr>
                <w:sz w:val="1"/>
                <w:szCs w:val="1"/>
                <w:color w:val="auto"/>
              </w:rPr>
            </w:pPr>
          </w:p>
        </w:tc>
      </w:tr>
      <w:tr>
        <w:trPr>
          <w:trHeight w:val="135"/>
        </w:trPr>
        <w:tc>
          <w:tcPr>
            <w:tcW w:w="18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8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Second Quarter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1800" w:type="dxa"/>
            <w:vAlign w:val="bottom"/>
          </w:tcPr>
          <w:p>
            <w:pPr>
              <w:jc w:val="center"/>
              <w:spacing w:after="0"/>
              <w:rPr>
                <w:sz w:val="20"/>
                <w:szCs w:val="20"/>
                <w:color w:val="auto"/>
              </w:rPr>
            </w:pPr>
            <w:r>
              <w:rPr>
                <w:rFonts w:ascii="Arial" w:cs="Arial" w:eastAsia="Arial" w:hAnsi="Arial"/>
                <w:sz w:val="18"/>
                <w:szCs w:val="18"/>
                <w:color w:val="auto"/>
                <w:w w:val="93"/>
              </w:rPr>
              <w:t>Third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Fourth Quarter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660" w:right="340" w:hanging="4"/>
        <w:spacing w:after="0" w:line="275" w:lineRule="auto"/>
        <w:tabs>
          <w:tab w:leader="none" w:pos="9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amounts our board of directors declared as dividends based on earnings and liquidity with respect to the specified periods. The actual declaration dates occurred in the following quarter.</w:t>
      </w:r>
    </w:p>
    <w:p>
      <w:pPr>
        <w:spacing w:after="0" w:line="3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may declare quarterly distributions on our common stock. No assurance, however, can be given that any future distributions will be made or, if made, as to the amounts or timing of any future distributions as such distributions are subject to our results of operations, liquidity and financial condition, restrictions imposed by applicable law, our taxable income, our operating expenses and other factors our board of directors deem relevant.</w:t>
      </w:r>
    </w:p>
    <w:p>
      <w:pPr>
        <w:spacing w:after="0" w:line="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November 3, 2015, our board of directors declared a cash dividend on its common stock of $0.33 per share, payable to shareholders of record on November 20, 2015. This dividend was paid on November 30, 2015</w:t>
      </w:r>
      <w:r>
        <w:rPr>
          <w:rFonts w:ascii="Arial" w:cs="Arial" w:eastAsia="Arial" w:hAnsi="Arial"/>
          <w:sz w:val="18"/>
          <w:szCs w:val="18"/>
          <w:color w:val="FF0000"/>
        </w:rPr>
        <w:t>.</w:t>
      </w:r>
    </w:p>
    <w:p>
      <w:pPr>
        <w:spacing w:after="0" w:line="62" w:lineRule="exact"/>
        <w:rPr>
          <w:sz w:val="20"/>
          <w:szCs w:val="20"/>
          <w:color w:val="auto"/>
        </w:rPr>
      </w:pPr>
    </w:p>
    <w:p>
      <w:pPr>
        <w:ind w:right="1000"/>
        <w:spacing w:after="0" w:line="314" w:lineRule="auto"/>
        <w:rPr>
          <w:sz w:val="20"/>
          <w:szCs w:val="20"/>
          <w:color w:val="auto"/>
        </w:rPr>
      </w:pPr>
      <w:r>
        <w:rPr>
          <w:rFonts w:ascii="Arial" w:cs="Arial" w:eastAsia="Arial" w:hAnsi="Arial"/>
          <w:sz w:val="16"/>
          <w:szCs w:val="16"/>
          <w:color w:val="auto"/>
        </w:rPr>
        <w:t>On December 31, 2015, the closing sale price for our common stock, as reported on the NYSE, was $11.26. As of February 23, 2016, there were approximately 9 record holders of our common stock. This figure does not reflect the beneficial ownership of shares held in nominee name.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 and Incentive Award Plan</w:t>
      </w:r>
    </w:p>
    <w:p>
      <w:pPr>
        <w:spacing w:after="0" w:line="6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2015, subsequent to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As of December 31, 2015, the Incentive Plan provides for the issuance of up to 30,000,000 shares.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total number of outstanding securities in the Plan and the number of securities remaining for future issuance, as well as the weighted average strike price of all outstanding securities as of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900" w:type="dxa"/>
            <w:vAlign w:val="bottom"/>
            <w:gridSpan w:val="5"/>
          </w:tcPr>
          <w:p>
            <w:pPr>
              <w:jc w:val="right"/>
              <w:ind w:right="2690"/>
              <w:spacing w:after="0"/>
              <w:rPr>
                <w:sz w:val="20"/>
                <w:szCs w:val="20"/>
                <w:color w:val="auto"/>
              </w:rPr>
            </w:pPr>
            <w:r>
              <w:rPr>
                <w:rFonts w:ascii="Arial" w:cs="Arial" w:eastAsia="Arial" w:hAnsi="Arial"/>
                <w:sz w:val="18"/>
                <w:szCs w:val="18"/>
                <w:b w:val="1"/>
                <w:bCs w:val="1"/>
                <w:color w:val="auto"/>
                <w:w w:val="93"/>
              </w:rPr>
              <w:t>Equity Compensation Plan Information</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100" w:type="dxa"/>
            <w:vAlign w:val="bottom"/>
          </w:tcPr>
          <w:p>
            <w:pPr>
              <w:spacing w:after="0"/>
              <w:rPr>
                <w:sz w:val="18"/>
                <w:szCs w:val="18"/>
                <w:color w:val="auto"/>
              </w:rPr>
            </w:pPr>
          </w:p>
        </w:tc>
        <w:tc>
          <w:tcPr>
            <w:tcW w:w="2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 exercise price of</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c>
          <w:tcPr>
            <w:tcW w:w="0" w:type="dxa"/>
            <w:vAlign w:val="bottom"/>
          </w:tcPr>
          <w:p>
            <w:pPr>
              <w:spacing w:after="0"/>
              <w:rPr>
                <w:sz w:val="1"/>
                <w:szCs w:val="1"/>
                <w:color w:val="auto"/>
              </w:rPr>
            </w:pPr>
          </w:p>
        </w:tc>
      </w:tr>
      <w:tr>
        <w:trPr>
          <w:trHeight w:val="216"/>
        </w:trPr>
        <w:tc>
          <w:tcPr>
            <w:tcW w:w="2760" w:type="dxa"/>
            <w:vAlign w:val="bottom"/>
            <w:gridSpan w:val="2"/>
            <w:vMerge w:val="continue"/>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 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outstanding options, warrants,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261"/>
        </w:trPr>
        <w:tc>
          <w:tcPr>
            <w:tcW w:w="2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warrants, and rights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and rights</w:t>
            </w:r>
          </w:p>
        </w:tc>
        <w:tc>
          <w:tcPr>
            <w:tcW w:w="100" w:type="dxa"/>
            <w:vAlign w:val="bottom"/>
            <w:tcBorders>
              <w:bottom w:val="single" w:sz="8" w:color="CCEEFF"/>
            </w:tcBorders>
          </w:tcPr>
          <w:p>
            <w:pPr>
              <w:spacing w:after="0"/>
              <w:rPr>
                <w:sz w:val="22"/>
                <w:szCs w:val="22"/>
                <w:color w:val="auto"/>
              </w:rPr>
            </w:pPr>
          </w:p>
        </w:tc>
        <w:tc>
          <w:tcPr>
            <w:tcW w:w="29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6"/>
              </w:rPr>
              <w:t xml:space="preserve">equity compensation plans </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2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29,985,000</w:t>
            </w:r>
          </w:p>
        </w:tc>
        <w:tc>
          <w:tcPr>
            <w:tcW w:w="0" w:type="dxa"/>
            <w:vAlign w:val="bottom"/>
          </w:tcPr>
          <w:p>
            <w:pPr>
              <w:spacing w:after="0"/>
              <w:rPr>
                <w:sz w:val="1"/>
                <w:szCs w:val="1"/>
                <w:color w:val="auto"/>
              </w:rPr>
            </w:pP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approved by security holders</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29,985,000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Excludes securities reflected in column 'Number of securities to be issued upon exercise of outstanding options, warrants, and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compares the cumulative total return for our shares (stock price change plus reinvested dividends)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comparable return of three indices: S&amp;P Mid Cap 400, Dow Jones US Transportation Services, and Alerian Index. The graph assumes an investment of $100 in the Company's shares on May 14, 2015 and in each of the indices on April 30, 2015, and that all dividends were reinvested. The past performance of our shares is not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-6350</wp:posOffset>
            </wp:positionV>
            <wp:extent cx="5831840" cy="4193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1840" cy="419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9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95"/>
              </w:rPr>
              <w:t>Period Ending</w:t>
            </w: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Index</w:t>
            </w: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5/15/15</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5/31/15</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6/30/15</w:t>
            </w:r>
          </w:p>
        </w:tc>
        <w:tc>
          <w:tcPr>
            <w:tcW w:w="7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7/31/15</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8/31/15</w:t>
            </w: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9/30/15</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10/31/15</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11/30/15</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12/31/15</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Fortress Transportation &amp; Infrastructure</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99.41</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106.65</w:t>
            </w:r>
          </w:p>
        </w:tc>
        <w:tc>
          <w:tcPr>
            <w:tcW w:w="74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103.35</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80.38</w:t>
            </w:r>
          </w:p>
        </w:tc>
        <w:tc>
          <w:tcPr>
            <w:tcW w:w="74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88"/>
              </w:rPr>
              <w:t>76.27</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76.69</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70.38</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68.91</w:t>
            </w:r>
          </w:p>
        </w:tc>
        <w:tc>
          <w:tcPr>
            <w:tcW w:w="0" w:type="dxa"/>
            <w:vAlign w:val="bottom"/>
          </w:tcPr>
          <w:p>
            <w:pPr>
              <w:spacing w:after="0"/>
              <w:rPr>
                <w:sz w:val="1"/>
                <w:szCs w:val="1"/>
                <w:color w:val="auto"/>
              </w:rPr>
            </w:pPr>
          </w:p>
        </w:tc>
      </w:tr>
      <w:tr>
        <w:trPr>
          <w:trHeight w:val="122"/>
        </w:trPr>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Investors LLC</w:t>
            </w:r>
          </w:p>
        </w:tc>
        <w:tc>
          <w:tcPr>
            <w:tcW w:w="92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S&amp;P Midcap 400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101.78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100.44</w:t>
            </w:r>
          </w:p>
        </w:tc>
        <w:tc>
          <w:tcPr>
            <w:tcW w:w="740" w:type="dxa"/>
            <w:vAlign w:val="bottom"/>
          </w:tcPr>
          <w:p>
            <w:pPr>
              <w:jc w:val="center"/>
              <w:ind w:left="70"/>
              <w:spacing w:after="0"/>
              <w:rPr>
                <w:sz w:val="20"/>
                <w:szCs w:val="20"/>
                <w:color w:val="auto"/>
              </w:rPr>
            </w:pPr>
            <w:r>
              <w:rPr>
                <w:rFonts w:ascii="Arial" w:cs="Arial" w:eastAsia="Arial" w:hAnsi="Arial"/>
                <w:sz w:val="18"/>
                <w:szCs w:val="18"/>
                <w:color w:val="auto"/>
                <w:w w:val="90"/>
              </w:rPr>
              <w:t>100.57</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94.96</w:t>
            </w: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8"/>
              </w:rPr>
              <w:t>91.90</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97.08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98.39</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94.29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Dow Jones US Transportation Services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98.15</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91.71</w:t>
            </w:r>
          </w:p>
        </w:tc>
        <w:tc>
          <w:tcPr>
            <w:tcW w:w="74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95.34</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86.54</w:t>
            </w:r>
          </w:p>
        </w:tc>
        <w:tc>
          <w:tcPr>
            <w:tcW w:w="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78.03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82.64</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80.52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74.79</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Alerian Index</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97.61</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89.70</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88"/>
              </w:rPr>
              <w:t>86.22</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82.57</w:t>
            </w: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8"/>
              </w:rPr>
              <w:t>70.13</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77.43</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71.00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69.93</w:t>
            </w:r>
          </w:p>
        </w:tc>
        <w:tc>
          <w:tcPr>
            <w:tcW w:w="0" w:type="dxa"/>
            <w:vAlign w:val="bottom"/>
          </w:tcPr>
          <w:p>
            <w:pPr>
              <w:spacing w:after="0"/>
              <w:rPr>
                <w:sz w:val="1"/>
                <w:szCs w:val="1"/>
                <w:color w:val="auto"/>
              </w:rPr>
            </w:pPr>
          </w:p>
        </w:tc>
      </w:tr>
      <w:tr>
        <w:trPr>
          <w:trHeight w:val="486"/>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283" w:right="259" w:bottom="1440" w:gutter="0" w:footer="0" w:header="0"/>
        </w:sectPr>
      </w:pPr>
    </w:p>
    <w:bookmarkStart w:id="38" w:name="page39"/>
    <w:bookmarkEnd w:id="38"/>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selected historical financial information set forth below as of, and for the years ended, December 31, 2015, 2014, 2013, 2012, and 2011 has been derived from our audited historical consolidated financial statements.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completed an IPO on May 20, 2015 in which Fortress Worldwide Transportation and Infrastructure Investors LP, Fortress Worldwide Transportation and Infrastructure Offshore LP, and Fortress Worldwide Transportation and Infrastructure Master GP LLP (collectively the "Initial Shareholders"), immediately prior to the consummation of the IPO, received shares in proportion to their respective ownership percentages. As a result, the Company has retrospectively presented the shares outstanding for all prior periods presented.</w:t>
      </w:r>
    </w:p>
    <w:p>
      <w:pPr>
        <w:spacing w:after="0" w:line="7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36195</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7"/>
          </w:tcPr>
          <w:p>
            <w:pPr>
              <w:jc w:val="center"/>
              <w:ind w:left="428"/>
              <w:spacing w:after="0"/>
              <w:rPr>
                <w:sz w:val="20"/>
                <w:szCs w:val="20"/>
                <w:color w:val="auto"/>
              </w:rPr>
            </w:pPr>
            <w:r>
              <w:rPr>
                <w:rFonts w:ascii="Arial" w:cs="Arial" w:eastAsia="Arial" w:hAnsi="Arial"/>
                <w:sz w:val="14"/>
                <w:szCs w:val="14"/>
                <w:color w:val="auto"/>
                <w:w w:val="90"/>
              </w:rPr>
              <w:t>(in thousands except share and per share data)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27,681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17,286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5,964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10,013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92,743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43,984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19,530</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r>
      <w:tr>
        <w:trPr>
          <w:trHeight w:val="25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25,550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9,969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Terminal services revenues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2,652</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13,946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136,568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57,930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19,530</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r>
      <w:tr>
        <w:trPr>
          <w:trHeight w:val="270"/>
        </w:trPr>
        <w:tc>
          <w:tcPr>
            <w:tcW w:w="4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68,793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27,223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11,450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45,308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15,998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3,909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227</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19,311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5,872</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2,816</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161,681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68,013</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2,659</w:t>
            </w:r>
          </w:p>
        </w:tc>
      </w:tr>
      <w:tr>
        <w:trPr>
          <w:trHeight w:val="270"/>
        </w:trPr>
        <w:tc>
          <w:tcPr>
            <w:tcW w:w="4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 earnings of unconsolidated entities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7,576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unconsolidated entity</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(2,932)</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13,875</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18,907</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3,162</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(28,045)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(28,631)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2,918</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137"/>
        </w:trPr>
        <w:tc>
          <w:tcPr>
            <w:tcW w:w="4120" w:type="dxa"/>
            <w:vAlign w:val="bottom"/>
          </w:tcPr>
          <w:p>
            <w:pPr>
              <w:ind w:left="40"/>
              <w:spacing w:after="0" w:line="137" w:lineRule="exact"/>
              <w:rPr>
                <w:sz w:val="20"/>
                <w:szCs w:val="20"/>
                <w:color w:val="auto"/>
              </w:rPr>
            </w:pPr>
            <w:r>
              <w:rPr>
                <w:rFonts w:ascii="Arial" w:cs="Arial" w:eastAsia="Arial" w:hAnsi="Arial"/>
                <w:sz w:val="14"/>
                <w:szCs w:val="14"/>
                <w:color w:val="auto"/>
              </w:rPr>
              <w:t>Less: Net (loss) income attributable to non-controlling interest in</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8"/>
        </w:trPr>
        <w:tc>
          <w:tcPr>
            <w:tcW w:w="4120" w:type="dxa"/>
            <w:vAlign w:val="bottom"/>
          </w:tcPr>
          <w:p>
            <w:pPr>
              <w:ind w:left="40"/>
              <w:spacing w:after="0"/>
              <w:rPr>
                <w:sz w:val="20"/>
                <w:szCs w:val="20"/>
                <w:color w:val="auto"/>
              </w:rPr>
            </w:pPr>
            <w:r>
              <w:rPr>
                <w:rFonts w:ascii="Arial" w:cs="Arial" w:eastAsia="Arial" w:hAnsi="Arial"/>
                <w:sz w:val="14"/>
                <w:szCs w:val="14"/>
                <w:color w:val="auto"/>
              </w:rPr>
              <w:t>consolidated subsidiaries</w:t>
            </w:r>
          </w:p>
        </w:tc>
        <w:tc>
          <w:tcPr>
            <w:tcW w:w="3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(11,826)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7,780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88"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(in thousands except share and per share data)</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Earnings per Share: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(0.18)</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0.15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0.46</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0.04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(0.18)</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0.15</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0.46</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0.04</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67,039,439</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53,502,873</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53,502,873</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53,502,873</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53,502,873</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67,039,439</w:t>
            </w:r>
          </w:p>
        </w:tc>
        <w:tc>
          <w:tcPr>
            <w:tcW w:w="4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53,502,873</w:t>
            </w:r>
          </w:p>
        </w:tc>
        <w:tc>
          <w:tcPr>
            <w:tcW w:w="48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53,502,873</w:t>
            </w:r>
          </w:p>
        </w:tc>
        <w:tc>
          <w:tcPr>
            <w:tcW w:w="5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53,502,873</w:t>
            </w:r>
          </w:p>
        </w:tc>
        <w:tc>
          <w:tcPr>
            <w:tcW w:w="3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53,502,873</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 of common stock</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22"/>
                <w:szCs w:val="22"/>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1,649,641</w:t>
            </w:r>
          </w:p>
        </w:tc>
        <w:tc>
          <w:tcPr>
            <w:tcW w:w="4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1,404,740</w:t>
            </w:r>
          </w:p>
        </w:tc>
        <w:tc>
          <w:tcPr>
            <w:tcW w:w="48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278,647</w:t>
            </w:r>
          </w:p>
        </w:tc>
        <w:tc>
          <w:tcPr>
            <w:tcW w:w="5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170,574</w:t>
            </w:r>
          </w:p>
        </w:tc>
        <w:tc>
          <w:tcPr>
            <w:tcW w:w="3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17,316</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Debt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271,057</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592,867</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73,388</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55,991</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2"/>
                <w:szCs w:val="22"/>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358,955</w:t>
            </w:r>
          </w:p>
        </w:tc>
        <w:tc>
          <w:tcPr>
            <w:tcW w:w="4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691,243</w:t>
            </w:r>
          </w:p>
        </w:tc>
        <w:tc>
          <w:tcPr>
            <w:tcW w:w="48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82,763</w:t>
            </w:r>
          </w:p>
        </w:tc>
        <w:tc>
          <w:tcPr>
            <w:tcW w:w="5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58,559</w:t>
            </w:r>
          </w:p>
        </w:tc>
        <w:tc>
          <w:tcPr>
            <w:tcW w:w="3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6,461</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1,290,686</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713,497</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195,884</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112,015</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10,855</w:t>
            </w:r>
          </w:p>
        </w:tc>
      </w:tr>
      <w:tr>
        <w:trPr>
          <w:trHeight w:val="270"/>
        </w:trPr>
        <w:tc>
          <w:tcPr>
            <w:tcW w:w="4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Net cash provided by (used in):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23,528</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(31,551)</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11,913</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(239,921)</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(571,416)</w:t>
            </w:r>
          </w:p>
        </w:tc>
        <w:tc>
          <w:tcPr>
            <w:tcW w:w="480" w:type="dxa"/>
            <w:vAlign w:val="bottom"/>
          </w:tcPr>
          <w:p>
            <w:pPr>
              <w:spacing w:after="0"/>
              <w:rPr>
                <w:sz w:val="22"/>
                <w:szCs w:val="22"/>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(87,765)</w:t>
            </w:r>
          </w:p>
        </w:tc>
        <w:tc>
          <w:tcPr>
            <w:tcW w:w="5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(149,554)</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(12,302)</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575,971</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617,856</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78,964</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154,599</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466090</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52" w:right="239" w:bottom="1440" w:gutter="0" w:footer="0" w:header="0"/>
        </w:sectPr>
      </w:pPr>
    </w:p>
    <w:bookmarkStart w:id="40" w:name="page41"/>
    <w:bookmarkEnd w:id="4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consolidated financial statements and the accompanying notes, and with Part I, Item 1A, “Risk Factors” and "Forward-Looking Statements"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professionals who collectively have acquired over $17 billion in transportation and infrastructure assets since 2002. As of December 31, 2015, we had total consolidated assets of $1.6 billion and total equity of $1.3 billion.</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 In November 2015, the Onshore Fund and the Offshore Fund each distributed to their respective limited partners the common shares allocated to their limited partners in accordance with their respective limited partnership agreements.</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May 20, 2015, we completed an initial public offering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used and intends to use the net proceeds from the IPO,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may use such net proceeds for follow-on investments in existing assets, working capital and other general purposes.</w:t>
      </w:r>
    </w:p>
    <w:p>
      <w:pPr>
        <w:spacing w:after="0" w:line="25"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7"/>
          <w:szCs w:val="17"/>
          <w:color w:val="auto"/>
        </w:rPr>
        <w:t>While our strategy permits us to acquire a broad array of transportation-related assets, we are currently active in four sectors where we believe there are meaningful opportunities to deploy capital to achieve attractive risk adjusted returns: aviation, energy, intermodal transport and rail.</w:t>
      </w:r>
    </w:p>
    <w:p>
      <w:pPr>
        <w:spacing w:after="0" w:line="1"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air travel and air freight activity have historically been long-term growth sectors and are tied to the underlying demand for passenger and freight movement. We continue to see strong demand for aviation related assets.</w:t>
      </w:r>
    </w:p>
    <w:p>
      <w:pPr>
        <w:spacing w:after="0" w:line="8"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Within the energy infrastructure and transportation equipment market, we are focused on two sub-sectors: land-based infrastructure and offshore energy service equipment. 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 Offshore energy service equipment refers to vessels supporting the extraction, processing and transportation of oil and natural gas from deposits located beneath the sea floor. The recent oil price decline has led to oil and gas companies reducing and deferring spending decisions, creating an oversupply of offshore energy assets, and in turn, lower day-rates, utilization and earnings for offshore service companies.</w:t>
      </w:r>
    </w:p>
    <w:p>
      <w:pPr>
        <w:spacing w:after="0" w:line="15"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the significant drop in commodity prices has led to a decline in new container prices which has led to lower lease rates and residual values.</w:t>
      </w:r>
    </w:p>
    <w:p>
      <w:pPr>
        <w:spacing w:after="0" w:line="3" w:lineRule="exact"/>
        <w:rPr>
          <w:rFonts w:ascii="Arial" w:cs="Arial" w:eastAsia="Arial" w:hAnsi="Arial"/>
          <w:sz w:val="17"/>
          <w:szCs w:val="17"/>
          <w:color w:val="auto"/>
        </w:rPr>
      </w:pPr>
    </w:p>
    <w:p>
      <w:pPr>
        <w:jc w:val="both"/>
        <w:ind w:left="980" w:hanging="324"/>
        <w:spacing w:after="0" w:line="31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Rail refers to the railroad industry, which has increased its share of freight ton-miles compared to other forms of freight transportation over the past quarter century. This infrastructure, most of which was originally established over 100 years ago, represents a limited supply of assets and a difficult-to-replicate network. We continue to see increased volumes and efficiencies on our network since our investment in CMQR in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may include structural protections to mitigate credit risk.</w:t>
      </w:r>
    </w:p>
    <w:p>
      <w:pPr>
        <w:spacing w:after="0" w:line="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investments in shipping containers subject to operating leases and finance leases as well as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and management fees.</w:t>
      </w:r>
    </w:p>
    <w:p>
      <w:pPr>
        <w:spacing w:after="0" w:line="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(Non-GAAP)</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reflects the current management of our businesses and provides the CODM with the information necessary to assess operational performance as well as make resource and allocation decisions. Adjusted Net Income should not be considered as an alternative to net income attributable to shareholders as determined in accordance with U.S. generally accepted accounting principles (“GAAP”).</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firstLine="8"/>
        <w:spacing w:after="0" w:line="254" w:lineRule="auto"/>
        <w:tabs>
          <w:tab w:leader="none" w:pos="2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shareholders as defined by GAAP is the most appropriate earnings measurement with which to reconcile Adjusted Net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(Non-GAAP)</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view Adjusted EBITDA as a secondary measurement to Adjusted Net Income, which serves as a useful supplement to investors, analysts and management to measure operating performance of deployed assets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firstLine="8"/>
        <w:spacing w:after="0" w:line="261" w:lineRule="auto"/>
        <w:tabs>
          <w:tab w:leader="none" w:pos="2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the impact of principal collections on direct finance leases (collectively, “Adjusted EBITDA”) and our pro-rata share of Adjusted EBITDA from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unconsolidated entities, and (c) to exclude the impact of equity in earnings of unconsolidated entities and the non-controlling share of Adjusted EBITDA.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attributable to shareholders to Adjusted Net Income in the year ended December 31, 2015 as compared to the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11,322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1,501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48,759</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3,295</w:t>
            </w:r>
          </w:p>
        </w:tc>
      </w:tr>
      <w:tr>
        <w:trPr>
          <w:trHeight w:val="237"/>
        </w:trPr>
        <w:tc>
          <w:tcPr>
            <w:tcW w:w="744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15,581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43,825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29,879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136,568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57,930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78,638</w:t>
            </w: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68,793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41,570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45,308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29,310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13,439</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161,681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68,013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93,668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(4,157)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(16,807)</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(28,045)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(31,837)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(28,631)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(31,549)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(11,826)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(19,606)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3,397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3,552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61"/>
        </w:trPr>
        <w:tc>
          <w:tcPr>
            <w:tcW w:w="74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13,049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7,787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20,657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(12,870)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0" w:right="140" w:hanging="432"/>
        <w:spacing w:after="0" w:line="247" w:lineRule="auto"/>
        <w:tabs>
          <w:tab w:leader="none" w:pos="148" w:val="left"/>
        </w:tabs>
        <w:numPr>
          <w:ilvl w:val="0"/>
          <w:numId w:val="23"/>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asset impairment charges of $10,508 for the year ended December 31, 2015. Pro-rata share of Adjusted Net Income from unconsolidated entities includes the Company’s proportionate share of the unconsolidated entities’ net income adjusted for loss on extinguishment of debt of $62 for the year ended December 31, 2014.</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3"/>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the following for the years ended December 31, 2015 and 2014, respectively: (i) equity-based compensation of $1,387 and $454,</w:t>
      </w:r>
    </w:p>
    <w:p>
      <w:pPr>
        <w:spacing w:after="0" w:line="12" w:lineRule="exact"/>
        <w:rPr>
          <w:rFonts w:ascii="Arial" w:cs="Arial" w:eastAsia="Arial" w:hAnsi="Arial"/>
          <w:sz w:val="8"/>
          <w:szCs w:val="8"/>
          <w:color w:val="auto"/>
        </w:rPr>
      </w:pPr>
    </w:p>
    <w:p>
      <w:pPr>
        <w:ind w:left="660" w:hanging="220"/>
        <w:spacing w:after="0"/>
        <w:tabs>
          <w:tab w:leader="none" w:pos="6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provision for income tax of $16 and $71, and (iii) cash tax payments of $(70) and $0.</w:t>
      </w:r>
    </w:p>
    <w:p>
      <w:pPr>
        <w:spacing w:after="0" w:line="21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33,632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19,311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13,439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8,361</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21,335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40,014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(18,679)</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13,049</w:t>
            </w:r>
          </w:p>
        </w:tc>
      </w:t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107,262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17,949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440" w:right="660" w:hanging="432"/>
        <w:spacing w:after="0" w:line="241" w:lineRule="auto"/>
        <w:tabs>
          <w:tab w:leader="none" w:pos="148" w:val="left"/>
        </w:tabs>
        <w:numPr>
          <w:ilvl w:val="0"/>
          <w:numId w:val="24"/>
        </w:numPr>
        <w:rPr>
          <w:rFonts w:ascii="Arial" w:cs="Arial" w:eastAsia="Arial" w:hAnsi="Arial"/>
          <w:sz w:val="9"/>
          <w:szCs w:val="9"/>
          <w:color w:val="auto"/>
        </w:rPr>
      </w:pPr>
      <w:r>
        <w:rPr>
          <w:rFonts w:ascii="Arial" w:cs="Arial" w:eastAsia="Arial" w:hAnsi="Arial"/>
          <w:sz w:val="14"/>
          <w:szCs w:val="14"/>
          <w:color w:val="auto"/>
        </w:rPr>
        <w:t>Depreciation and amortization expense includes $45,308 and $15,998 of depreciation and amortization expense, $6,774 and $2,694 of lease intangible amortization, and $242 and $0 of amortization for lease incentives for the years ended December 31, 2015 and 2014, respectively.</w:t>
      </w:r>
    </w:p>
    <w:p>
      <w:pPr>
        <w:ind w:left="440" w:right="220" w:hanging="432"/>
        <w:spacing w:after="0" w:line="241" w:lineRule="auto"/>
        <w:tabs>
          <w:tab w:leader="none" w:pos="148"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adjustments for the following items for the years ended December 31, 2015 and 2014: (i) net income (loss) of $(7,165) and $5,876, (ii) interest expense of $1,778 and $2,561, (iii) depreciation and amortization expense of $1,866 and $1,232, (iv) principal collections of finance leases of $14,348 and $30,345, and (v) asset impairment charges of $10,508 and $0, respectively.</w:t>
      </w:r>
    </w:p>
    <w:p>
      <w:pPr>
        <w:spacing w:after="0" w:line="1" w:lineRule="exact"/>
        <w:rPr>
          <w:rFonts w:ascii="Arial" w:cs="Arial" w:eastAsia="Arial" w:hAnsi="Arial"/>
          <w:sz w:val="9"/>
          <w:szCs w:val="9"/>
          <w:color w:val="auto"/>
        </w:rPr>
      </w:pPr>
    </w:p>
    <w:p>
      <w:pPr>
        <w:ind w:left="440" w:right="580" w:hanging="432"/>
        <w:spacing w:after="0" w:line="293" w:lineRule="auto"/>
        <w:tabs>
          <w:tab w:leader="none" w:pos="148" w:val="left"/>
        </w:tabs>
        <w:numPr>
          <w:ilvl w:val="0"/>
          <w:numId w:val="24"/>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years ended December 31, 2015 and 2014: (i) equity based compensation of $1,387 and $454, (ii) provision for income taxes of $16 and $71, (iii) interest expense of $4,926 and $642, and (iv) depreciation and amortization expense of $5,746 and $1,330,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 increased by $78,638 in the year ended December 31, 2015 as compared to the year ended December 31, 2014, primarily from acquisitions of leasing equipment in 2015 and the full impact of acquisitions completed in the second half of 2014 for lease income, maintenance revenue, rail revenues, and terminal services revenues.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6"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In Equipment Leasing, lease income increased by $37,202 in the year ended December 31, 2015, as compared to the year ended December 31, 2014, driven by the acquisitions of assets on-lease within the Aviation Leasing and Offshore Energy segments. Maintenance revenue increased by $11,322 in the year ended December 31, 2015 as compared to the year ended December 31, 2014, as the number of assets subject to leases with maintenance arrangements increased in the comparable periods.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Infrastructure, the Railroad segment acquisition in the second quarter of 2014 contributed to higher rail revenues of $15,581 in the year ended December 31, 2015 as compared to the year ended December 31, 2014. The Jefferson Terminal acquisition in the third quarter of 2014 contributed higher terminal services revenues and lease income of $14,298 in the year ended December 31, 2015 as compared to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expenses increased by $93,668 in the year ended December 31, 2015 as compared to the year ended December 31, 2014 due to increases in operating expenses, management fees, depreciation and amortization, and interest expense offset by a reduction of acquisition and transaction costs.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expenses increased $41,570 primarily due to the full year impact of facility operations for Jefferson and CMQR, both acquired in 2014.</w:t>
      </w:r>
    </w:p>
    <w:p>
      <w:pPr>
        <w:spacing w:after="0" w:line="14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Management fees and incentive allocation to affiliate increased by $9,555 in the year ended December 31, 2015 as compared to the year ended December 31, 2014, due to both the increase in the weighted average contributed capital and capital raised during the Company’s IPO.</w:t>
      </w: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increased by $29,310 due to the full year impact of Aviation and Offshore assets acquired in 2014 and new purchases of Aviation assets in 2015. Additionally, the full year impact of the CMQR and Jefferson acquisitions and a significant portion of Jefferson assets placed into service during 2015 caused an increase in depreciation expense during 2015.</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increased by $13,439 in the year ended December 31, 2015 as compared to the year ended December 31, 2014, due to borrowings in connection with the CMQR and Jefferson Terminal acquisitions, as well as an Offshore Energy segment asset purchase.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Acquisition and transaction expenses decreased by $5,767 in the year ended December 31, 2015 as compared to the year ended December 31, 2014, as 2014 included costs related to the acquisitions of Jefferson Terminal and CMQR.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other income decreased by $16,807 in the year ended December 31, 2015 as compared to the year ended December 31, 2014 due to lower equity in earnings of unconsolidated entities. Equity in earnings of unconsolidated entities decreased primarily from an impairment charge recorded by our shipping container joint venture in the third quarter of 2015. Additionally, other income was further impacted by lower gains on sale of aviation equipment of $4,523.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income attributable to shareholders decreased by $19,606 in the year ended December 31, 2015 as compared to the year ended December 31, 2014, driven primarily by the changes discussed above, but offset by increases in net loss attributable to non-controlling interest in consolidated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Adjusted Net Income decreased $12,870 in the year ended December 31, 2015 as compared to the year ended December 31, 2014 due to changes in Net (loss) Income attributable to shareholders noted above of $19,606 and lower acquisition and transaction costs, offset by higher equity-based compensation expense and equity in losses of unconsolidated entities.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Adjusted EBITDA increased $17,949 in the year ended December 31, 2015 as compared to the year ended December 31, 2014. In addition to the changes in Net (loss) income attributable to shareholders noted above of $19,606, the increase was primarily due to increases in (i) equity in losses of unconsolidated entities, (ii) depreciation and amortization expense from additional assets acquired or placed into service across nearly all segments, (iii) interest expense on borrowings executed in the second half of 2014 (iv) equity-based compensation expense and (v) principal collections on direct finance leases. The increase in the year ended December 31, 2015 was offset by (i) a decrease in our pro-rata share of Adjusted EBITDA from unconsolidated entities and (ii) higher non-controlling share of Adjusted EBITDA, mainly due to Jefferson Terminal. The increase in the year ended December 31, 2015 was also offset by lower acquisition and transaction expenses, mainly due to costs to acquire Jefferson Terminal and CMQR, incurred during the year ended December 31, 2014.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Discussed below are our consolidated results of operations for each of our reportable segments (all amounts in U.S. dollars and expressed in thousands).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Aviation Leasing segment, we own and manage 60 aviation assets, including 18 commercial passenger aircraft and 42 commercial jet engines.</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2015, 17 of our commercial aircraft and 23 of our jet engines were leased to operators or other third parties. Aviation assets currently off lease are either undergoing repair and/or maintenance, or are currently held in short term storage awaiting a future lease. Our aviation equipment was approximately 86% utilized as of December 31, 2015, based on the equity value of our on-hire leasing equipment as a percentage of the total equity value of our leasing equipment. Our aircraft assets currently have a weighted average remaining lease term of 33 months, and our engine assets currently on-lease have an average remaining lease term of 13 months. The chart below describes the assets in our Aviation Leasing segment:</w:t>
      </w:r>
    </w:p>
    <w:p>
      <w:pPr>
        <w:spacing w:after="0" w:line="91"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20" w:type="dxa"/>
            <w:vAlign w:val="bottom"/>
            <w:shd w:val="clear" w:color="auto" w:fill="00497F"/>
          </w:tcPr>
          <w:p>
            <w:pPr>
              <w:spacing w:after="0"/>
              <w:rPr>
                <w:sz w:val="23"/>
                <w:szCs w:val="23"/>
                <w:color w:val="auto"/>
              </w:rPr>
            </w:pPr>
          </w:p>
        </w:tc>
        <w:tc>
          <w:tcPr>
            <w:tcW w:w="2560" w:type="dxa"/>
            <w:vAlign w:val="bottom"/>
            <w:gridSpan w:val="3"/>
            <w:shd w:val="clear" w:color="auto" w:fill="00497F"/>
          </w:tcPr>
          <w:p>
            <w:pPr>
              <w:ind w:left="20"/>
              <w:spacing w:after="0"/>
              <w:rPr>
                <w:sz w:val="20"/>
                <w:szCs w:val="20"/>
                <w:color w:val="auto"/>
              </w:rPr>
            </w:pPr>
            <w:r>
              <w:rPr>
                <w:rFonts w:ascii="Arial" w:cs="Arial" w:eastAsia="Arial" w:hAnsi="Arial"/>
                <w:sz w:val="18"/>
                <w:szCs w:val="18"/>
                <w:b w:val="1"/>
                <w:bCs w:val="1"/>
                <w:color w:val="FFFFFF"/>
              </w:rPr>
              <w:t>Aviation Assets</w:t>
            </w:r>
          </w:p>
        </w:tc>
        <w:tc>
          <w:tcPr>
            <w:tcW w:w="2180" w:type="dxa"/>
            <w:vAlign w:val="bottom"/>
            <w:shd w:val="clear" w:color="auto" w:fill="00497F"/>
          </w:tcPr>
          <w:p>
            <w:pPr>
              <w:jc w:val="right"/>
              <w:ind w:right="370"/>
              <w:spacing w:after="0"/>
              <w:rPr>
                <w:sz w:val="20"/>
                <w:szCs w:val="20"/>
                <w:color w:val="auto"/>
              </w:rPr>
            </w:pPr>
            <w:r>
              <w:rPr>
                <w:rFonts w:ascii="Arial" w:cs="Arial" w:eastAsia="Arial" w:hAnsi="Arial"/>
                <w:sz w:val="18"/>
                <w:szCs w:val="18"/>
                <w:b w:val="1"/>
                <w:bCs w:val="1"/>
                <w:color w:val="FFFFFF"/>
              </w:rPr>
              <w:t>Widebody</w:t>
            </w:r>
          </w:p>
        </w:tc>
        <w:tc>
          <w:tcPr>
            <w:tcW w:w="2100" w:type="dxa"/>
            <w:vAlign w:val="bottom"/>
            <w:shd w:val="clear" w:color="auto" w:fill="00497F"/>
          </w:tcPr>
          <w:p>
            <w:pPr>
              <w:jc w:val="right"/>
              <w:ind w:right="650"/>
              <w:spacing w:after="0"/>
              <w:rPr>
                <w:sz w:val="20"/>
                <w:szCs w:val="20"/>
                <w:color w:val="auto"/>
              </w:rPr>
            </w:pPr>
            <w:r>
              <w:rPr>
                <w:rFonts w:ascii="Arial" w:cs="Arial" w:eastAsia="Arial" w:hAnsi="Arial"/>
                <w:sz w:val="18"/>
                <w:szCs w:val="18"/>
                <w:b w:val="1"/>
                <w:bCs w:val="1"/>
                <w:color w:val="FFFFFF"/>
              </w:rPr>
              <w:t>Narrowbody</w:t>
            </w:r>
          </w:p>
        </w:tc>
        <w:tc>
          <w:tcPr>
            <w:tcW w:w="1180" w:type="dxa"/>
            <w:vAlign w:val="bottom"/>
            <w:shd w:val="clear" w:color="auto" w:fill="00497F"/>
          </w:tcPr>
          <w:p>
            <w:pPr>
              <w:jc w:val="right"/>
              <w:ind w:right="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3"/>
          </w:tcPr>
          <w:p>
            <w:pPr>
              <w:ind w:left="20"/>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2015</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2015</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Arial" w:cs="Arial" w:eastAsia="Arial" w:hAnsi="Arial"/>
                <w:sz w:val="18"/>
                <w:szCs w:val="18"/>
                <w:b w:val="1"/>
                <w:bCs w:val="1"/>
                <w:i w:val="1"/>
                <w:iCs w:val="1"/>
                <w:color w:val="auto"/>
              </w:rPr>
              <w:t>Jet Engines</w:t>
            </w: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560" w:type="dxa"/>
            <w:vAlign w:val="bottom"/>
            <w:gridSpan w:val="3"/>
            <w:vMerge w:val="continue"/>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2015</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1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2015</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24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as compared to the year ended December 31, 2014 for the Aviation Leasing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17,286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5,964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11,322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w:t>
            </w:r>
          </w:p>
        </w:tc>
      </w:tr>
      <w:tr>
        <w:trPr>
          <w:trHeight w:val="20"/>
        </w:trPr>
        <w:tc>
          <w:tcPr>
            <w:tcW w:w="7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61,330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20,958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40,372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23,549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9,445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14,104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15,211</w:t>
            </w:r>
          </w:p>
        </w:tc>
      </w:tr>
      <w:tr>
        <w:trPr>
          <w:trHeight w:val="291"/>
        </w:trPr>
        <w:tc>
          <w:tcPr>
            <w:tcW w:w="77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20,623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37,357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20,445</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20,424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20,641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2014</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77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37,336</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16,912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20,424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178</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30,565</w:t>
            </w:r>
          </w:p>
        </w:tc>
        <w:tc>
          <w:tcPr>
            <w:tcW w:w="4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12,139</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18,426</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33"/>
        </w:trPr>
        <w:tc>
          <w:tcPr>
            <w:tcW w:w="7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88"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6"/>
        </w:trPr>
        <w:tc>
          <w:tcPr>
            <w:tcW w:w="776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60" w:type="dxa"/>
            <w:vAlign w:val="bottom"/>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4"/>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38,318</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right="460" w:hanging="492"/>
        <w:spacing w:after="0" w:line="250" w:lineRule="auto"/>
        <w:tabs>
          <w:tab w:leader="none" w:pos="154" w:val="left"/>
        </w:tabs>
        <w:numPr>
          <w:ilvl w:val="0"/>
          <w:numId w:val="25"/>
        </w:numPr>
        <w:rPr>
          <w:rFonts w:ascii="Arial" w:cs="Arial" w:eastAsia="Arial" w:hAnsi="Arial"/>
          <w:sz w:val="9"/>
          <w:szCs w:val="9"/>
          <w:color w:val="auto"/>
        </w:rPr>
      </w:pPr>
      <w:r>
        <w:rPr>
          <w:rFonts w:ascii="Arial" w:cs="Arial" w:eastAsia="Arial" w:hAnsi="Arial"/>
          <w:sz w:val="14"/>
          <w:szCs w:val="14"/>
          <w:color w:val="auto"/>
        </w:rPr>
        <w:t>Depreciation and amortization expense includes $23,549 and $9,445 of depreciation expense, $6,774 and $2,694 of lease intangible amortization, and $242 and $0 of amortization for lease incentives for the years ended December 31, 2015 and 2014, respectively.</w:t>
      </w: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depreciation expense of $21 and $0 for the years ended December 31, 2015 and 2014,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Total revenues in the Aviation Leasing segment increased by $40,372 in the year ended December 31, 2015 as compared to the year ended December 31, 2014, driven by higher lease income, maintenance revenue, and other revenue. Lease income increased by $27,933 primarily due to (i) higher aircraft lease income of $27,583 primarily driven by a full year of lease income for ten aircraft purchased throughout 2014 and the acquisition of three aircraft with in-place leases in 2015, (ii) higher engine lease income of $4,648 primarily driven by an increase in the number of engines generating revenue, from twenty two in 2014 to thirty two in 2015, offset by (iii) by an increase in net favorable intangible lease amortization of $4,321 related to the acquisition of aircraft and engines with in-place leases. Maintenance revenue increased by $11,322 in the year ended December 31, 2015 as compared to the year ended December 31, 2014 due to a full year of utilization for the ten aircraft purchased in 2014 and increase in number of engines and aircraft on lease in the year ended December 31, 2015. Other revenue increased by $1,117 primarily due to income recognized from the forfeiture of two security deposits in the year ended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Total expenses in the Aviation Leasing segment increased by $15,211 in the year ended December 31, 2015 as compared to the year ended December 31, 2014 primarily due to increased depreciation and amortization and increased operating expenses. Depreciation and amortization increased in the year ended December 31, 2015 by $14,104 primarily due a full year impact of depreciation for ten aircraft purchased in 2014 and four aircraft and net ten jet engines placed into service in 2015. The increase in operating expenses was primarily driven by higher (i) repairs and maintenance expense of $581 primarily due to costs associated with an on-lease aircraft, (ii) other operating expenses of $337 due to increased transportation and storage of engines, along with additional software costs, (iii) professional fees of $126 due to increased tax consulting and audit fees, and (iv) an increase in commission fees of $98 due to the use of lease brokers. The increase in operating expenses was offset by decreased bad debt expense of $133 for the year ended December 31, 2015 as compared to the year ended December 31,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other income in the Aviation Leasing segment decreased by $4,538 in the year ended December 31, 2015 as compared to the year ended December 31, 2014, as the Company recognized a lower gain on sale of equipment of $4,523 in the year ended December 31,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Adjusted Net Income increased $20,641 in the year ended December 31, 2015 as compared to the year ended December 31, 2014, primarily driven by the changes to net income attributable to shareholders noted above and the net impact of the provision for tax less cash paid for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Adjusted EBITDA increased $38,318 in the year ended December 31, 2015 as compared to the year ended December 31, 2014 due to the changes in Net Income attributable to shareholders noted above and increased depreciation and amortization expense for the additional aircraft and engines owned and on-lease in the year ended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our Offshore Energy segment, we own one anchor handling tug supply (“AHTS”) vessel, one construction support vessel, and one remotely operated vehicle (“ROV”) support vessel. In addition we have contracted with a Norwegian shipyard to build a new inspection, maintenance, and repair (“IMR”) vessel. The chart below describes the assets in our Offshore Energy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54875" cy="2452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452370"/>
                    </a:xfrm>
                    <a:prstGeom prst="rect">
                      <a:avLst/>
                    </a:prstGeom>
                    <a:noFill/>
                  </pic:spPr>
                </pic:pic>
              </a:graphicData>
            </a:graphic>
          </wp:anchor>
        </w:drawing>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ind w:left="220"/>
              <w:spacing w:after="0"/>
              <w:rPr>
                <w:sz w:val="20"/>
                <w:szCs w:val="20"/>
                <w:color w:val="auto"/>
              </w:rPr>
            </w:pPr>
            <w:r>
              <w:rPr>
                <w:rFonts w:ascii="Arial" w:cs="Arial" w:eastAsia="Arial" w:hAnsi="Arial"/>
                <w:sz w:val="16"/>
                <w:szCs w:val="16"/>
                <w:color w:val="auto"/>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9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tcBorders>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Off-lease</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line="222" w:lineRule="exact"/>
              <w:rPr>
                <w:sz w:val="20"/>
                <w:szCs w:val="20"/>
                <w:color w:val="auto"/>
              </w:rPr>
            </w:pPr>
            <w:r>
              <w:rPr>
                <w:rFonts w:ascii="Arial" w:cs="Arial" w:eastAsia="Arial" w:hAnsi="Arial"/>
                <w:sz w:val="18"/>
                <w:szCs w:val="18"/>
                <w:color w:val="auto"/>
              </w:rPr>
              <w:t xml:space="preserve">April 2019 </w:t>
            </w:r>
            <w:r>
              <w:rPr>
                <w:rFonts w:ascii="Arial" w:cs="Arial" w:eastAsia="Arial" w:hAnsi="Arial"/>
                <w:sz w:val="25"/>
                <w:szCs w:val="25"/>
                <w:color w:val="auto"/>
                <w:vertAlign w:val="superscript"/>
              </w:rPr>
              <w:t>(1)</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EstimatedQ1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Estimated March</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On February 16, 2016, the Company terminated its lease arrangement related to its ROV support vessel and is currently actively pursuing a new lessee.</w:t>
      </w:r>
    </w:p>
    <w:p>
      <w:pPr>
        <w:spacing w:after="0" w:line="200" w:lineRule="exact"/>
        <w:rPr>
          <w:rFonts w:ascii="Arial" w:cs="Arial" w:eastAsia="Arial" w:hAnsi="Arial"/>
          <w:sz w:val="21"/>
          <w:szCs w:val="21"/>
          <w:color w:val="auto"/>
          <w:vertAlign w:val="superscript"/>
        </w:rPr>
      </w:pPr>
    </w:p>
    <w:p>
      <w:pPr>
        <w:spacing w:after="0" w:line="244"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48</w:t>
      </w:r>
    </w:p>
    <w:p>
      <w:pPr>
        <w:sectPr>
          <w:pgSz w:w="11900" w:h="16838" w:orient="portrait"/>
          <w:cols w:equalWidth="0" w:num="1">
            <w:col w:w="11440"/>
          </w:cols>
          <w:pgMar w:left="240" w:top="445" w:right="219" w:bottom="1440" w:gutter="0" w:footer="0" w:header="0"/>
        </w:sectPr>
      </w:pPr>
    </w:p>
    <w:bookmarkStart w:id="49" w:name="page50"/>
    <w:bookmarkEnd w:id="49"/>
    <w:p>
      <w:pPr>
        <w:ind w:right="160" w:firstLine="405"/>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2015 as compared to the year ended December 31, 2014 for the Offshore Energy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24,231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14,630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9,601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3,166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14,411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9,308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9,687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Offshore Energy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19,385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6,307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320" w:hanging="432"/>
        <w:spacing w:after="0" w:line="255" w:lineRule="auto"/>
        <w:tabs>
          <w:tab w:leader="none" w:pos="148" w:val="left"/>
        </w:tabs>
        <w:numPr>
          <w:ilvl w:val="0"/>
          <w:numId w:val="27"/>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2015 and 2014: (i) depreciation expense of $225 and $225, (ii) and interest expense of $120 and $21,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Total revenues in the Offshore Energy segment increased by $9,601 in the year ended December 31, 2015 as compared to the year ended December 31, 2014 driven by higher lease income derived from a new offshore construction support vessel acquired and put into service in September 2014.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expenses in the Offshore Energy segment increased by $9,308 in the year ended December 31, 2015 as compared to the year ended December 31, 2014 primarily from the offshore construction support vessel placed into service in September 2014. The offshore construction support vessel which included term loan financing increased depreciation and amortization expense, interest expense and operating expenses. The increase in operating expenses was primarily the result of increased (i) repairs and maintenance expenses of $1,448 related to the offshore construction support vessel (ii) crew costs of $615 (iii) management fees of $395 for a technical manager for the offshore construction support vessel beginning in June 2015, (iv) the full year insurance expense of $389 related to the offshore construction support vessel, and (v) other operating expenses of $749 in the year ended December 31, 2015 as compared to the year ended December 31,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other income in the Offshore Energy segment increased by $323 in the year ended December 31, 2015 as compared to the year ended December 31, 2014 primarily due to increased interest income and fees earned related to the loan made to our third party partner in the MT6015 joint venture.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Adjusted Net Income was $9,627 in the year ended December 31, 2015, increasing by $651 as compared to the year ended December 31, 2014. This increase was due to the changes noted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Adjusted EBITDA increased $6,307 in the year ended December 31, 2015 as compared to the year ended December 31, 2014 due to changes in Net Income attributable to shareholders of $644 noted above and higher depreciation and amortization expense for the full year impact of our offshore construction vessel placed into service during 2014 and higher interest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In our Shipping Containers segment, we own, either directly or through a joint venture, interests in approximately 138,000 maritime shipping containers and related equipment through three separate portfolios. Substantially all of these shipping containers are currently leased to operators or other third parties and, as of December 31, 2015, are 66.5% levered. The weighted average remaining lease term for these assets is 1.5 years. The chart below describes the assets in our Shipping Containers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54875" cy="2126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Shipping Containers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720" w:type="dxa"/>
            <w:vAlign w:val="bottom"/>
            <w:tcBorders>
              <w:top w:val="single" w:sz="8" w:color="auto"/>
              <w:bottom w:val="single" w:sz="8" w:color="D8D8D8"/>
              <w:right w:val="single" w:sz="8" w:color="auto"/>
            </w:tcBorders>
            <w:shd w:val="clear" w:color="auto" w:fill="D8D8D8"/>
          </w:tcPr>
          <w:p>
            <w:pPr>
              <w:ind w:left="42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260" w:type="dxa"/>
            <w:vAlign w:val="bottom"/>
            <w:tcBorders>
              <w:top w:val="single" w:sz="8" w:color="auto"/>
              <w:bottom w:val="single" w:sz="8" w:color="D8D8D8"/>
            </w:tcBorders>
            <w:shd w:val="clear" w:color="auto" w:fill="D8D8D8"/>
          </w:tcPr>
          <w:p>
            <w:pPr>
              <w:spacing w:after="0"/>
              <w:rPr>
                <w:sz w:val="23"/>
                <w:szCs w:val="23"/>
                <w:color w:val="auto"/>
              </w:rPr>
            </w:pPr>
          </w:p>
        </w:tc>
        <w:tc>
          <w:tcPr>
            <w:tcW w:w="1440" w:type="dxa"/>
            <w:vAlign w:val="bottom"/>
            <w:tcBorders>
              <w:top w:val="single" w:sz="8" w:color="auto"/>
              <w:bottom w:val="single" w:sz="8" w:color="D8D8D8"/>
              <w:right w:val="single" w:sz="8" w:color="auto"/>
            </w:tcBorders>
            <w:shd w:val="clear" w:color="auto" w:fill="D8D8D8"/>
          </w:tcPr>
          <w:p>
            <w:pPr>
              <w:ind w:left="10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40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51%</w:t>
            </w:r>
          </w:p>
        </w:tc>
        <w:tc>
          <w:tcPr>
            <w:tcW w:w="20" w:type="dxa"/>
            <w:vAlign w:val="bottom"/>
            <w:tcBorders>
              <w:top w:val="single" w:sz="8" w:color="auto"/>
            </w:tcBorders>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96,000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8"/>
                <w:szCs w:val="18"/>
                <w:color w:val="auto"/>
              </w:rPr>
              <w:t xml:space="preserve">39,000 </w:t>
            </w:r>
            <w:r>
              <w:rPr>
                <w:rFonts w:ascii="Arial" w:cs="Arial" w:eastAsia="Arial" w:hAnsi="Arial"/>
                <w:sz w:val="25"/>
                <w:szCs w:val="25"/>
                <w:color w:val="auto"/>
                <w:vertAlign w:val="superscript"/>
              </w:rPr>
              <w:t>(1)</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~7.5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Chassis</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On March 9, 2016, the Company consummated the sale of Portfolio #2.</w:t>
      </w:r>
    </w:p>
    <w:p>
      <w:pPr>
        <w:spacing w:after="0" w:line="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2015 as compared to the year ended December 31, 2014 for the Shipping Containers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7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74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(1,214)</w:t>
            </w:r>
          </w:p>
        </w:tc>
      </w:tr>
      <w:tr>
        <w:trPr>
          <w:trHeight w:val="291"/>
        </w:trPr>
        <w:tc>
          <w:tcPr>
            <w:tcW w:w="7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1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2,743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3,097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(13,037)</w:t>
            </w:r>
          </w:p>
        </w:tc>
      </w:tr>
      <w:tr>
        <w:trPr>
          <w:trHeight w:val="21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11,366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(13,897)</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(2,404)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11,266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(13,670)</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(benefit)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40"/>
          </w:cols>
          <w:pgMar w:left="240" w:top="445"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7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2"/>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74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13,049</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7,991</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11,453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(3,462)</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40" w:hanging="432"/>
        <w:spacing w:after="0" w:line="248" w:lineRule="auto"/>
        <w:tabs>
          <w:tab w:leader="none" w:pos="148" w:val="left"/>
        </w:tabs>
        <w:numPr>
          <w:ilvl w:val="0"/>
          <w:numId w:val="29"/>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asset impairment charges of $10,508 for the year ended December 31, 2015. Pro-rata share of Adjusted Net Income from unconsolidated entities includes the Company’s proportionate share of the unconsolidated entities’ net income adjusted for loss on extinguishment of debt of $62 for the year ended December 31, 2014.</w:t>
      </w:r>
    </w:p>
    <w:p>
      <w:pPr>
        <w:spacing w:after="0" w:line="19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Shipping Containers segment: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7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74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(13,670)</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Provision (benefit) for income taxes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r>
      <w:tr>
        <w:trPr>
          <w:trHeight w:val="270"/>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21,335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(18,679)</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Equity in losses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13,049</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Less: Non-controlling share of Adjusted EBITDA</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48,117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(10,985)</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20" w:hanging="432"/>
        <w:spacing w:after="0" w:line="248" w:lineRule="auto"/>
        <w:tabs>
          <w:tab w:leader="none" w:pos="148" w:val="left"/>
        </w:tabs>
        <w:numPr>
          <w:ilvl w:val="0"/>
          <w:numId w:val="30"/>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years ended December 31, 2015 and 2014: (i) net income (loss) of $(7,165) and $5,876, (ii) interest expense of $1,778 and $2,561, (iii) depreciation and amortization expense of $1,866 and $1,232, (iv) principal collections of finance leases of $14,348 and $30,345, and (v) asset impairment charges of $10,508 and $0,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Total revenues in the Shipping Containers segment decreased by $1,214 in the year ended December 31, 2015 as compared to the year ended December 31, 2014 principally driven by lower finance lease income as a result of the amortization of the underlying principal balances.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expenses in the Shipping Containers segment decreased by $354 in the year ended December 31, 2015 as compared to the year ended December 31, 2014 due to a decrease in interest expense of $447 in the year ended December 31, 2015 due to lower principal balances on the term loans. This decrease was offset by increased expense of $93 related to management fees.</w:t>
      </w:r>
    </w:p>
    <w:p>
      <w:pPr>
        <w:sectPr>
          <w:pgSz w:w="11900" w:h="16838" w:orient="portrait"/>
          <w:cols w:equalWidth="0" w:num="1">
            <w:col w:w="11420"/>
          </w:cols>
          <w:pgMar w:left="240" w:top="39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96"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other income in the Shipping Containers segment decreased $13,037 in the year ended December 31, 2015 as compared to the year ended December 31, 2014, primarily driven by lower equity in earnings of unconsolidated entities from our shipping container joint venture by $13,049 due to an asset impairment recognized by the shipping container joint venture.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Adjusted Net Income decreased $3,462 in the year ended December 31, 2015 as compared to the year ended December 31, 2014. In addition to the changes in Net (loss) income attributable to shareholders noted above of $13,670, the decrease was primarily impacted by lower equity in earnings of unconsolidated entities, a lower pro-rata share of Adjusted Net Income from unconsolidated entities, and a higher tax benefit for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EBITDA decreased $10,985 in the year ended December 31, 2015 as compared to the year ended December 31, 2014 due to changes in Net (loss) income attributable to shareholders noted above of $13,670, primarily due to a lower pro-rata share of Adjusted EBITDA from unconsolidated entities driven by an asset impairment charge recognized by a shipping container joint venture, offset by higher principal collections on direct finance leases and lower equity in earnings of unconsolidated entities.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in the year ended December 31, 2015 as compared to the year ended December 31, 2014 for the Jefferson Terminal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3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3,295</w:t>
            </w:r>
          </w:p>
        </w:tc>
      </w:tr>
      <w:tr>
        <w:trPr>
          <w:trHeight w:val="237"/>
        </w:trPr>
        <w:tc>
          <w:tcPr>
            <w:tcW w:w="744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13,655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11,003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14,298</w:t>
            </w:r>
          </w:p>
        </w:tc>
      </w:tr>
      <w:tr>
        <w:trPr>
          <w:trHeight w:val="237"/>
        </w:trPr>
        <w:tc>
          <w:tcPr>
            <w:tcW w:w="7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33,154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24,059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13,897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11,134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59,597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40,693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(26,515)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(26,272)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(14,462)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(18,944)</w:t>
            </w:r>
          </w:p>
        </w:tc>
      </w:tr>
      <w:tr>
        <w:trPr>
          <w:trHeight w:val="20"/>
        </w:trPr>
        <w:tc>
          <w:tcPr>
            <w:tcW w:w="7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40" w:hanging="432"/>
        <w:spacing w:after="0" w:line="255" w:lineRule="auto"/>
        <w:tabs>
          <w:tab w:leader="none" w:pos="148" w:val="left"/>
        </w:tabs>
        <w:numPr>
          <w:ilvl w:val="0"/>
          <w:numId w:val="31"/>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the following for the years ended December 31, 2015 and 2014: (i) equity-based compensation of $1,339 and $454, (ii) provision for income tax of $16 and $71, and (iii) cash tax payments of $(70) and $0,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96" w:right="239" w:bottom="1440" w:gutter="0" w:footer="0" w:header="0"/>
        </w:sectPr>
      </w:pPr>
    </w:p>
    <w:bookmarkStart w:id="55" w:name="page56"/>
    <w:bookmarkEnd w:id="55"/>
    <w:p>
      <w:pPr>
        <w:ind w:firstLine="648"/>
        <w:spacing w:after="0" w:line="340"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the Jefferson Terminal segment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10,994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560" w:hanging="432"/>
        <w:spacing w:after="0" w:line="293" w:lineRule="auto"/>
        <w:tabs>
          <w:tab w:leader="none" w:pos="148" w:val="left"/>
        </w:tabs>
        <w:numPr>
          <w:ilvl w:val="0"/>
          <w:numId w:val="32"/>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years ended December 31, 2015 and 2014: (i) equity-based compensation of $1,339 and $454, (ii) provision for income taxes of $16 and $71, (iii) interest expense of $4,783 and $621, and (iv) depreciation and amortization expense of $5,424 and $1,105,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Total revenue in the Jefferson Terminal segment increased by $14,298 in the year ended December 31, 2015 as compared to the year ended December 31, 2014 due to increases in both lease income and terminal service revenue. Lease income is derived from the leasing of rail cars that were purchased in 2014. Lease income increased by $3,295 in the year ended December 31, 2015 as compared to the year ended December 31, 2014, as lease contracts were entered into starting August 2014. Terminal services revenue increased by $11,003 in the year ended December 31, 2015, as the acquisition of Jefferson Terminal occurred on August 27, 2014 and 2015 reflected a full year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Total expenses in the Jefferson Terminal segment increased by $40,693 in the year ended December 31, 2015 as compared to the year ended December 31, 2014. Expenses primarily increased due to higher (i) operating expenses of $24,059, a full year impact in 2015 as compared to 4 months in 2014, incurred in connection with terminal operations, including $2,295 of equity-based compensation expense, (ii) amortization expense related to acquired customer relationships of $2,358 (iii) depreciation expense of $8,776 related to tank railcars and property, plant and equipment placed into service in 2015 and (iv) interest expense of $10,994 related to term debt used to finance the purchase of Jefferson Terminal, as well as amounts outstanding on previously issued municipal bonds, in the year ended December 31, 2015 as compared to the year ended December 31, 2014. These increases were offset by $5,494 of acquisition and transaction expenses costs in the year ended 2014 related to the closing of the Jefferson Terminal acquisition that did not recur in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attributable to shareholders increased $14,462 in the year ended December 31, 2015 as compared to the year ended December 31, 2014. In addition to the changes discussed above, Net loss attributable to shareholders was also affected by net loss attributable to non-controlling interest in consolidated subsidiaries, which increased $11,810 in the year ended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Adjusted Net Loss increased by $18,944 in the year ended December 31, 2015 as compared to the year ended December 31, 2014. In addition to the changes in Net loss attributable to shareholders noted above, 2015 was impacted by less acquisition and transaction expenses of $5,494 which occurred in 2014 for the acquisition of Jefferson Terminal. Adjusted Net Loss was also affected by higher non-controlling share of Adjusted Net Loss of $760 offset by higher equity-based compensation expense of $2,295 in the year ended December 31, 2015 as compared to the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Adjusted EBITDA decreased by $5,087 in the year ended December 31, 2015 as compared to the year ended December 31, 2014. In the year ended December 31, 2015, in addition to the changes in Net loss attributable to shareholders noted above, Adjusted EBITDA was impacted by (i) higher adjustment for the non-controlling share of Adjusted EBITDA of $9,311, comprised of higher equity-based compensation expense of $885, interest expense of $4,162, and depreciation and amortization expense of $4,319 and (ii) lower acquisition and transaction expenses of $5,494, in the year ended December 31, 2015 as compared to the year ended December 31, 2014. These adjustments were offset by higher (i) depreciation and amortization expense of $11,134 related to acquired customer relationships, tank railcars and property, plant and equipment, (ii) interest expense of $10,994 and (iii) equity-based compensation expense of $2,295, in the year ended December 31, 2015 as compared to the year ended December 31,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in the year ended December 31, 2015 as compared to the year ended December 31, 2014 for the Railroad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15,581</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25,550</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15,581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8,366</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3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3,285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equity-based compensation of $48 and $0 for the years ended December 31, 2015 and 2014, respectively.</w:t>
      </w:r>
    </w:p>
    <w:p>
      <w:pPr>
        <w:spacing w:after="0" w:line="10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the Railroad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0"/>
        </w:trPr>
        <w:tc>
          <w:tcPr>
            <w:tcW w:w="7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20"/>
        </w:trPr>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420" w:hanging="432"/>
        <w:spacing w:after="0" w:line="255" w:lineRule="auto"/>
        <w:tabs>
          <w:tab w:leader="none" w:pos="148" w:val="left"/>
        </w:tabs>
        <w:numPr>
          <w:ilvl w:val="0"/>
          <w:numId w:val="34"/>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2015 and 2014: (i) equity-based compensation of $48 and $0, (ii) interest expense of $23 and $0, and (iii) depreciation and amortization expense of $76 and $0,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Total Railroad segment revenues increased by $15,581 in the year ended December 31, 2015 as compared to the year ended December 31, 2014. The acquisition of CMQR was finalized by June 30, 2014 and therefore impacts the comparability of the year ended December 31, 2015 to the same period in 2014. Revenues increased in 2015 due to a combination of increase ancillary rail fees, new customers, and increased rates throughout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expenses in the Railroad segment increased $8,366 in the year ended December 31, 2015 as compared to the year ended December 31, 2014 due to a full year of operations being recognized in 2015.</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Expenses were comprised of (i) operating expenses of $27,819 incurred in connection with railroad operations, (ii) depreciation expense of $1,848 related to property, plant, and equipment, (iii) amortization expense of $47 related to acquired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8" w:right="2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customer relationships, and (iv) interest expense of $578 related to borrowings under the CMQR Credit Agreement used to finance construction and improvements to the railroad, in the year ended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Net loss attributable to shareholders decreased $7,901 in the year ended December 31, 2015 as compared to the year ended December 31, 2014. In addition to the changes discussed above, the decrease was also due to a net loss attributable to non-controlling interest in consolidated subsidiaries of $121 for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Loss decreased $3,285 in the year ended December 31, 2015 as compared to the year ended December 31, 2014. In addition to the changes in Net loss attributable to shareholders noted above, Adjusted Net Loss was impacted by increased equity-based compensation expense of $1,078 in the year ended December 31, 2015 as compared to the year ended December 31, 2014, and the absence of acquisition and transaction expenses of $5,646 incurred in the year ended December 31, 2014, in connection with the acquisition of CMQR.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Adjusted EBITDA increased $4,483 in the year ended December 31, 2015 as compared to the year ended December 31, 2014. In addition to the changes in Net loss attributable to shareholders noted above, Adjusted EBITDA was also impacted by higher (i) equity-based compensation expense of $1,078, (ii) depreciation and amortization expense of $906, and (iii) interest expense of $391, offset by increased non-controlling share of Adjusted EBITDA of $(147), and the absence of acquisition and transaction expenses, in the year ended December 31, 2015 as compared to the year ended December 31,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in the year ended December 31, 2015 as compared to the year ended December 31, 2014 for our Corporate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5,561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9,555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28,269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20,444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Less: Loss attributable to non-controlling interest in consolidated subsidiaries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(20,443)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5,373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Loss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(15,041)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33" w:right="239" w:bottom="1440" w:gutter="0" w:footer="0" w:header="0"/>
        </w:sectPr>
      </w:pPr>
    </w:p>
    <w:bookmarkStart w:id="59" w:name="page60"/>
    <w:bookmarkEnd w:id="59"/>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Corporate: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(20,443)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5,373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(15,087)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In Corporate, total expenses increased by $20,444 in the year ended December 31, 2015 as compared to the year ended December 31, 2014. This was mainly due to higher (i) management fees of $9,555 attributable to an increase in the weighted average capital contributed prior to the IPO as well as capital raised during the Company’s IPO, (ii) general and administrative expenses of $5,561, which include reimbursements to our manager, and (iii) acquisition and transaction expenses for additional investment activities of $5,373 in the year ended December 31, 2015 as compared to the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Net Loss was increased $15,041 in the year ended December 31, 2015 as compared to the year ended December 31, 2014. In addition to the changes in Net loss attributable to shareholders noted above, Adjusted Net Loss was primarily impacted by higher acquisition and transaction expenses of $5,373 incurred for potential acquisition opportunities in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EBITDA decreased $15,087 in the year ended December 31, 2015 as compared to the year ended December 31, 2014. In addition to the changes in Net loss attributable to shareholders noted above, the decrease was primarily impacted by higher acquisition and transaction expenses of $5,373 incurred for potential acquisition opportunities in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2014 to the year ended December 31, 2013</w:t>
      </w:r>
    </w:p>
    <w:p>
      <w:pPr>
        <w:spacing w:after="0" w:line="2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attributable to shareholders to Adjusted Net Income in the year ended December 31, 2014 as compared to the year ended December 31, 2013: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27,681</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5,964</w:t>
            </w:r>
          </w:p>
        </w:tc>
        <w:tc>
          <w:tcPr>
            <w:tcW w:w="5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2,242</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3,722</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3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24,454</w:t>
            </w:r>
          </w:p>
        </w:tc>
        <w:tc>
          <w:tcPr>
            <w:tcW w:w="0" w:type="dxa"/>
            <w:vAlign w:val="bottom"/>
          </w:tcPr>
          <w:p>
            <w:pPr>
              <w:spacing w:after="0"/>
              <w:rPr>
                <w:sz w:val="1"/>
                <w:szCs w:val="1"/>
                <w:color w:val="auto"/>
              </w:rPr>
            </w:pP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37"/>
        </w:trPr>
        <w:tc>
          <w:tcPr>
            <w:tcW w:w="744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57,930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38,400</w:t>
            </w: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27,223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24,066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12,089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68,013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13,158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54,855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unconsolidated entity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13,875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(21,487)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(22,361)</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 in consolidated subsidiaries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(4,862)</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(17,041)</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6,155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48"/>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0" w:right="100" w:hanging="432"/>
        <w:spacing w:after="0" w:line="273" w:lineRule="auto"/>
        <w:tabs>
          <w:tab w:leader="none" w:pos="148" w:val="left"/>
        </w:tabs>
        <w:numPr>
          <w:ilvl w:val="0"/>
          <w:numId w:val="35"/>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Included in the year ended December 31, 2014 is $62 of loss on extinguishing of debt.</w:t>
      </w:r>
    </w:p>
    <w:p>
      <w:pPr>
        <w:sectPr>
          <w:pgSz w:w="11900" w:h="16838" w:orient="portrait"/>
          <w:cols w:equalWidth="0" w:num="1">
            <w:col w:w="11420"/>
          </w:cols>
          <w:pgMar w:left="240" w:top="288"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88" w:right="239" w:bottom="1440" w:gutter="0" w:footer="0" w:header="0"/>
          <w:type w:val="continuous"/>
        </w:sectPr>
      </w:pPr>
    </w:p>
    <w:bookmarkStart w:id="61" w:name="page62"/>
    <w:bookmarkEnd w:id="61"/>
    <w:p>
      <w:pPr>
        <w:ind w:left="140" w:hanging="132"/>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Net Income is comprised of equity-based compensation of $454 and provision for income taxes of $71 for the year ended December 31, 2014.</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2014 as compared to the year ended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3,056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3,668</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40,014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40,898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89,313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18,916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8"/>
          <w:szCs w:val="8"/>
          <w:color w:val="auto"/>
        </w:rPr>
      </w:pPr>
      <w:r>
        <w:rPr>
          <w:rFonts w:ascii="Arial" w:cs="Arial" w:eastAsia="Arial" w:hAnsi="Arial"/>
          <w:sz w:val="13"/>
          <w:szCs w:val="13"/>
          <w:color w:val="auto"/>
        </w:rPr>
        <w:t>Pro-rata share of Adjusted EBITDA from unconsolidated entities primarily includes the Company’s proportionate share of the following items for the years ended December 31, 2014 and 2013:</w:t>
      </w:r>
    </w:p>
    <w:p>
      <w:pPr>
        <w:spacing w:after="0" w:line="13" w:lineRule="exact"/>
        <w:rPr>
          <w:sz w:val="20"/>
          <w:szCs w:val="20"/>
          <w:color w:val="auto"/>
        </w:rPr>
      </w:pPr>
    </w:p>
    <w:p>
      <w:pPr>
        <w:ind w:left="440" w:right="460"/>
        <w:spacing w:after="0" w:line="241" w:lineRule="auto"/>
        <w:rPr>
          <w:sz w:val="20"/>
          <w:szCs w:val="20"/>
          <w:color w:val="auto"/>
        </w:rPr>
      </w:pPr>
      <w:r>
        <w:rPr>
          <w:rFonts w:ascii="Arial" w:cs="Arial" w:eastAsia="Arial" w:hAnsi="Arial"/>
          <w:sz w:val="14"/>
          <w:szCs w:val="14"/>
          <w:color w:val="auto"/>
        </w:rPr>
        <w:t>(i) interest expense of $2,561 and $4,199, respectively, (ii) depreciation and amortization expense of $1,232 and $2,189, respectively, and (iii) principal collections of finance leases of $30,345 and $24,428.</w:t>
      </w:r>
    </w:p>
    <w:p>
      <w:pPr>
        <w:jc w:val="right"/>
        <w:ind w:left="440" w:right="60" w:hanging="432"/>
        <w:spacing w:after="0" w:line="293" w:lineRule="auto"/>
        <w:tabs>
          <w:tab w:leader="none" w:pos="148" w:val="left"/>
        </w:tabs>
        <w:numPr>
          <w:ilvl w:val="0"/>
          <w:numId w:val="38"/>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years ended December 31, 2014 and 2013: (i) equity based compensation of $454 and $0, respectively, (ii) provision for income taxes of $71 and $0, respectively, (iii) interest expense of $642 and $104, respectively, and (iv) depreciation and amortization expense of $1,330 and $141, respectively.</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December 31, 2014, the Company continued to make additional asset acquisitions in the Aviation Leasing, Offshore Energy and Shipping Containers segments. During 2014, the Company also added two new reportable segments within the Infrastructure Business: Jefferson Terminal and Railroad.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Total revenue increased by $38,400 in the year ended December 31, 2014 as compared to the year ended December 31, 2013 due to increases in both the equipment leasing and newly acquired infrastructure business units. The equipment leasing business increases for both lease and maintenance revenue resulted from the acquisition and lease of additional aircrafts and engines and their corresponding maintenance revenue during the year ended December 31, 2014 and an offshore vessel placed into service during September 2014. Finance revenues benefited from the full year impact of a new portfolio of shipping containers acquired in August 2013 and an anchor handling tug support vessel acquired and leased in November 2013. Infrastructure business increases were solely the result of two business acquisitions in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Total expenses increased by $54,855 in the year ended December 31, 2014 as compared to the year ended December 31, 2013 primarily resulting from increases in operating expenses of $24,066, acquisition and transaction expenses of $11,190 and depreciation and amortization expenses of $12,089. Operating expenses and acquisition and transaction expenses increased primarily due to the acquisition of the operations of Jefferson Terminal and CMQR, which closed in their entirety during June and August 2014. Depreciation and amortization increased due to additional assets acquired in the Aviation Leasing and Offshore Energy segments during the year ended December 31, 2014, as well as the acquisition of Jefferson Terminal and CMQR related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other income decreased by $5,032 in the year ended December 31, 2014 as compared to the year ended December 31, 2013 due to lower gain on sale of unconsolidated entity and equity in earnings of unconsolidated entities, both related to the November 2013 disposal of our equity interest in PJW 3000 LLC. This was offset by an increase in gain on sale of equipment of $5,161 due to asset sales within the Aviation Leasing segment during the year ended December 31,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Net Income decreased $4,424 in the year ended December 31, 2014 as compared to the year ended December 31, 2013 due to the decreases to net income attributable to shareholders discussed above of $17,041, offset primarily by significantly higher acquisition and transaction expenses of $11,190 and equity based compensation expense of $1,265 recorded during the year ended December 31,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6"/>
          <w:szCs w:val="16"/>
          <w:color w:val="auto"/>
        </w:rPr>
        <w:t>Adjusted EBITDA increased $18,916 in the year ended December 31, 2014 as compared to the year ended December 31, 2013 as the decrease in net income discussed above of $17,041 was offset primarily by increased (i) depreciation and amortization expense, (ii) acquisition and transaction expenses,</w:t>
      </w:r>
    </w:p>
    <w:p>
      <w:pPr>
        <w:ind w:firstLine="8"/>
        <w:spacing w:after="0" w:line="290" w:lineRule="auto"/>
        <w:tabs>
          <w:tab w:leader="none" w:pos="3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principal collections on direct finance leases, and (iv) interest expense. These increases primarily resulted from the investment and deployment of assets across all segments including the purchase of Jefferson Terminal and CMQR and associated debt related to these operations.</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 discussion of the Company’s results of operations in the year ended December 31, 2014 as compared to the year ended December 31, 2013 by segment is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our Aviation Leasing segment, we owned and managed 40 aviation assets, including 13 commercial passenger aircraft and 27 commercial jet engines.</w:t>
      </w:r>
    </w:p>
    <w:p>
      <w:pPr>
        <w:spacing w:after="0" w:line="14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of December 31, 2014, all of our commercial aircraft, and 13 of our commercial jet engines were leased to operators or other third parties. Aviation assets currently off lease were either undergoing repair and/or maintenance, or were currently held in short term storage awaiting a future lease. Our aviation equipment was approximately 87% utilized as of December 31, 2014, based on the equity value of our on-hire leasing equipment as a percentage of the total equity value of our leasing equipment. Our aircraft assets currently had a weighted average remaining lease term of 34 months, and our engine assets on-lease had an average remaining lease term of 7 months. The chart below details the activity of our Aviation Leasing assets during 2014:</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20" w:type="dxa"/>
            <w:vAlign w:val="bottom"/>
            <w:shd w:val="clear" w:color="auto" w:fill="00497F"/>
          </w:tcPr>
          <w:p>
            <w:pPr>
              <w:spacing w:after="0"/>
              <w:rPr>
                <w:sz w:val="23"/>
                <w:szCs w:val="23"/>
                <w:color w:val="auto"/>
              </w:rPr>
            </w:pPr>
          </w:p>
        </w:tc>
        <w:tc>
          <w:tcPr>
            <w:tcW w:w="2560" w:type="dxa"/>
            <w:vAlign w:val="bottom"/>
            <w:gridSpan w:val="3"/>
            <w:shd w:val="clear" w:color="auto" w:fill="00497F"/>
          </w:tcPr>
          <w:p>
            <w:pPr>
              <w:ind w:left="20"/>
              <w:spacing w:after="0"/>
              <w:rPr>
                <w:sz w:val="20"/>
                <w:szCs w:val="20"/>
                <w:color w:val="auto"/>
              </w:rPr>
            </w:pPr>
            <w:r>
              <w:rPr>
                <w:rFonts w:ascii="Arial" w:cs="Arial" w:eastAsia="Arial" w:hAnsi="Arial"/>
                <w:sz w:val="18"/>
                <w:szCs w:val="18"/>
                <w:b w:val="1"/>
                <w:bCs w:val="1"/>
                <w:color w:val="FFFFFF"/>
              </w:rPr>
              <w:t>Aviation Assets</w:t>
            </w:r>
          </w:p>
        </w:tc>
        <w:tc>
          <w:tcPr>
            <w:tcW w:w="2180" w:type="dxa"/>
            <w:vAlign w:val="bottom"/>
            <w:shd w:val="clear" w:color="auto" w:fill="00497F"/>
          </w:tcPr>
          <w:p>
            <w:pPr>
              <w:jc w:val="right"/>
              <w:ind w:right="370"/>
              <w:spacing w:after="0"/>
              <w:rPr>
                <w:sz w:val="20"/>
                <w:szCs w:val="20"/>
                <w:color w:val="auto"/>
              </w:rPr>
            </w:pPr>
            <w:r>
              <w:rPr>
                <w:rFonts w:ascii="Arial" w:cs="Arial" w:eastAsia="Arial" w:hAnsi="Arial"/>
                <w:sz w:val="18"/>
                <w:szCs w:val="18"/>
                <w:b w:val="1"/>
                <w:bCs w:val="1"/>
                <w:color w:val="FFFFFF"/>
              </w:rPr>
              <w:t>Widebody</w:t>
            </w:r>
          </w:p>
        </w:tc>
        <w:tc>
          <w:tcPr>
            <w:tcW w:w="2100" w:type="dxa"/>
            <w:vAlign w:val="bottom"/>
            <w:shd w:val="clear" w:color="auto" w:fill="00497F"/>
          </w:tcPr>
          <w:p>
            <w:pPr>
              <w:jc w:val="right"/>
              <w:ind w:right="650"/>
              <w:spacing w:after="0"/>
              <w:rPr>
                <w:sz w:val="20"/>
                <w:szCs w:val="20"/>
                <w:color w:val="auto"/>
              </w:rPr>
            </w:pPr>
            <w:r>
              <w:rPr>
                <w:rFonts w:ascii="Arial" w:cs="Arial" w:eastAsia="Arial" w:hAnsi="Arial"/>
                <w:sz w:val="18"/>
                <w:szCs w:val="18"/>
                <w:b w:val="1"/>
                <w:bCs w:val="1"/>
                <w:color w:val="FFFFFF"/>
              </w:rPr>
              <w:t>Narrowbody</w:t>
            </w:r>
          </w:p>
        </w:tc>
        <w:tc>
          <w:tcPr>
            <w:tcW w:w="1180" w:type="dxa"/>
            <w:vAlign w:val="bottom"/>
            <w:shd w:val="clear" w:color="auto" w:fill="00497F"/>
          </w:tcPr>
          <w:p>
            <w:pPr>
              <w:jc w:val="right"/>
              <w:ind w:right="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3"/>
          </w:tcPr>
          <w:p>
            <w:pPr>
              <w:ind w:left="20"/>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2014</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2014</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Arial" w:cs="Arial" w:eastAsia="Arial" w:hAnsi="Arial"/>
                <w:sz w:val="18"/>
                <w:szCs w:val="18"/>
                <w:b w:val="1"/>
                <w:bCs w:val="1"/>
                <w:i w:val="1"/>
                <w:iCs w:val="1"/>
                <w:color w:val="auto"/>
              </w:rPr>
              <w:t>Jet Engines</w:t>
            </w: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560" w:type="dxa"/>
            <w:vAlign w:val="bottom"/>
            <w:gridSpan w:val="3"/>
            <w:vMerge w:val="continue"/>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January 1, 2014</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21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rPr>
              <w:t>Assets at December 31, 2014</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color w:val="auto"/>
              </w:rPr>
              <w:t>62</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3" w:name="page64"/>
    <w:bookmarkEnd w:id="63"/>
    <w:p>
      <w:pPr>
        <w:ind w:right="20" w:firstLine="405"/>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2014 as compared to the year ended December 31, 2013 for the Aviation Leasing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3,722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20,958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14,313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9,445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6,473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5,995</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5,161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5,164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13,482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12,992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13,216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33" w:right="239" w:bottom="1440" w:gutter="0" w:footer="0" w:header="0"/>
        </w:sectPr>
      </w:pPr>
    </w:p>
    <w:bookmarkStart w:id="64" w:name="page65"/>
    <w:bookmarkEnd w:id="64"/>
    <w:p>
      <w:pPr>
        <w:jc w:val="both"/>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2014 as compared to the year ended December 31, 2013 for the Aviation Leasing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80" w:type="dxa"/>
            <w:vAlign w:val="bottom"/>
          </w:tcPr>
          <w:p>
            <w:pPr>
              <w:spacing w:after="0"/>
              <w:rPr>
                <w:sz w:val="20"/>
                <w:szCs w:val="20"/>
                <w:color w:val="auto"/>
              </w:rPr>
            </w:pPr>
          </w:p>
        </w:tc>
        <w:tc>
          <w:tcPr>
            <w:tcW w:w="11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30,230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23,186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Total revenue in the Aviation Leasing segment increased by $14,313 in the year ended December 31, 2014 as compared to the year ended December 31, 2013, primarily driven by higher lease income and maintenance revenue. Lease income increased in the year ended December 31, 2014 as compared to the year ended December 31, 2013 primarily due to higher aircraft lease income of $8,401 driven by the purchase of 14 on lease aircraft in the year ended December 31, 2014. Engine lease income increased by $2,300 primarily driven by an increase in the number of engines generating revenue, from 13 in 2013 to 22 in 2014. Corresponding maintenance revenue increased due to an increase in the number of aircraft and engines on lease during the year ended December 31,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Total expenses in the Aviation Leasing segment increased by $5,995 in the year ended December 31, 2014 as compared to the year ended December 31, 2013. The increase resulted from increases in depreciation and amortization, slightly offset by lower operating expenses. Depreciation and amortization increased in the year ended December 31, 2014 due to the additional aircraft and engines owned and on lease in the year ended December 31, 2014. The decrease in operating expenses is primarily the result of lower repairs and maintenance expense of $547 in the year ended December 31, 2014, offset by additional insurance expense of $228 primarily related to additional aircraft and aircraft engines owned and on lease in the year ended December 31, 2014 as compared to the year ended December 31,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Total other income in the Aviation Leasing segment increased $5,164 in the year ended December 31, 2014 as compared to the year ended December 31, 2013. The increase was due to both gains on sale of leasing equipment of $7,576 in the year ended December 31, 2014 of two aircraft and five aircraft engines, as compared to similar gains of $2,415 of five aircraft engines and one aircraft airframe in the year ended December 31, 2013.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Adjusted Net Income increased by $13,216 in the year ended December 31, 2014 as compared to the year ended December 31, 2013 due to the changes in Net Income attributable to shareholders noted above of $12,992, as well as an increased provision for taxes offset by cash tax payments.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EBITDA increased $23,186 in the year ended December 31, 2014 as compared to the year ended December 31, 2013 due to the changes in Net Income attributable to shareholders noted above of $12,992, as well as increased depreciation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amortization expense and principal collections on finance leases. The increase in depreciation and amortization expense resulted from the additional aircraft and engines owned and on lease in the year ended December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our Offshore Energy segment, we owned one anchor handling tug supply (“AHTS”) vessel, one construction support vessel and one remotely operated vehicle (“ROV”) support vessel. In addition we contracted with a Norwegian shipyard to build a new inspection, maintenance, and repair (“IMR”) vessel. The chart below describes the assets in our Offshore Energy segment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218440</wp:posOffset>
            </wp:positionV>
            <wp:extent cx="7212330" cy="2452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2452370"/>
                    </a:xfrm>
                    <a:prstGeom prst="rect">
                      <a:avLst/>
                    </a:prstGeom>
                    <a:noFill/>
                  </pic:spPr>
                </pic:pic>
              </a:graphicData>
            </a:graphic>
          </wp:anchor>
        </w:drawing>
      </w:r>
    </w:p>
    <w:p>
      <w:pPr>
        <w:spacing w:after="0" w:line="3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88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5"/>
              </w:rPr>
              <w:t>Year Built</w:t>
            </w:r>
          </w:p>
        </w:tc>
        <w:tc>
          <w:tcPr>
            <w:tcW w:w="3500" w:type="dxa"/>
            <w:vAlign w:val="bottom"/>
            <w:tcBorders>
              <w:top w:val="single" w:sz="8" w:color="auto"/>
              <w:bottom w:val="single" w:sz="8" w:color="D8D8D8"/>
              <w:right w:val="single" w:sz="8" w:color="auto"/>
            </w:tcBorders>
            <w:shd w:val="clear" w:color="auto" w:fill="D8D8D8"/>
          </w:tcPr>
          <w:p>
            <w:pPr>
              <w:ind w:left="136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40"/>
              <w:spacing w:after="0"/>
              <w:rPr>
                <w:sz w:val="20"/>
                <w:szCs w:val="20"/>
                <w:color w:val="auto"/>
              </w:rPr>
            </w:pPr>
            <w:r>
              <w:rPr>
                <w:rFonts w:ascii="Arial" w:cs="Arial" w:eastAsia="Arial" w:hAnsi="Arial"/>
                <w:sz w:val="16"/>
                <w:szCs w:val="16"/>
                <w:color w:val="auto"/>
              </w:rPr>
              <w:t>Lease Expiration</w:t>
            </w:r>
          </w:p>
        </w:tc>
        <w:tc>
          <w:tcPr>
            <w:tcW w:w="2020" w:type="dxa"/>
            <w:vAlign w:val="bottom"/>
            <w:tcBorders>
              <w:top w:val="single" w:sz="8" w:color="auto"/>
              <w:bottom w:val="single" w:sz="8" w:color="D8D8D8"/>
            </w:tcBorders>
            <w:shd w:val="clear" w:color="auto" w:fill="D8D8D8"/>
          </w:tcPr>
          <w:p>
            <w:pPr>
              <w:ind w:left="260"/>
              <w:spacing w:after="0"/>
              <w:rPr>
                <w:sz w:val="20"/>
                <w:szCs w:val="20"/>
                <w:color w:val="auto"/>
              </w:rPr>
            </w:pPr>
            <w:r>
              <w:rPr>
                <w:rFonts w:ascii="Arial" w:cs="Arial" w:eastAsia="Arial" w:hAnsi="Arial"/>
                <w:sz w:val="16"/>
                <w:szCs w:val="16"/>
                <w:color w:val="auto"/>
              </w:rPr>
              <w:t>Economic Interest (%)</w:t>
            </w:r>
          </w:p>
        </w:tc>
      </w:tr>
      <w:tr>
        <w:trPr>
          <w:trHeight w:val="222"/>
        </w:trPr>
        <w:tc>
          <w:tcPr>
            <w:tcW w:w="28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July 2015 (firm</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period)</w:t>
            </w:r>
          </w:p>
        </w:tc>
        <w:tc>
          <w:tcPr>
            <w:tcW w:w="20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April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85%</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Estimated</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December 2023</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2014 as compared to the year ended December 31, 2013 for the Offshore Energy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14,630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1,864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5,103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1,491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3,612</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on sale of unconsolidated entity</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(6,144)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8,844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33"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7" w:lineRule="exact"/>
        <w:rPr>
          <w:sz w:val="20"/>
          <w:szCs w:val="20"/>
          <w:color w:val="auto"/>
        </w:rPr>
      </w:pPr>
    </w:p>
    <w:p>
      <w:pPr>
        <w:ind w:left="440" w:right="100" w:hanging="432"/>
        <w:spacing w:after="0" w:line="255" w:lineRule="auto"/>
        <w:tabs>
          <w:tab w:leader="none" w:pos="148" w:val="left"/>
        </w:tabs>
        <w:numPr>
          <w:ilvl w:val="0"/>
          <w:numId w:val="40"/>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2014 as compared to the year ended December 31, 2013 for the Offshore Energy segment: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7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74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w:t>
            </w: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1,144</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r>
      <w:tr>
        <w:trPr>
          <w:trHeight w:val="27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4,474</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r>
      <w:tr>
        <w:trPr>
          <w:trHeight w:val="26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r>
      <w:tr>
        <w:trPr>
          <w:trHeight w:val="264"/>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(3)</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(1,695)</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8"/>
          <w:szCs w:val="8"/>
          <w:color w:val="auto"/>
        </w:rPr>
      </w:pPr>
      <w:r>
        <w:rPr>
          <w:rFonts w:ascii="Arial" w:cs="Arial" w:eastAsia="Arial" w:hAnsi="Arial"/>
          <w:sz w:val="13"/>
          <w:szCs w:val="13"/>
          <w:color w:val="auto"/>
        </w:rPr>
        <w:t>Pro-rata share of Adjusted EBITDA from unconsolidated entities primarily includes the Company’s proportionate share of the following items for the years ended December 31, 2014 and 2013:</w:t>
      </w:r>
    </w:p>
    <w:p>
      <w:pPr>
        <w:spacing w:after="0" w:line="12" w:lineRule="exact"/>
        <w:rPr>
          <w:rFonts w:ascii="Arial" w:cs="Arial" w:eastAsia="Arial" w:hAnsi="Arial"/>
          <w:sz w:val="8"/>
          <w:szCs w:val="8"/>
          <w:color w:val="auto"/>
        </w:rPr>
      </w:pPr>
    </w:p>
    <w:p>
      <w:pPr>
        <w:ind w:left="440"/>
        <w:spacing w:after="0"/>
        <w:rPr>
          <w:rFonts w:ascii="Arial" w:cs="Arial" w:eastAsia="Arial" w:hAnsi="Arial"/>
          <w:sz w:val="8"/>
          <w:szCs w:val="8"/>
          <w:color w:val="auto"/>
        </w:rPr>
      </w:pPr>
      <w:r>
        <w:rPr>
          <w:rFonts w:ascii="Arial" w:cs="Arial" w:eastAsia="Arial" w:hAnsi="Arial"/>
          <w:sz w:val="14"/>
          <w:szCs w:val="14"/>
          <w:color w:val="auto"/>
        </w:rPr>
        <w:t>(i) interest expense of $0 and $703, respectively, and (ii) depreciation and amortization expense of $0 and $957, respectively.</w:t>
      </w:r>
    </w:p>
    <w:p>
      <w:pPr>
        <w:spacing w:after="0" w:line="1" w:lineRule="exact"/>
        <w:rPr>
          <w:rFonts w:ascii="Arial" w:cs="Arial" w:eastAsia="Arial" w:hAnsi="Arial"/>
          <w:sz w:val="8"/>
          <w:szCs w:val="8"/>
          <w:color w:val="auto"/>
        </w:rPr>
      </w:pPr>
    </w:p>
    <w:p>
      <w:pPr>
        <w:ind w:left="440" w:right="20" w:hanging="432"/>
        <w:spacing w:after="0" w:line="255" w:lineRule="auto"/>
        <w:tabs>
          <w:tab w:leader="none" w:pos="148" w:val="left"/>
        </w:tabs>
        <w:numPr>
          <w:ilvl w:val="0"/>
          <w:numId w:val="41"/>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2014 and 2013: (i) depreciation expense of $225 and $141, respectively, (ii) and interest expense of $21 and $104,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Total revenue in the Offshore Energy segment increased by $9,366 in the year ended December 31, 2014 as compared to the year ended December 31, 2013, driven primarily by both higher lease income and finance lease income. Lease income increased in the year ended December 31, 2014 due to a new offshore construction vessel acquired in September 2014, and the full year effect of a remotely operated vehicle support vessel in 2014 as compared to 8.5 months of rent earned in 2013. Finance lease income increased primarily related to a full year of income in the year ended December 31, 2014 with respect to an anchor handling tug support vessel acquired in November 2013 and subsequently subject to a direct finance lease.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Total expenses in the Offshore Energy segment increased by $3,612 in the year ended December 31, 2014 as compared to the year ended December 31, 2013. The increase resulted from increased interest expense and depreciation and amortization as well as higher operating expenses in the year ended December 31, 2014. Depreciation and amortization increased primarily due to a new offshore construction vessel placed into service in September 2014, and the full year impact of our remotely operated vehicle support vessel, compared to 8.5 months of depreciation in 2013. Interest expense increased primarily due to an additional borrowing in the year ended December 31, 2014 associated with acquiring the offshore construction vessel in September 2014.The increase in operating expenses is primarily a result of (i) higher professional fees of $523, (ii) additional insurance expense of $190, and (iii) an increase in other operating expenses of $211, offset by (iv) lower organizational costs of $320.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Total other income in the Offshore Energy segment decreased by $8,684 in the year ended December 31, 2014 as compared to the year ended December 31, 2013. The decrease resulted from a $2,700 decrease in equity in earnings of unconsolidated entities and a $6,144 decrease in gain on sale of unconsolidated entity, both related to the disposal of an equity interest in PJW 3000 LLC, an offshore energy joint venture, in November 2013.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Adjusted Net Income was $8,976 in the year ended December 31, 2014, decreasing by $(3,183) as compared to the year ended December 31, 2013. This decrease was due to the changes noted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Adjusted EBITDA decreased $1,695 in the year ended December 31, 2014 as compared to the year ended December 31, 2013 due to the changes in Net Income attributable to shareholders of $3,176, as well as higher (i) depreciation and amortization expense related to assets owned for the full year of 2014 as compared to a partial year in 2013, (ii) interest expense related to an additional borrowing in the year ended December 31, 2014, and (iii) higher principal collections on direct finance leases. These amounts were offset by a decrease in the pro-rata share of the Adjusted EBITDA from unconsolidated entities, related to the disposal of an equity interest in PJW 3000 LLC, an offshore energy joint venture, in November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Shipping Containers segment, we owned, either directly or through a joint venture, interests in approximately 152,000 maritime shipping containers and related equipment through three separate portfolios. Substantially all of these shipping containers were leased to operators or other third parties and, as of December 31, 2014, were 70% levered. The weighted average remaining lease term for these assets was 2.3 years. The chart below describes the assets in our Shipping Containers segment as of December 31,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33" w:right="239" w:bottom="1440" w:gutter="0" w:footer="0" w:header="0"/>
        </w:sectPr>
      </w:pPr>
    </w:p>
    <w:bookmarkStart w:id="68" w:name="page69"/>
    <w:bookmarkEnd w:id="68"/>
    <w:p>
      <w:pPr>
        <w:ind w:left="2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183515</wp:posOffset>
            </wp:positionH>
            <wp:positionV relativeFrom="page">
              <wp:posOffset>243205</wp:posOffset>
            </wp:positionV>
            <wp:extent cx="7212330" cy="2538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2538730"/>
                    </a:xfrm>
                    <a:prstGeom prst="rect">
                      <a:avLst/>
                    </a:prstGeom>
                    <a:noFill/>
                  </pic:spPr>
                </pic:pic>
              </a:graphicData>
            </a:graphic>
          </wp:anchor>
        </w:drawing>
        <w:t>Shipping Containers Assets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3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00" w:type="dxa"/>
            <w:vAlign w:val="bottom"/>
            <w:tcBorders>
              <w:top w:val="single" w:sz="8" w:color="auto"/>
              <w:bottom w:val="single" w:sz="8" w:color="D8D8D8"/>
              <w:right w:val="single" w:sz="8" w:color="auto"/>
            </w:tcBorders>
            <w:shd w:val="clear" w:color="auto" w:fill="D8D8D8"/>
          </w:tcPr>
          <w:p>
            <w:pPr>
              <w:ind w:left="660"/>
              <w:spacing w:after="0"/>
              <w:rPr>
                <w:sz w:val="20"/>
                <w:szCs w:val="20"/>
                <w:color w:val="auto"/>
              </w:rPr>
            </w:pPr>
            <w:r>
              <w:rPr>
                <w:rFonts w:ascii="Arial" w:cs="Arial" w:eastAsia="Arial" w:hAnsi="Arial"/>
                <w:sz w:val="16"/>
                <w:szCs w:val="16"/>
                <w:color w:val="auto"/>
              </w:rPr>
              <w:t>Type</w:t>
            </w:r>
          </w:p>
        </w:tc>
        <w:tc>
          <w:tcPr>
            <w:tcW w:w="1700" w:type="dxa"/>
            <w:vAlign w:val="bottom"/>
            <w:tcBorders>
              <w:top w:val="single" w:sz="8" w:color="auto"/>
              <w:bottom w:val="single" w:sz="8" w:color="D8D8D8"/>
              <w:right w:val="single" w:sz="8" w:color="auto"/>
            </w:tcBorders>
            <w:shd w:val="clear" w:color="auto" w:fill="D8D8D8"/>
          </w:tcPr>
          <w:p>
            <w:pPr>
              <w:ind w:left="40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380"/>
              <w:spacing w:after="0"/>
              <w:rPr>
                <w:sz w:val="20"/>
                <w:szCs w:val="20"/>
                <w:color w:val="auto"/>
              </w:rPr>
            </w:pPr>
            <w:r>
              <w:rPr>
                <w:rFonts w:ascii="Arial" w:cs="Arial" w:eastAsia="Arial" w:hAnsi="Arial"/>
                <w:sz w:val="16"/>
                <w:szCs w:val="16"/>
                <w:color w:val="auto"/>
              </w:rPr>
              <w:t>Economic Interest (%)</w:t>
            </w:r>
          </w:p>
        </w:tc>
      </w:tr>
      <w:tr>
        <w:trPr>
          <w:trHeight w:val="222"/>
        </w:trPr>
        <w:tc>
          <w:tcPr>
            <w:tcW w:w="23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 Dry</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 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w:t>
            </w:r>
          </w:p>
        </w:tc>
      </w:tr>
      <w:tr>
        <w:trPr>
          <w:trHeight w:val="216"/>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105,000</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 Reefer 20'</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Specials 40' Dry 40'</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Dry 40' HC</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Reefer 40' Specials</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 Dry</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 Dry</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~10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40,000</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HC Dry</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 Dry</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~10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Customers</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7,000</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 Reefer</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Reefer 53’ Dry</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23' Chassis</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Chassis</w:t>
            </w: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53’ Chassis</w:t>
            </w: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2014 as compared to the year ended December 31, 2013 for the Shipping Containers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775</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3,097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11,366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12,031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11,266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12,031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r>
    </w:tbl>
    <w:p>
      <w:pPr>
        <w:spacing w:after="0" w:line="200"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91"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1,532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11,453</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12,031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00" w:hanging="432"/>
        <w:spacing w:after="0" w:line="255" w:lineRule="auto"/>
        <w:tabs>
          <w:tab w:leader="none" w:pos="148" w:val="left"/>
        </w:tabs>
        <w:numPr>
          <w:ilvl w:val="0"/>
          <w:numId w:val="42"/>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Included in the year ended December 31, 2014 is $62 of loss on extinguishment of debt.</w:t>
      </w:r>
    </w:p>
    <w:p>
      <w:pPr>
        <w:spacing w:after="0" w:line="2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2014 as compared to the year ended December 31, 2013 for the Shipping Containers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40,014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36,424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7,506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43"/>
        </w:numPr>
        <w:rPr>
          <w:rFonts w:ascii="Arial" w:cs="Arial" w:eastAsia="Arial" w:hAnsi="Arial"/>
          <w:sz w:val="8"/>
          <w:szCs w:val="8"/>
          <w:color w:val="auto"/>
        </w:rPr>
      </w:pPr>
      <w:r>
        <w:rPr>
          <w:rFonts w:ascii="Arial" w:cs="Arial" w:eastAsia="Arial" w:hAnsi="Arial"/>
          <w:sz w:val="13"/>
          <w:szCs w:val="13"/>
          <w:color w:val="auto"/>
        </w:rPr>
        <w:t>Pro-rata share of Adjusted EBITDA from unconsolidated entities primarily includes the Company’s proportionate share of the following items for the years ended December 31, 2014 and 2013:</w:t>
      </w:r>
    </w:p>
    <w:p>
      <w:pPr>
        <w:spacing w:after="0" w:line="12" w:lineRule="exact"/>
        <w:rPr>
          <w:rFonts w:ascii="Arial" w:cs="Arial" w:eastAsia="Arial" w:hAnsi="Arial"/>
          <w:sz w:val="8"/>
          <w:szCs w:val="8"/>
          <w:color w:val="auto"/>
        </w:rPr>
      </w:pPr>
    </w:p>
    <w:p>
      <w:pPr>
        <w:ind w:left="620" w:hanging="180"/>
        <w:spacing w:after="0"/>
        <w:tabs>
          <w:tab w:leader="none" w:pos="6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interest expense of $2,561 and $3,496, respectively, (ii) depreciation and amortization expense of $1,232 and $1,232, respectively, and (iii) principal collections of finance leases of</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$30,345 and $24,428,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revenue in the Shipping Containers segment increased in the year ended December 31, 2014 as compared to the year ended December 31, 2013, principally driven by higher finance lease income. Finance lease income increased by $1,417 due to income earned from a new portfolio of shipping containers acquired in August 2013, offset by lower finance income of $639 as a result of the amortization of the underlying principal balances for a legacy portfolio of shipping containers.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Total expenses in the Shipping Containers segment decreased in the year ended December 31, 2014 as compared to the year ended December 31, 2013, driven by a decrease in operating expenses offset by an increase in interest expense. The decrease in operating expenses is principally the result of lower professional fees offset by higher insurance expense. Interest expense increased in the year ended December 31, 2014 as compared to the year ended December 31, 2013 primarily related to a full year of interest expense on a term loan used to finance the acquisition of a portfolio of shipping containers purchased in August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9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other income in the Shipping Containers segment decreased in the year ended December 31, 2014 as compared to the year ended December 31,</w:t>
      </w:r>
    </w:p>
    <w:p>
      <w:pPr>
        <w:spacing w:after="0" w:line="46" w:lineRule="exact"/>
        <w:rPr>
          <w:sz w:val="20"/>
          <w:szCs w:val="20"/>
          <w:color w:val="auto"/>
        </w:rPr>
      </w:pPr>
    </w:p>
    <w:p>
      <w:pPr>
        <w:ind w:right="1640"/>
        <w:spacing w:after="0" w:line="367" w:lineRule="auto"/>
        <w:rPr>
          <w:sz w:val="20"/>
          <w:szCs w:val="20"/>
          <w:color w:val="auto"/>
        </w:rPr>
      </w:pPr>
      <w:r>
        <w:rPr>
          <w:rFonts w:ascii="Arial" w:cs="Arial" w:eastAsia="Arial" w:hAnsi="Arial"/>
          <w:sz w:val="18"/>
          <w:szCs w:val="18"/>
          <w:color w:val="auto"/>
        </w:rPr>
        <w:t xml:space="preserve">2013. This was driven by decreased equity in earnings of unconsolidated entities of $1,532 related to a shipping container joint venture. </w:t>
      </w:r>
      <w:r>
        <w:rPr>
          <w:rFonts w:ascii="Arial" w:cs="Arial" w:eastAsia="Arial" w:hAnsi="Arial"/>
          <w:sz w:val="18"/>
          <w:szCs w:val="18"/>
          <w:i w:val="1"/>
          <w:iCs w:val="1"/>
          <w:color w:val="auto"/>
        </w:rPr>
        <w:t>Adjusted Net Income</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Net Income decreased $578 in the year ended December 31, 2014 as compared to the year ended December 31, 2013, due to the changes in Net Income attributable to shareholders noted above of $765, as well as a loss on the extinguishment of a capital lease obligation, and the decrease in fair value of a non-hedge derivative instrument.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EBITDA increased $7,506 in the year ended December 31, 2014 as compared to the year ended December 31, 2013 due to the changes in Net Income attributable to shareholders noted above of $765, as well as a higher pro-rata share of Adjusted EBITDA from unconsolidated entities related to a shipping container joint venture and additional principal collections on direct finance leases.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Terminal Segment</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Jefferson Terminal is a new reportable segment for the Company in 2014. The following table presents our results of operations and reconciliation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shareholders to Adjusted Net Loss in the year ended December 31, 2014 for the Jefferson Terminal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Year Ended</w:t>
            </w:r>
          </w:p>
        </w:tc>
      </w:tr>
      <w:tr>
        <w:trPr>
          <w:trHeight w:val="210"/>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r>
      <w:tr>
        <w:trPr>
          <w:trHeight w:val="224"/>
        </w:trPr>
        <w:tc>
          <w:tcPr>
            <w:tcW w:w="948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2,652</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3,977</w:t>
            </w:r>
          </w:p>
        </w:tc>
      </w:tr>
      <w:tr>
        <w:trPr>
          <w:trHeight w:val="291"/>
        </w:trPr>
        <w:tc>
          <w:tcPr>
            <w:tcW w:w="9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9,095</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2,763</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18,904</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9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(14,881)</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(15,165)</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(5,566)</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(9,599)</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1,137</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33"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3"/>
        </w:trPr>
        <w:tc>
          <w:tcPr>
            <w:tcW w:w="9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0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(3,209)</w:t>
            </w:r>
          </w:p>
        </w:tc>
        <w:tc>
          <w:tcPr>
            <w:tcW w:w="0" w:type="dxa"/>
            <w:vAlign w:val="bottom"/>
          </w:tcPr>
          <w:p>
            <w:pPr>
              <w:spacing w:after="0"/>
              <w:rPr>
                <w:sz w:val="1"/>
                <w:szCs w:val="1"/>
                <w:color w:val="auto"/>
              </w:rPr>
            </w:pPr>
          </w:p>
        </w:tc>
      </w:tr>
      <w:tr>
        <w:trPr>
          <w:trHeight w:val="33"/>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w:t>
            </w: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9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equity-based compensation of $454 and income tax provision of $71 for the year ended December 31, 2014.</w:t>
      </w:r>
    </w:p>
    <w:p>
      <w:pPr>
        <w:spacing w:after="0" w:line="2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2014 for the Jefferson Terminal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0"/>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40" w:right="80" w:hanging="432"/>
        <w:spacing w:after="0" w:line="255" w:lineRule="auto"/>
        <w:tabs>
          <w:tab w:leader="none" w:pos="148" w:val="left"/>
        </w:tabs>
        <w:numPr>
          <w:ilvl w:val="0"/>
          <w:numId w:val="45"/>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2014: (i) equity-based compensation of $454, (ii) provision for income taxes of $71, (iii) interest expense of $621, (iv) depreciation and amortization expense of $1,105.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revenue in the year ended December 31, 2014 relates to revenue generated from Jefferson Terminal. Revenue was comprised of $2,652 in terminal services revenue and $1,325 in lease income from tank railcars purchased and subsequently leased in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Total expenses in the year ended December 31, 2014 were comprised of (i) operating expenses of $9,095 incurred in connection with terminal operations and construction management, including $1,137 of equity-based compensation expense (ii) acquisition and transaction costs of $5,494 incurred in connection with the due diligence and consummation of the purchase of Jefferson Terminal, (iii) amortization expense related to acquired customer relationships of $1,180 (iv) depreciation expense of $1,583 related to tank railcars and property, plant and equipment placed into service during 2014, and (v) interest expense of $1,552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17" w:right="239" w:bottom="1440" w:gutter="0" w:footer="0" w:header="0"/>
        </w:sectPr>
      </w:pPr>
    </w:p>
    <w:bookmarkStart w:id="72" w:name="page73"/>
    <w:bookmarkEnd w:id="72"/>
    <w:p>
      <w:pPr>
        <w:ind w:right="1200"/>
        <w:spacing w:after="0" w:line="375" w:lineRule="auto"/>
        <w:rPr>
          <w:sz w:val="20"/>
          <w:szCs w:val="20"/>
          <w:color w:val="auto"/>
        </w:rPr>
      </w:pPr>
      <w:r>
        <w:rPr>
          <w:rFonts w:ascii="Arial" w:cs="Arial" w:eastAsia="Arial" w:hAnsi="Arial"/>
          <w:sz w:val="18"/>
          <w:szCs w:val="18"/>
          <w:color w:val="auto"/>
        </w:rPr>
        <w:t xml:space="preserve">related to term debt used to finance the purchase of Jefferson Terminal, as well as amounts outstanding on previously issued municipal bonds. </w:t>
      </w:r>
      <w:r>
        <w:rPr>
          <w:rFonts w:ascii="Arial" w:cs="Arial" w:eastAsia="Arial" w:hAnsi="Arial"/>
          <w:sz w:val="18"/>
          <w:szCs w:val="18"/>
          <w:i w:val="1"/>
          <w:iCs w:val="1"/>
          <w:color w:val="auto"/>
        </w:rPr>
        <w:t>Adjusted Net Loss</w:t>
      </w:r>
    </w:p>
    <w:p>
      <w:pPr>
        <w:spacing w:after="0" w:line="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Adjusted Net Loss was $3,209 in the year ended December 31, 2014. In addition to the changes in Net loss attributable to shareholders noted above, this was impacted by equity-based compensation expense and acquisition and transaction expenses incurred in connection with the due diligence and consummation of the purchase of Jefferson Terminal.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EBITDA was $(620) in the year ended December 31, 2014. In addition to the changes in Net loss attributable to shareholders noted above, this was impacted by acquisition and transaction expenses incurred in connection with the due diligence and consummation of the purchase of Jefferson Terminal and depreciation and amortization expense related to acquired customer relationships, tank railcars and property, plant and equipment placed into service during the year ended December 31, 2014.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3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Railroad is a new reportable segment for the Company in 2014. The following table presents our results of operations and reconciliation of Net Loss attributable to shareholders to Adjusted Net Loss in the year ended December 31, 2014 for the Railroad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r>
      <w:tr>
        <w:trPr>
          <w:trHeight w:val="21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9,969</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10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5,646</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21,926</w:t>
            </w:r>
          </w:p>
        </w:tc>
      </w:tr>
      <w:tr>
        <w:trPr>
          <w:trHeight w:val="291"/>
        </w:trPr>
        <w:tc>
          <w:tcPr>
            <w:tcW w:w="10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r>
      <w:tr>
        <w:trPr>
          <w:trHeight w:val="33"/>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(11,957)</w:t>
            </w:r>
          </w:p>
        </w:tc>
      </w:tr>
      <w:tr>
        <w:trPr>
          <w:trHeight w:val="33"/>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006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(6,183)</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2014 for the Railroad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10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5,646</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(5,007)</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revenue in the year ended December 31, 2014 relates to revenue generated from CMQR since its acquisition during the second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was primarily driven by $8,172 in freight rail revenue and $1,620 in switching &amp; miscellaneous rail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Total expenses in the year ended December 31, 2014 were mainly comprised of (i) operating expenses of $15,104 incurred in connection with railroad operations, (ii) acquisition and transaction costs of $5,646 incurred in connection with the due diligence and consummation of the purchase of CMQR, (iii) depreciation expense of $962 related to property, plant, and equipment placed into service in the year ended December 31, 2014, and (iv) interest expense of $187 related to borrowings under the CMQR Credit Agreement used to finance construction and improvements to the railroad.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Adjusted Net Loss was $6,183 in the year ended December 31, 2014. In addition to the changes in Net loss attributable to shareholders noted above, this was impacted by acquisition and transaction expenses incurred in connection with the due diligence and consummation of the purchase of CMQR.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Adjusted EBITDA was $(5,007) in the year ended December 31, 2014. In addition to the changes in Net loss attributable to shareholders noted above, this was impacted by acquisition and transaction expenses incurred in connection with the due diligence and consummation of the purchase of CMQR, and depreciation and amortization expense related to property, plant, and equipment placed into service in the year ended December 31,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1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as compared to the year ended December 31, 2013 for Corporate: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3,252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7,825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(4,536)</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Less: Loss attributable to non-controlling interest in consolidated subsidiaries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(4,536)</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Loss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2014 as compared to the year ended December 31, 2013 for Corporate: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7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(7,825)</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51"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06"/>
        </w:trPr>
        <w:tc>
          <w:tcPr>
            <w:tcW w:w="744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(4,454)</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Total expenses increased in the year ended December 31, 2014 compared to the year ended December 31, 2013 mainly due to an increase in management fees of $3,252 attributable to an increase in the weighted average contributed capital and higher professional fees of $1,202.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Net Loss increased by $4,487 in the year ended December 31, 2014 as compared to the year ended December 31, 2013 due to the changes in Net loss attributable to shareholders noted above, partially offset by higher acquisition and transaction expenses incurred for potential acquisition opportunities in the year ended December 31,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EBITDA decreased $4,454 in the year ended December 31, 2014 as compared to the year ended December 31, 2013, due to the changes in Net loss attributable to shareholders noted above, partially offset by higher acquisition and transaction expenses incurred for potential acquisition opportunities in the year ended December 31, 2014 and higher interest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the Company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14 to our consolidated financial statements included elsewhere in this filing for more information.</w:t>
      </w:r>
    </w:p>
    <w:p>
      <w:pPr>
        <w:spacing w:after="0" w:line="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December 31, 2015 and December 31, 2014, accounts payable due to this vendor was $4,708 and $14,025,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February 16, 2016, we terminated our lease arrangement related to our ROV Support Vessel and are currently pursuing a new lessee.</w:t>
      </w:r>
    </w:p>
    <w:p>
      <w:pPr>
        <w:spacing w:after="0" w:line="6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March 1, 2016, the Company’s Board of Directors declared a cash dividend on its common stock of $0.33 per share for the quarter ended December 31, 2015, payable on March 28, 2016 to the holders of record on March 18, 2016.</w:t>
      </w:r>
    </w:p>
    <w:p>
      <w:pPr>
        <w:spacing w:after="0" w:line="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7, 2016, The Port of Beaumont Navigation District of Jefferson County, Texas (the “District”) issued $144.2 million Dock and Wharf Facility Revenue Bonds, Series 2016 (Jefferson Energy Companies Project). Proceeds from the issuance of such bonds were used, in part, to reimburse Jefferson Gulf Coast Energy Holdings, LLC and its subsidiaries (collectively, “Jefferson Railport”) for certain costs related to the development, construction and acquisition of certain facilities for the transport, loading, unloading, and storage of petroleum products on behalf of the District. On March 8, 2016, in connection with the issuance and sale of such bonds, Jefferson Railport prepaid all amounts outstanding under the Jefferson Terminal Credit Agreement and the Jefferson Terminal Credit Agreement was terminated.</w:t>
      </w:r>
    </w:p>
    <w:p>
      <w:pPr>
        <w:spacing w:after="0" w:line="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On March 9, 2016, we consummated the sale of approximately 39,000 shipping containers that were subject to a direct finance lease with a major Asian shipping line. After the payoff of debt securing the containers, we received net proceeds of approximately $25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uses of liquidity have been (i) acquisitions of transportation infrastructure and equipment, (ii) distributions to our shareholders,</w:t>
      </w:r>
    </w:p>
    <w:p>
      <w:pPr>
        <w:spacing w:after="0" w:line="35" w:lineRule="exact"/>
        <w:rPr>
          <w:sz w:val="20"/>
          <w:szCs w:val="20"/>
          <w:color w:val="auto"/>
        </w:rPr>
      </w:pPr>
    </w:p>
    <w:p>
      <w:pPr>
        <w:ind w:firstLine="8"/>
        <w:spacing w:after="0" w:line="261"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associated with our operating activities and (iv) debt service obligations associated with our investments (all dollar amounts are expressed in thousands).</w:t>
      </w:r>
    </w:p>
    <w:p>
      <w:pPr>
        <w:spacing w:after="0" w:line="75" w:lineRule="exact"/>
        <w:rPr>
          <w:rFonts w:ascii="Arial" w:cs="Arial" w:eastAsia="Arial" w:hAnsi="Arial"/>
          <w:sz w:val="18"/>
          <w:szCs w:val="18"/>
          <w:color w:val="auto"/>
        </w:rPr>
      </w:pPr>
    </w:p>
    <w:p>
      <w:pPr>
        <w:ind w:left="880" w:hanging="318"/>
        <w:spacing w:after="0" w:line="277"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years ended December 31, 2015, 2014, and 2013, cash used for the purpose of making investments was $278,433, $622,179, and $129,853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0" w:hanging="318"/>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years ended December 31, 2015, 2014, and 2013, distributions to shareholders including cash dividends were $81,260, $75,999, and $39,631 respectively, and distributions to non-controlling interest were $321, $565, and $321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ectPr>
          <w:pgSz w:w="11900" w:h="16838" w:orient="portrait"/>
          <w:cols w:equalWidth="0" w:num="1">
            <w:col w:w="11420"/>
          </w:cols>
          <w:pgMar w:left="240" w:top="413" w:right="239" w:bottom="1440" w:gutter="0" w:footer="0" w:header="0"/>
        </w:sectPr>
      </w:pPr>
    </w:p>
    <w:bookmarkStart w:id="77" w:name="page78"/>
    <w:bookmarkEnd w:id="77"/>
    <w:p>
      <w:pPr>
        <w:jc w:val="both"/>
        <w:ind w:firstLine="446"/>
        <w:spacing w:after="0" w:line="274" w:lineRule="auto"/>
        <w:rPr>
          <w:sz w:val="20"/>
          <w:szCs w:val="20"/>
          <w:color w:val="auto"/>
        </w:rPr>
      </w:pPr>
      <w:r>
        <w:rPr>
          <w:rFonts w:ascii="Arial" w:cs="Arial" w:eastAsia="Arial" w:hAnsi="Arial"/>
          <w:sz w:val="17"/>
          <w:szCs w:val="17"/>
          <w:color w:val="auto"/>
        </w:rPr>
        <w:t>Our principal sources of liquidity to fund these uses have been (i) revenues from our infrastructure and equipment assets (including finance lease collections and maintenance reserve collections) net of operating expenses, (ii) borrowings, (iii) distributions received from unconsolidated investees,</w:t>
      </w: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 contributions from our shareholders (v) proceeds from asset sales and (vi) proceeds from the issuance of common shares.</w:t>
      </w:r>
    </w:p>
    <w:p>
      <w:pPr>
        <w:spacing w:after="0" w:line="102" w:lineRule="exact"/>
        <w:rPr>
          <w:rFonts w:ascii="Arial" w:cs="Arial" w:eastAsia="Arial" w:hAnsi="Arial"/>
          <w:sz w:val="18"/>
          <w:szCs w:val="18"/>
          <w:color w:val="auto"/>
        </w:rPr>
      </w:pPr>
    </w:p>
    <w:p>
      <w:pPr>
        <w:ind w:left="880" w:hanging="318"/>
        <w:spacing w:after="0" w:line="277"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During the years ended December 31, 2015, 2014, and 2013, cash flows from operating activities, plus the principal collections on finance leases and maintenance reserve collections were $53,969, $(16,296), and $20,993 respectively.</w:t>
      </w:r>
    </w:p>
    <w:p>
      <w:pPr>
        <w:spacing w:after="0" w:line="62" w:lineRule="exact"/>
        <w:rPr>
          <w:rFonts w:ascii="Arial" w:cs="Arial" w:eastAsia="Arial" w:hAnsi="Arial"/>
          <w:sz w:val="18"/>
          <w:szCs w:val="18"/>
          <w:color w:val="auto"/>
        </w:rPr>
      </w:pPr>
    </w:p>
    <w:p>
      <w:pPr>
        <w:jc w:val="both"/>
        <w:ind w:left="880" w:hanging="318"/>
        <w:spacing w:after="0" w:line="293" w:lineRule="auto"/>
        <w:tabs>
          <w:tab w:leader="none" w:pos="8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During the year ended December 31, 2015, additional borrowings of $200 were obtained in connection with the CMQR Credit Agreement and we made total principal repayments of $23,761. During the year ended December 31, 2014, additional borrowings of $179,569 were obtained in connection with the Jefferson Terminal Facility of $100,000, the FTAI Pride Credit Agreement of $75,000, and the CMQR Credit Agreement of $10,000 and we made total principal repayments of $31,131. During the year ended 2013, additional borrowings of $24,774 were obtained in connection with a note payable to the non-controlling interest in one of our consolidated subsidiaries of $3,225 and a bank loan obtained in connection with our acquisition of an additional portfolio of shipping containers of $21,549 and we made total principal repayments of $7,377.</w:t>
      </w:r>
    </w:p>
    <w:p>
      <w:pPr>
        <w:spacing w:after="0" w:line="56" w:lineRule="exact"/>
        <w:rPr>
          <w:rFonts w:ascii="Arial" w:cs="Arial" w:eastAsia="Arial" w:hAnsi="Arial"/>
          <w:sz w:val="16"/>
          <w:szCs w:val="16"/>
          <w:color w:val="auto"/>
        </w:rPr>
      </w:pPr>
    </w:p>
    <w:p>
      <w:pPr>
        <w:ind w:left="880" w:hanging="318"/>
        <w:spacing w:after="0" w:line="308" w:lineRule="auto"/>
        <w:tabs>
          <w:tab w:leader="none" w:pos="8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During the years ended December 31, 2015, 2014, and 2013, we received $3,937, $17,271, and $13,224 in cash distributions from our unconsolidated investees, respectively, of which $209, $8,207, and $8,713 was included in cash flows from operating activities, respectively.</w:t>
      </w:r>
    </w:p>
    <w:p>
      <w:pPr>
        <w:spacing w:after="0" w:line="38" w:lineRule="exact"/>
        <w:rPr>
          <w:rFonts w:ascii="Arial" w:cs="Arial" w:eastAsia="Arial" w:hAnsi="Arial"/>
          <w:sz w:val="17"/>
          <w:szCs w:val="17"/>
          <w:color w:val="auto"/>
        </w:rPr>
      </w:pPr>
    </w:p>
    <w:p>
      <w:pPr>
        <w:ind w:left="880" w:hanging="318"/>
        <w:spacing w:after="0"/>
        <w:tabs>
          <w:tab w:leader="none" w:pos="8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During the years ended December 31, 2015, 2014, and 2013, proceeds from the sale of assets were $14,518, $37,074, and $30,434 respectively.</w:t>
      </w:r>
    </w:p>
    <w:p>
      <w:pPr>
        <w:spacing w:after="0" w:line="140" w:lineRule="exact"/>
        <w:rPr>
          <w:rFonts w:ascii="Arial" w:cs="Arial" w:eastAsia="Arial" w:hAnsi="Arial"/>
          <w:sz w:val="16"/>
          <w:szCs w:val="16"/>
          <w:color w:val="auto"/>
        </w:rPr>
      </w:pPr>
    </w:p>
    <w:p>
      <w:pPr>
        <w:ind w:left="880" w:hanging="318"/>
        <w:spacing w:after="0" w:line="277"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During the years ended December 31, 2015, 2014, and 2013, capital contributions from shareholders were $295,879, $490,747, and $94,819 respectively, and capital contributions from non-controlling interests were $37,826, $57,841, and $3,318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During the year ended December 31, 2015, proceeds from the issuance of common stock were $351,059, net of issuance costs of $2,998.</w:t>
      </w:r>
    </w:p>
    <w:p>
      <w:pPr>
        <w:spacing w:after="0" w:line="2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is currently evaluating over $2 billion of potential Infrastructure and Equipment Leasing transactions which could occur within the next 12 months. However, as of the date of this filing, none of the above referenced pipeline transactions or negotiations are definitive or included within the planned liquidity needs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years ended December 31, 2015, 2014, and 2013:</w:t>
      </w:r>
    </w:p>
    <w:p>
      <w:pPr>
        <w:spacing w:after="0" w:line="185"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37465</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14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33"/>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23,528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(31,551)</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11,913</w:t>
            </w: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9"/>
              </w:rPr>
              <w:t>(239,921)</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(571,416)</w:t>
            </w:r>
          </w:p>
        </w:tc>
        <w:tc>
          <w:tcPr>
            <w:tcW w:w="5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(87,765)</w:t>
            </w:r>
          </w:p>
        </w:tc>
      </w:tr>
      <w:tr>
        <w:trPr>
          <w:trHeight w:val="33"/>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575,971</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617,856</w:t>
            </w:r>
          </w:p>
        </w:tc>
        <w:tc>
          <w:tcPr>
            <w:tcW w:w="5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78,964</w:t>
            </w:r>
          </w:p>
        </w:tc>
      </w:tr>
      <w:tr>
        <w:trPr>
          <w:trHeight w:val="33"/>
        </w:trPr>
        <w:tc>
          <w:tcPr>
            <w:tcW w:w="5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years ended December 31, 2015 and December 31, 2014</w:t>
      </w:r>
    </w:p>
    <w:p>
      <w:pPr>
        <w:spacing w:after="0" w:line="11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Net cash provided by operating activities was $23,528 in the year ended December 31, 2015 as compared to net cash used in operating activities of $31,551 in the year ended December 31, 2014, representing a $55,079 increase. Net loss was $28,631 in the year ended December 31, 2015, compared to income of $2,918 in the year ended December 31, 2014, a decrease of $31,549. The increase in net cash provided by operating activities was driven by non-cash adjustments to reconcile net income which include an increase of (i) $29,310 relating to depreciation and amortization primarily due to assets depreciated for a full year and significant assets placed into service during 2015, (ii) $4,322 of amortization of lease intangibles and incentives, (iii) $13,049 in equity in losses of unconsolidated entities, (iv) $4,157 attributable to the change in gain on sale of equipment, and (v) $3,397 of equity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33"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based compensation, offset by a decrease in operating distributions from an unconsolidated entity of $7,998 in the year ended December 31, 2015 as compared to the year ended December 31, 2014. The increase was also driven by lower cash outflows related to accounts payable and accrued liabilities of $49,080 during the year ended December 31, 2015 as the year ended December 31, 2014 included significant cash outflows resulting from the Jefferson acquisition.</w:t>
      </w:r>
    </w:p>
    <w:p>
      <w:pPr>
        <w:spacing w:after="0" w:line="7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Net cash used in investing activities decreased $331,495 in the year ended December 31, 2015 as compared to the year ended December 31, 2014. Cash used in the acquisition of leasing equipment and related lease intangibles decreased by $240,017 in the year ended December 31, 2015 as compared to the year ended December 31, 2014. Additionally, cash was used to fund the acquisition of Jefferson Terminal of $47,811 and purchase CMQR of $11,308 in the year ended December 31, 2014, both of which did not occur in the year ending December 31, 2015. Additionally, in conjunction with Jefferson Terminal, the Company funded term loans and other receivables of $97,616 in the year ended December 31, 2014. The Company also received $20,292 in principal collections on financing leases in the year ended December 31, 2015, as compared to $11,931 in the year ended December 31, 2014. These decreases in cash used in investing activities were offset by higher cash flows used in the year ended December 31, 2015 as compared to the year ended December 31, 2014 for the acquisitions of property plant and equipment of $46,587 related to the continued expansion and development of Jefferson Terminal and CMQR, as well as the investment in note receivable of $14,869.</w:t>
      </w:r>
    </w:p>
    <w:p>
      <w:pPr>
        <w:spacing w:after="0" w:line="74"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Net cash provided by financing activities was $575,971 and $617,856 in the years ended December 31, 2015 and 2014, respectively, representing a $41,885 decrease. Such decrease was attributable to (i) a decrease in capital contributions from shareholders, net of distributions to shareholders and cash dividends paid of $200,129, (ii) a decrease in proceeds from debt, net of repayment of debt of $171,999 and (iii) a decrease in capital contributions from non-controlling interests of $20,015 in the year ended December 31, 2015 as compared to the year ended December 31, 2014. These decreases in cash inflows were offset by the issuance of common shares net of issuance costs paid of $351,059 in the year ended December 31, 2015.</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Comparison of the years ended December 31, 2014 and December 31, 2013</w:t>
      </w:r>
    </w:p>
    <w:p>
      <w:pPr>
        <w:spacing w:after="0" w:line="2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Net cash used in operating activities was $31,551 in 2014 and cash provided by operating activities was $11,913 in 2013, representing a $43,464 decrease. Net income was $2,918 at December 31, 2014, compared to $25,279 at December 31, 2013, a decrease of $22,361. The decrease in net cash provided by operating activities was primarily due to an increase in cash used in accounts payable and accrued liabilities of $46,792 due to the expansion of our business specifically with the acquisitions of Jefferson and CMQR during 2014. Accounts receivable increased by $4,603 related to an increase in our customer base due to the purchase of equipment held for lease, and the acquisitions of the Jefferson Terminal and CMQR. Offsetting the decrease was an increase in non-cash adjustments to reconcile net income which include an increase of (i) $12,089 relating to depreciation and amortization, (ii) $2,694 of amortization of lease intangibles, (iii) $4,232 in equity in earnings of unconsolidated entities, (iv) $1,265 of equity based compensation and (v) $6,144 of gain on the sale of an unconsolidated entity in 2013. Offsetting these increases was a decrease in the gain on sale of equipment of $5,161 due to additional sales of equipment in 2014 as compared to 2013.</w:t>
      </w:r>
    </w:p>
    <w:p>
      <w:pPr>
        <w:spacing w:after="0" w:line="19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Net cash used in investing activities was $571,416 and $87,765 in 2014 and 2013, respectively, representing a $483,651 increase. The increased use in cash for investing was driven by the number of investments made in 2014 versus 2013 as we continue to execute our business plan. In 2014, acquisitions of leasing equipment, Jefferson Terminal, and CMQR resulted in cash outflows of $387,118, $47,811 and $11,308, respectively, as compared to cash outflows for 2013 acquisitions of leasing equipment of $88,045 and acquisition of finance leases of $41,808. In conjunction with Jefferson Terminal, the Company previously funded term loans and other receivables of $97,616 in 2014. Acquisitions of property plant and equipment increased cash outflows in 2014 by $49,441 due to the continued expansion and development of CMQR and Jefferson Terminal. Acquisition of lease intangibles resulted in cash outflows in 2014 of $20,435 as compared to $0 in 2013, due to the acquisition of aircraft with in place leases. The deposit paid for the purchase of the MT6015 vessel resulted in a cash outflow of $7,450 as compared to $0 in 2013, a result of the formation of a new joint venture in the Offshore Energy segment in 2014. During 2014, cash outflows further increased by the funding of an escrow account of $1,000 as part of the acquisition of equipment held for lease. In addition, the funding of restricted cash balances increased by $6,186 in 2014 as compared to 2013 in connection with the requirements of the Jefferson Terminal Credit Agreement. Cash inflows aggregating $58,069 were generated in 2014 compared to $43,208 in 2013, reflecting principal collections from direct finance leases, proceeds from the sale of assets and return of capital from unconsolidated entities.</w:t>
      </w:r>
    </w:p>
    <w:p>
      <w:pPr>
        <w:spacing w:after="0" w:line="18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Net cash provided by financing activities was $617,856 and $78,964 in 2014 and 2013, respectively, representing a $538,892 increase. Such increase was attributable to (i) an increase in capital contributions from members of $395,928, offset by an increase in capital distributions to members of $36,368,</w:t>
      </w:r>
    </w:p>
    <w:p>
      <w:pPr>
        <w:jc w:val="both"/>
        <w:ind w:firstLine="8"/>
        <w:spacing w:after="0" w:line="254" w:lineRule="auto"/>
        <w:tabs>
          <w:tab w:leader="none" w:pos="2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capital contributions of $54,523 attributable to non-controlling interests in 2014, offset by an increase in capital distributions to non-controlling interests of $244, (iii) an increase in proceeds from borrowings, net of repayments, of $131,041 and (iv) a decrease in cash received from the receipt of maintenance deposits net of releases of $519. These increases were offset by a decrease in cash received for security deposits net of returns of $902 and cash outflows relating to the payment of financing fees of $4,610.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33" w:right="23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b w:val="1"/>
          <w:bCs w:val="1"/>
          <w:i w:val="1"/>
          <w:iCs w:val="1"/>
          <w:color w:val="auto"/>
        </w:rPr>
        <w:t>Funds Available for Distribution (Non-GAAP)</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23,528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(31,551)</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11,913</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Proceeds from sale of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14,518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37,074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30,434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Less: Required Payments on Debt Obligations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(23,761)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(31,131)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(7,377)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Exclude: Changes in Working Capital</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50,440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7,229</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48,088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45,262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54,652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when evaluating the Company’s ability to meet its stated dividend policy. Specifically:</w:t>
      </w:r>
    </w:p>
    <w:p>
      <w:pPr>
        <w:spacing w:after="0" w:line="80"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FAD does not include equity capital raised,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sz w:val="20"/>
          <w:szCs w:val="20"/>
          <w:color w:val="auto"/>
        </w:rPr>
      </w:pPr>
    </w:p>
    <w:p>
      <w:pPr>
        <w:ind w:right="1200"/>
        <w:spacing w:after="0" w:line="375" w:lineRule="auto"/>
        <w:rPr>
          <w:sz w:val="20"/>
          <w:szCs w:val="20"/>
          <w:color w:val="auto"/>
        </w:rPr>
      </w:pPr>
      <w:r>
        <w:rPr>
          <w:rFonts w:ascii="Arial" w:cs="Arial" w:eastAsia="Arial" w:hAnsi="Arial"/>
          <w:sz w:val="18"/>
          <w:szCs w:val="18"/>
          <w:color w:val="auto"/>
        </w:rPr>
        <w:t xml:space="preserve">If such factors were included in FAD, there can be no assurance that the results would be consistent with the Company’s presentation of FAD. </w:t>
      </w:r>
      <w:r>
        <w:rPr>
          <w:rFonts w:ascii="Arial" w:cs="Arial" w:eastAsia="Arial" w:hAnsi="Arial"/>
          <w:sz w:val="18"/>
          <w:szCs w:val="18"/>
          <w:b w:val="1"/>
          <w:bCs w:val="1"/>
          <w:color w:val="auto"/>
        </w:rPr>
        <w:t>Debt Obligations</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debt agreements to which our subsidiaries are a party include customary terms and conditions, including covenants and representations and warranties. These agreements restrict, among other things, the ability of our subsidiaries that are party to such agreements and their respective subsidiaries to incur indebtedness, create liens on property, make investments or distributions, or dispose of assets.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such debt agreements, certain events, including non-payment of principal or interest, bankruptcy or insolvency, or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33"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breach of a covenant or a representation or warranty may constitute an event of default and trigger an acceleration of payments.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Container Loan #1</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27, 2012, a subsidiary of the company entered into a Credit Agreement (“Container Loan #1”) with a bank for an initial aggregate amount of approximately $56.0 million. Container Loan #1 requires monthly payments of interest and scheduled principal payments through its maturity. It can be prepaid without penalty after December 27, 2015. At December 31, 2015, the outstanding principal amount of the indebtedness under Container Loan #1 was approximately $34.8 million. Container Loan #1 is secured by the Company’s interest in the shipping containers and related finance leases. Borrowings under the loan bear interest at a rate selected by the Company of either (i) a LIBOR based rate plus a spread of 3.75% or (ii) a Base Rate equal to the higher of the Prime Rate or the Federal Funds Rate plus 1.50%, plus a spread of 3.75%.</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Container Loan #1 contains negative covenants which limit certain actions of the borrowers. Upon the occurrence and during the continuance of an event of default under Container Loan #1, principal, interest and any fees or other amounts owed under Container Loan #1 bear interest at a rate that is 2% per annum in excess of the interest rate otherwise payable with respect to such amounts. As of December 31, 2015, the Company was in compliance with all of the covenants under this agreement.</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Container Loan #2</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15, 2013, a subsidiary of the Company, entered into a Credit Agreement (“Container Loan #2”) with a bank for an initial aggregate amount of approximately $21.5 million in connection with the acquisition of a portfolio of shipping containers subject to direct finance leases. Container Loan #2 requires quarterly payments of interest and scheduled principal payments through its maturity and can be prepaid without penalty at any time. At December 31, 2015, the outstanding principal amount of the indebtedness under Container Loan #2 was approximately $11.3 million. Container Loan #2 is secured by the Company’s interests in the shipping containers financed by Container Loan #2 and its related finance leases. Borrowings under Container Loan #2 bear interest at a rate of LIBOR plus a spread of 3.25%.</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Container Loan #2 contains negative covenants which limit certain actions of the borrowers. Upon the occurrence and during the continuance of an event of default under the Container Loan #2, principal, interest and any fees or other amounts owed under the Container Loan #2 bear interest at a rate that is 2.5% per annum in excess of the interest rate otherwise payable with respect to such amounts. As of December 31, 2015, the Company was in compliance with all of the covenants under this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to Non-Controlling Interest</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2013, in connection with the capitalization of a consolidated entity, the Company and the owner of the non-controlling interest loaned approximately $18.3 million and $3.2 million, respectively, to the entity in proportion to their respective ownership percentages of 85% and 15%. The loans bear interest at an annual rate of 5% and require monthly payments of principal and interest through their final maturity in May 2021. At December 31, 2015, the outstanding principal amount of the loan payable to non-controlling interest was approximately $2.4 million. The loan amount funded by the Company and related interest have been eliminated in consolidation.</w:t>
      </w:r>
    </w:p>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FTAI Pride Credit Agreement</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September 15, 2014, FTAI Pride, LLC, (“FTAI Pride”) a subsidiary of the Company entered into a credit agreement (the “FTAI Pride Credit Agreement”) with a bank in respect of a term loan in an aggregate amount of $75.0 million. The loan proceeds were used in connection with the acquisition of an advanced offshore construction vessel. The FTAI Pride Credit Agreement requires quarterly payments of interest and scheduled principal payments of $1.6 million beginning in the quarter ending December 31, 2015, through its maturity and can be prepaid without penalty at any time. At December 31, 2015, the outstanding principal amount of indebtedness under the FTAI Pride Credit Agreement was approximately $67.2 million. The FTAI Pride Credit Agreement is secured on a first priority basis by the offshore construction vessel and charter. Borrowings under the FTAI Pride Credit Agreement bear interest at the LIBOR rate plus a spread of 4.50%. At December 31, 2015, borrowings under the FTAI Pride Credit Agreement bore interest at a rate of 5.02%.</w:t>
      </w:r>
    </w:p>
    <w:p>
      <w:pPr>
        <w:spacing w:after="0" w:line="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a Fixed Charges Coverage Ratio (as defined by the FTAI Pride Credit Agreement) of FTAI Pride of not less than 1.15:1.00 in any twelve month period ending December 31, 2014, or later. At December 31, 2015, the Company was in compliance with all the covenants under the FTAI Pride Credit Agreement.</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CMQR Credit Agreement</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18, 2014, CMQR entered into a credit agreement (the “CMQR Credit Agreement”) with a financial institution in respect of a revolving line of credit in an aggregate amount of $10.0 million. The CMQR Credit Agreement requires quarterly payments of interest. At December 31, 2015, the outstanding principal amount of indebtedness under the CMQR Credit Agreement was approximately $9.4 million. Borrowings under the CMQR Credit Agreement bear interest at either (i) Adjusted LIBOR plus a spread of 2.50% or 4.50%, (ii) the U.S or Canadian Base Rate plus a spread of 1.50% or 3.50%, or (iii) the Canadian Fixed 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33" w:right="2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plus a spread of 2.50% or 4.50%, as each of those terms is defined by the CMQR Credit Agreement and the maturity date is September 18, 2017. Borrowings under the CMQR Credit Agreement bore interest at an average rate of 2.92% at December 31, 2015.</w:t>
      </w:r>
    </w:p>
    <w:p>
      <w:pPr>
        <w:spacing w:after="0" w:line="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$12 million in capital from the Sponsor, and in the event of CMQR’s bankruptcy, the lenders can put the debt back to the Sponsor. The capital call obligation and put right fall away upon satisfaction of certain conditions, including CMQR’s compliance with minimum collateral coverage and a minimum Fixed Charge Coverage Ratio, as defined, of 1.30:1.00 for the preceding four-quarter period. Upon termination of the capital call obligation and put right, CMQR is required to maintain minimum collateral coverage at all times and a Fixed Charge Coverage Ratio of not less than 1.30:1.00 in any rolling four-quarter period. The CMQR Credit Agreement contains affirmative and negative covenants which limit certain actions of CMQR and at December 31, 2015, the Company was in compliance with these covenants.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Jefferson Terminal Credit Agreement</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27, 2014, Jefferson Gulf Coast Energy Partners LLC, a subsidiary of the Company, entered into a credit agreement (the “Jefferson Terminal Credit Agreement”) with a financial institution for an aggregate amount of $100.0 million. The loan proceeds were used to partially finance the acquisition of Jefferson Terminal (Note 3) as well as to pay certain working capital amounts. The Jefferson Terminal Credit Agreement required quarterly payments of $0.25 million beginning with the quarter ending December 31, 2014, with such quarterly payments increasing to $1.25 million beginning with the quarter ending December 31, 2016, and could be prepaid or repaid at any time prior to its maturity on February 27, 2018. The Jefferson Terminal Credit Agreement was secured on a first priority basis by substantially all assets of Jefferson Terminal, as defined in the agreement. Borrowings under the Jefferson Terminal Credit Agreement bear interest, at the Company’s option, at the Adjusted Eurodollar Rate plus a spread of 8.00% or at a Base Rate plus a spread of 7.00%. The Jefferson Terminal Credit Agreement provided for a prepayment premium ranging from 1- 3% of the aggregate principal amount prepaid, including repayment at maturity (the “exit fee”). At December 31, 2015, the outstanding principal amount of the indebtedness under the Jefferson Terminal Credit Agreement was approximately $98.8 million. At December 31, 2015, borrowings under the Jefferson Terminal Credit Agreement bore interest at a rate of 9.50%.</w:t>
      </w:r>
    </w:p>
    <w:p>
      <w:pPr>
        <w:spacing w:after="0" w:line="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Jefferson Terminal Credit Agreement contains affirmative and negative covenants which limit certain actions of the borrowers. At December 31, 2015, the Company was in compliance with all covenants under the Jefferson Terminal Credit Agreement.</w:t>
      </w:r>
    </w:p>
    <w:p>
      <w:pPr>
        <w:spacing w:after="0" w:line="62" w:lineRule="exact"/>
        <w:rPr>
          <w:sz w:val="20"/>
          <w:szCs w:val="20"/>
          <w:color w:val="auto"/>
        </w:rPr>
      </w:pPr>
    </w:p>
    <w:p>
      <w:pPr>
        <w:ind w:left="40" w:right="940" w:hanging="35"/>
        <w:spacing w:after="0" w:line="383" w:lineRule="auto"/>
        <w:rPr>
          <w:sz w:val="20"/>
          <w:szCs w:val="20"/>
          <w:color w:val="auto"/>
        </w:rPr>
      </w:pPr>
      <w:r>
        <w:rPr>
          <w:rFonts w:ascii="Arial" w:cs="Arial" w:eastAsia="Arial" w:hAnsi="Arial"/>
          <w:sz w:val="18"/>
          <w:szCs w:val="18"/>
          <w:color w:val="auto"/>
        </w:rPr>
        <w:t xml:space="preserve">On March 8, 2016, all amounts outstanding under the Jefferson Terminal Credit Agreement were paid in full and such agreement was terminated. </w:t>
      </w:r>
      <w:r>
        <w:rPr>
          <w:rFonts w:ascii="Arial" w:cs="Arial" w:eastAsia="Arial" w:hAnsi="Arial"/>
          <w:sz w:val="18"/>
          <w:szCs w:val="18"/>
          <w:b w:val="1"/>
          <w:bCs w:val="1"/>
          <w:i w:val="1"/>
          <w:iCs w:val="1"/>
          <w:color w:val="auto"/>
        </w:rPr>
        <w:t>Series 2010 Bonds</w:t>
      </w:r>
    </w:p>
    <w:p>
      <w:pPr>
        <w:spacing w:after="0" w:line="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December 1, 2010, Jefferson County Industrial Development Corporation issued $300.0 million of tax-exempt industrial bonds, the Series 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required approval from a trustee prior to release of funds. In accordance with the terms of the trust indenture and security agreements, Series 2010 Bonds could be tendered by bondholders and purchased by the Company using the unused restricted cash proceeds.</w:t>
      </w:r>
    </w:p>
    <w:p>
      <w:pPr>
        <w:spacing w:after="0" w:line="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2014, $2,000 of principal was repaid related to the Series 2010 Bonds and the remaining $298,000 of principal was tendered by the bondholders and purchased by the Company utilizing unused restricted cash proceeds. As of December 31, 2014, Series 2010 Bonds purchased by the Company were deemed to be owned by the Company, and in the Consolidated Balance Sheet, the Company had $298,000 of Tendered Bonds and an equal corresponding amount in Debt. Tendered bonds did not convey principal or interest payments while held by the Company. During year ended December 31, 2015, the Jefferson County Industrial Development Corporation, the Company, and Amegy Bank as the related trustee, agreed to cancel the Series 2010 Bonds. Accordingly, as of December 31, 2015, the Series 2010 Bonds were deemed canceled and are no longer reported within Tendered Bonds or Debt in the Consolidated Balance Sheet.</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Series 2012 Bonds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 2012, Jefferson County Industrial Development Corporation issued $46.9 million of its Series 2012 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In connection with the Company’s acquisition of Jefferson Terminal, the Series 2012 Bonds were recorded at a fair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33"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value of $48.6 million and the premium is being amortized using the effective interest method over the remaining contractual term of the Series 2012 Bonds. The principal of the Series 2012 Bonds are payable annually at varying amounts. As of December 31, 2015, $45.5 million of original principal on the Series 2012 Bonds remained outstanding. The Series 2012 Bonds have a stated maturity of July 1, 2032, bear interest at 8.25%, and require scheduled principal payments.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 At December 31, 2015, the Company was in compliance with all the covenants under the Series 2012 Bonds.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2016 Bonds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March 7, 2016, the Port of Beaumont Navigation District of Jefferson County, Texas (the “District”) issued $144.2 million of 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On March 8, 2016, in connection with the issuance and sale of such bonds, Jefferson Railport prepaid all amounts outstanding under the Jefferson Terminal Credit Agreement and the Jefferson Terminal Credit Agreement was terminated.</w:t>
      </w:r>
    </w:p>
    <w:p>
      <w:pPr>
        <w:spacing w:after="0" w:line="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2016 Bonds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well as maintenance of a minimum total asset value of Aviation Assets and minimum total equity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3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summarizes our future obligations, by period due, as of December 31, 2015, under our various contractual obligations and commitments.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Container Loan #1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Container Loan #2</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67,188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Jefferson Terminal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Jefferson Bonds Payable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37,740</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269,306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50,419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103,463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50,511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37,740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73,436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18,614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21,580</w:t>
            </w:r>
          </w:p>
        </w:tc>
        <w:tc>
          <w:tcPr>
            <w:tcW w:w="0" w:type="dxa"/>
            <w:vAlign w:val="bottom"/>
          </w:tcPr>
          <w:p>
            <w:pPr>
              <w:spacing w:after="0"/>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103,341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76,967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35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5"/>
          <w:szCs w:val="15"/>
          <w:color w:val="auto"/>
        </w:rPr>
        <w:t>Estimated interest payments are based on interest rates as of December 31,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off-balance sheet arrangements as of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lease equipment and land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recognize maintenance revenue related to the portion of maintenance payments received from lessees of aviation equipment that are not expected to be reimbursed in connection with major maintenance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December 31, 2015, we lease shipping containers and an anchor handling tug supply vessel subject to finance leases. These leases generally include a lessee obligation to purchase the leased equipment at the end of the lease term, a bargain purchase option, or provide for minimum lease payments with a present value of 90% or more of the fair value of the asset at the date of lease inception. Net investment in finance leases represents the minimum lease payments due from lessees,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Maintenance Payments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Typically, under an operating lease of aviation equipment, the lessee is responsible for performing all maintenance and is generally required 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45" w:right="2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color w:val="auto"/>
        </w:rPr>
        <w:t>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 the portion of maintenance payments paid by the lessee that is expected to be reimbursed as maintenance deposit liabilities on the Consolidated Balance Sheet. Reimbursements made to the lessee upon the receipt of evidence of qualifying maintenance work are charged against the maintenance deposit liability.</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certain leases, the lessee or the Company may be obligated to make a payment to the other party at lease termination based on redelivery conditions stipulated at the inception of the lease. We recognize payments received as end-of-lease compensation adjustments, within lease revenue, when payment is received or collectability is assured. In the event we are required to make payments at the end of the lease for redelivery conditions, amounts are accrued as additional maintenance liability when we are obligated and can reasonably estimate such payment.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Plant and Equipment, Leasing Equipment and Depreciation</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Property, plant and equipment and leasing equipment are stated at cost (inclusive of capitalized acquisition costs, where applicable), and depreciated using the straight-line method, over estimated useful lives, to estimated residual values which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920" w:type="dxa"/>
            <w:vAlign w:val="bottom"/>
            <w:gridSpan w:val="2"/>
          </w:tcPr>
          <w:p>
            <w:pPr>
              <w:ind w:left="640"/>
              <w:spacing w:after="0"/>
              <w:rPr>
                <w:sz w:val="20"/>
                <w:szCs w:val="20"/>
                <w:color w:val="auto"/>
              </w:rPr>
            </w:pPr>
            <w:r>
              <w:rPr>
                <w:rFonts w:ascii="Arial" w:cs="Arial" w:eastAsia="Arial" w:hAnsi="Arial"/>
                <w:sz w:val="18"/>
                <w:szCs w:val="18"/>
                <w:b w:val="1"/>
                <w:bCs w:val="1"/>
                <w:color w:val="auto"/>
              </w:rPr>
              <w:t>Range of Estimated Useful Lives</w:t>
            </w:r>
          </w:p>
        </w:tc>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Residual Value Estimates</w:t>
            </w:r>
          </w:p>
        </w:tc>
      </w:tr>
      <w:tr>
        <w:trPr>
          <w:trHeight w:val="27"/>
        </w:trPr>
        <w:tc>
          <w:tcPr>
            <w:tcW w:w="42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2"/>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aircraft</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 years from date of manufacture</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to exceed 15% of</w:t>
            </w:r>
          </w:p>
        </w:tc>
      </w:tr>
      <w:tr>
        <w:trPr>
          <w:trHeight w:val="216"/>
        </w:trPr>
        <w:tc>
          <w:tcPr>
            <w:tcW w:w="4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list price when</w:t>
            </w:r>
          </w:p>
        </w:tc>
      </w:tr>
      <w:tr>
        <w:trPr>
          <w:trHeight w:val="230"/>
        </w:trPr>
        <w:tc>
          <w:tcPr>
            <w:tcW w:w="42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w:t>
            </w:r>
          </w:p>
        </w:tc>
      </w:tr>
      <w:tr>
        <w:trPr>
          <w:trHeight w:val="27"/>
        </w:trPr>
        <w:tc>
          <w:tcPr>
            <w:tcW w:w="42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33" w:right="239" w:bottom="1440" w:gutter="0" w:footer="0" w:header="0"/>
        </w:sectPr>
      </w:pPr>
    </w:p>
    <w:p>
      <w:pPr>
        <w:ind w:left="40"/>
        <w:spacing w:after="0"/>
        <w:tabs>
          <w:tab w:leader="none" w:pos="4220" w:val="left"/>
        </w:tabs>
        <w:rPr>
          <w:sz w:val="20"/>
          <w:szCs w:val="20"/>
          <w:color w:val="auto"/>
        </w:rPr>
      </w:pPr>
      <w:r>
        <w:rPr>
          <w:rFonts w:ascii="Arial" w:cs="Arial" w:eastAsia="Arial" w:hAnsi="Arial"/>
          <w:sz w:val="18"/>
          <w:szCs w:val="18"/>
          <w:color w:val="auto"/>
        </w:rPr>
        <w:t>Aircraft engines</w:t>
      </w:r>
      <w:r>
        <w:rPr>
          <w:sz w:val="20"/>
          <w:szCs w:val="20"/>
          <w:color w:val="auto"/>
        </w:rPr>
        <w:tab/>
      </w:r>
      <w:r>
        <w:rPr>
          <w:rFonts w:ascii="Arial" w:cs="Arial" w:eastAsia="Arial" w:hAnsi="Arial"/>
          <w:sz w:val="15"/>
          <w:szCs w:val="15"/>
          <w:color w:val="auto"/>
        </w:rPr>
        <w:t>2 - 6 years, based on maintenance adjusted service</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life</w:t>
      </w:r>
    </w:p>
    <w:p>
      <w:pPr>
        <w:spacing w:after="0" w:line="20" w:lineRule="exact"/>
        <w:rPr>
          <w:sz w:val="20"/>
          <w:szCs w:val="20"/>
          <w:color w:val="auto"/>
        </w:rPr>
      </w:pPr>
      <w:r>
        <w:rPr>
          <w:sz w:val="20"/>
          <w:szCs w:val="20"/>
          <w:color w:val="auto"/>
        </w:rPr>
        <w:br w:type="column"/>
      </w:r>
    </w:p>
    <w:p>
      <w:pPr>
        <w:jc w:val="both"/>
        <w:ind w:right="1260"/>
        <w:spacing w:after="0" w:line="299" w:lineRule="auto"/>
        <w:rPr>
          <w:sz w:val="20"/>
          <w:szCs w:val="20"/>
          <w:color w:val="auto"/>
        </w:rPr>
      </w:pPr>
      <w:r>
        <w:rPr>
          <w:rFonts w:ascii="Arial" w:cs="Arial" w:eastAsia="Arial" w:hAnsi="Arial"/>
          <w:sz w:val="16"/>
          <w:szCs w:val="16"/>
          <w:color w:val="auto"/>
        </w:rPr>
        <w:t>Sum of engine core salvage value plus the estimated fair value of life limited parts</w:t>
      </w:r>
    </w:p>
    <w:p>
      <w:pPr>
        <w:spacing w:after="0" w:line="2" w:lineRule="exact"/>
        <w:rPr>
          <w:sz w:val="20"/>
          <w:szCs w:val="20"/>
          <w:color w:val="auto"/>
        </w:rPr>
      </w:pPr>
    </w:p>
    <w:p>
      <w:pPr>
        <w:sectPr>
          <w:pgSz w:w="11900" w:h="16838" w:orient="portrait"/>
          <w:cols w:equalWidth="0" w:num="2">
            <w:col w:w="7860" w:space="280"/>
            <w:col w:w="32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Offshore energy vessels</w:t>
            </w:r>
          </w:p>
        </w:tc>
        <w:tc>
          <w:tcPr>
            <w:tcW w:w="38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25 years from date of manufacture</w:t>
            </w:r>
          </w:p>
        </w:tc>
        <w:tc>
          <w:tcPr>
            <w:tcW w:w="3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 of new build cost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Railcars and locomotives</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w w:val="89"/>
              </w:rPr>
              <w:t>40</w:t>
            </w:r>
          </w:p>
        </w:tc>
        <w:tc>
          <w:tcPr>
            <w:tcW w:w="3160" w:type="dxa"/>
            <w:vAlign w:val="bottom"/>
          </w:tcPr>
          <w:p>
            <w:pPr>
              <w:ind w:left="20"/>
              <w:spacing w:after="0"/>
              <w:rPr>
                <w:sz w:val="20"/>
                <w:szCs w:val="20"/>
                <w:color w:val="auto"/>
              </w:rPr>
            </w:pPr>
            <w:r>
              <w:rPr>
                <w:rFonts w:ascii="Arial" w:cs="Arial" w:eastAsia="Arial" w:hAnsi="Arial"/>
                <w:sz w:val="18"/>
                <w:szCs w:val="18"/>
                <w:color w:val="auto"/>
              </w:rPr>
              <w:t>- 50 years from date of manufacture</w:t>
            </w:r>
          </w:p>
        </w:tc>
        <w:tc>
          <w:tcPr>
            <w:tcW w:w="3820" w:type="dxa"/>
            <w:vAlign w:val="bottom"/>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7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1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Track and track related assets</w:t>
            </w: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w w:val="89"/>
              </w:rPr>
              <w:t>15</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- 50 years from date of manufacture</w:t>
            </w:r>
          </w:p>
        </w:tc>
        <w:tc>
          <w:tcPr>
            <w:tcW w:w="3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w w:val="89"/>
              </w:rPr>
              <w:t>20</w:t>
            </w:r>
          </w:p>
        </w:tc>
        <w:tc>
          <w:tcPr>
            <w:tcW w:w="3160" w:type="dxa"/>
            <w:vAlign w:val="bottom"/>
          </w:tcPr>
          <w:p>
            <w:pPr>
              <w:ind w:left="20"/>
              <w:spacing w:after="0"/>
              <w:rPr>
                <w:sz w:val="20"/>
                <w:szCs w:val="20"/>
                <w:color w:val="auto"/>
              </w:rPr>
            </w:pPr>
            <w:r>
              <w:rPr>
                <w:rFonts w:ascii="Arial" w:cs="Arial" w:eastAsia="Arial" w:hAnsi="Arial"/>
                <w:sz w:val="18"/>
                <w:szCs w:val="18"/>
                <w:color w:val="auto"/>
              </w:rPr>
              <w:t>- 30 years</w:t>
            </w:r>
          </w:p>
        </w:tc>
        <w:tc>
          <w:tcPr>
            <w:tcW w:w="3820" w:type="dxa"/>
            <w:vAlign w:val="bottom"/>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Railroad equipment</w:t>
            </w:r>
          </w:p>
        </w:tc>
        <w:tc>
          <w:tcPr>
            <w:tcW w:w="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79"/>
              </w:rPr>
              <w:t>3</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- 15 years from date of manufacture</w:t>
            </w:r>
          </w:p>
        </w:tc>
        <w:tc>
          <w:tcPr>
            <w:tcW w:w="3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Crude oil terminal machinery and equipment</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w w:val="89"/>
              </w:rPr>
              <w:t>15</w:t>
            </w:r>
          </w:p>
        </w:tc>
        <w:tc>
          <w:tcPr>
            <w:tcW w:w="3160" w:type="dxa"/>
            <w:vAlign w:val="bottom"/>
          </w:tcPr>
          <w:p>
            <w:pPr>
              <w:ind w:left="20"/>
              <w:spacing w:after="0"/>
              <w:rPr>
                <w:sz w:val="20"/>
                <w:szCs w:val="20"/>
                <w:color w:val="auto"/>
              </w:rPr>
            </w:pPr>
            <w:r>
              <w:rPr>
                <w:rFonts w:ascii="Arial" w:cs="Arial" w:eastAsia="Arial" w:hAnsi="Arial"/>
                <w:sz w:val="18"/>
                <w:szCs w:val="18"/>
                <w:color w:val="auto"/>
              </w:rPr>
              <w:t>- 25 years from date of manufacture</w:t>
            </w:r>
          </w:p>
        </w:tc>
        <w:tc>
          <w:tcPr>
            <w:tcW w:w="3820" w:type="dxa"/>
            <w:vAlign w:val="bottom"/>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79"/>
              </w:rPr>
              <w:t>5</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- 7 years from date of manufacture</w:t>
            </w:r>
          </w:p>
        </w:tc>
        <w:tc>
          <w:tcPr>
            <w:tcW w:w="3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Scrap value at end of useful life</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3</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- 6 years from date of purchase</w:t>
            </w:r>
          </w:p>
        </w:tc>
        <w:tc>
          <w:tcPr>
            <w:tcW w:w="3820" w:type="dxa"/>
            <w:vAlign w:val="bottom"/>
          </w:tcPr>
          <w:p>
            <w:pPr>
              <w:ind w:left="540"/>
              <w:spacing w:after="0"/>
              <w:rPr>
                <w:sz w:val="20"/>
                <w:szCs w:val="20"/>
                <w:color w:val="auto"/>
              </w:rPr>
            </w:pPr>
            <w:r>
              <w:rPr>
                <w:rFonts w:ascii="Arial" w:cs="Arial" w:eastAsia="Arial" w:hAnsi="Arial"/>
                <w:sz w:val="18"/>
                <w:szCs w:val="18"/>
                <w:color w:val="auto"/>
              </w:rPr>
              <w:t>None</w:t>
            </w:r>
          </w:p>
        </w:tc>
      </w:tr>
      <w:tr>
        <w:trPr>
          <w:trHeight w:val="27"/>
        </w:trPr>
        <w:tc>
          <w:tcPr>
            <w:tcW w:w="3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w:t>
            </w:r>
          </w:p>
        </w:tc>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- 5 years from date of purchase</w:t>
            </w:r>
          </w:p>
        </w:tc>
        <w:tc>
          <w:tcPr>
            <w:tcW w:w="3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w:t>
            </w:r>
          </w:p>
        </w:tc>
      </w:tr>
      <w:tr>
        <w:trPr>
          <w:trHeight w:val="27"/>
        </w:trPr>
        <w:tc>
          <w:tcPr>
            <w:tcW w:w="37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asset when placed in service.</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review our depreciation policies on a regular basis to determine whether changes have taken place that would suggest that a change in its depreciation policies, useful lives of its equipment or the assigned residual values is warranted.</w:t>
      </w:r>
    </w:p>
    <w:p>
      <w:pPr>
        <w:spacing w:after="0" w:line="6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offshore energy vessels are required to be drydocked periodically for recertifications or major repairs and maintenance that cannot be performed while the vessels are operating. Normal repairs and maintenance are expensed as incurred. We capitalize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33"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color w:val="auto"/>
        </w:rPr>
        <w:t>the costs associated with the drydockings and amortize them on a straight-line basis over the period between drydockings, usually between 30 and 60 months.</w:t>
      </w:r>
    </w:p>
    <w:p>
      <w:pPr>
        <w:spacing w:after="0" w:line="14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perform a recoverability assessment of each of our long-lived assets whenever events or changes 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 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w:t>
      </w:r>
    </w:p>
    <w:p>
      <w:pPr>
        <w:spacing w:after="0" w:line="8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 Although we believe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the Railroad reporting units or other key inputs, such as profitability or cost of capital, are negatively revised in the future, the estimated fair value of the Jefferson Terminal and Railroad reporting units would be adversely impacted, potentially leading to an impairment in the future that could materially affect our operating results. We performed a sensitivity analysis for goodwill impairment and determined that a hypothetical 5% decline in the fair value of each reporting unit as of October 1, 2015 would not result in an impairment of goodwill for any reporting unit. During the period ended December 31, 2015, there was no impairment of goodwill.</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the normal course of business we may utilize interest rate derivatives to manage its exposure to interest rate risks, principally related to the hedging of variable rate interest payments on various debt facilities. If certain conditions are met, an interest rate derivative may be specifically designated as a cash flow hedge. One of our designated interest rate derivatives is a cash flow hedge. We do not enter into speculative derivative transactions.</w:t>
      </w:r>
    </w:p>
    <w:p>
      <w:pPr>
        <w:spacing w:after="0" w:line="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the date that we enter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33" w:right="2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to remain highly effective in future periods. If it were to be determined that the interest rate derivative is not (or has ceased to be) highly effective as a cash flow hedge, the use of cash flow hedge accounting would be discontinued prospectively.</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Please see note 2 to our consolidated financial statements included in Item 8 in this Annual Report on Form 10-K for recent accounting pronouncements.</w:t>
      </w:r>
    </w:p>
    <w:p>
      <w:pPr>
        <w:spacing w:after="0" w:line="3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46"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As of December 31, 2015,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$2.2 million and $(2.2) million, respectively, over the next twelve months before the impact of interest rate derivatives.</w:t>
      </w:r>
    </w:p>
    <w:p>
      <w:pPr>
        <w:spacing w:after="0" w:line="5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Through the use of an interest rate swap, we have reduced our exposure to interest rate changes with respect to 70% of the outstanding principal balance of Container Loan #1. Through the use of an interest rate cap, we have reduced our exposure to interest rate changes with respect to 50% of the outstanding principal balance of that portion of Container Loan #2 attributable to equipment which is subject to direct finance leases having a five year term (representing a notional amount of approximately $2.6 million at December 31, 2015).</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33" w:right="239" w:bottom="1440" w:gutter="0" w:footer="0" w:header="0"/>
        </w:sectPr>
      </w:pPr>
    </w:p>
    <w:bookmarkStart w:id="87" w:name="page88"/>
    <w:bookmarkEnd w:id="87"/>
    <w:p>
      <w:pPr>
        <w:jc w:val="both"/>
        <w:spacing w:after="0" w:line="279" w:lineRule="auto"/>
        <w:rPr>
          <w:sz w:val="20"/>
          <w:szCs w:val="20"/>
          <w:color w:val="auto"/>
        </w:rPr>
      </w:pPr>
      <w:r>
        <w:rPr>
          <w:rFonts w:ascii="Arial" w:cs="Arial" w:eastAsia="Arial" w:hAnsi="Arial"/>
          <w:sz w:val="17"/>
          <w:szCs w:val="17"/>
          <w:color w:val="auto"/>
        </w:rPr>
        <w:t>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33" w:right="239" w:bottom="1440" w:gutter="0" w:footer="0" w:header="0"/>
        </w:sectPr>
      </w:pPr>
    </w:p>
    <w:bookmarkStart w:id="88" w:name="page89"/>
    <w:bookmarkEnd w:id="88"/>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FORTRESS TRANSPORTATION AND INFRASTRUCTURE INVESTORS LLC: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December 31, 2015 and 2014</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(Loss) Income for the years ended December 31, 2015, 2014, and 2013</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Changes in Equity for the years ended December 31, 2015, 2014, and 2013</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INTERMODAL FINANCE I LTD: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December 31, 2015 and 2014</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p>
      <w:pPr>
        <w:spacing w:after="0" w:line="104" w:lineRule="exact"/>
        <w:rPr>
          <w:sz w:val="20"/>
          <w:szCs w:val="20"/>
          <w:color w:val="auto"/>
        </w:rPr>
      </w:pPr>
    </w:p>
    <w:p>
      <w:pPr>
        <w:ind w:left="660" w:right="2120"/>
        <w:spacing w:after="0" w:line="381" w:lineRule="auto"/>
        <w:rPr>
          <w:sz w:val="20"/>
          <w:szCs w:val="20"/>
          <w:color w:val="auto"/>
        </w:rPr>
      </w:pPr>
      <w:r>
        <w:rPr>
          <w:rFonts w:ascii="Arial" w:cs="Arial" w:eastAsia="Arial" w:hAnsi="Arial"/>
          <w:sz w:val="17"/>
          <w:szCs w:val="17"/>
          <w:color w:val="auto"/>
        </w:rPr>
        <w:t>Consolidated Statements of Comprehensive (Loss) Income for the years ended December 31, 2015, 2014, and 2013 Consolidated Statements of Cash Flows for the years ended December 31, 2015, 2014, and 2013</w:t>
      </w:r>
    </w:p>
    <w:p>
      <w:pPr>
        <w:spacing w:after="0" w:line="1" w:lineRule="exact"/>
        <w:rPr>
          <w:sz w:val="20"/>
          <w:szCs w:val="20"/>
          <w:color w:val="auto"/>
        </w:rPr>
      </w:pPr>
    </w:p>
    <w:p>
      <w:pPr>
        <w:ind w:left="660" w:right="3080"/>
        <w:spacing w:after="0" w:line="387" w:lineRule="auto"/>
        <w:rPr>
          <w:sz w:val="20"/>
          <w:szCs w:val="20"/>
          <w:color w:val="auto"/>
        </w:rPr>
      </w:pPr>
      <w:r>
        <w:rPr>
          <w:rFonts w:ascii="Arial" w:cs="Arial" w:eastAsia="Arial" w:hAnsi="Arial"/>
          <w:sz w:val="18"/>
          <w:szCs w:val="18"/>
          <w:color w:val="auto"/>
        </w:rPr>
        <w:t>Consolidated Statements of Members’ Equity for the years ended December 31, 2015, 2014, and 2013 Notes to Consolidated Financial Statements</w:t>
      </w:r>
    </w:p>
    <w:p>
      <w:pPr>
        <w:spacing w:after="0" w:line="11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accordance with Regulation S-X 3-09, the audited consolidated financial statements of Intermodal Finance I Ltd. as of and for the years ended December 31, 2015, 2014, and 2013, are presented herein.</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121" w:right="5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Fortress Transportation and Infrastructure Investors LLC: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(loss) income, of changes in equity and of cash flows present fairly, in all material respects, the financial position of Fortress Transportation and Infrastructure Investors LLC and its subsidiaries at December 31, 2015 and 2014, and the results of their operations and their cash flows for each of the three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132080</wp:posOffset>
            </wp:positionV>
            <wp:extent cx="514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p>
      <w:pPr>
        <w:jc w:val="both"/>
        <w:ind w:left="320"/>
        <w:spacing w:after="0"/>
        <w:tabs>
          <w:tab w:leader="none" w:pos="16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33020</wp:posOffset>
            </wp:positionV>
            <wp:extent cx="2229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7580" w:space="700"/>
            <w:col w:w="314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22,125</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21,084</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9,588</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636,681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509,379</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299,678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227,381</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Investment in and advances to unconsolidated entity</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Tendered bonds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2, 9</w:t>
            </w:r>
          </w:p>
        </w:tc>
        <w:tc>
          <w:tcPr>
            <w:tcW w:w="5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298,000</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assets, net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52,169</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Goodwill</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116,584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116,584</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41,594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24,048</w:t>
            </w:r>
          </w:p>
        </w:tc>
      </w:tr>
      <w:tr>
        <w:trPr>
          <w:trHeight w:val="217"/>
        </w:trPr>
        <w:tc>
          <w:tcPr>
            <w:tcW w:w="6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00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1,649,641</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1,404,740</w:t>
            </w:r>
          </w:p>
        </w:tc>
      </w:tr>
      <w:tr>
        <w:trPr>
          <w:trHeight w:val="33"/>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69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Debt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271,057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592,867</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deposits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35,575</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Security deposits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15,990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13,622</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6,005</w:t>
            </w:r>
          </w:p>
        </w:tc>
      </w:tr>
      <w:tr>
        <w:trPr>
          <w:trHeight w:val="217"/>
        </w:trPr>
        <w:tc>
          <w:tcPr>
            <w:tcW w:w="6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00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358,955</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691,243</w:t>
            </w:r>
          </w:p>
        </w:tc>
      </w:tr>
      <w:tr>
        <w:trPr>
          <w:trHeight w:val="33"/>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69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Commitments and contingencies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9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69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Common shares ($0.01 par value per share; 2,000,000,000 shares authorized; 75,718,183 and</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3"/>
        </w:trPr>
        <w:tc>
          <w:tcPr>
            <w:tcW w:w="69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5"/>
              </w:rPr>
              <w:t>53,502,873 shares issued and outstanding as of December 31, 2015 and December 31, 2014,</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1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Additional paid in capital</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1,184,198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613,683</w:t>
            </w:r>
          </w:p>
        </w:tc>
      </w:tr>
      <w:tr>
        <w:trPr>
          <w:trHeight w:val="33"/>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deficit</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Shareholders' equity</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1,166,283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614,432</w:t>
            </w:r>
          </w:p>
        </w:tc>
      </w:tr>
      <w:tr>
        <w:trPr>
          <w:trHeight w:val="237"/>
        </w:trPr>
        <w:tc>
          <w:tcPr>
            <w:tcW w:w="6900" w:type="dxa"/>
            <w:vAlign w:val="bottom"/>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124,403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99,065</w:t>
            </w:r>
          </w:p>
        </w:tc>
      </w:tr>
      <w:tr>
        <w:trPr>
          <w:trHeight w:val="33"/>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equity</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1,290,686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r>
      <w:tr>
        <w:trPr>
          <w:trHeight w:val="244"/>
        </w:trPr>
        <w:tc>
          <w:tcPr>
            <w:tcW w:w="6900" w:type="dxa"/>
            <w:vAlign w:val="bottom"/>
          </w:tcPr>
          <w:p>
            <w:pPr>
              <w:ind w:left="500"/>
              <w:spacing w:after="0"/>
              <w:rPr>
                <w:sz w:val="20"/>
                <w:szCs w:val="20"/>
                <w:color w:val="auto"/>
              </w:rPr>
            </w:pPr>
            <w:r>
              <w:rPr>
                <w:rFonts w:ascii="Arial" w:cs="Arial" w:eastAsia="Arial" w:hAnsi="Arial"/>
                <w:sz w:val="16"/>
                <w:szCs w:val="16"/>
                <w:color w:val="auto"/>
              </w:rPr>
              <w:t>Total liabilities and equity</w:t>
            </w:r>
          </w:p>
        </w:tc>
        <w:tc>
          <w:tcPr>
            <w:tcW w:w="10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1,649,641</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1,404,740</w:t>
            </w:r>
          </w:p>
        </w:tc>
      </w:tr>
      <w:tr>
        <w:trPr>
          <w:trHeight w:val="20"/>
        </w:trPr>
        <w:tc>
          <w:tcPr>
            <w:tcW w:w="6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ind w:left="1000"/>
              <w:spacing w:after="0"/>
              <w:rPr>
                <w:sz w:val="20"/>
                <w:szCs w:val="20"/>
                <w:color w:val="auto"/>
              </w:rPr>
            </w:pPr>
            <w:r>
              <w:rPr>
                <w:rFonts w:ascii="Arial" w:cs="Arial" w:eastAsia="Arial" w:hAnsi="Arial"/>
                <w:sz w:val="16"/>
                <w:szCs w:val="16"/>
                <w:b w:val="1"/>
                <w:bCs w:val="1"/>
                <w:color w:val="auto"/>
                <w:w w:val="98"/>
              </w:rPr>
              <w:t>Year Ended December 31,</w:t>
            </w:r>
          </w:p>
        </w:tc>
        <w:tc>
          <w:tcPr>
            <w:tcW w:w="108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6"/>
                <w:szCs w:val="16"/>
                <w:b w:val="1"/>
                <w:bCs w:val="1"/>
                <w:color w:val="auto"/>
              </w:rPr>
              <w:t>Notes</w:t>
            </w:r>
          </w:p>
        </w:tc>
        <w:tc>
          <w:tcPr>
            <w:tcW w:w="1100" w:type="dxa"/>
            <w:vAlign w:val="bottom"/>
          </w:tcPr>
          <w:p>
            <w:pPr>
              <w:jc w:val="right"/>
              <w:ind w:right="45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78"/>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1080" w:type="dxa"/>
            <w:vAlign w:val="bottom"/>
          </w:tcPr>
          <w:p>
            <w:pPr>
              <w:jc w:val="right"/>
              <w:ind w:right="438"/>
              <w:spacing w:after="0"/>
              <w:rPr>
                <w:sz w:val="20"/>
                <w:szCs w:val="20"/>
                <w:color w:val="auto"/>
              </w:rPr>
            </w:pPr>
            <w:r>
              <w:rPr>
                <w:rFonts w:ascii="Arial" w:cs="Arial" w:eastAsia="Arial" w:hAnsi="Arial"/>
                <w:sz w:val="16"/>
                <w:szCs w:val="16"/>
                <w:b w:val="1"/>
                <w:bCs w:val="1"/>
                <w:color w:val="auto"/>
              </w:rPr>
              <w:t>2013</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110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92,743</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43,984</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19,530</w:t>
            </w: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43,825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13,946</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1"/>
        </w:trPr>
        <w:tc>
          <w:tcPr>
            <w:tcW w:w="62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136,568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57,930</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19,530</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6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68,793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27,223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3,157</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2,007</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805</w:t>
            </w: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11,450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260</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5,463</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2,211</w:t>
            </w: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4, 6, 8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45,308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15,998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3,909</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19,311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5,872</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2,816</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161,681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68,013</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13,158</w:t>
            </w:r>
          </w:p>
        </w:tc>
      </w:tr>
      <w:tr>
        <w:trPr>
          <w:trHeight w:val="291"/>
        </w:trPr>
        <w:tc>
          <w:tcPr>
            <w:tcW w:w="6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Equity in (loss) earnings of unconsolidated entities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6,093</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10,325</w:t>
            </w: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7,576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2,415</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Gain on sale of unconsolidated entity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6,144</w:t>
            </w:r>
          </w:p>
        </w:tc>
      </w:tr>
      <w:tr>
        <w:trPr>
          <w:trHeight w:val="33"/>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186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Other income, net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income (expense)</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13,875</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18,907</w:t>
            </w:r>
          </w:p>
        </w:tc>
      </w:tr>
      <w:tr>
        <w:trPr>
          <w:trHeight w:val="291"/>
        </w:trPr>
        <w:tc>
          <w:tcPr>
            <w:tcW w:w="6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(Loss) Income before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3,792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25,279</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874</w:t>
            </w:r>
          </w:p>
        </w:tc>
        <w:tc>
          <w:tcPr>
            <w:tcW w:w="3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Net (loss) income</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2,918</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25,279</w:t>
            </w:r>
          </w:p>
        </w:tc>
      </w:tr>
      <w:tr>
        <w:trPr>
          <w:trHeight w:val="200"/>
        </w:trPr>
        <w:tc>
          <w:tcPr>
            <w:tcW w:w="6280" w:type="dxa"/>
            <w:vAlign w:val="bottom"/>
          </w:tcPr>
          <w:p>
            <w:pPr>
              <w:ind w:left="440"/>
              <w:spacing w:after="0"/>
              <w:rPr>
                <w:sz w:val="20"/>
                <w:szCs w:val="20"/>
                <w:color w:val="auto"/>
              </w:rPr>
            </w:pPr>
            <w:r>
              <w:rPr>
                <w:rFonts w:ascii="Arial" w:cs="Arial" w:eastAsia="Arial" w:hAnsi="Arial"/>
                <w:sz w:val="16"/>
                <w:szCs w:val="16"/>
                <w:color w:val="auto"/>
              </w:rPr>
              <w:t>Less: Net (loss) income attributable to non-controlling interests in consolidated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06"/>
        </w:trPr>
        <w:tc>
          <w:tcPr>
            <w:tcW w:w="6280" w:type="dxa"/>
            <w:vAlign w:val="bottom"/>
          </w:tcPr>
          <w:p>
            <w:pPr>
              <w:ind w:left="440"/>
              <w:spacing w:after="0"/>
              <w:rPr>
                <w:sz w:val="20"/>
                <w:szCs w:val="20"/>
                <w:color w:val="auto"/>
              </w:rPr>
            </w:pPr>
            <w:r>
              <w:rPr>
                <w:rFonts w:ascii="Arial" w:cs="Arial" w:eastAsia="Arial" w:hAnsi="Arial"/>
                <w:sz w:val="16"/>
                <w:szCs w:val="16"/>
                <w:color w:val="auto"/>
              </w:rPr>
              <w:t>subsidiaries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(4,862)</w:t>
            </w:r>
          </w:p>
        </w:tc>
        <w:tc>
          <w:tcPr>
            <w:tcW w:w="36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458</w:t>
            </w:r>
          </w:p>
        </w:tc>
      </w:tr>
      <w:tr>
        <w:trPr>
          <w:trHeight w:val="33"/>
        </w:trPr>
        <w:tc>
          <w:tcPr>
            <w:tcW w:w="6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100" w:type="dxa"/>
            <w:vAlign w:val="bottom"/>
            <w:gridSpan w:val="3"/>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7,780</w:t>
            </w:r>
          </w:p>
        </w:tc>
        <w:tc>
          <w:tcPr>
            <w:tcW w:w="3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24,821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Earnings per Share: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6"/>
                <w:szCs w:val="16"/>
                <w:color w:val="auto"/>
              </w:rPr>
              <w:t>Basic and Diluted</w:t>
            </w:r>
          </w:p>
        </w:tc>
        <w:tc>
          <w:tcPr>
            <w:tcW w:w="11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0.15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0.46</w:t>
            </w:r>
          </w:p>
        </w:tc>
      </w:tr>
      <w:tr>
        <w:trPr>
          <w:trHeight w:val="27"/>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6"/>
                <w:szCs w:val="16"/>
                <w:color w:val="auto"/>
              </w:rPr>
              <w:t>Basic</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67,039,439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53,502,873</w:t>
            </w:r>
          </w:p>
        </w:tc>
        <w:tc>
          <w:tcPr>
            <w:tcW w:w="36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53,502,873</w:t>
            </w:r>
          </w:p>
        </w:tc>
      </w:tr>
      <w:tr>
        <w:trPr>
          <w:trHeight w:val="27"/>
        </w:trPr>
        <w:tc>
          <w:tcPr>
            <w:tcW w:w="6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67,039,439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53,502,873</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53,502,873</w:t>
            </w:r>
          </w:p>
        </w:tc>
      </w:tr>
      <w:tr>
        <w:trPr>
          <w:trHeight w:val="27"/>
        </w:trPr>
        <w:tc>
          <w:tcPr>
            <w:tcW w:w="6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ind w:right="534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color w:val="auto"/>
        </w:rPr>
        <w:t>(Dollar amounts in thousands, unless otherwise noted)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(28,631)</w:t>
            </w:r>
          </w:p>
        </w:tc>
        <w:tc>
          <w:tcPr>
            <w:tcW w:w="5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2,918</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Change in fair value of cash flow hedge </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(28,748)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2,804</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25,684</w:t>
            </w: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(16,805)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(4,862)</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 attributable to shareholders</w:t>
            </w:r>
          </w:p>
        </w:tc>
        <w:tc>
          <w:tcPr>
            <w:tcW w:w="10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0"/>
              </w:rPr>
              <w:t>(11,943)</w:t>
            </w:r>
          </w:p>
        </w:tc>
        <w:tc>
          <w:tcPr>
            <w:tcW w:w="5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7,666</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25,226</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Company's share of equity method investee amounts of $77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FORTRESS TRANSPORTATION AND INFRASTRUCTURE INVESTORS LLC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ectPr>
          <w:pgSz w:w="11900" w:h="16838" w:orient="portrait"/>
          <w:cols w:equalWidth="0" w:num="1">
            <w:col w:w="11360"/>
          </w:cols>
          <w:pgMar w:left="240" w:top="580" w:right="299" w:bottom="1440" w:gutter="0" w:footer="0" w:header="0"/>
        </w:sect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 Paid</w:t>
            </w:r>
          </w:p>
        </w:tc>
        <w:tc>
          <w:tcPr>
            <w:tcW w:w="18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Common Stock</w:t>
            </w:r>
          </w:p>
        </w:tc>
        <w:tc>
          <w:tcPr>
            <w:tcW w:w="1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In Capital</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6"/>
                <w:szCs w:val="16"/>
                <w:b w:val="1"/>
                <w:bCs w:val="1"/>
                <w:color w:val="auto"/>
              </w:rPr>
              <w:t>Equity - December 31, 2013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191,566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328</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6"/>
                <w:szCs w:val="16"/>
                <w:color w:val="auto"/>
              </w:rPr>
              <w:t>Net (loss) income for the period</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340"/>
              <w:spacing w:after="0"/>
              <w:rPr>
                <w:sz w:val="20"/>
                <w:szCs w:val="20"/>
                <w:color w:val="auto"/>
              </w:rPr>
            </w:pPr>
            <w:r>
              <w:rPr>
                <w:rFonts w:ascii="Arial" w:cs="Arial" w:eastAsia="Arial" w:hAnsi="Arial"/>
                <w:sz w:val="16"/>
                <w:szCs w:val="16"/>
                <w:color w:val="auto"/>
              </w:rPr>
              <w:t>Total comprehensive (loss) income</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490,747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Capital distributions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6"/>
                <w:szCs w:val="16"/>
                <w:b w:val="1"/>
                <w:bCs w:val="1"/>
                <w:color w:val="auto"/>
              </w:rPr>
              <w:t>Equity - December 31, 2014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613,683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214</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6"/>
                <w:szCs w:val="16"/>
                <w:color w:val="auto"/>
              </w:rPr>
              <w:t>Net (loss) income for the period</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34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295,879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Capital distributions</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Issuance of common shares</w:t>
            </w:r>
          </w:p>
        </w:tc>
        <w:tc>
          <w:tcPr>
            <w:tcW w:w="1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348,929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Dividends declared</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Pr>
          <w:p>
            <w:pPr>
              <w:spacing w:after="0"/>
              <w:rPr>
                <w:sz w:val="20"/>
                <w:szCs w:val="20"/>
                <w:color w:val="auto"/>
              </w:rPr>
            </w:pPr>
            <w:r>
              <w:rPr>
                <w:rFonts w:ascii="Arial" w:cs="Arial" w:eastAsia="Arial" w:hAnsi="Arial"/>
                <w:sz w:val="16"/>
                <w:szCs w:val="16"/>
                <w:b w:val="1"/>
                <w:bCs w:val="1"/>
                <w:color w:val="auto"/>
              </w:rPr>
              <w:t>Equity - December 31, 2015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1,184,198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(18,769)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Non-Controlling</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Interest in</w:t>
      </w:r>
    </w:p>
    <w:p>
      <w:pPr>
        <w:spacing w:after="0" w:line="19" w:lineRule="exact"/>
        <w:rPr>
          <w:sz w:val="20"/>
          <w:szCs w:val="20"/>
          <w:color w:val="auto"/>
        </w:rPr>
      </w:pPr>
    </w:p>
    <w:p>
      <w:pPr>
        <w:ind w:left="260"/>
        <w:spacing w:after="0"/>
        <w:tabs>
          <w:tab w:leader="none" w:pos="1480" w:val="left"/>
        </w:tabs>
        <w:rPr>
          <w:sz w:val="20"/>
          <w:szCs w:val="20"/>
          <w:color w:val="auto"/>
        </w:rPr>
      </w:pPr>
      <w:r>
        <w:rPr>
          <w:rFonts w:ascii="Arial" w:cs="Arial" w:eastAsia="Arial" w:hAnsi="Arial"/>
          <w:sz w:val="16"/>
          <w:szCs w:val="16"/>
          <w:b w:val="1"/>
          <w:bCs w:val="1"/>
          <w:color w:val="auto"/>
        </w:rPr>
        <w:t>Equity of</w:t>
      </w:r>
      <w:r>
        <w:rPr>
          <w:sz w:val="20"/>
          <w:szCs w:val="20"/>
          <w:color w:val="auto"/>
        </w:rPr>
        <w:tab/>
      </w:r>
      <w:r>
        <w:rPr>
          <w:rFonts w:ascii="Arial" w:cs="Arial" w:eastAsia="Arial" w:hAnsi="Arial"/>
          <w:sz w:val="15"/>
          <w:szCs w:val="15"/>
          <w:b w:val="1"/>
          <w:bCs w:val="1"/>
          <w:color w:val="auto"/>
        </w:rPr>
        <w:t>Total Equity</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Consolidated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Subsidiaries</w:t>
      </w:r>
    </w:p>
    <w:p>
      <w:pPr>
        <w:spacing w:after="0" w:line="78" w:lineRule="exact"/>
        <w:rPr>
          <w:sz w:val="20"/>
          <w:szCs w:val="20"/>
          <w:color w:val="auto"/>
        </w:rPr>
      </w:pPr>
    </w:p>
    <w:p>
      <w:pPr>
        <w:spacing w:after="0"/>
        <w:tabs>
          <w:tab w:leader="none" w:pos="720" w:val="left"/>
          <w:tab w:leader="none" w:pos="1320" w:val="left"/>
          <w:tab w:leader="none" w:pos="1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3,455</w:t>
        <w:tab/>
        <w:t>$</w:t>
      </w:r>
      <w:r>
        <w:rPr>
          <w:sz w:val="20"/>
          <w:szCs w:val="20"/>
          <w:color w:val="auto"/>
        </w:rPr>
        <w:tab/>
      </w:r>
      <w:r>
        <w:rPr>
          <w:rFonts w:ascii="Arial" w:cs="Arial" w:eastAsia="Arial" w:hAnsi="Arial"/>
          <w:sz w:val="14"/>
          <w:szCs w:val="14"/>
          <w:b w:val="1"/>
          <w:bCs w:val="1"/>
          <w:color w:val="auto"/>
        </w:rPr>
        <w:t>195,884</w:t>
      </w:r>
    </w:p>
    <w:p>
      <w:pPr>
        <w:spacing w:after="0" w:line="360" w:lineRule="exact"/>
        <w:rPr>
          <w:sz w:val="20"/>
          <w:szCs w:val="20"/>
          <w:color w:val="auto"/>
        </w:rPr>
      </w:pPr>
    </w:p>
    <w:p>
      <w:pPr>
        <w:ind w:left="680"/>
        <w:spacing w:after="0"/>
        <w:tabs>
          <w:tab w:leader="none" w:pos="2060" w:val="left"/>
        </w:tabs>
        <w:rPr>
          <w:sz w:val="20"/>
          <w:szCs w:val="20"/>
          <w:color w:val="auto"/>
        </w:rPr>
      </w:pPr>
      <w:r>
        <w:rPr>
          <w:rFonts w:ascii="Arial" w:cs="Arial" w:eastAsia="Arial" w:hAnsi="Arial"/>
          <w:sz w:val="16"/>
          <w:szCs w:val="16"/>
          <w:color w:val="auto"/>
        </w:rPr>
        <w:t>(4,862)</w:t>
      </w:r>
      <w:r>
        <w:rPr>
          <w:sz w:val="20"/>
          <w:szCs w:val="20"/>
          <w:color w:val="auto"/>
        </w:rPr>
        <w:tab/>
      </w:r>
      <w:r>
        <w:rPr>
          <w:rFonts w:ascii="Arial" w:cs="Arial" w:eastAsia="Arial" w:hAnsi="Arial"/>
          <w:sz w:val="16"/>
          <w:szCs w:val="16"/>
          <w:color w:val="auto"/>
        </w:rPr>
        <w:t>2,918</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(114)</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(4,862)</w:t>
      </w:r>
      <w:r>
        <w:rPr>
          <w:rFonts w:ascii="Arial" w:cs="Arial" w:eastAsia="Arial" w:hAnsi="Arial"/>
          <w:sz w:val="15"/>
          <w:szCs w:val="15"/>
          <w:color w:val="auto"/>
        </w:rPr>
        <w:t>2,804</w:t>
      </w:r>
    </w:p>
    <w:p>
      <w:pPr>
        <w:spacing w:after="0" w:line="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6"/>
          <w:szCs w:val="16"/>
          <w:color w:val="auto"/>
        </w:rPr>
        <w:t>99,772</w:t>
      </w:r>
      <w:r>
        <w:rPr>
          <w:sz w:val="20"/>
          <w:szCs w:val="20"/>
          <w:color w:val="auto"/>
        </w:rPr>
        <w:tab/>
      </w:r>
      <w:r>
        <w:rPr>
          <w:rFonts w:ascii="Arial" w:cs="Arial" w:eastAsia="Arial" w:hAnsi="Arial"/>
          <w:sz w:val="16"/>
          <w:szCs w:val="16"/>
          <w:color w:val="auto"/>
        </w:rPr>
        <w:t>590,519</w:t>
      </w:r>
    </w:p>
    <w:p>
      <w:pPr>
        <w:spacing w:after="0" w:line="86" w:lineRule="exact"/>
        <w:rPr>
          <w:sz w:val="20"/>
          <w:szCs w:val="20"/>
          <w:color w:val="auto"/>
        </w:rPr>
      </w:pPr>
    </w:p>
    <w:p>
      <w:pPr>
        <w:ind w:left="1960" w:hanging="1156"/>
        <w:spacing w:after="0"/>
        <w:tabs>
          <w:tab w:leader="none" w:pos="19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(76,975)</w:t>
      </w:r>
    </w:p>
    <w:p>
      <w:pPr>
        <w:spacing w:after="0" w:line="109" w:lineRule="exact"/>
        <w:rPr>
          <w:sz w:val="20"/>
          <w:szCs w:val="20"/>
          <w:color w:val="auto"/>
        </w:rPr>
      </w:pPr>
    </w:p>
    <w:p>
      <w:pPr>
        <w:ind w:left="740"/>
        <w:spacing w:after="0"/>
        <w:tabs>
          <w:tab w:leader="none" w:pos="2060" w:val="left"/>
        </w:tabs>
        <w:rPr>
          <w:sz w:val="20"/>
          <w:szCs w:val="20"/>
          <w:color w:val="auto"/>
        </w:rPr>
      </w:pPr>
      <w:r>
        <w:rPr>
          <w:rFonts w:ascii="Arial" w:cs="Arial" w:eastAsia="Arial" w:hAnsi="Arial"/>
          <w:sz w:val="16"/>
          <w:szCs w:val="16"/>
          <w:color w:val="auto"/>
        </w:rPr>
        <w:t>1,265</w:t>
      </w:r>
      <w:r>
        <w:rPr>
          <w:sz w:val="20"/>
          <w:szCs w:val="20"/>
          <w:color w:val="auto"/>
        </w:rPr>
        <w:tab/>
      </w:r>
      <w:r>
        <w:rPr>
          <w:rFonts w:ascii="Arial" w:cs="Arial" w:eastAsia="Arial" w:hAnsi="Arial"/>
          <w:sz w:val="16"/>
          <w:szCs w:val="16"/>
          <w:color w:val="auto"/>
        </w:rPr>
        <w:t>1,265</w:t>
      </w:r>
    </w:p>
    <w:p>
      <w:pPr>
        <w:spacing w:after="0" w:line="82" w:lineRule="exact"/>
        <w:rPr>
          <w:sz w:val="20"/>
          <w:szCs w:val="20"/>
          <w:color w:val="auto"/>
        </w:rPr>
      </w:pPr>
    </w:p>
    <w:p>
      <w:pPr>
        <w:spacing w:after="0"/>
        <w:tabs>
          <w:tab w:leader="none" w:pos="640" w:val="left"/>
          <w:tab w:leader="none" w:pos="1320" w:val="left"/>
          <w:tab w:leader="none" w:pos="1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99,065</w:t>
        <w:tab/>
        <w:t>$</w:t>
      </w:r>
      <w:r>
        <w:rPr>
          <w:sz w:val="20"/>
          <w:szCs w:val="20"/>
          <w:color w:val="auto"/>
        </w:rPr>
        <w:tab/>
      </w:r>
      <w:r>
        <w:rPr>
          <w:rFonts w:ascii="Arial" w:cs="Arial" w:eastAsia="Arial" w:hAnsi="Arial"/>
          <w:sz w:val="14"/>
          <w:szCs w:val="14"/>
          <w:b w:val="1"/>
          <w:bCs w:val="1"/>
          <w:color w:val="auto"/>
        </w:rPr>
        <w:t>713,497</w:t>
      </w:r>
    </w:p>
    <w:p>
      <w:pPr>
        <w:spacing w:after="0" w:line="360" w:lineRule="exact"/>
        <w:rPr>
          <w:sz w:val="20"/>
          <w:szCs w:val="20"/>
          <w:color w:val="auto"/>
        </w:rPr>
      </w:pPr>
    </w:p>
    <w:p>
      <w:pPr>
        <w:jc w:val="both"/>
        <w:ind w:left="600"/>
        <w:spacing w:after="0"/>
        <w:tabs>
          <w:tab w:leader="none" w:pos="1940" w:val="left"/>
        </w:tabs>
        <w:rPr>
          <w:sz w:val="20"/>
          <w:szCs w:val="20"/>
          <w:color w:val="auto"/>
        </w:rPr>
      </w:pPr>
      <w:r>
        <w:rPr>
          <w:rFonts w:ascii="Arial" w:cs="Arial" w:eastAsia="Arial" w:hAnsi="Arial"/>
          <w:sz w:val="16"/>
          <w:szCs w:val="16"/>
          <w:color w:val="auto"/>
        </w:rPr>
        <w:t>(16,805)</w:t>
      </w:r>
      <w:r>
        <w:rPr>
          <w:sz w:val="20"/>
          <w:szCs w:val="20"/>
          <w:color w:val="auto"/>
        </w:rPr>
        <w:tab/>
      </w:r>
      <w:r>
        <w:rPr>
          <w:rFonts w:ascii="Arial" w:cs="Arial" w:eastAsia="Arial" w:hAnsi="Arial"/>
          <w:sz w:val="16"/>
          <w:szCs w:val="16"/>
          <w:color w:val="auto"/>
        </w:rPr>
        <w:t>(28,631)</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(117)</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(16,805)</w:t>
      </w:r>
      <w:r>
        <w:rPr>
          <w:rFonts w:ascii="Arial" w:cs="Arial" w:eastAsia="Arial" w:hAnsi="Arial"/>
          <w:sz w:val="14"/>
          <w:szCs w:val="14"/>
          <w:color w:val="auto"/>
        </w:rPr>
        <w:t>(28,748)</w:t>
      </w:r>
    </w:p>
    <w:p>
      <w:pPr>
        <w:spacing w:after="0" w:line="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6"/>
          <w:szCs w:val="16"/>
          <w:color w:val="auto"/>
        </w:rPr>
        <w:t>37,826</w:t>
      </w:r>
      <w:r>
        <w:rPr>
          <w:sz w:val="20"/>
          <w:szCs w:val="20"/>
          <w:color w:val="auto"/>
        </w:rPr>
        <w:tab/>
      </w:r>
      <w:r>
        <w:rPr>
          <w:rFonts w:ascii="Arial" w:cs="Arial" w:eastAsia="Arial" w:hAnsi="Arial"/>
          <w:sz w:val="16"/>
          <w:szCs w:val="16"/>
          <w:color w:val="auto"/>
        </w:rPr>
        <w:t>333,705</w:t>
      </w:r>
    </w:p>
    <w:p>
      <w:pPr>
        <w:spacing w:after="0" w:line="86" w:lineRule="exact"/>
        <w:rPr>
          <w:sz w:val="20"/>
          <w:szCs w:val="20"/>
          <w:color w:val="auto"/>
        </w:rPr>
      </w:pPr>
    </w:p>
    <w:p>
      <w:pPr>
        <w:ind w:left="1960" w:hanging="1156"/>
        <w:spacing w:after="0"/>
        <w:tabs>
          <w:tab w:leader="none" w:pos="19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(45,238)</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349,151</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(36,343)</w:t>
      </w:r>
    </w:p>
    <w:p>
      <w:pPr>
        <w:spacing w:after="0" w:line="86" w:lineRule="exact"/>
        <w:rPr>
          <w:sz w:val="20"/>
          <w:szCs w:val="20"/>
          <w:color w:val="auto"/>
        </w:rPr>
      </w:pPr>
    </w:p>
    <w:p>
      <w:pPr>
        <w:ind w:left="740"/>
        <w:spacing w:after="0"/>
        <w:tabs>
          <w:tab w:leader="none" w:pos="2060" w:val="left"/>
        </w:tabs>
        <w:rPr>
          <w:sz w:val="20"/>
          <w:szCs w:val="20"/>
          <w:color w:val="auto"/>
        </w:rPr>
      </w:pPr>
      <w:r>
        <w:rPr>
          <w:rFonts w:ascii="Arial" w:cs="Arial" w:eastAsia="Arial" w:hAnsi="Arial"/>
          <w:sz w:val="16"/>
          <w:szCs w:val="16"/>
          <w:color w:val="auto"/>
        </w:rPr>
        <w:t>4,638</w:t>
      </w:r>
      <w:r>
        <w:rPr>
          <w:sz w:val="20"/>
          <w:szCs w:val="20"/>
          <w:color w:val="auto"/>
        </w:rPr>
        <w:tab/>
      </w:r>
      <w:r>
        <w:rPr>
          <w:rFonts w:ascii="Arial" w:cs="Arial" w:eastAsia="Arial" w:hAnsi="Arial"/>
          <w:sz w:val="16"/>
          <w:szCs w:val="16"/>
          <w:color w:val="auto"/>
        </w:rPr>
        <w:t>4,662</w:t>
      </w:r>
    </w:p>
    <w:p>
      <w:pPr>
        <w:spacing w:after="0" w:line="82" w:lineRule="exact"/>
        <w:rPr>
          <w:sz w:val="20"/>
          <w:szCs w:val="20"/>
          <w:color w:val="auto"/>
        </w:rPr>
      </w:pPr>
    </w:p>
    <w:p>
      <w:pPr>
        <w:spacing w:after="0"/>
        <w:tabs>
          <w:tab w:leader="none" w:pos="560" w:val="left"/>
          <w:tab w:leader="none" w:pos="1320" w:val="left"/>
          <w:tab w:leader="none" w:pos="17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124,403</w:t>
        <w:tab/>
        <w:t>$</w:t>
      </w:r>
      <w:r>
        <w:rPr>
          <w:sz w:val="20"/>
          <w:szCs w:val="20"/>
          <w:color w:val="auto"/>
        </w:rPr>
        <w:tab/>
      </w:r>
      <w:r>
        <w:rPr>
          <w:rFonts w:ascii="Arial" w:cs="Arial" w:eastAsia="Arial" w:hAnsi="Arial"/>
          <w:sz w:val="14"/>
          <w:szCs w:val="14"/>
          <w:b w:val="1"/>
          <w:bCs w:val="1"/>
          <w:color w:val="auto"/>
        </w:rPr>
        <w:t>1,290,686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1646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8720" w:space="140"/>
            <w:col w:w="2500"/>
          </w:cols>
          <w:pgMar w:left="240" w:top="58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60"/>
          </w:cols>
          <w:pgMar w:left="240" w:top="580" w:right="2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2013</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(28,631)</w:t>
            </w:r>
          </w:p>
        </w:tc>
        <w:tc>
          <w:tcPr>
            <w:tcW w:w="12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2,918</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25,279</w:t>
            </w:r>
          </w:p>
        </w:tc>
      </w:tr>
      <w:tr>
        <w:trPr>
          <w:trHeight w:val="20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income to net cash provided by (used in) operating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Equity in loss (earnings) of unconsolidated entities</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(10,325)</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on sale of equipment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Gain on sale of an unconsolidated entity</w:t>
            </w:r>
          </w:p>
        </w:tc>
        <w:tc>
          <w:tcPr>
            <w:tcW w:w="10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(6,144)</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Security deposits and maintenance claims included in earnings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Equity-based compensation</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4,662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45,308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3,909</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Change in current and deferred income taxes</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 in fair value of non-hedge derivative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Amortization of lease intangibles and incentives</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Operating distributions from unconsolidated entities</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8,207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8,713</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Bad debt expense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 in:</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6060" w:type="dxa"/>
            <w:vAlign w:val="bottom"/>
          </w:tcPr>
          <w:p>
            <w:pPr>
              <w:ind w:left="1360"/>
              <w:spacing w:after="0"/>
              <w:rPr>
                <w:sz w:val="20"/>
                <w:szCs w:val="20"/>
                <w:color w:val="auto"/>
              </w:rPr>
            </w:pPr>
            <w:r>
              <w:rPr>
                <w:rFonts w:ascii="Arial" w:cs="Arial" w:eastAsia="Arial" w:hAnsi="Arial"/>
                <w:sz w:val="14"/>
                <w:szCs w:val="14"/>
                <w:color w:val="auto"/>
              </w:rPr>
              <w:t>Accounts receivable</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(2,609)</w:t>
            </w:r>
          </w:p>
        </w:tc>
      </w:tr>
      <w:tr>
        <w:trPr>
          <w:trHeight w:val="276"/>
        </w:trPr>
        <w:tc>
          <w:tcPr>
            <w:tcW w:w="60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(6,481)</w:t>
            </w:r>
          </w:p>
        </w:tc>
      </w:tr>
      <w:tr>
        <w:trPr>
          <w:trHeight w:val="264"/>
        </w:trPr>
        <w:tc>
          <w:tcPr>
            <w:tcW w:w="6060" w:type="dxa"/>
            <w:vAlign w:val="bottom"/>
          </w:tcPr>
          <w:p>
            <w:pPr>
              <w:ind w:left="1360"/>
              <w:spacing w:after="0"/>
              <w:rPr>
                <w:sz w:val="20"/>
                <w:szCs w:val="20"/>
                <w:color w:val="auto"/>
              </w:rPr>
            </w:pPr>
            <w:r>
              <w:rPr>
                <w:rFonts w:ascii="Arial" w:cs="Arial" w:eastAsia="Arial" w:hAnsi="Arial"/>
                <w:sz w:val="14"/>
                <w:szCs w:val="14"/>
                <w:color w:val="auto"/>
              </w:rPr>
              <w:t>Accounts payable and accrued liabilities</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(45,900)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892</w:t>
            </w:r>
          </w:p>
        </w:tc>
      </w:tr>
      <w:tr>
        <w:trPr>
          <w:trHeight w:val="276"/>
        </w:trPr>
        <w:tc>
          <w:tcPr>
            <w:tcW w:w="60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Management fees payable to affiliate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w:t>
            </w:r>
          </w:p>
        </w:tc>
      </w:tr>
      <w:tr>
        <w:trPr>
          <w:trHeight w:val="264"/>
        </w:trPr>
        <w:tc>
          <w:tcPr>
            <w:tcW w:w="6060" w:type="dxa"/>
            <w:vAlign w:val="bottom"/>
            <w:tcBorders>
              <w:bottom w:val="single" w:sz="8" w:color="CCEEFF"/>
            </w:tcBorders>
          </w:tcPr>
          <w:p>
            <w:pPr>
              <w:ind w:left="136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23,528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(31,551)</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11,913</w:t>
            </w:r>
          </w:p>
        </w:tc>
      </w:tr>
      <w:tr>
        <w:trPr>
          <w:trHeight w:val="297"/>
        </w:trPr>
        <w:tc>
          <w:tcPr>
            <w:tcW w:w="6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Change in restricted cash</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Investment in notes receivable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Construction deposit related to vessel</w:t>
            </w:r>
          </w:p>
        </w:tc>
        <w:tc>
          <w:tcPr>
            <w:tcW w:w="10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Principal collections on finance leases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20,292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8,263</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Acquisition of leasing equipment</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(165,090)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(387,118)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(88,045)</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Acquisition of property plant and equipment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Acquisition of lease intangibles</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(20,435)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Acquisition of finance leases</w:t>
            </w:r>
          </w:p>
        </w:tc>
        <w:tc>
          <w:tcPr>
            <w:tcW w:w="10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(41,808)</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Proceeds from sale of investment in unconsolidated entity</w:t>
            </w:r>
          </w:p>
        </w:tc>
        <w:tc>
          <w:tcPr>
            <w:tcW w:w="10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22,000</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Collection of notes receivable</w:t>
            </w:r>
          </w:p>
        </w:tc>
        <w:tc>
          <w:tcPr>
            <w:tcW w:w="10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Acquisition of CMQR</w:t>
            </w:r>
          </w:p>
        </w:tc>
        <w:tc>
          <w:tcPr>
            <w:tcW w:w="10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(11,308)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Acquisition of Jefferson Terminal</w:t>
            </w:r>
          </w:p>
        </w:tc>
        <w:tc>
          <w:tcPr>
            <w:tcW w:w="10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Acquisition of pre-existing debt relationships</w:t>
            </w:r>
          </w:p>
        </w:tc>
        <w:tc>
          <w:tcPr>
            <w:tcW w:w="10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(97,616)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Proceeds from sale of leasing equipment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8,434</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Proceeds from sale of property, plant and equipment</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Proceeds from sale of equipment held for sale</w:t>
            </w:r>
          </w:p>
        </w:tc>
        <w:tc>
          <w:tcPr>
            <w:tcW w:w="10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720"/>
              <w:spacing w:after="0"/>
              <w:rPr>
                <w:sz w:val="20"/>
                <w:szCs w:val="20"/>
                <w:color w:val="auto"/>
              </w:rPr>
            </w:pPr>
            <w:r>
              <w:rPr>
                <w:rFonts w:ascii="Arial" w:cs="Arial" w:eastAsia="Arial" w:hAnsi="Arial"/>
                <w:sz w:val="14"/>
                <w:szCs w:val="14"/>
                <w:color w:val="auto"/>
              </w:rPr>
              <w:t>Proceeds from deposit on sale of engine</w:t>
            </w:r>
          </w:p>
        </w:tc>
        <w:tc>
          <w:tcPr>
            <w:tcW w:w="10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Escrow funding for the purchase of aircraft</w:t>
            </w:r>
          </w:p>
        </w:tc>
        <w:tc>
          <w:tcPr>
            <w:tcW w:w="10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Return of capital distributions from unconsolidated entities</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4,511</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(239,921)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(571,416)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0"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2013</w:t>
            </w:r>
          </w:p>
        </w:tc>
      </w:tr>
      <w:tr>
        <w:trPr>
          <w:trHeight w:val="25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Purchase of interest rate cap</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Proceeds from debt</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179,569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24,774</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Repayment of debt</w:t>
            </w:r>
          </w:p>
        </w:tc>
        <w:tc>
          <w:tcPr>
            <w:tcW w:w="1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(23,761)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(31,131)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(7,377)</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Payment of deferred financing costs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Receipt of security deposits</w:t>
            </w:r>
          </w:p>
        </w:tc>
        <w:tc>
          <w:tcPr>
            <w:tcW w:w="13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3,466</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Return of security deposits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Receipt of maintenance deposits</w:t>
            </w:r>
          </w:p>
        </w:tc>
        <w:tc>
          <w:tcPr>
            <w:tcW w:w="13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10,149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817</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Release of maintenance deposits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w w:val="94"/>
              </w:rPr>
              <w:t>Proceeds from issuance of common shares, net of underwriter's discount</w:t>
            </w:r>
          </w:p>
        </w:tc>
        <w:tc>
          <w:tcPr>
            <w:tcW w:w="13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354,057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Common shares issuance costs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Capital contributions from shareholders</w:t>
            </w:r>
          </w:p>
        </w:tc>
        <w:tc>
          <w:tcPr>
            <w:tcW w:w="13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295,879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490,747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94,819</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Capital distributions to shareholders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(39,631)</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Capital contributions from non-controlling interests</w:t>
            </w:r>
          </w:p>
        </w:tc>
        <w:tc>
          <w:tcPr>
            <w:tcW w:w="13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37,826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57,841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3,318</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Capital distributions to non-controlling interests</w:t>
            </w: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Cash dividends paid</w:t>
            </w:r>
          </w:p>
        </w:tc>
        <w:tc>
          <w:tcPr>
            <w:tcW w:w="1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340" w:type="dxa"/>
            <w:vAlign w:val="bottom"/>
            <w:tcBorders>
              <w:top w:val="single" w:sz="8" w:color="auto"/>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575,971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617,856</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78,964</w:t>
            </w:r>
          </w:p>
        </w:tc>
      </w:tr>
      <w:tr>
        <w:trPr>
          <w:trHeight w:val="324"/>
        </w:trPr>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359,578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14,889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3,112</w:t>
            </w:r>
          </w:p>
        </w:tc>
      </w:tr>
      <w:tr>
        <w:trPr>
          <w:trHeight w:val="264"/>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4,124</w:t>
            </w: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381,703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7,236</w:t>
            </w:r>
          </w:p>
        </w:tc>
      </w:tr>
      <w:tr>
        <w:trPr>
          <w:trHeight w:val="20"/>
        </w:trPr>
        <w:tc>
          <w:tcPr>
            <w:tcW w:w="5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5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Cash paid for interest</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18,566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3,627</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2,700</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Cash paid for taxes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4"/>
        </w:trPr>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Acquisition of finance leases</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(894)</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Acquisition of leasing equipment</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Acquisition of CMQR</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Acquisition of property, plant and equipment</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Acquisition of Jefferson</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(38,207)</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Settled and assumed security deposits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Billed, assumed and settled maintenance deposits</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34,461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Non-cash contribution of non-controlling interest</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38,207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Equity compensation to non-controlling interest</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Loan receivable from non-controlling interest</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Note receivable from sale of unconsolidated entity</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4,500</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Deemed distribution and contribution of capital</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2,267</w:t>
            </w:r>
          </w:p>
        </w:tc>
      </w:tr>
      <w:tr>
        <w:trPr>
          <w:trHeight w:val="264"/>
        </w:trPr>
        <w:tc>
          <w:tcPr>
            <w:tcW w:w="5000" w:type="dxa"/>
            <w:vAlign w:val="bottom"/>
          </w:tcPr>
          <w:p>
            <w:pPr>
              <w:ind w:left="700"/>
              <w:spacing w:after="0"/>
              <w:rPr>
                <w:sz w:val="20"/>
                <w:szCs w:val="20"/>
                <w:color w:val="auto"/>
              </w:rPr>
            </w:pPr>
            <w:r>
              <w:rPr>
                <w:rFonts w:ascii="Arial" w:cs="Arial" w:eastAsia="Arial" w:hAnsi="Arial"/>
                <w:sz w:val="14"/>
                <w:szCs w:val="14"/>
                <w:color w:val="auto"/>
              </w:rPr>
              <w:t>Distribution payable</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Common share issuance costs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5000" w:type="dxa"/>
            <w:vAlign w:val="bottom"/>
          </w:tcPr>
          <w:p>
            <w:pPr>
              <w:ind w:left="700"/>
              <w:spacing w:after="0" w:line="157" w:lineRule="exact"/>
              <w:rPr>
                <w:sz w:val="20"/>
                <w:szCs w:val="20"/>
                <w:color w:val="auto"/>
              </w:rPr>
            </w:pPr>
            <w:r>
              <w:rPr>
                <w:rFonts w:ascii="Arial" w:cs="Arial" w:eastAsia="Arial" w:hAnsi="Arial"/>
                <w:sz w:val="14"/>
                <w:szCs w:val="14"/>
                <w:color w:val="auto"/>
                <w:w w:val="97"/>
              </w:rPr>
              <w:t>Partnership's share of change in fair value of cash flow hedge of equity</w:t>
            </w: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8"/>
        </w:trPr>
        <w:tc>
          <w:tcPr>
            <w:tcW w:w="5000" w:type="dxa"/>
            <w:vAlign w:val="bottom"/>
          </w:tcPr>
          <w:p>
            <w:pPr>
              <w:ind w:left="700"/>
              <w:spacing w:after="0"/>
              <w:rPr>
                <w:sz w:val="20"/>
                <w:szCs w:val="20"/>
                <w:color w:val="auto"/>
              </w:rPr>
            </w:pPr>
            <w:r>
              <w:rPr>
                <w:rFonts w:ascii="Arial" w:cs="Arial" w:eastAsia="Arial" w:hAnsi="Arial"/>
                <w:sz w:val="14"/>
                <w:szCs w:val="14"/>
                <w:color w:val="auto"/>
              </w:rPr>
              <w:t>method investee</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77</w:t>
            </w:r>
          </w:p>
        </w:tc>
      </w:tr>
      <w:tr>
        <w:trPr>
          <w:trHeight w:val="276"/>
        </w:trPr>
        <w:tc>
          <w:tcPr>
            <w:tcW w:w="50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Change in fair value of cash flow hedge</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580"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580" w:right="2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96"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Fortress Transportation and Infrastructure Investors LLC (the “Company”) is a Delaware limited liability company which, through its subsidiary, Fortress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15).</w:t>
      </w:r>
    </w:p>
    <w:p>
      <w:pPr>
        <w:spacing w:after="0" w:line="85"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which provides for the Company to bear obligations for management fees and expense reimbursements payable to the Manager (Note 14).</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an affiliate of Fortress.</w:t>
      </w:r>
    </w:p>
    <w:p>
      <w:pPr>
        <w:spacing w:after="0" w:line="206" w:lineRule="exact"/>
        <w:rPr>
          <w:rFonts w:ascii="Arial" w:cs="Arial" w:eastAsia="Arial" w:hAnsi="Arial"/>
          <w:sz w:val="18"/>
          <w:szCs w:val="18"/>
          <w:b w:val="1"/>
          <w:bCs w:val="1"/>
          <w:color w:val="auto"/>
        </w:rPr>
      </w:pPr>
    </w:p>
    <w:p>
      <w:pPr>
        <w:jc w:val="both"/>
        <w:ind w:left="660"/>
        <w:spacing w:after="0" w:line="319" w:lineRule="auto"/>
        <w:rPr>
          <w:rFonts w:ascii="Arial" w:cs="Arial" w:eastAsia="Arial" w:hAnsi="Arial"/>
          <w:sz w:val="18"/>
          <w:szCs w:val="18"/>
          <w:b w:val="1"/>
          <w:bCs w:val="1"/>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w:t>
      </w:r>
    </w:p>
    <w:p>
      <w:pPr>
        <w:spacing w:after="0" w:line="34"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20, 2015, the Company completed an Initial Public Offering (“IPO”) of 20 million common shares at a price to the public of $17.00 per share. On June 15, 2015, the underwriters exercised their overallotment option, pursuant to which the Company issued an additional 2.2 million shares to such underwriters at the IPO price.</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Accounting</w:t>
      </w:r>
      <w:r>
        <w:rPr>
          <w:rFonts w:ascii="Arial" w:cs="Arial" w:eastAsia="Arial" w:hAnsi="Arial"/>
          <w:sz w:val="18"/>
          <w:szCs w:val="18"/>
          <w:color w:val="auto"/>
        </w:rPr>
        <w:t>—The accompanying consolidated financial statements are prepared in accordance with U.S. generally accepted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(“GAAP”) and include the accounts of the Company and its subsidiaries. The Company consolidates all entities in which it has a controlling financial interest and in which it has control over 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8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30"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Accordingly, the Company determined that MT6015 is a VIE and that it was the primary beneficiary; accordingly, MT6015 has been presented on a consolidated basis in the accompanying financial statements.</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December 31, 2015 and December 31, 2014, MT6015 had total assets of $7,533 and $7,450, respectively, which are available only to settle the obligations of MT6015. Other than entering into the above commitment, MT6015 has conducted no operations, and no creditors of MT6015 have recourse to any assets or to the general credit of the Company.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considers all highly liquid short-term investments with a maturity of 90 days or less when purchased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w:t>
      </w:r>
    </w:p>
    <w:p>
      <w:pPr>
        <w:spacing w:after="0" w:line="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$21,610 and $21,084 at December 31, 2015 and December 31, 2014, respectively, consists of cash held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segregated accounts pursuant to the requirements of the Company’s debt agreements (Note 9).</w:t>
      </w:r>
    </w:p>
    <w:p>
      <w:pPr>
        <w:spacing w:after="0" w:line="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Property, Plant and Equipment, Leasing Equipment and Depreciation</w:t>
      </w:r>
      <w:r>
        <w:rPr>
          <w:rFonts w:ascii="Arial" w:cs="Arial" w:eastAsia="Arial" w:hAnsi="Arial"/>
          <w:sz w:val="18"/>
          <w:szCs w:val="18"/>
          <w:color w:val="auto"/>
        </w:rPr>
        <w:t>—Property, plant and equipment and leasing equipment are stated at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 of capitalized acquisition costs, where applicable) and depreciated using the straight-line method, over estimated useful lives, to estimated residual values which are summarized as follows: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70"/>
        </w:trPr>
        <w:tc>
          <w:tcPr>
            <w:tcW w:w="33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7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Range of Estimated Useful Lives</w:t>
            </w:r>
          </w:p>
        </w:tc>
        <w:tc>
          <w:tcPr>
            <w:tcW w:w="260" w:type="dxa"/>
            <w:vAlign w:val="bottom"/>
            <w:shd w:val="clear" w:color="auto" w:fill="CCEEFF"/>
          </w:tcPr>
          <w:p>
            <w:pPr>
              <w:spacing w:after="0"/>
              <w:rPr>
                <w:sz w:val="23"/>
                <w:szCs w:val="23"/>
                <w:color w:val="auto"/>
              </w:rPr>
            </w:pPr>
          </w:p>
        </w:tc>
        <w:tc>
          <w:tcPr>
            <w:tcW w:w="2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Residual Value Estimates</w:t>
            </w:r>
          </w:p>
        </w:tc>
      </w:tr>
      <w:tr>
        <w:trPr>
          <w:trHeight w:val="222"/>
        </w:trPr>
        <w:tc>
          <w:tcPr>
            <w:tcW w:w="3360" w:type="dxa"/>
            <w:vAlign w:val="bottom"/>
          </w:tcPr>
          <w:p>
            <w:pPr>
              <w:ind w:left="20"/>
              <w:spacing w:after="0"/>
              <w:rPr>
                <w:sz w:val="20"/>
                <w:szCs w:val="20"/>
                <w:color w:val="auto"/>
              </w:rPr>
            </w:pPr>
            <w:r>
              <w:rPr>
                <w:rFonts w:ascii="Arial" w:cs="Arial" w:eastAsia="Arial" w:hAnsi="Arial"/>
                <w:sz w:val="18"/>
                <w:szCs w:val="18"/>
                <w:color w:val="auto"/>
              </w:rPr>
              <w:t>Passenger aircraft</w:t>
            </w:r>
          </w:p>
        </w:tc>
        <w:tc>
          <w:tcPr>
            <w:tcW w:w="3260" w:type="dxa"/>
            <w:vAlign w:val="bottom"/>
            <w:gridSpan w:val="4"/>
          </w:tcPr>
          <w:p>
            <w:pPr>
              <w:ind w:left="40"/>
              <w:spacing w:after="0"/>
              <w:rPr>
                <w:sz w:val="20"/>
                <w:szCs w:val="20"/>
                <w:color w:val="auto"/>
              </w:rPr>
            </w:pPr>
            <w:r>
              <w:rPr>
                <w:rFonts w:ascii="Arial" w:cs="Arial" w:eastAsia="Arial" w:hAnsi="Arial"/>
                <w:sz w:val="18"/>
                <w:szCs w:val="18"/>
                <w:color w:val="auto"/>
              </w:rPr>
              <w:t>25 years from date of manufacture</w:t>
            </w:r>
          </w:p>
        </w:tc>
        <w:tc>
          <w:tcPr>
            <w:tcW w:w="2700" w:type="dxa"/>
            <w:vAlign w:val="bottom"/>
          </w:tcPr>
          <w:p>
            <w:pPr>
              <w:ind w:left="40"/>
              <w:spacing w:after="0"/>
              <w:rPr>
                <w:sz w:val="20"/>
                <w:szCs w:val="20"/>
                <w:color w:val="auto"/>
              </w:rPr>
            </w:pPr>
            <w:r>
              <w:rPr>
                <w:rFonts w:ascii="Arial" w:cs="Arial" w:eastAsia="Arial" w:hAnsi="Arial"/>
                <w:sz w:val="18"/>
                <w:szCs w:val="18"/>
                <w:color w:val="auto"/>
              </w:rPr>
              <w:t>Not to exceed 15% of</w:t>
            </w:r>
          </w:p>
        </w:tc>
      </w:tr>
      <w:tr>
        <w:trPr>
          <w:trHeight w:val="230"/>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w w:val="95"/>
              </w:rPr>
              <w:t>manufacturer’s list price when new</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engines</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w:t>
            </w:r>
          </w:p>
        </w:tc>
        <w:tc>
          <w:tcPr>
            <w:tcW w:w="3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- 6 years, based on maintenance</w:t>
            </w:r>
          </w:p>
        </w:tc>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Sum of engine core salvage value</w:t>
            </w:r>
          </w:p>
        </w:tc>
      </w:tr>
      <w:tr>
        <w:trPr>
          <w:trHeight w:val="216"/>
        </w:trPr>
        <w:tc>
          <w:tcPr>
            <w:tcW w:w="3360" w:type="dxa"/>
            <w:vAlign w:val="bottom"/>
            <w:shd w:val="clear" w:color="auto" w:fill="CCEEFF"/>
          </w:tcPr>
          <w:p>
            <w:pPr>
              <w:spacing w:after="0"/>
              <w:rPr>
                <w:sz w:val="18"/>
                <w:szCs w:val="18"/>
                <w:color w:val="auto"/>
              </w:rPr>
            </w:pPr>
          </w:p>
        </w:tc>
        <w:tc>
          <w:tcPr>
            <w:tcW w:w="32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adjusted service life</w:t>
            </w:r>
          </w:p>
        </w:tc>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plus the estimated fair value of life</w:t>
            </w:r>
          </w:p>
        </w:tc>
      </w:tr>
      <w:tr>
        <w:trPr>
          <w:trHeight w:val="237"/>
        </w:trPr>
        <w:tc>
          <w:tcPr>
            <w:tcW w:w="3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parts</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Offshore energy vessels</w:t>
            </w:r>
          </w:p>
        </w:tc>
        <w:tc>
          <w:tcPr>
            <w:tcW w:w="3260" w:type="dxa"/>
            <w:vAlign w:val="bottom"/>
            <w:gridSpan w:val="4"/>
          </w:tcPr>
          <w:p>
            <w:pPr>
              <w:ind w:left="40"/>
              <w:spacing w:after="0"/>
              <w:rPr>
                <w:sz w:val="20"/>
                <w:szCs w:val="20"/>
                <w:color w:val="auto"/>
              </w:rPr>
            </w:pPr>
            <w:r>
              <w:rPr>
                <w:rFonts w:ascii="Arial" w:cs="Arial" w:eastAsia="Arial" w:hAnsi="Arial"/>
                <w:sz w:val="18"/>
                <w:szCs w:val="18"/>
                <w:color w:val="auto"/>
              </w:rPr>
              <w:t>25 years from date of manufacture</w:t>
            </w:r>
          </w:p>
        </w:tc>
        <w:tc>
          <w:tcPr>
            <w:tcW w:w="2700" w:type="dxa"/>
            <w:vAlign w:val="bottom"/>
          </w:tcPr>
          <w:p>
            <w:pPr>
              <w:ind w:left="40"/>
              <w:spacing w:after="0"/>
              <w:rPr>
                <w:sz w:val="20"/>
                <w:szCs w:val="20"/>
                <w:color w:val="auto"/>
              </w:rPr>
            </w:pPr>
            <w:r>
              <w:rPr>
                <w:rFonts w:ascii="Arial" w:cs="Arial" w:eastAsia="Arial" w:hAnsi="Arial"/>
                <w:sz w:val="18"/>
                <w:szCs w:val="18"/>
                <w:color w:val="auto"/>
              </w:rPr>
              <w:t>20% of new build cost</w:t>
            </w:r>
          </w:p>
        </w:tc>
      </w:tr>
      <w:tr>
        <w:trPr>
          <w:trHeight w:val="27"/>
        </w:trPr>
        <w:tc>
          <w:tcPr>
            <w:tcW w:w="33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Railcars and locomotives</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40</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- 50 years from date of manufacture</w:t>
            </w: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Track and track related assets</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89"/>
              </w:rPr>
              <w:t>15</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- 50 years from date of manufacture</w:t>
            </w:r>
          </w:p>
        </w:tc>
        <w:tc>
          <w:tcPr>
            <w:tcW w:w="2700" w:type="dxa"/>
            <w:vAlign w:val="bottom"/>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3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site improvements</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- 30 years</w:t>
            </w: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Railroad equipment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3</w:t>
            </w:r>
          </w:p>
        </w:tc>
        <w:tc>
          <w:tcPr>
            <w:tcW w:w="3120" w:type="dxa"/>
            <w:vAlign w:val="bottom"/>
            <w:gridSpan w:val="3"/>
          </w:tcPr>
          <w:p>
            <w:pPr>
              <w:ind w:left="40"/>
              <w:spacing w:after="0"/>
              <w:rPr>
                <w:sz w:val="20"/>
                <w:szCs w:val="20"/>
                <w:color w:val="auto"/>
              </w:rPr>
            </w:pPr>
            <w:r>
              <w:rPr>
                <w:rFonts w:ascii="Arial" w:cs="Arial" w:eastAsia="Arial" w:hAnsi="Arial"/>
                <w:sz w:val="18"/>
                <w:szCs w:val="18"/>
                <w:color w:val="auto"/>
              </w:rPr>
              <w:t>- 15 years from date of manufacture</w:t>
            </w:r>
          </w:p>
        </w:tc>
        <w:tc>
          <w:tcPr>
            <w:tcW w:w="2700" w:type="dxa"/>
            <w:vAlign w:val="bottom"/>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3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terminal machinery and</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15</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 years from date of manufacture</w:t>
            </w:r>
          </w:p>
        </w:tc>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Vehicles</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3120" w:type="dxa"/>
            <w:vAlign w:val="bottom"/>
            <w:gridSpan w:val="3"/>
          </w:tcPr>
          <w:p>
            <w:pPr>
              <w:ind w:left="40"/>
              <w:spacing w:after="0"/>
              <w:rPr>
                <w:sz w:val="20"/>
                <w:szCs w:val="20"/>
                <w:color w:val="auto"/>
              </w:rPr>
            </w:pPr>
            <w:r>
              <w:rPr>
                <w:rFonts w:ascii="Arial" w:cs="Arial" w:eastAsia="Arial" w:hAnsi="Arial"/>
                <w:sz w:val="18"/>
                <w:szCs w:val="18"/>
                <w:color w:val="auto"/>
              </w:rPr>
              <w:t>- 7 years from date of manufacture</w:t>
            </w:r>
          </w:p>
        </w:tc>
        <w:tc>
          <w:tcPr>
            <w:tcW w:w="2700" w:type="dxa"/>
            <w:vAlign w:val="bottom"/>
          </w:tcPr>
          <w:p>
            <w:pPr>
              <w:ind w:left="40"/>
              <w:spacing w:after="0"/>
              <w:rPr>
                <w:sz w:val="20"/>
                <w:szCs w:val="20"/>
                <w:color w:val="auto"/>
              </w:rPr>
            </w:pPr>
            <w:r>
              <w:rPr>
                <w:rFonts w:ascii="Arial" w:cs="Arial" w:eastAsia="Arial" w:hAnsi="Arial"/>
                <w:sz w:val="18"/>
                <w:szCs w:val="18"/>
                <w:color w:val="auto"/>
              </w:rPr>
              <w:t>Scrap value at end of useful life</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3</w:t>
            </w:r>
          </w:p>
        </w:tc>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- 6 years from date of purchase</w:t>
            </w: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3</w:t>
            </w:r>
          </w:p>
        </w:tc>
        <w:tc>
          <w:tcPr>
            <w:tcW w:w="3120" w:type="dxa"/>
            <w:vAlign w:val="bottom"/>
            <w:gridSpan w:val="3"/>
          </w:tcPr>
          <w:p>
            <w:pPr>
              <w:ind w:left="40"/>
              <w:spacing w:after="0"/>
              <w:rPr>
                <w:sz w:val="20"/>
                <w:szCs w:val="20"/>
                <w:color w:val="auto"/>
              </w:rPr>
            </w:pPr>
            <w:r>
              <w:rPr>
                <w:rFonts w:ascii="Arial" w:cs="Arial" w:eastAsia="Arial" w:hAnsi="Arial"/>
                <w:sz w:val="18"/>
                <w:szCs w:val="18"/>
                <w:color w:val="auto"/>
              </w:rPr>
              <w:t>- 5 years from date of purchase</w:t>
            </w:r>
          </w:p>
        </w:tc>
        <w:tc>
          <w:tcPr>
            <w:tcW w:w="2700" w:type="dxa"/>
            <w:vAlign w:val="bottom"/>
          </w:tcPr>
          <w:p>
            <w:pPr>
              <w:ind w:left="40"/>
              <w:spacing w:after="0"/>
              <w:rPr>
                <w:sz w:val="20"/>
                <w:szCs w:val="20"/>
                <w:color w:val="auto"/>
              </w:rPr>
            </w:pPr>
            <w:r>
              <w:rPr>
                <w:rFonts w:ascii="Arial" w:cs="Arial" w:eastAsia="Arial" w:hAnsi="Arial"/>
                <w:sz w:val="18"/>
                <w:szCs w:val="18"/>
                <w:color w:val="auto"/>
              </w:rPr>
              <w:t>None</w:t>
            </w:r>
          </w:p>
        </w:tc>
      </w:tr>
    </w:tbl>
    <w:p>
      <w:pPr>
        <w:spacing w:after="0" w:line="17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8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offshore energy vessels are required to be drydocked periodically for recertifications or major repairs and maintenance that cannot be performed while the vessels are operating. Normal repairs and maintenance are expensed as incurred. The Company capitalizes the costs associated with the drydockings and amortizes them on a straight-line basis over the period between drydockings, usually between 30 and 60 months.</w:t>
      </w:r>
    </w:p>
    <w:p>
      <w:pPr>
        <w:spacing w:after="0" w:line="7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or engine.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5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Capitalized Interest</w:t>
      </w:r>
      <w:r>
        <w:rPr>
          <w:rFonts w:ascii="Arial" w:cs="Arial" w:eastAsia="Arial" w:hAnsi="Arial"/>
          <w:sz w:val="18"/>
          <w:szCs w:val="18"/>
          <w:color w:val="auto"/>
        </w:rPr>
        <w:t>—The interest cost associated with major development and construction projects is capitalized and included in the cost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 Interest capitalization ceases once a project is substantially complete or no longer undergoing construction activities to prepare it for its intended use. The Company capitalized interest of $2,128, $3,534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$0 during the years ending December 31, 2015, December 31, 2014 and December 31, 2013, respectively.</w:t>
      </w:r>
    </w:p>
    <w:p>
      <w:pPr>
        <w:spacing w:after="0" w:line="11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Repairs and Maintenance</w:t>
      </w:r>
      <w:r>
        <w:rPr>
          <w:rFonts w:ascii="Arial" w:cs="Arial" w:eastAsia="Arial" w:hAnsi="Arial"/>
          <w:sz w:val="17"/>
          <w:szCs w:val="17"/>
          <w:color w:val="auto"/>
        </w:rPr>
        <w:t>—Repair and maintenance costs that do not extend the lives of the assets are expensed as incurred. For the years ending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2015, December 31, 2014 and December 31, 2013, $3,643, $235 and $712, of repairs and maintenance expense, respectively, were recorded in operating expenses in the accompanying Consolidated Statements of Operations.</w:t>
      </w:r>
    </w:p>
    <w:p>
      <w:pPr>
        <w:spacing w:after="0" w:line="57"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b w:val="1"/>
          <w:bCs w:val="1"/>
          <w:i w:val="1"/>
          <w:iCs w:val="1"/>
          <w:color w:val="auto"/>
        </w:rPr>
        <w:t>Impairment of Long-Lived Assets</w:t>
      </w:r>
      <w:r>
        <w:rPr>
          <w:rFonts w:ascii="Arial" w:cs="Arial" w:eastAsia="Arial" w:hAnsi="Arial"/>
          <w:sz w:val="17"/>
          <w:szCs w:val="17"/>
          <w:color w:val="auto"/>
        </w:rPr>
        <w:t>—The Company performs a recoverability assessment of each of its long-lived assets whenever events or changes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8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Security Deposits</w:t>
      </w:r>
      <w:r>
        <w:rPr>
          <w:rFonts w:ascii="Arial" w:cs="Arial" w:eastAsia="Arial" w:hAnsi="Arial"/>
          <w:sz w:val="18"/>
          <w:szCs w:val="18"/>
          <w:color w:val="auto"/>
        </w:rPr>
        <w:t>—The Company’s operating leases generally require the lessee to pay a security deposit or provide a letter of credit.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are held until specified return dates stipulated in the lease or lease expiration.</w:t>
      </w:r>
    </w:p>
    <w:p>
      <w:pPr>
        <w:spacing w:after="0" w:line="6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Maintenance Payments</w:t>
      </w:r>
      <w:r>
        <w:rPr>
          <w:rFonts w:ascii="Arial" w:cs="Arial" w:eastAsia="Arial" w:hAnsi="Arial"/>
          <w:sz w:val="18"/>
          <w:szCs w:val="18"/>
          <w:color w:val="auto"/>
        </w:rPr>
        <w:t>—Typically, under an operating lease of aviation equipment, the lessee is responsible for performing all maintenance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certain leases, the lessee or the Company may be obligated to make a payment to the other party at lease termination based on redelivery conditions stipulated at the inception of the lease. The Company recognizes payments received as end-of-lease compensation adjustments, within lease revenue, when payment is received or collectability is assured. In the event the Company is required to make payments at the end of the lease for redelivery conditions, amounts are accrued as additional maintenance liability when the Company is obligated and can reasonably estimate such payment.</w:t>
      </w:r>
    </w:p>
    <w:p>
      <w:pPr>
        <w:spacing w:after="0" w:line="8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Lease Incentives and Amortization</w:t>
      </w:r>
      <w:r>
        <w:rPr>
          <w:rFonts w:ascii="Arial" w:cs="Arial" w:eastAsia="Arial" w:hAnsi="Arial"/>
          <w:sz w:val="18"/>
          <w:szCs w:val="18"/>
          <w:color w:val="auto"/>
        </w:rPr>
        <w:t>—Lease incentives, which include lease acquisition costs related to reconfiguration of the aircraft cabin,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lessee specific modifications and other direct costs, are capitalized and amortized as a reduction of lease income over the primary term of the lease, assuming no lease renewals.</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includes the excess of the purchase price over the fair value of the net tangible and intangible assets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of CMQR and Jefferson Terminal (Note 3). The carrying amount of goodwill is approximately $116,584 as of December 31, 2015 and December 31, 2014.</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2015 or December 31,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6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5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2015 would not result in an impairment of goodwill for either reporting unit.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2015 and December 31, 2014, there was no impairment of goodwill.</w:t>
      </w:r>
    </w:p>
    <w:p>
      <w:pPr>
        <w:spacing w:after="0" w:line="1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b w:val="1"/>
          <w:bCs w:val="1"/>
          <w:i w:val="1"/>
          <w:iCs w:val="1"/>
          <w:color w:val="auto"/>
        </w:rPr>
        <w:t>Tendered bonds</w:t>
      </w:r>
      <w:r>
        <w:rPr>
          <w:rFonts w:ascii="Arial" w:cs="Arial" w:eastAsia="Arial" w:hAnsi="Arial"/>
          <w:sz w:val="16"/>
          <w:szCs w:val="16"/>
          <w:color w:val="auto"/>
        </w:rPr>
        <w:t>—A subsidiary of the Company borrowed the proceeds of $300,000 of tax-exempt industrial bonds issued by the Jefferson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(Texas) Industrial Development Corporation, which provided tax-exempt financing for businesses, to be used for specific purposes to stimulate the economy of the respective beneficiary counties (“Series 2010 Bonds”). The proceeds were initially held in trust, as restricted cash, to ensure adherence to the restrictions of use of the funds. In accordance with the terms of the trust indenture and security agreements, these bonds could be tendered by bondholders and purchased by the Company using the unused restricted cash proceeds. The bonds purchased by the Company were deemed to be owned by the Company, and, as of December 31, 2014 were classified as assets, tendered bonds, in the Consolidated Balance Sheet with an equal corresponding amount as Debt. Tendered bonds did not convey principal or interest payments while held by the Company.</w:t>
      </w:r>
    </w:p>
    <w:p>
      <w:pPr>
        <w:spacing w:after="0" w:line="5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2015, the Jefferson County Industrial Development Corporation, the Company, and Amegy Bank as the related trustee, agreed to cancel the Series 2010 Bonds. Accordingly, the Series 2010 Bonds are no longer reported within Tendered Bonds or Debt in the Consolidated Balance Sheet as of December 31, 2015.</w:t>
      </w:r>
    </w:p>
    <w:p>
      <w:pPr>
        <w:spacing w:after="0" w:line="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Intangibles and amortization</w:t>
      </w:r>
      <w:r>
        <w:rPr>
          <w:rFonts w:ascii="Arial" w:cs="Arial" w:eastAsia="Arial" w:hAnsi="Arial"/>
          <w:sz w:val="18"/>
          <w:szCs w:val="18"/>
          <w:color w:val="auto"/>
        </w:rPr>
        <w:t>—Intangibles include the value of acquired favorable and unfavorable leases and existing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in connection with the acquisitions of CMQR and Jefferson Terminal (Note 3).</w:t>
      </w:r>
    </w:p>
    <w:p>
      <w:pPr>
        <w:spacing w:after="0" w:line="6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accounting for leasing equipment acquired with in-place leases, the Company makes estimates about the fair value of the acquired in-place leases. In determining the fair value of the in-place lease, the Company makes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ranged from 6 to 52 months as of December 31, 2015, and recorded as a component of equipment leasing revenues in the accompanying Consolidated Statements of Operations.</w:t>
      </w:r>
    </w:p>
    <w:p>
      <w:pPr>
        <w:spacing w:after="0" w:line="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5-10 years, no estimated residual value, and amortization is recorded as a component of depreciation and amortization in the accompanying Consolidated Statements of Operations. One customer relationship intangible asset, related to a customer contract at Jefferson Terminal, expires on July 31, 2017 and has 2 one-year renewal options.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Financing Costs</w:t>
      </w:r>
      <w:r>
        <w:rPr>
          <w:rFonts w:ascii="Arial" w:cs="Arial" w:eastAsia="Arial" w:hAnsi="Arial"/>
          <w:sz w:val="18"/>
          <w:szCs w:val="18"/>
          <w:color w:val="auto"/>
        </w:rPr>
        <w:t>—Costs incurred in connection with obtaining long term financing are capitalized and amortized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to interest expense over the term of the underlying loans. Unamortized deferred financing costs of $4,836 and $4,919 as of December 31, 2015 and 2014, respectively, are recorded as a component of other assets in the accompanying Consolidated Balance Sheets. Amortization expense of $1,469, $576 and $125 for the years ended December 31, 2015, December 31, 2014 and December 31, 2013, respectively, are included as a component of interest expense in the accompanying Consolidated Statements of Operations.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Equipment Leasing Revenues</w:t>
      </w:r>
    </w:p>
    <w:p>
      <w:pPr>
        <w:spacing w:after="0" w:line="12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18"/>
          <w:szCs w:val="18"/>
          <w:color w:val="auto"/>
        </w:rPr>
        <w:t>—The Company leases equipment pursuant to net operating leases. Operating leases with fixed rentals and step rentals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Finance Leases</w:t>
      </w:r>
      <w:r>
        <w:rPr>
          <w:rFonts w:ascii="Arial" w:cs="Arial" w:eastAsia="Arial" w:hAnsi="Arial"/>
          <w:sz w:val="18"/>
          <w:szCs w:val="18"/>
          <w:color w:val="auto"/>
        </w:rPr>
        <w:t>—The Company holds two portfolios of shipping containers and an anchor handling tug supply vessel, subject to finance leases,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31, 2015 and December 31, 2014. These leases generally include a lessee obligation to purchase the leased equipment at the end of the lease term, a bargain purchase option, or provide for minimum lease payments with a present value of 90% or more of the fair value of the leased equipment at the date of lease inception. Net investment in finance leases represents the minimum lease payments due from lessees,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Infrastructure Revenues</w:t>
      </w:r>
    </w:p>
    <w:p>
      <w:pPr>
        <w:spacing w:after="0" w:line="12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Freight Rail Revenues</w:t>
      </w:r>
      <w:r>
        <w:rPr>
          <w:rFonts w:ascii="Arial" w:cs="Arial" w:eastAsia="Arial" w:hAnsi="Arial"/>
          <w:sz w:val="17"/>
          <w:szCs w:val="17"/>
          <w:color w:val="auto"/>
        </w:rPr>
        <w:t>—Freight revenues are recognized proportionally as freight moves from origin to destination. Other miscellaneous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unloading and switching revenue, are recognized as the service is performed or contractual obligations are met.</w:t>
      </w:r>
    </w:p>
    <w:p>
      <w:pPr>
        <w:spacing w:after="0" w:line="3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Terminal Services Revenues</w:t>
      </w:r>
      <w:r>
        <w:rPr>
          <w:rFonts w:ascii="Arial" w:cs="Arial" w:eastAsia="Arial" w:hAnsi="Arial"/>
          <w:sz w:val="18"/>
          <w:szCs w:val="18"/>
          <w:color w:val="auto"/>
        </w:rPr>
        <w:t>—Terminal services revenues are recognized when services have been provided to the customer, the product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 price is considered to be fixed or determinable and collectability is reasonably assured. Prepayments for services are deferred until the period in which the above criteria are met. Terminal services fees include services provided to third-party customers related to receipt and redelivery of crude oil products.</w:t>
      </w:r>
    </w:p>
    <w:p>
      <w:pPr>
        <w:spacing w:after="0" w:line="7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i w:val="1"/>
          <w:iCs w:val="1"/>
          <w:color w:val="auto"/>
        </w:rPr>
        <w:t>Concentration of Credit Risk</w:t>
      </w:r>
      <w:r>
        <w:rPr>
          <w:rFonts w:ascii="Arial" w:cs="Arial" w:eastAsia="Arial" w:hAnsi="Arial"/>
          <w:sz w:val="17"/>
          <w:szCs w:val="17"/>
          <w:color w:val="auto"/>
        </w:rPr>
        <w:t>—The Company is subject to concentrations of credit risk with respect to amounts due from customers on its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leases and operating leases. The Company attempts to limit its credit risk by performing ongoing credit evaluations. During the year ended December 31, 2015, the Company earned approximately 21.0% of its revenue from one customer in the offshore energy segment and one customer in the Jefferson Terminal segment. During the year ended December 31, 2014, the Company earned approximately 39.0% of its revenue from three customers in the following segments: one in aviation leasing, one in shipping containers, and one in offshore energy. During the year ended December 31, 2013 , the Company earned approximately 70% of its revenue from three customers in the following segments: one in aviation leasing, one in shipping containers, and one in offshore energy.</w:t>
      </w:r>
    </w:p>
    <w:p>
      <w:pPr>
        <w:spacing w:after="0" w:line="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2015, accounts receivable from two customers in the offshore segment each represented 27.1% and 25.4% of total accounts receivable, net. As of December 31, 2014, the Company had accounts receivable from one customer in the offshore segment that represented 11.7% of total accounts receivable, net.</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Provision for Doubtful Accounts</w:t>
      </w:r>
      <w:r>
        <w:rPr>
          <w:rFonts w:ascii="Arial" w:cs="Arial" w:eastAsia="Arial" w:hAnsi="Arial"/>
          <w:sz w:val="18"/>
          <w:szCs w:val="18"/>
          <w:color w:val="auto"/>
        </w:rPr>
        <w:t>—The Company determines the provision for doubtful accounts based on its assessment of the collectability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on a customer-by-customer basis. The provision for doubtful accounts at December 31, 2015 and December 31, 2014 was $392 and $111, respectively. Bad debt expense for the years ended December 31, 2015, December 31, 2014 and December 31, 2013 was $676, $281 and $0,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—Expenses are recognized on an accrual basis as incurred.</w:t>
      </w:r>
    </w:p>
    <w:p>
      <w:pPr>
        <w:spacing w:after="0" w:line="11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Acquisition and Transaction expenses</w:t>
      </w:r>
      <w:r>
        <w:rPr>
          <w:rFonts w:ascii="Arial" w:cs="Arial" w:eastAsia="Arial" w:hAnsi="Arial"/>
          <w:sz w:val="18"/>
          <w:szCs w:val="18"/>
          <w:color w:val="auto"/>
        </w:rPr>
        <w:t>—Acquisition and transaction expense is comprised of costs related to completed business combinations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deal costs related to abandoned pursuits, including advisory, legal, accounting,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other professional or consulting fees.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accompanying Consolidated Statements of Operations, adjusted for fair value changes related to derivatives accounted for as cash flow hedges and the Company’s pro-rata share of items of comprehensive income derived from investments in unconsolidated entities.</w:t>
      </w:r>
    </w:p>
    <w:p>
      <w:pPr>
        <w:spacing w:after="0" w:line="8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had reclassification adjustments of $131, $171 and $98 which impacted accumulated other comprehensive income during the years ended December 31, 2015, 2014, and 2013, respectively.</w:t>
      </w:r>
    </w:p>
    <w:p>
      <w:pPr>
        <w:spacing w:after="0" w:line="6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b w:val="1"/>
          <w:bCs w:val="1"/>
          <w:i w:val="1"/>
          <w:iCs w:val="1"/>
          <w:color w:val="auto"/>
        </w:rPr>
        <w:t>Derivative Financial Instruments—</w:t>
      </w:r>
      <w:r>
        <w:rPr>
          <w:rFonts w:ascii="Arial" w:cs="Arial" w:eastAsia="Arial" w:hAnsi="Arial"/>
          <w:sz w:val="16"/>
          <w:szCs w:val="16"/>
          <w:color w:val="auto"/>
        </w:rPr>
        <w:t>In the normal course of business the Company may utilize interest rate derivatives to manage its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(Note 9), the Company has entered into one interest rate derivative designated as a cash flow hedge and one non-hedge derivative. The Company does not enter into speculative derivative transactions. Derivative assets of $101 and $232, as of December 31, 2015 and December 31, 2014, respectively, were recorded within other assets in the Consolidated Balance Sheets. No derivative liability was recorded as of December 31, 2015 or December 31, 2014.</w:t>
      </w:r>
    </w:p>
    <w:p>
      <w:pPr>
        <w:spacing w:after="0" w:line="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hedge accounting would be discontinued prospectively.</w:t>
      </w:r>
    </w:p>
    <w:p>
      <w:pPr>
        <w:spacing w:after="0" w:line="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 The estimated net amount of existing losses reported in accumulated other comprehensive income at December 31, 2015 expected to be reclassified into earnings within the next 12 months is approximately $5.</w:t>
      </w:r>
    </w:p>
    <w:p>
      <w:pPr>
        <w:spacing w:after="0" w:line="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the event of a termination of an interest rate derivative prior to its contractual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7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Foreign Currency</w:t>
      </w:r>
      <w:r>
        <w:rPr>
          <w:rFonts w:ascii="Arial" w:cs="Arial" w:eastAsia="Arial" w:hAnsi="Arial"/>
          <w:sz w:val="17"/>
          <w:szCs w:val="17"/>
          <w:color w:val="auto"/>
        </w:rPr>
        <w:t>—The Company’s functional and reporting currency is the U.S. dollar. Purchases and sales of assets and income and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6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—A portion of the Company’s income earned by its corporate subsidiaries is subject to U.S. federal and state income taxation, taxed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prevailing rates. The remainder of the Company’s income is allocated directly to its partners and is not subject to a corporate level of taxation. Certain subsidiaries of the Company are subject to income tax in the foreign countries in which they conduct business.</w:t>
      </w:r>
    </w:p>
    <w:p>
      <w:pPr>
        <w:spacing w:after="0" w:line="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accounts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 certain foreign jurisdictions. The income tax returns filed by the Company and its subsidiaries are subject to examination by the U.S. federal, state and foreign tax authorities. The Company recognizes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Distributions and Dividends</w:t>
      </w:r>
      <w:r>
        <w:rPr>
          <w:rFonts w:ascii="Arial" w:cs="Arial" w:eastAsia="Arial" w:hAnsi="Arial"/>
          <w:sz w:val="18"/>
          <w:szCs w:val="18"/>
          <w:color w:val="auto"/>
        </w:rPr>
        <w:t>—Prior to the IPO, distributions to members were recorded when paid or, in the case of an in-kind distribution,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distributed. The character of distributions to members made during the reporting period may differ from their ultimate characterization for federal income tax purposes due to book/tax differences in the character of income and expense recognition. Distributions and allocations were determined with respect to each member, as defined by and in accordance with the operating agreement. After the IPO, dividends are recorded when declared by the Board of Directors. In the third and fourth quarters of the year ended December 31, 2015, the Board of Directors declared cash dividends of $0.15 and $0.33 per share, respectively</w:t>
      </w:r>
      <w:r>
        <w:rPr>
          <w:rFonts w:ascii="Arial" w:cs="Arial" w:eastAsia="Arial" w:hAnsi="Arial"/>
          <w:sz w:val="16"/>
          <w:szCs w:val="16"/>
          <w:color w:val="auto"/>
        </w:rPr>
        <w:t>.</w:t>
      </w:r>
    </w:p>
    <w:p>
      <w:pPr>
        <w:spacing w:after="0" w:line="8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 In April 2014,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2014-08, </w:t>
      </w: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xml:space="preserve"> ("ASU 2014-08") which changes the criteria for determining which disposals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standard states that a strategic shift could include a disposal of (i) major geographical area of operations, (ii) a major line of business, (iii) a major equity method investment, or (iv) other major parts of an entity. ASU 2014-08 is effective prospectively for new disposals (or classifications as held for sale) that occur within annual periods beginning on or after December 14, 2014, and interim periods within those annual periods. The Company adopted ASU 2014-08 beginning January 1, 2015, which had no impact to the Company’s consolidated financial statements.</w:t>
      </w:r>
    </w:p>
    <w:p>
      <w:pPr>
        <w:spacing w:after="0" w:line="5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—The FASB has recently issued or discussed a number of proposed standards on such topics as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39"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to defer the effective date of ASU 2014-09 by one year, making it effective for annual reporting periods beginning after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15, 2017 while also providing for early adoption but not before the original effective date. The Company is currently evaluating the impact of adopting this new guidance on its consolidated financial statements.</w:t>
      </w:r>
    </w:p>
    <w:p>
      <w:pPr>
        <w:spacing w:after="0" w:line="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does not expect the adoption of this guidance to have a material impact on its consolidated financial statements.</w:t>
      </w:r>
    </w:p>
    <w:p>
      <w:pPr>
        <w:spacing w:after="0" w:line="80"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Imputation of Interest: Simplifying the Presentation of Debt Issuance Costs</w:t>
      </w:r>
      <w:r>
        <w:rPr>
          <w:rFonts w:ascii="Arial" w:cs="Arial" w:eastAsia="Arial" w:hAnsi="Arial"/>
          <w:sz w:val="16"/>
          <w:szCs w:val="16"/>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will adopt ASU 2015-03 as of January 1, 2016 and does not expect the adoption of this guidance to have a material impact on its consolidated financial statements. Upon adoption, the Company will revise its balance sheet to present debt issuance costs as a direct deduction from Debt rather than within Other Assets. The Company does not expect the adoption of this guidance to have a material impact on its consolidated financial statements.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In August 2015, the FASB issued ASU No. 2015-15,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(“ASU 2015-15”). ASU 2015-15 provides further guidance related to the presentation or subsequent measurement of debt issuance costs related to line-of-credit arrangements. ASU 2015-15 allows companies to defer and present debt issuance costs as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51"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asset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does not expect the adoption of this guidance to have a material impact on its consolidated financial statements.</w:t>
      </w:r>
    </w:p>
    <w:p>
      <w:pPr>
        <w:spacing w:after="0" w:line="17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Business Combinations- Simplifying the Accounting for Measurement-Period Adjustments</w:t>
      </w:r>
      <w:r>
        <w:rPr>
          <w:rFonts w:ascii="Arial" w:cs="Arial" w:eastAsia="Arial" w:hAnsi="Arial"/>
          <w:sz w:val="17"/>
          <w:szCs w:val="17"/>
          <w:color w:val="auto"/>
        </w:rPr>
        <w:t xml:space="preserve"> (“ASU 2015-16”)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No. 2015-16 is effective for annual and interim reporting periods beginning after December 15, 2015. The Company does not expect the adoption of this guidance to have a material impact on its consolidated financial statements.</w:t>
      </w:r>
    </w:p>
    <w:p>
      <w:pPr>
        <w:spacing w:after="0" w:line="178"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194"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w:t>
      </w:r>
      <w:r>
        <w:rPr>
          <w:rFonts w:ascii="Arial" w:cs="Arial" w:eastAsia="Arial" w:hAnsi="Arial"/>
          <w:sz w:val="17"/>
          <w:szCs w:val="17"/>
          <w:color w:val="auto"/>
        </w:rPr>
        <w:t>“ASU 2016-02”</w:t>
      </w:r>
      <w:r>
        <w:rPr>
          <w:rFonts w:ascii="Arial" w:cs="Arial" w:eastAsia="Arial" w:hAnsi="Arial"/>
          <w:sz w:val="17"/>
          <w:szCs w:val="17"/>
          <w:i w:val="1"/>
          <w:iCs w:val="1"/>
          <w:color w:val="auto"/>
        </w:rPr>
        <w:t>)</w:t>
      </w:r>
      <w:r>
        <w:rPr>
          <w:rFonts w:ascii="Arial" w:cs="Arial" w:eastAsia="Arial" w:hAnsi="Arial"/>
          <w:sz w:val="17"/>
          <w:szCs w:val="17"/>
          <w:color w:val="auto"/>
        </w:rPr>
        <w:t>.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385" w:lineRule="exact"/>
        <w:rPr>
          <w:sz w:val="20"/>
          <w:szCs w:val="20"/>
          <w:color w:val="auto"/>
        </w:rPr>
      </w:pPr>
    </w:p>
    <w:p>
      <w:pPr>
        <w:ind w:left="660" w:right="9440" w:hanging="652"/>
        <w:spacing w:after="0" w:line="378"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color w:val="auto"/>
        </w:rPr>
        <w:t>CMQR</w:t>
      </w: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through its subsidiaries, acquired certain assets and assumed certain liabilities of Montreal, Maine and Atlantic Railway Ltd. (“MM&amp;A-U.S.”) and Montreal, Maine and Atlantic Canada Co (“MM&amp;A-Canada”) for an aggregate purchase price of approximately $15.2 million, including assumed liabilities of approximately $3.2 million. The acquisitions were accounted for as business combinations pursuant to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and the results of operations of the acquired businesses of MM&amp;A-U.S. and MM&amp;A-Canada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consolidated financial statements of the Company since their respective dates of acquisition. The closing of MM&amp;A-U.S. and MM&amp;A-Canada occurred on May 15, 2014 and June 30, 2014, respectively. Subsequent to the acquisitions, the acquired businesses were renamed as CMQR. CMQR is headquartered in Maine and owns and operates approximately 500 miles of track in the US and Canada. CMQR is reported within the Railroad segment. The Company viewed the acquisitions of MM&amp;A-U.S. and MM&amp;A-Canada as an opportunity to gain entry into the railroad industry.</w:t>
      </w:r>
    </w:p>
    <w:p>
      <w:pPr>
        <w:spacing w:after="0" w:line="8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in the year ended December 31, 2014, measurement period adjustments as of the acquisition date were made to the valuation of fixed assets acquired and employee and environmental liabilities assumed consisting of an increase to fixed assets of $679, an increase to assumed employee liabilities of $232, an increase to assumed environmental liabilities of $680, and additional goodwill recorded of $233. The measurement period adjustments impacted depreciation expense by $30 in the year ended December 31, 2014. There were no additional measurement period adjustments during the year ended December 31, 2015.</w:t>
      </w:r>
    </w:p>
    <w:p>
      <w:pPr>
        <w:spacing w:after="0" w:line="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property, plant and equipment acquired in connection with CMQR is being depreciated based on estimated remaining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useful lives from the date of acquisition, which are 4 years for buildings, 2-5 years for track and track related assets, 4-6 years for railroad equipment, 2 years for vehicles and 5 years for freight cars and locomotives, as all of the acquired assets were near the end of their useful lives at the time of acquisition.</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connection with the purchase, the Company incurred general and administrative expenses and employee severance expenses of approximately $392, included within Operating Expenses, in the Consolidated Statement of Operations for the year ended December 31, 2014. The goodwill recognized is comprised primarily of an assembled workforce and is deductible for tax purposes.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JEFFERSON TERMINAL</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Prior to the acquisition, a subsidiary of the Company had several term loan agreements with Jefferson Refinery, LLC (“Pre-Existing Debt Relationships”) of $97.6 million. The acquisition of Jefferson Terminal was consummated on August 27, 2014. The Company viewed the acquisition of Jefferson Terminal as an opportunity to gain entry into this industry.</w:t>
      </w:r>
    </w:p>
    <w:p>
      <w:pPr>
        <w:spacing w:after="0" w:line="81"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Jefferson Terminal was purchased for an aggregate purchase price of approximately $608.3 million, including assumed liabilities of $522.5 million (of which $97.6 million relates to Pre-Existing Debt Relationships) and equity consideration of $38.2 million. The Company purchased a 60% interest in Jefferson Terminal with the remaining 40% interest in Jefferson Terminal owned by a portion of the retaining shareholders and a private equity fund sponsored by Fortress, each holding an interest of approximately 20% at the acquisition date and accounted for as non-controlling interests in the accompanying consolidated financial statements. In connection with the acquisition, a $100 million loan was also obtained (Note 9).</w:t>
      </w:r>
    </w:p>
    <w:p>
      <w:pPr>
        <w:spacing w:after="0" w:line="5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acquisition was accounted for as a business combination under ASC 805 and the results of operations of the acquired business of Jefferson Terminal have been included in the consolidated financial statements since the date of acquisition. The goodwill recognized is attributable to strategic opportunities and expected future cash flows of the business and approximately $45 million of goodwill is expected to be deductible by a subsidiary of the Company for tax purposes. Property, plant and equipment acquired in connection with Jefferson Terminal is being depreciated based on estimated remaining useful lives from the date of acquisition.</w:t>
      </w:r>
    </w:p>
    <w:p>
      <w:pPr>
        <w:spacing w:after="0" w:line="8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Subsequent to the acquisition, in the year ended December 31, 2015, measurement period adjustments as of the acquisition date were made to decrease construction in progress within property, plant, and equipment, net by $947, increase intangible assets, net by $128, increase goodwill by $1,358, increase accounts payable and accrued liabilities assumed by $390 and increase other liabilities assumed by $149.</w:t>
      </w:r>
    </w:p>
    <w:p>
      <w:pPr>
        <w:spacing w:after="0" w:line="27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fair values assigned to acquired assets and assumed liabilities of CMQR and Jefferson Terminal at their respective dates of acquisition are as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gridSpan w:val="2"/>
            <w:vMerge w:val="restart"/>
          </w:tcPr>
          <w:p>
            <w:pPr>
              <w:ind w:left="360"/>
              <w:spacing w:after="0"/>
              <w:rPr>
                <w:sz w:val="20"/>
                <w:szCs w:val="20"/>
                <w:color w:val="auto"/>
              </w:rPr>
            </w:pPr>
            <w:r>
              <w:rPr>
                <w:rFonts w:ascii="Arial" w:cs="Arial" w:eastAsia="Arial" w:hAnsi="Arial"/>
                <w:sz w:val="18"/>
                <w:szCs w:val="18"/>
                <w:color w:val="auto"/>
              </w:rPr>
              <w:t>CMQR</w:t>
            </w:r>
          </w:p>
        </w:tc>
        <w:tc>
          <w:tcPr>
            <w:tcW w:w="44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Jefferson</w:t>
            </w:r>
          </w:p>
        </w:tc>
        <w:tc>
          <w:tcPr>
            <w:tcW w:w="0" w:type="dxa"/>
            <w:vAlign w:val="bottom"/>
          </w:tcPr>
          <w:p>
            <w:pPr>
              <w:spacing w:after="0"/>
              <w:rPr>
                <w:sz w:val="1"/>
                <w:szCs w:val="1"/>
                <w:color w:val="auto"/>
              </w:rPr>
            </w:pPr>
          </w:p>
        </w:tc>
      </w:tr>
      <w:tr>
        <w:trPr>
          <w:trHeight w:val="122"/>
        </w:trPr>
        <w:tc>
          <w:tcPr>
            <w:tcW w:w="6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vMerge w:val="restart"/>
          </w:tcPr>
          <w:p>
            <w:pPr>
              <w:jc w:val="right"/>
              <w:ind w:right="670"/>
              <w:spacing w:after="0"/>
              <w:rPr>
                <w:sz w:val="20"/>
                <w:szCs w:val="20"/>
                <w:color w:val="auto"/>
              </w:rPr>
            </w:pPr>
            <w:r>
              <w:rPr>
                <w:rFonts w:ascii="Arial" w:cs="Arial" w:eastAsia="Arial" w:hAnsi="Arial"/>
                <w:sz w:val="18"/>
                <w:szCs w:val="18"/>
                <w:color w:val="auto"/>
              </w:rPr>
              <w:t>Terminal</w:t>
            </w:r>
          </w:p>
        </w:tc>
        <w:tc>
          <w:tcPr>
            <w:tcW w:w="0" w:type="dxa"/>
            <w:vAlign w:val="bottom"/>
          </w:tcPr>
          <w:p>
            <w:pPr>
              <w:spacing w:after="0"/>
              <w:rPr>
                <w:sz w:val="1"/>
                <w:szCs w:val="1"/>
                <w:color w:val="auto"/>
              </w:rPr>
            </w:pPr>
          </w:p>
        </w:tc>
      </w:tr>
      <w:tr>
        <w:trPr>
          <w:trHeight w:val="108"/>
        </w:trPr>
        <w:tc>
          <w:tcPr>
            <w:tcW w:w="6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190,811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site improvements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Track</w:t>
            </w:r>
          </w:p>
        </w:tc>
        <w:tc>
          <w:tcPr>
            <w:tcW w:w="4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4,952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Crude oil terminal machinery and equipment</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47,286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Railroad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Turnout and other track materials</w:t>
            </w:r>
          </w:p>
        </w:tc>
        <w:tc>
          <w:tcPr>
            <w:tcW w:w="4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Railcars and locomotives</w:t>
            </w:r>
          </w:p>
        </w:tc>
        <w:tc>
          <w:tcPr>
            <w:tcW w:w="4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85,276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Prepaids and other deposits</w:t>
            </w:r>
          </w:p>
        </w:tc>
        <w:tc>
          <w:tcPr>
            <w:tcW w:w="4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Tendered bonds</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Customer lists and customer contracts</w:t>
            </w:r>
          </w:p>
        </w:tc>
        <w:tc>
          <w:tcPr>
            <w:tcW w:w="4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35,513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115,991</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15,224</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608,300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Environmental remediation liabilities</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(56,540)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Bonds Payable</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(348,788)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Payable</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1"/>
                <w:szCs w:val="21"/>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(522,522)</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12,058</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85,778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2014, goodwill additions of $593 and $115,991 were attributed to the Railroad and Jefferson Terminal reportable segments, respectively.</w:t>
      </w:r>
    </w:p>
    <w:p>
      <w:pPr>
        <w:spacing w:after="0" w:line="62"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fair values assigned to intangible assets were determined through the use of the replacement cost method and the income approach, specifically the multi-period excess earnings method. Both valuation methods rely on management’s judgments, including the cost to recreate the customer relationships, expected future cash flows resulting from existing customer relationships, customer attrition rates, contributory effects of other assets utilized in the business, and peer group cost of capital as well as other factors. The valuation of tangible assets was derived using a combination of the income approach, the market approach and the cost approach. Significant judgments used in valuing tangible assets include estimated reproduction or replacement cost, useful lives of assets and estimated selling prices. The valuation of assumed liabilities, including bonds payable, was derived using the market approach, using quoted values as available and the income approach, comparing the stated interest rate on certain credit agreements to the market interest rate. The valuation of equity interests conveyed to retaining shareholders was derived using the market approach, as agreed between the parties, representing the cash that would have been offered on an arm’s length basis, on the acquisition date.</w:t>
      </w:r>
    </w:p>
    <w:p>
      <w:pPr>
        <w:spacing w:after="0" w:line="163"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b w:val="1"/>
          <w:bCs w:val="1"/>
          <w:i w:val="1"/>
          <w:iCs w:val="1"/>
          <w:color w:val="auto"/>
        </w:rPr>
        <w:t>Supplementary Pro Forma Information</w:t>
      </w:r>
      <w:r>
        <w:rPr>
          <w:rFonts w:ascii="Arial" w:cs="Arial" w:eastAsia="Arial" w:hAnsi="Arial"/>
          <w:sz w:val="17"/>
          <w:szCs w:val="17"/>
          <w:b w:val="1"/>
          <w:bCs w:val="1"/>
          <w:color w:val="auto"/>
        </w:rPr>
        <w:t>—</w:t>
      </w:r>
      <w:r>
        <w:rPr>
          <w:rFonts w:ascii="Arial" w:cs="Arial" w:eastAsia="Arial" w:hAnsi="Arial"/>
          <w:sz w:val="17"/>
          <w:szCs w:val="17"/>
          <w:color w:val="auto"/>
        </w:rPr>
        <w:t>The unaudited pro forma information has been derived from our historical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has been prepared to give effect to the acquisitions, assuming that the acquisitions of CMQR and Jefferson Terminal occurred on January 1, 2013. The unaudited pro forma pre-tax net income (loss) for the years ended December 31, 2014 and 2013 has been adjusted to reflect the additional depreciation and amortization that would have resulted from changes in the estimated fair value of assets and liabilities.</w:t>
      </w:r>
    </w:p>
    <w:p>
      <w:pPr>
        <w:sectPr>
          <w:pgSz w:w="11900" w:h="16838" w:orient="portrait"/>
          <w:cols w:equalWidth="0" w:num="1">
            <w:col w:w="11420"/>
          </w:cols>
          <w:pgMar w:left="240" w:top="121"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b w:val="1"/>
                <w:bCs w:val="1"/>
                <w:color w:val="auto"/>
                <w:w w:val="93"/>
              </w:rPr>
              <w:t>Year Ended December</w:t>
            </w: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Year Ended December</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31, 2014</w:t>
            </w:r>
          </w:p>
        </w:tc>
        <w:tc>
          <w:tcPr>
            <w:tcW w:w="42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31, 2013</w:t>
            </w:r>
          </w:p>
        </w:tc>
      </w:tr>
      <w:tr>
        <w:trPr>
          <w:trHeight w:val="27"/>
        </w:trPr>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w:t>
            </w:r>
            <w:r>
              <w:rPr>
                <w:rFonts w:ascii="Arial" w:cs="Arial" w:eastAsia="Arial" w:hAnsi="Arial"/>
                <w:sz w:val="18"/>
                <w:szCs w:val="18"/>
                <w:color w:val="auto"/>
              </w:rPr>
              <w:t>—</w:t>
            </w:r>
            <w:r>
              <w:rPr>
                <w:rFonts w:ascii="Arial" w:cs="Arial" w:eastAsia="Arial" w:hAnsi="Arial"/>
                <w:sz w:val="18"/>
                <w:szCs w:val="18"/>
                <w:b w:val="1"/>
                <w:bCs w:val="1"/>
                <w:color w:val="auto"/>
              </w:rPr>
              <w:t>CMQR</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Revenues</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63,528</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46,100</w:t>
            </w:r>
          </w:p>
        </w:tc>
      </w:tr>
      <w:tr>
        <w:trPr>
          <w:trHeight w:val="27"/>
        </w:trPr>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net income (loss)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1,497</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Pro Forma</w:t>
            </w:r>
            <w:r>
              <w:rPr>
                <w:rFonts w:ascii="Arial" w:cs="Arial" w:eastAsia="Arial" w:hAnsi="Arial"/>
                <w:sz w:val="18"/>
                <w:szCs w:val="18"/>
                <w:color w:val="auto"/>
              </w:rPr>
              <w:t>—</w:t>
            </w:r>
            <w:r>
              <w:rPr>
                <w:rFonts w:ascii="Arial" w:cs="Arial" w:eastAsia="Arial" w:hAnsi="Arial"/>
                <w:sz w:val="18"/>
                <w:szCs w:val="18"/>
                <w:b w:val="1"/>
                <w:bCs w:val="1"/>
                <w:color w:val="auto"/>
              </w:rPr>
              <w:t>Jefferson Terminal</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60,577</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Pre-tax net loss</w:t>
            </w:r>
          </w:p>
        </w:tc>
        <w:tc>
          <w:tcPr>
            <w:tcW w:w="5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(46,906)</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(1,543)</w:t>
            </w: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 forma results do not include any anticipated synergies or other anticipated benefits of the acquisition. Accordingly, the unaudited pro forma financial information is not necessarily indicative or either future results of operations or results that might have been achieved had the acquisition occurred on January 1, 2013.</w:t>
      </w:r>
    </w:p>
    <w:p>
      <w:pPr>
        <w:spacing w:after="0" w:line="7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year ended December 31, 2014, for CMQR and Jefferson Terminal, the Company recognized $9,969 and $2,652, respectively, in revenues and $11,957 and $15,768, respectively, of loss before income taxes, which includes acquisition and transaction related expenses of $5,646 and $5,494, respectively, included within acquisition and transaction expenses in the Consolidated Statement of Operations.</w:t>
      </w:r>
    </w:p>
    <w:p>
      <w:pPr>
        <w:spacing w:after="0" w:line="162"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681,212</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(44,531)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636,681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1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298,204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524,885</w:t>
            </w:r>
          </w:p>
        </w:tc>
      </w:tr>
      <w:tr>
        <w:trPr>
          <w:trHeight w:val="237"/>
        </w:trPr>
        <w:tc>
          <w:tcPr>
            <w:tcW w:w="16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(15,506)</w:t>
            </w:r>
          </w:p>
        </w:tc>
      </w:tr>
      <w:tr>
        <w:trPr>
          <w:trHeight w:val="33"/>
        </w:trPr>
        <w:tc>
          <w:tcPr>
            <w:tcW w:w="56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509,379</w:t>
            </w:r>
          </w:p>
        </w:tc>
      </w:tr>
      <w:tr>
        <w:trPr>
          <w:trHeight w:val="20"/>
        </w:trPr>
        <w:tc>
          <w:tcPr>
            <w:tcW w:w="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97"/>
        </w:trPr>
        <w:tc>
          <w:tcPr>
            <w:tcW w:w="160" w:type="dxa"/>
            <w:vAlign w:val="bottom"/>
          </w:tcPr>
          <w:p>
            <w:pPr>
              <w:spacing w:after="0"/>
              <w:rPr>
                <w:sz w:val="24"/>
                <w:szCs w:val="24"/>
                <w:color w:val="auto"/>
              </w:rPr>
            </w:pPr>
          </w:p>
        </w:tc>
        <w:tc>
          <w:tcPr>
            <w:tcW w:w="11260" w:type="dxa"/>
            <w:vAlign w:val="bottom"/>
            <w:gridSpan w:val="12"/>
          </w:tcPr>
          <w:p>
            <w:pPr>
              <w:ind w:left="500"/>
              <w:spacing w:after="0"/>
              <w:rPr>
                <w:sz w:val="20"/>
                <w:szCs w:val="20"/>
                <w:color w:val="auto"/>
              </w:rPr>
            </w:pPr>
            <w:r>
              <w:rPr>
                <w:rFonts w:ascii="Arial" w:cs="Arial" w:eastAsia="Arial" w:hAnsi="Arial"/>
                <w:sz w:val="18"/>
                <w:szCs w:val="18"/>
                <w:color w:val="auto"/>
                <w:w w:val="90"/>
              </w:rPr>
              <w:t>During the year ended December 31, 2015, the Company acquired twenty-four commercial jet engines and five aircraft, and sold nine commercial jet</w:t>
            </w:r>
          </w:p>
        </w:tc>
      </w:tr>
      <w:tr>
        <w:trPr>
          <w:trHeight w:val="216"/>
        </w:trPr>
        <w:tc>
          <w:tcPr>
            <w:tcW w:w="160" w:type="dxa"/>
            <w:vAlign w:val="bottom"/>
          </w:tcPr>
          <w:p>
            <w:pPr>
              <w:spacing w:after="0"/>
              <w:rPr>
                <w:sz w:val="18"/>
                <w:szCs w:val="18"/>
                <w:color w:val="auto"/>
              </w:rPr>
            </w:pPr>
          </w:p>
        </w:tc>
        <w:tc>
          <w:tcPr>
            <w:tcW w:w="11260" w:type="dxa"/>
            <w:vAlign w:val="bottom"/>
            <w:gridSpan w:val="12"/>
          </w:tcPr>
          <w:p>
            <w:pPr>
              <w:ind w:left="500"/>
              <w:spacing w:after="0"/>
              <w:rPr>
                <w:sz w:val="20"/>
                <w:szCs w:val="20"/>
                <w:color w:val="auto"/>
              </w:rPr>
            </w:pPr>
            <w:r>
              <w:rPr>
                <w:rFonts w:ascii="Arial" w:cs="Arial" w:eastAsia="Arial" w:hAnsi="Arial"/>
                <w:sz w:val="18"/>
                <w:szCs w:val="18"/>
                <w:color w:val="auto"/>
                <w:w w:val="91"/>
              </w:rPr>
              <w:t>engines. During the year ended December 31, 2014, the Company acquired fourteen aircraft, nine aircraft engines, three hundred tank railcars, and</w:t>
            </w:r>
          </w:p>
        </w:tc>
      </w:tr>
      <w:tr>
        <w:trPr>
          <w:trHeight w:val="216"/>
        </w:trPr>
        <w:tc>
          <w:tcPr>
            <w:tcW w:w="160" w:type="dxa"/>
            <w:vAlign w:val="bottom"/>
          </w:tcPr>
          <w:p>
            <w:pPr>
              <w:spacing w:after="0"/>
              <w:rPr>
                <w:sz w:val="18"/>
                <w:szCs w:val="18"/>
                <w:color w:val="auto"/>
              </w:rPr>
            </w:pPr>
          </w:p>
        </w:tc>
        <w:tc>
          <w:tcPr>
            <w:tcW w:w="11260" w:type="dxa"/>
            <w:vAlign w:val="bottom"/>
            <w:gridSpan w:val="12"/>
          </w:tcPr>
          <w:p>
            <w:pPr>
              <w:ind w:left="500"/>
              <w:spacing w:after="0"/>
              <w:rPr>
                <w:sz w:val="20"/>
                <w:szCs w:val="20"/>
                <w:color w:val="auto"/>
              </w:rPr>
            </w:pPr>
            <w:r>
              <w:rPr>
                <w:rFonts w:ascii="Arial" w:cs="Arial" w:eastAsia="Arial" w:hAnsi="Arial"/>
                <w:sz w:val="18"/>
                <w:szCs w:val="18"/>
                <w:color w:val="auto"/>
                <w:w w:val="92"/>
              </w:rPr>
              <w:t>sold five commercial jet engines and two aircraft. Depreciation expense for leasing equipment for the years ended December 31, 2015, 2014, and</w:t>
            </w:r>
          </w:p>
        </w:tc>
      </w:tr>
      <w:tr>
        <w:trPr>
          <w:trHeight w:val="230"/>
        </w:trPr>
        <w:tc>
          <w:tcPr>
            <w:tcW w:w="160" w:type="dxa"/>
            <w:vAlign w:val="bottom"/>
          </w:tcPr>
          <w:p>
            <w:pPr>
              <w:spacing w:after="0"/>
              <w:rPr>
                <w:sz w:val="20"/>
                <w:szCs w:val="20"/>
                <w:color w:val="auto"/>
              </w:rPr>
            </w:pPr>
          </w:p>
        </w:tc>
        <w:tc>
          <w:tcPr>
            <w:tcW w:w="5460" w:type="dxa"/>
            <w:vAlign w:val="bottom"/>
          </w:tcPr>
          <w:p>
            <w:pPr>
              <w:ind w:left="500"/>
              <w:spacing w:after="0"/>
              <w:rPr>
                <w:sz w:val="20"/>
                <w:szCs w:val="20"/>
                <w:color w:val="auto"/>
              </w:rPr>
            </w:pPr>
            <w:r>
              <w:rPr>
                <w:rFonts w:ascii="Arial" w:cs="Arial" w:eastAsia="Arial" w:hAnsi="Arial"/>
                <w:sz w:val="18"/>
                <w:szCs w:val="18"/>
                <w:color w:val="auto"/>
              </w:rPr>
              <w:t>2013 was $30,624, $12,683 and $3,909, respectively.</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5.</w:t>
            </w:r>
          </w:p>
        </w:tc>
        <w:tc>
          <w:tcPr>
            <w:tcW w:w="5460" w:type="dxa"/>
            <w:vAlign w:val="bottom"/>
          </w:tcPr>
          <w:p>
            <w:pPr>
              <w:ind w:left="500"/>
              <w:spacing w:after="0"/>
              <w:rPr>
                <w:sz w:val="20"/>
                <w:szCs w:val="20"/>
                <w:color w:val="auto"/>
              </w:rPr>
            </w:pPr>
            <w:r>
              <w:rPr>
                <w:rFonts w:ascii="Arial" w:cs="Arial" w:eastAsia="Arial" w:hAnsi="Arial"/>
                <w:sz w:val="18"/>
                <w:szCs w:val="18"/>
                <w:b w:val="1"/>
                <w:bCs w:val="1"/>
                <w:color w:val="auto"/>
              </w:rPr>
              <w:t>FINANCE LEASES, NET</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60" w:type="dxa"/>
            <w:vAlign w:val="bottom"/>
          </w:tcPr>
          <w:p>
            <w:pPr>
              <w:spacing w:after="0"/>
              <w:rPr>
                <w:sz w:val="24"/>
                <w:szCs w:val="24"/>
                <w:color w:val="auto"/>
              </w:rPr>
            </w:pPr>
          </w:p>
        </w:tc>
        <w:tc>
          <w:tcPr>
            <w:tcW w:w="5460" w:type="dxa"/>
            <w:vAlign w:val="bottom"/>
          </w:tcPr>
          <w:p>
            <w:pPr>
              <w:ind w:left="500"/>
              <w:spacing w:after="0"/>
              <w:rPr>
                <w:sz w:val="20"/>
                <w:szCs w:val="20"/>
                <w:color w:val="auto"/>
              </w:rPr>
            </w:pPr>
            <w:r>
              <w:rPr>
                <w:rFonts w:ascii="Arial" w:cs="Arial" w:eastAsia="Arial" w:hAnsi="Arial"/>
                <w:sz w:val="18"/>
                <w:szCs w:val="18"/>
                <w:color w:val="auto"/>
              </w:rPr>
              <w:t>Finance leases, net are summarized as follows: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3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102,369</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(19,848)</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3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10,122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72,399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816"/>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2014</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131,537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(28,724)</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2015, future minimum lease payments to be received under finance leases for the remainder of the lease terms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53,316</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9,987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9,987</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102,369</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On March 9, 2016, the Company consummated the sale of approximately 39,000 shipping containers that were subject to a direct finance lease. See Note 19, Subsequent Events.</w:t>
      </w:r>
    </w:p>
    <w:p>
      <w:pPr>
        <w:spacing w:after="0" w:line="166" w:lineRule="exact"/>
        <w:rPr>
          <w:sz w:val="20"/>
          <w:szCs w:val="20"/>
          <w:color w:val="auto"/>
        </w:rPr>
      </w:pPr>
    </w:p>
    <w:p>
      <w:pPr>
        <w:ind w:left="660" w:right="6360" w:hanging="652"/>
        <w:spacing w:after="0" w:line="445" w:lineRule="auto"/>
        <w:tabs>
          <w:tab w:leader="none" w:pos="6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Jefferson Terminal</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47"/>
        </w:trPr>
        <w:tc>
          <w:tcPr>
            <w:tcW w:w="6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55,034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55,927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210,857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210,857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282,465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310,064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(13,215)</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Spare parts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2,829</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24,692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274,986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299,678</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Jefferson Terminal</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47"/>
        </w:trPr>
        <w:tc>
          <w:tcPr>
            <w:tcW w:w="6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145,716</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50,627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579</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208,664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229,488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227,381</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During year ended December 31, 2015, additional property, plant and equipment of $84,298 was acquired, and is mainly related to land and improvements, track and track related assets, and crude oil terminal machinery and equipment. During the year ended December 31, 2015, disposals of property, plant and equipment totaled $893, mainly related to railroad equipment, vehicles, and furniture and fixtures. Property, plant and equipment acquired during the year ended December 31, 2014 was $14,303 and $144,883 in connection with the acquisitions of CMQR and Jefferson Terminal (Note 3), respectively. During the year ending December 31, 2014, additional property, plant and equipment of $70,302 was acquired, mainly related to construction in progress and track and track related assets.</w:t>
      </w:r>
    </w:p>
    <w:p>
      <w:pPr>
        <w:spacing w:after="0" w:line="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Depreciation expense for property, plant and equipment was $11,099, $2,107 and $0 for the years ended December 31, 2015, 2014, and 2013, respectively.</w:t>
      </w:r>
    </w:p>
    <w:p>
      <w:pPr>
        <w:spacing w:after="0" w:line="16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ENTITY</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ownership interest and carrying values of the Company’s investment in unconsolidated entity: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Carrying Value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Date Acquired</w:t>
            </w:r>
          </w:p>
        </w:tc>
        <w:tc>
          <w:tcPr>
            <w:tcW w:w="16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Ownership</w:t>
            </w: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December 31, 2015</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December 31, 2014</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2013</w:t>
            </w:r>
          </w:p>
        </w:tc>
        <w:tc>
          <w:tcPr>
            <w:tcW w:w="0" w:type="dxa"/>
            <w:vAlign w:val="bottom"/>
          </w:tcPr>
          <w:p>
            <w:pPr>
              <w:spacing w:after="0"/>
              <w:rPr>
                <w:sz w:val="1"/>
                <w:szCs w:val="1"/>
                <w:color w:val="auto"/>
              </w:rPr>
            </w:pPr>
          </w:p>
        </w:tc>
      </w:tr>
      <w:tr>
        <w:trPr>
          <w:trHeight w:val="116"/>
        </w:trPr>
        <w:tc>
          <w:tcPr>
            <w:tcW w:w="35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6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Percentage</w:t>
            </w:r>
          </w:p>
        </w:tc>
        <w:tc>
          <w:tcPr>
            <w:tcW w:w="1620" w:type="dxa"/>
            <w:vAlign w:val="bottom"/>
            <w:gridSpan w:val="3"/>
            <w:vMerge w:val="continue"/>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PJW 3000 LLC</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April 2012</w:t>
            </w:r>
          </w:p>
        </w:tc>
        <w:tc>
          <w:tcPr>
            <w:tcW w:w="14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16.67%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Intermodal Finance I, Ltd.</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September 2012</w:t>
            </w: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21,569</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32,744</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PJW 3000 LLC</w:t>
      </w:r>
    </w:p>
    <w:p>
      <w:pPr>
        <w:spacing w:after="0" w:line="11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April 26, 2012, the Company acquired a non-controlling 16.67% interest in PJW 3000 LLC from a third party for a total purchase price, including acquisition costs, of approximately $19,635. The Company exercised significant influence over PJW 3000 LLC through its representation on the entity’s board of managers. PJW 3000 LLC owned an offshore derrick pipe laying barge which was subject to a long-term net lease. At the time of acquisition, the price paid by the Company exceeded its proportionate share of the net equity of PJW 3000 LLC by approximately $3,000; this premium was amortized on a straight line basis over the 28.5 year estimated remaining useful life of the vessel. On November 26, 2013, the Company sold its interest in PJW 3000 LLC for a sales price of $26,500 (consisting of $22,000 in cash and a $4,500 one-year note receivable supported by an unconditional bank guarantee) and recognized a gain of approximately $6,144. The note receivable was settled on November 17, 2014.</w:t>
      </w:r>
    </w:p>
    <w:p>
      <w:pPr>
        <w:spacing w:after="0" w:line="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2013, the Company has reflected summary statement of income data for PJW 3000 LLC through November 26, 2013, the date the Company sold its interest in PJW 3000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owns a 51% non-controlling interest in Intermodal Finance I Ltd., a joint venture. Intermodal Finance I, Ltd owns a portfolio of multiple finance leases, representing 6 customers and comprising approximately 59,000 shipping containers as well as a portfolio of approximately 37,000 shipping containers subject to multiple operating leases to a single customer. During the year ended December 31, 2015, Intermodal Finance I, Ltd. recorded an asset impairment charge of $20,604, which resulted from certain operating leases not being renewed and containers being returned at a faster pace than expected. Additionally, due to challenging market conditions for shipping containers, certain returned containers were sold at values lower than previously estimated. The Company's proportionate share of the impairment charge was $10,508 based on its 51% ownership percentage.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financial information for these unconsolidated entities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16,022</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20,331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56,480</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1,157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11,075</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expense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29,553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9,772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26,444</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Gain on early termination of finance lease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disposal of equipment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1,097</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(14,050)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31,133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(14,050)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31,564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Company's equity in (loss) earnings, net of amortization of $95 in the year ended December</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31, 2013</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10,325</w:t>
            </w:r>
          </w:p>
        </w:tc>
      </w:tr>
      <w:tr>
        <w:trPr>
          <w:trHeight w:val="20"/>
        </w:trPr>
        <w:tc>
          <w:tcPr>
            <w:tcW w:w="60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r>
      <w:tr>
        <w:trPr>
          <w:trHeight w:val="270"/>
        </w:trPr>
        <w:tc>
          <w:tcPr>
            <w:tcW w:w="5500" w:type="dxa"/>
            <w:vAlign w:val="bottom"/>
          </w:tcPr>
          <w:p>
            <w:pPr>
              <w:spacing w:after="0"/>
              <w:rPr>
                <w:sz w:val="23"/>
                <w:szCs w:val="23"/>
                <w:color w:val="auto"/>
              </w:rPr>
            </w:pPr>
          </w:p>
        </w:tc>
        <w:tc>
          <w:tcPr>
            <w:tcW w:w="3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55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48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5,214</w:t>
            </w: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Leasing assets, net of accumulated depreciation of $7,305 and $4,449, respectively</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74,045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Finance leases, net</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34,261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62,393</w:t>
            </w: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Deferred costs, net of accumulated amortization of $864 and $602, respectively</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5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4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91,153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291"/>
        </w:trPr>
        <w:tc>
          <w:tcPr>
            <w:tcW w:w="5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Syndication liabilities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Debt</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84,051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120,303</w:t>
            </w: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4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87,864</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125,995</w:t>
            </w:r>
          </w:p>
        </w:tc>
      </w:tr>
      <w:tr>
        <w:trPr>
          <w:trHeight w:val="33"/>
        </w:trPr>
        <w:tc>
          <w:tcPr>
            <w:tcW w:w="55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55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2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20,560</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Total members’ equity</w:t>
            </w:r>
          </w:p>
        </w:tc>
        <w:tc>
          <w:tcPr>
            <w:tcW w:w="24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3,289</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20,560</w:t>
            </w:r>
          </w:p>
        </w:tc>
      </w:tr>
      <w:tr>
        <w:trPr>
          <w:trHeight w:val="33"/>
        </w:trPr>
        <w:tc>
          <w:tcPr>
            <w:tcW w:w="55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members’ equity</w:t>
            </w:r>
          </w:p>
        </w:tc>
        <w:tc>
          <w:tcPr>
            <w:tcW w:w="348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91,153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investment in and advances to unconsolidated entity</w:t>
            </w:r>
          </w:p>
        </w:tc>
        <w:tc>
          <w:tcPr>
            <w:tcW w:w="34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r>
      <w:tr>
        <w:trPr>
          <w:trHeight w:val="453"/>
        </w:trPr>
        <w:tc>
          <w:tcPr>
            <w:tcW w:w="5500" w:type="dxa"/>
            <w:vAlign w:val="bottom"/>
          </w:tcPr>
          <w:p>
            <w:pPr>
              <w:spacing w:after="0"/>
              <w:rPr>
                <w:sz w:val="24"/>
                <w:szCs w:val="24"/>
                <w:color w:val="auto"/>
              </w:rPr>
            </w:pPr>
          </w:p>
        </w:tc>
        <w:tc>
          <w:tcPr>
            <w:tcW w:w="2400" w:type="dxa"/>
            <w:vAlign w:val="bottom"/>
          </w:tcPr>
          <w:p>
            <w:pPr>
              <w:jc w:val="right"/>
              <w:ind w:right="1977"/>
              <w:spacing w:after="0"/>
              <w:rPr>
                <w:sz w:val="20"/>
                <w:szCs w:val="20"/>
                <w:color w:val="auto"/>
              </w:rPr>
            </w:pPr>
            <w:r>
              <w:rPr>
                <w:rFonts w:ascii="Arial" w:cs="Arial" w:eastAsia="Arial" w:hAnsi="Arial"/>
                <w:sz w:val="18"/>
                <w:szCs w:val="18"/>
                <w:color w:val="auto"/>
              </w:rPr>
              <w:t>111</w:t>
            </w: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LIABILITIES,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30,945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44,129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17,639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1"/>
        </w:trPr>
        <w:tc>
          <w:tcPr>
            <w:tcW w:w="5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34,333</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34,530</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34,333</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52,169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 Amortization of intangible assets and liabilities is recorded in the Consolidated Statements of Operations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40" w:type="dxa"/>
            <w:vAlign w:val="bottom"/>
            <w:gridSpan w:val="6"/>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Classification in Consolidated Statements</w:t>
            </w:r>
          </w:p>
        </w:tc>
        <w:tc>
          <w:tcPr>
            <w:tcW w:w="0" w:type="dxa"/>
            <w:vAlign w:val="bottom"/>
          </w:tcPr>
          <w:p>
            <w:pPr>
              <w:spacing w:after="0"/>
              <w:rPr>
                <w:sz w:val="1"/>
                <w:szCs w:val="1"/>
                <w:color w:val="auto"/>
              </w:rPr>
            </w:pPr>
          </w:p>
        </w:tc>
      </w:tr>
      <w:tr>
        <w:trPr>
          <w:trHeight w:val="102"/>
        </w:trPr>
        <w:tc>
          <w:tcPr>
            <w:tcW w:w="37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40" w:type="dxa"/>
            <w:vAlign w:val="bottom"/>
            <w:gridSpan w:val="6"/>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of Operations</w:t>
            </w:r>
          </w:p>
        </w:tc>
        <w:tc>
          <w:tcPr>
            <w:tcW w:w="0" w:type="dxa"/>
            <w:vAlign w:val="bottom"/>
          </w:tcPr>
          <w:p>
            <w:pPr>
              <w:spacing w:after="0"/>
              <w:rPr>
                <w:sz w:val="1"/>
                <w:szCs w:val="1"/>
                <w:color w:val="auto"/>
              </w:rPr>
            </w:pPr>
          </w:p>
        </w:tc>
      </w:tr>
      <w:tr>
        <w:trPr>
          <w:trHeight w:val="141"/>
        </w:trPr>
        <w:tc>
          <w:tcPr>
            <w:tcW w:w="37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9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2,694</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Equipment leasing revenues</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ind w:left="860"/>
              <w:spacing w:after="0"/>
              <w:rPr>
                <w:sz w:val="20"/>
                <w:szCs w:val="20"/>
                <w:color w:val="auto"/>
              </w:rPr>
            </w:pPr>
            <w:r>
              <w:rPr>
                <w:rFonts w:ascii="Arial" w:cs="Arial" w:eastAsia="Arial" w:hAnsi="Arial"/>
                <w:sz w:val="16"/>
                <w:szCs w:val="16"/>
                <w:color w:val="auto"/>
              </w:rPr>
              <w:t>—</w:t>
            </w:r>
          </w:p>
        </w:tc>
        <w:tc>
          <w:tcPr>
            <w:tcW w:w="29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10,359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estimated net annual amortization of intangibles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Year Ending December 31,</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9,273</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9"/>
                <w:szCs w:val="19"/>
                <w:color w:val="auto"/>
              </w:rPr>
            </w:pPr>
          </w:p>
        </w:tc>
        <w:tc>
          <w:tcPr>
            <w:tcW w:w="2200" w:type="dxa"/>
            <w:vAlign w:val="bottom"/>
          </w:tcPr>
          <w:p>
            <w:pPr>
              <w:jc w:val="right"/>
              <w:ind w:right="19"/>
              <w:spacing w:after="0"/>
              <w:rPr>
                <w:sz w:val="20"/>
                <w:szCs w:val="20"/>
                <w:color w:val="auto"/>
              </w:rPr>
            </w:pPr>
            <w:r>
              <w:rPr>
                <w:rFonts w:ascii="Arial" w:cs="Arial" w:eastAsia="Arial" w:hAnsi="Arial"/>
                <w:sz w:val="16"/>
                <w:szCs w:val="16"/>
                <w:color w:val="auto"/>
              </w:rPr>
              <w:t>6,757</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9"/>
                <w:szCs w:val="19"/>
                <w:color w:val="auto"/>
              </w:rPr>
            </w:pPr>
          </w:p>
        </w:tc>
        <w:tc>
          <w:tcPr>
            <w:tcW w:w="220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2200" w:type="dxa"/>
            <w:vAlign w:val="bottom"/>
          </w:tcPr>
          <w:p>
            <w:pPr>
              <w:jc w:val="right"/>
              <w:ind w:right="19"/>
              <w:spacing w:after="0"/>
              <w:rPr>
                <w:sz w:val="20"/>
                <w:szCs w:val="20"/>
                <w:color w:val="auto"/>
              </w:rPr>
            </w:pPr>
            <w:r>
              <w:rPr>
                <w:rFonts w:ascii="Arial" w:cs="Arial" w:eastAsia="Arial" w:hAnsi="Arial"/>
                <w:sz w:val="16"/>
                <w:szCs w:val="16"/>
                <w:color w:val="auto"/>
              </w:rPr>
              <w:t>13,028</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43,109</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20" w:type="dxa"/>
            <w:vAlign w:val="bottom"/>
          </w:tcPr>
          <w:p>
            <w:pPr>
              <w:ind w:left="440"/>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The Company's debt is summarized as follows: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2014</w:t>
            </w:r>
          </w:p>
        </w:tc>
        <w:tc>
          <w:tcPr>
            <w:tcW w:w="0" w:type="dxa"/>
            <w:vAlign w:val="bottom"/>
          </w:tcPr>
          <w:p>
            <w:pPr>
              <w:spacing w:after="0"/>
              <w:rPr>
                <w:sz w:val="1"/>
                <w:szCs w:val="1"/>
                <w:color w:val="auto"/>
              </w:rPr>
            </w:pPr>
          </w:p>
        </w:tc>
      </w:tr>
      <w:tr>
        <w:trPr>
          <w:trHeight w:val="33"/>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19,115</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9,407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9,416</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221,444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243,759</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Series 2010 Bonds</w:t>
            </w:r>
          </w:p>
        </w:tc>
        <w:tc>
          <w:tcPr>
            <w:tcW w:w="22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shd w:val="clear" w:color="auto" w:fill="CCEEFF"/>
          </w:tcPr>
          <w:p>
            <w:pPr>
              <w:spacing w:after="0"/>
              <w:rPr>
                <w:sz w:val="19"/>
                <w:szCs w:val="19"/>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Series 2012 Bonds (including unamortized premium of $1,751 and $1,791 at December 31, 2015 and</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December 31, 2014,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48,521</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47,261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346,521</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 Payable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Container Loan #1</w:t>
      </w:r>
      <w:r>
        <w:rPr>
          <w:rFonts w:ascii="Arial" w:cs="Arial" w:eastAsia="Arial" w:hAnsi="Arial"/>
          <w:sz w:val="18"/>
          <w:szCs w:val="18"/>
          <w:color w:val="auto"/>
        </w:rPr>
        <w:t>—On December 27, 2012, a subsidiary of the Company entered into a Credit Agreement (“Container</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Loan #1”) with a bank for an initial aggregate amount of approximately $55,991 in connection with the acquisition of a portfolio of shipping containers subject to finance leases. Container Loan #1 requires monthly payments of interest and scheduled principal payments through its maturity on December 27, 2017 and can be prepaid without penalty after the third anniversary of the closing of the loan. Container Loan #1 is secured by the Company’s interest in the shipping containers and related finance leases. Borrowings under the loan bear interest at a rate selected by the Company of either (i) a LIBOR based rate plus a spread of 3.75% or (ii) a Base Rate equal to the higher of the Prime Rate or the Federal Funds Rate plus 1.50%, plus a spread of 3.75%. At December 31, 2015 and December 31, 2014 borrowings under the loan were LIBOR based borrowings bearing interest at a rate of 4.08% and 3.90%, respectively. The average interest rate for the years ended December 31, 2015, December 31, 2014, and December 31, 2013 was 4.38%, 4.00% and 4.34%, respectively, inclusive of the effect of an interest rate swap, described below.</w:t>
      </w:r>
    </w:p>
    <w:p>
      <w:pPr>
        <w:spacing w:after="0" w:line="5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In connection with Container Loan #1, the Company entered into an interest rate swap agreement (the “Swap”) on January 17, 2013 with respect to 70% of the outstanding balance of the Loan and designated as a cash flow hedge which fixed the LIBOR rate at 0.681%. Periodic settlement payments made in connection with the Swap are recorded as a component of interest expense in the accompanying Consolidated Statement of Operations. The initial notional amount of the Swap was approximately $39,194, with scheduled monthly decreases through the maturity date of the Container Loan #1. The fair value of the Swap at December 31, 2015 and December 31, 2014 was $97 and $214, respectively.</w:t>
      </w:r>
    </w:p>
    <w:p>
      <w:pPr>
        <w:spacing w:after="0" w:line="5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Pursuant to the Container Loan #1 agreement, amounts realized by the Company in connection with the finance lease are remitted directly into a trust account as restricted cash for disbursement according to specified payment priorities. Any amounts remaining in the trust account after payment of required obligations are released to the Company. Container Loan #1 contains negative covenants which limit certain actions of the borrowers. Upon the occurrence and during the continuance of an event of default under Container Loan #1, principal, interest and any fees or other amounts owed under Container Loan #1 bear interest at a rate that is 2% per annum in excess of the interest rate otherwise payable with respect to such amounts. As of December 31, 2015, the Company was in compliance with all of the covenants under this agreement.</w:t>
      </w:r>
    </w:p>
    <w:p>
      <w:pPr>
        <w:spacing w:after="0" w:line="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b w:val="1"/>
          <w:bCs w:val="1"/>
          <w:i w:val="1"/>
          <w:iCs w:val="1"/>
          <w:color w:val="auto"/>
        </w:rPr>
        <w:t>Container Loan #2</w:t>
      </w:r>
      <w:r>
        <w:rPr>
          <w:rFonts w:ascii="Arial" w:cs="Arial" w:eastAsia="Arial" w:hAnsi="Arial"/>
          <w:sz w:val="18"/>
          <w:szCs w:val="18"/>
          <w:color w:val="auto"/>
        </w:rPr>
        <w:t>—On August 15, 2013, a subsidiary of the Company entered into a Credit Agreement (“Container Loan #2”) with a bank for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aggregate amount of approximately $21,548 in connection with the acquisition of a portfolio of shipping containers subject to finance leases. Container Loan #2 requires quarterly payments of interest and scheduled principal payments through its maturity on August 28, 2018 and can be prepaid without penalty at any time. Container Loan #2 is secured by the Company’s interest in the shipping containers and related finance leases. Borrowings under Container Loan #2 bear interest at a rate of LIBOR plus a spread of 3.25%. At December 31, 2015 and December 31, 2014, borrowings under Container Loan #2 bore interest at a rate of 3.66% and 3.49%, respectively. The average interest rate for the years ended December 31, 2015, December 31, 2014 and December 31, 2013 was 3.67%, 3.59% and 3.54%, respectively, inclusive of the interest rate cap, described below.</w:t>
      </w:r>
    </w:p>
    <w:p>
      <w:pPr>
        <w:spacing w:after="0" w:line="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connection with Container Loan #2, on September 20, 2013, the Company entered into an interest rate cap agreement (the “Cap”), which was not designated as a cash flow hedge, with an initial payment date of February 28, 2014. The Cap capped LIBOR at 2.5% with respect to 50% of the portion of the outstanding balance of Container Loan #2 attributable to the 5-year finance leases. The initial notional amount of the Cap was approximately $2,554, with scheduled quarterly decreases through the August 28, 2018 maturity date of the Loan. The fair value of the Cap at December 31, 2015 and December 31, 2014 was approximately $4 and $18, respectively.</w:t>
      </w:r>
    </w:p>
    <w:p>
      <w:pPr>
        <w:spacing w:after="0" w:line="8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Pursuant to the Container Loan #2 agreement, amounts realized by the Company in connection with the finance leases are remitted directly into a trust account for disbursement according to specified payment priorities. Any amounts remaining in the trust account after payment of required obligations are released to the Company. Container Loan #2 contains negative covenants which limit certain actions of the borrowers. Upon the occurrence and during the continuance of an event of default under the Container Loan #2, principal, interest and any fees or other amounts owed under the Container Loan #2 bear interest at a rate that is 2.5% per annum in excess of the interest rate otherwise payable with respect to such amounts. As of December 31, 2015, the Company was in compliance with all of the covenants under this agreement.</w:t>
      </w:r>
    </w:p>
    <w:p>
      <w:pPr>
        <w:spacing w:after="0" w:line="7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FTAI Pride Credit Agreement</w:t>
      </w:r>
      <w:r>
        <w:rPr>
          <w:rFonts w:ascii="Arial" w:cs="Arial" w:eastAsia="Arial" w:hAnsi="Arial"/>
          <w:sz w:val="17"/>
          <w:szCs w:val="17"/>
          <w:color w:val="auto"/>
        </w:rPr>
        <w:t>—On September 15, 2014, FTAI Pride, LLC, (“FTAI Pride”) a subsidiary of the Company entered into a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 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December 31, 2015 and December 31, 2014, borrowings under the FTAI Pride Credit Agreement bore interest at a rate of 5.02% and 4.74%.</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respectively.</w:t>
      </w:r>
    </w:p>
    <w:p>
      <w:pPr>
        <w:spacing w:after="0" w:line="10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FTAI Pride Credit Agreement contains affirmative and negative covenants which limit certain actions of the borrower and a financial covenant requiring a Fixed Charges Coverage Ratio, as defined, of not less than 1.15:1.00 in any twelve month period ending December 31, 2014, or later. At December 31, 2015, the Company was in compliance with all the covenants under the FTAI Pride Credit Agreement.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CMQR Credit Agreement</w:t>
      </w:r>
      <w:r>
        <w:rPr>
          <w:rFonts w:ascii="Arial" w:cs="Arial" w:eastAsia="Arial" w:hAnsi="Arial"/>
          <w:sz w:val="17"/>
          <w:szCs w:val="17"/>
          <w:color w:val="auto"/>
        </w:rPr>
        <w:t>—On September 18, 2014, CMQR entered into a credit agreement (the “CMQR Credit Agreement”) with a financial</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institution for a revolving line of credit in an aggregate amount of $10,000. The CMQR Credit Agreement requires quarterly payments of interest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its maturity date is September 18, 2017. Borrowings under the CMQR Credit Agreement bear interest at either (i) Adjusted LIBOR plus a spread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2.50% or 4.50%, (ii) the U.S. or Canadian Base Rate plus a spread of 1.50% or 3.50%, or (iii) the Canadian Fixed Rate plus a spread of 2.50% or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4.50%, as defined by the CMQR Credit Agreement. Borrowings under the CMQR Credit Agreement bore interest at an average rate of 2.92%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2.95% at December 31, 2015 and December 31, 2014, respectively.</w:t>
      </w:r>
    </w:p>
    <w:p>
      <w:pPr>
        <w:spacing w:after="0" w:line="2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$12 million in capital from the Sponsor, and in the event of CMQR’s bankruptcy, the lenders can put the debt back to the Sponsor. The capital call obligation and put right fall away upon satisfaction of certain conditions, including CMQR’s compliance with minimum collateral coverage and a minimum Fixed Charge Coverage Ratio, as defined, of 1.30:1.00 for the preceding four-quarter period. Upon termination of the capital call obligation and put right, CMQR is required to maintain minimum collateral coverage at all times and a Fixed Charge Coverage Ratio of not less than 1.30:1.00 in any rolling four-quarter period. The CMQR Credit Agreement contains affirmative and negative covenants which limit certain actions of CMQR and at December 31, 2015, the Company was in compliance with these covenants.</w:t>
      </w:r>
    </w:p>
    <w:p>
      <w:pPr>
        <w:spacing w:after="0" w:line="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Jefferson Terminal Credit Agreement</w:t>
      </w:r>
      <w:r>
        <w:rPr>
          <w:rFonts w:ascii="Arial" w:cs="Arial" w:eastAsia="Arial" w:hAnsi="Arial"/>
          <w:sz w:val="18"/>
          <w:szCs w:val="18"/>
          <w:color w:val="auto"/>
        </w:rPr>
        <w:t>—On August 27, 2014, a subsidiary of the Company, entered into a credit agreement (the “Jefferson Terminal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Agreement”) with a financial institution for an aggregate amount of $100,000. The loan proceeds were used to partially finance the acquisition of Jefferson Terminal (Note 3) as well as to pay certain working capital amounts.</w:t>
      </w:r>
    </w:p>
    <w:p>
      <w:pPr>
        <w:spacing w:after="0" w:line="7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The Jefferson Terminal Credit Agreement was secured on a first priority basis by substantially all assets of Jefferson Terminal, as defined in the agreement. Borrowings under the Jefferson Terminal Credit Agreement bore interest, at the Company’s option, at the Adjusted Eurodollar Rate plus a spread of 8.00% or at a Base Rate plus a spread of 7.00%. The Jefferson Terminal Credit Agreement provided for a prepayment premium ranging from 1-3% of the aggregate principal amount prepaid, including repayment at maturity (the “Exit Fee”). The Exit Fee payable at maturity, of approximately $2,753, was being recognized ratably over the term of the loan and recorded as a component of interest expense in the Consolidated Statement of Operations. At December 31, 2015 and December 31, 2014, borrowings under the Jefferson Terminal Credit Agreement bore interest at a rate of 9.50% and 9.00%, respectively, and interest expense for the year ending December 31, 2015 and December 31, 2014 was approximately $10,910 and $3,703, respectively, of which approximately $2,128 and $3,534, respectively, was related to capital improvements and was capitalized to Construction in Progress.</w:t>
      </w:r>
    </w:p>
    <w:p>
      <w:pPr>
        <w:spacing w:after="0" w:line="7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Jefferson Terminal Credit Agreement contains affirmative and negative covenants which limit certain actions of the borrowers. At December 31, 2015, the Company was in compliance with all covenants under the Jefferson Terminal Credit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8, 2016, all amounts outstanding under the Jefferson Terminal Credit Agreement were paid in full and such agreement was terminated.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Subsequent Events.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Bonds Payable</w:t>
      </w:r>
    </w:p>
    <w:p>
      <w:pPr>
        <w:spacing w:after="0" w:line="11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b w:val="1"/>
          <w:bCs w:val="1"/>
          <w:i w:val="1"/>
          <w:iCs w:val="1"/>
          <w:color w:val="auto"/>
        </w:rPr>
        <w:t>Series 2010 Bonds</w:t>
      </w:r>
      <w:r>
        <w:rPr>
          <w:rFonts w:ascii="Arial" w:cs="Arial" w:eastAsia="Arial" w:hAnsi="Arial"/>
          <w:sz w:val="16"/>
          <w:szCs w:val="16"/>
          <w:color w:val="auto"/>
        </w:rPr>
        <w:t>—On December 1, 2010, Jefferson County Development Corporation issued $300,000 of tax-exempt industrial bonds, the Series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required approval from a trustee prior to release of funds. The Series 2010 bonds had a stated maturity date of December 1, 2040, bore interest at a rate of 0.6% per year, and the principal amount was due at maturity.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accordance with the terms of the trust indenture and security agreements, Series 2010 Bonds could be tendered by bondholders and purchased by the Company using the unused restricted cash proceeds. During the year ended December 31, 2014, $2,000 of principal was repaid related to the Series 2010 Bonds and the remaining $298,000 of principal was tendered by the bondholders and purchased by the Company utilizing unused restricted cash proceeds. As of December 31, 2014, Series 2010 Bonds purchased by the Company were deemed to be owned by the Company, and in the Consolidated Balance Sheet, the Company had $298,000 of Tendered Bonds and an equal corresponding amount in Debt. Tendered bonds did not convey principal or interest payments while held by the Company.</w:t>
      </w:r>
    </w:p>
    <w:p>
      <w:pPr>
        <w:spacing w:after="0" w:line="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year ended December 31, 2015, the Jefferson County Industrial Development Corporation, the Company, and Amegy Bank as the related trustee, agreed to cancel the Series 2010 Bonds. Accordingly, as of December 31, 2015, the Series 2010 Bonds are deemed cancelled and are no longer reported within Tendered Bonds or Debt in the Consolidated Balance Sheet.</w:t>
      </w:r>
    </w:p>
    <w:p>
      <w:pPr>
        <w:spacing w:after="0" w:line="7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Series 2012 Bonds</w:t>
      </w:r>
      <w:r>
        <w:rPr>
          <w:rFonts w:ascii="Arial" w:cs="Arial" w:eastAsia="Arial" w:hAnsi="Arial"/>
          <w:sz w:val="18"/>
          <w:szCs w:val="18"/>
          <w:color w:val="auto"/>
        </w:rPr>
        <w:t>—On August 1, 2012, Jefferson County Development Corporation issued $46,875 of tax-exempt industrial bonds (“Series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connection with the Company’s acquisition of Jefferson Terminal (Note 3),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 At December 31, 2015, the Company was in compliance with all the covenants under the Series 2012 Bonds.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Payable to Non-Controlling Interest</w:t>
      </w:r>
    </w:p>
    <w:p>
      <w:pPr>
        <w:spacing w:after="0" w:line="11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b w:val="1"/>
          <w:bCs w:val="1"/>
          <w:i w:val="1"/>
          <w:iCs w:val="1"/>
          <w:color w:val="auto"/>
        </w:rPr>
        <w:t>Note Payable to Non-Controlling Interest</w:t>
      </w:r>
      <w:r>
        <w:rPr>
          <w:rFonts w:ascii="Arial" w:cs="Arial" w:eastAsia="Arial" w:hAnsi="Arial"/>
          <w:sz w:val="16"/>
          <w:szCs w:val="16"/>
          <w:color w:val="auto"/>
        </w:rPr>
        <w:t>—In May 2013, in connection with the capitalization of a consolidated subsidiary, the Company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of the non-controlling interest loaned approximately $18,275 and $3,225, respectively, to the entity in proportion to their respective ownership percentages of 85% and 15%. The loans bear interest at an annual rate of 5% and require monthly payments of principal and interest through their final maturity in May 2021. The loan amount funded by the Company and related interest have been eliminated in consolidation.</w:t>
      </w:r>
    </w:p>
    <w:p>
      <w:pPr>
        <w:spacing w:after="0" w:line="3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At December 31, 2015, scheduled principal repayments under the Company’s debt agreements for the next five years and thereafter are summarized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Bonds payable (excluding unamortized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of $1,751)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45,510</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Loans payable</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22,900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48,591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101,515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48,438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221,444</w:t>
            </w:r>
          </w:p>
        </w:tc>
      </w:tr>
      <w:tr>
        <w:trPr>
          <w:trHeight w:val="33"/>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Note payable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24,791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50,419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103,463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50,511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37,740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269,306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sz w:val="20"/>
          <w:szCs w:val="20"/>
          <w:color w:val="auto"/>
        </w:rPr>
      </w:pPr>
    </w:p>
    <w:p>
      <w:pPr>
        <w:ind w:left="1360" w:hanging="704"/>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following tables set forth the Company’s financial assets and liabilities measured at fair value on a recurring basis as of December 31, 2015 and December 31, 2014, by level within the fair value hierarchy. Assets and liabilities measured at fair value are classified in their entirety based on the lowest level of input that is significant to their fair value measurement.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9"/>
                <w:szCs w:val="19"/>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2015</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2015</w:t>
            </w: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381,703</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381,703</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403,414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403,313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9"/>
                <w:szCs w:val="19"/>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2014</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2014</w:t>
            </w: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43,441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43,209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and December 31, 2014, the Company had no liabilities that were measured at fair value on a recurring basis.</w:t>
      </w:r>
    </w:p>
    <w:p>
      <w:pPr>
        <w:spacing w:after="0" w:line="11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Company’s cash and cash equivalents and restricted cash consist largely of demand deposit accounts with maturities of 90 days or less when purchased that are considered to be highly liquid and easily tradable. These instruments are valued using inputs observable in active markets for identical instruments and are therefore classified as Level 1 within the fair value hierarchy. The Company’s derivatives are valued using discounted cash flow models with observable market inputs (i.e., cash rates, futures rates, swap rates and contractual cash flows) that can be verified and do not involve significant judgments and are therefore classified as Level 2 within the fair value hierarchy.</w:t>
      </w:r>
    </w:p>
    <w:p>
      <w:pPr>
        <w:spacing w:after="0" w:line="6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Except as discussed below, the Company’s financial instruments other than cash and cash equivalents, restricted cash, and derivatives consist principally of accounts receivable, accounts payable and accrued liabilities, bonds payable, security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deposits, maintenance deposits and management fees payable, whose fair value approximates their carrying value based on an evaluation of pricing data, vendor quotes, and historical trading activity or due to their short maturity profiles.</w:t>
      </w:r>
    </w:p>
    <w:p>
      <w:pPr>
        <w:spacing w:after="0" w:line="6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At December 31, 2015 and December 31, 2014, the Company’s notes receivable, included as a component of other assets on the accompanying Consolidated Balance Sheets, consisted of a $3,725 loan bearing interest at 12.0% made to the Company’s joint venture partner in MT 6015 (Note 2) which is collateralized by other property owned by the joint venture partner. At December 31, 2015, the Company's notes receivable also included a $14,869 loan bearing interest at 10% related to a terminal site under development, collateralized by property at that site. The fair values of these notes receivable approximate carrying value due to both bearing a market rate of interest for similar types of loans and is classified as Level 2 within the fair value hierarchy.</w:t>
      </w:r>
    </w:p>
    <w:p>
      <w:pPr>
        <w:spacing w:after="0" w:line="8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fair values of Container Loan #1 and Container Loan #2, reported in Debt on the Consolidated Balance Sheets at December 31, 2015 and December 31, 2014, were approximately $34,758 and $42,515, respectively, and $11,359 and $19,129, respectively, based upon current market interest rates for similar types of loans. The fair value of Series 2012 bonds, reported in Debt on the Consolidated Balance Sheets, was approximately $49,268 at December 31, 2015 and approximated carrying value at December 31, 2014, based upon market prices for similar municipal securities. The fair values of all other items reported as Debt on the Consolidated Balance Sheets approximate their carrying values due to their bearing market rates of interest, and are classified as Level 2 within the fair value hierarchy.</w:t>
      </w:r>
    </w:p>
    <w:p>
      <w:pPr>
        <w:spacing w:after="0" w:line="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years ended December 31, 2015 and 2014, no impairment charges were recognized related to the Company's assets and liabilities measured at fair value on a recurring basis. See Note 7 for impairment recorded by the Company's investment in unconsolidated entity during the year ended December 31, 2015.</w:t>
      </w:r>
    </w:p>
    <w:p>
      <w:pPr>
        <w:spacing w:after="0" w:line="17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Year Ended December 31,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42,924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21,959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64,883</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17,286</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8,747</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24,231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92,743</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4,620</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13,655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13,655</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43,825</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24,231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18,275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25,550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136,568</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Year Ended December 31, 2014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14,991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12,690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27,681</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5,964</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10,013</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14,630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43,984</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1,325</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2,652</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13,946</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14,630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57,930</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Year Ended December 31, 2013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4,282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5,002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9,284</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2,242</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7,781</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19,530</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19,530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Minimum future annual revenues contracted to be received under existing operating leases of equipment at December 31, 2015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Year ending December 31,</w:t>
            </w:r>
          </w:p>
        </w:tc>
      </w:tr>
      <w:tr>
        <w:trPr>
          <w:trHeight w:val="33"/>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59,111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9"/>
                <w:szCs w:val="19"/>
                <w:color w:val="auto"/>
              </w:rPr>
            </w:pPr>
          </w:p>
        </w:tc>
        <w:tc>
          <w:tcPr>
            <w:tcW w:w="2360" w:type="dxa"/>
            <w:vAlign w:val="bottom"/>
          </w:tcPr>
          <w:p>
            <w:pPr>
              <w:jc w:val="right"/>
              <w:ind w:right="19"/>
              <w:spacing w:after="0"/>
              <w:rPr>
                <w:sz w:val="20"/>
                <w:szCs w:val="20"/>
                <w:color w:val="auto"/>
              </w:rPr>
            </w:pPr>
            <w:r>
              <w:rPr>
                <w:rFonts w:ascii="Arial" w:cs="Arial" w:eastAsia="Arial" w:hAnsi="Arial"/>
                <w:sz w:val="16"/>
                <w:szCs w:val="16"/>
                <w:color w:val="auto"/>
              </w:rPr>
              <w:t>44,623</w:t>
            </w: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32,054</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9"/>
                <w:szCs w:val="19"/>
                <w:color w:val="auto"/>
              </w:rPr>
            </w:pPr>
          </w:p>
        </w:tc>
        <w:tc>
          <w:tcPr>
            <w:tcW w:w="2360" w:type="dxa"/>
            <w:vAlign w:val="bottom"/>
          </w:tcPr>
          <w:p>
            <w:pPr>
              <w:jc w:val="right"/>
              <w:ind w:right="19"/>
              <w:spacing w:after="0"/>
              <w:rPr>
                <w:sz w:val="20"/>
                <w:szCs w:val="20"/>
                <w:color w:val="auto"/>
              </w:rPr>
            </w:pPr>
            <w:r>
              <w:rPr>
                <w:rFonts w:ascii="Arial" w:cs="Arial" w:eastAsia="Arial" w:hAnsi="Arial"/>
                <w:sz w:val="16"/>
                <w:szCs w:val="16"/>
                <w:color w:val="auto"/>
              </w:rPr>
              <w:t>16,877</w:t>
            </w: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2360" w:type="dxa"/>
            <w:vAlign w:val="bottom"/>
          </w:tcPr>
          <w:p>
            <w:pPr>
              <w:jc w:val="right"/>
              <w:ind w:right="19"/>
              <w:spacing w:after="0"/>
              <w:rPr>
                <w:sz w:val="20"/>
                <w:szCs w:val="20"/>
                <w:color w:val="auto"/>
              </w:rPr>
            </w:pPr>
            <w:r>
              <w:rPr>
                <w:rFonts w:ascii="Arial" w:cs="Arial" w:eastAsia="Arial" w:hAnsi="Arial"/>
                <w:sz w:val="16"/>
                <w:szCs w:val="16"/>
                <w:color w:val="auto"/>
              </w:rPr>
              <w:t>1,452</w:t>
            </w:r>
          </w:p>
        </w:tc>
      </w:tr>
      <w:tr>
        <w:trPr>
          <w:trHeight w:val="33"/>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161,323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2015, subsequent to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Amounts are in thousands except share data.</w:t>
      </w:r>
    </w:p>
    <w:p>
      <w:pPr>
        <w:spacing w:after="0" w:line="6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December 31, 2015, the Incentive Plan provides for the issuance of up to 30,000,000 shares. The Company accounts for equity-based compensation expense in accordance with Accounting Standards Codification 718 </w:t>
      </w:r>
      <w:r>
        <w:rPr>
          <w:rFonts w:ascii="Arial" w:cs="Arial" w:eastAsia="Arial" w:hAnsi="Arial"/>
          <w:sz w:val="18"/>
          <w:szCs w:val="18"/>
          <w:i w:val="1"/>
          <w:iCs w:val="1"/>
          <w:color w:val="auto"/>
        </w:rPr>
        <w:t>Compensation-Stock</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and is reported within Operating Expenses and General and Administrative in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June 2015, the Company issued an aggregate of 15,000 stock options (5,000 options each) to its three independent directors pursuant to the Incentive Plan with a grant date fair value of $24 which immediately vested upon grant and expire after 10 years. The fair value of each stock option was estimated on the date of grant using a Black-Scholes option valuation model using the following assumptions: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volatility</w:t>
      </w:r>
      <w:r>
        <w:rPr>
          <w:sz w:val="20"/>
          <w:szCs w:val="20"/>
          <w:color w:val="auto"/>
        </w:rPr>
        <w:tab/>
      </w:r>
      <w:r>
        <w:rPr>
          <w:rFonts w:ascii="Arial" w:cs="Arial" w:eastAsia="Arial" w:hAnsi="Arial"/>
          <w:sz w:val="16"/>
          <w:szCs w:val="16"/>
          <w:color w:val="auto"/>
        </w:rPr>
        <w:t>Due to the lack of historical data for the Company’s own stock, the Company has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 w:lineRule="exact"/>
        <w:rPr>
          <w:sz w:val="20"/>
          <w:szCs w:val="20"/>
          <w:color w:val="auto"/>
        </w:rPr>
      </w:pPr>
    </w:p>
    <w:p>
      <w:pPr>
        <w:ind w:left="3240" w:right="960"/>
        <w:spacing w:after="0" w:line="261" w:lineRule="auto"/>
        <w:rPr>
          <w:sz w:val="20"/>
          <w:szCs w:val="20"/>
          <w:color w:val="auto"/>
        </w:rPr>
      </w:pPr>
      <w:r>
        <w:rPr>
          <w:rFonts w:ascii="Arial" w:cs="Arial" w:eastAsia="Arial" w:hAnsi="Arial"/>
          <w:sz w:val="18"/>
          <w:szCs w:val="18"/>
          <w:color w:val="auto"/>
        </w:rPr>
        <w:t>its expected volatility on a representative peer group with similar business characteristics.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00"/>
        <w:spacing w:after="0" w:line="277" w:lineRule="auto"/>
        <w:rPr>
          <w:sz w:val="20"/>
          <w:szCs w:val="20"/>
          <w:color w:val="auto"/>
        </w:rPr>
      </w:pPr>
      <w:r>
        <w:rPr>
          <w:rFonts w:ascii="Arial" w:cs="Arial" w:eastAsia="Arial" w:hAnsi="Arial"/>
          <w:sz w:val="18"/>
          <w:szCs w:val="18"/>
          <w:color w:val="auto"/>
        </w:rPr>
        <w:t>Year Ended December 31, 2015</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482" w:lineRule="exact"/>
        <w:rPr>
          <w:sz w:val="20"/>
          <w:szCs w:val="20"/>
          <w:color w:val="auto"/>
        </w:rPr>
      </w:pPr>
    </w:p>
    <w:p>
      <w:pPr>
        <w:sectPr>
          <w:pgSz w:w="11900" w:h="16838" w:orient="portrait"/>
          <w:cols w:equalWidth="0" w:num="2">
            <w:col w:w="9540" w:space="160"/>
            <w:col w:w="172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460" w:type="dxa"/>
            <w:vAlign w:val="bottom"/>
          </w:tcPr>
          <w:p>
            <w:pPr>
              <w:ind w:left="840"/>
              <w:spacing w:after="0"/>
              <w:rPr>
                <w:sz w:val="20"/>
                <w:szCs w:val="20"/>
                <w:color w:val="auto"/>
              </w:rPr>
            </w:pPr>
            <w:r>
              <w:rPr>
                <w:rFonts w:ascii="Arial" w:cs="Arial" w:eastAsia="Arial" w:hAnsi="Arial"/>
                <w:sz w:val="18"/>
                <w:szCs w:val="18"/>
                <w:color w:val="auto"/>
              </w:rPr>
              <w:t>The risk-free rate is determined using the implied yield currently available on U.S.</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360" w:type="dxa"/>
            <w:vAlign w:val="bottom"/>
          </w:tcPr>
          <w:p>
            <w:pPr>
              <w:spacing w:after="0"/>
              <w:rPr>
                <w:sz w:val="20"/>
                <w:szCs w:val="20"/>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7"/>
              </w:rPr>
              <w:t>government bonds with a term consistent with the expected term on the date of grant.</w:t>
            </w: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4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dividend yield</w:t>
      </w:r>
      <w:r>
        <w:rPr>
          <w:sz w:val="20"/>
          <w:szCs w:val="20"/>
          <w:color w:val="auto"/>
        </w:rPr>
        <w:tab/>
      </w:r>
      <w:r>
        <w:rPr>
          <w:rFonts w:ascii="Arial" w:cs="Arial" w:eastAsia="Arial" w:hAnsi="Arial"/>
          <w:sz w:val="16"/>
          <w:szCs w:val="16"/>
          <w:color w:val="auto"/>
        </w:rPr>
        <w:t>The expected dividend yield is based on management’s current expected dividend rate.</w:t>
      </w:r>
    </w:p>
    <w:p>
      <w:pPr>
        <w:spacing w:after="0" w:line="6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term</w:t>
      </w:r>
      <w:r>
        <w:rPr>
          <w:sz w:val="20"/>
          <w:szCs w:val="20"/>
          <w:color w:val="auto"/>
        </w:rPr>
        <w:tab/>
      </w:r>
      <w:r>
        <w:rPr>
          <w:rFonts w:ascii="Arial" w:cs="Arial" w:eastAsia="Arial" w:hAnsi="Arial"/>
          <w:sz w:val="16"/>
          <w:szCs w:val="16"/>
          <w:color w:val="auto"/>
        </w:rPr>
        <w:t>Expected term used represents the period of time the options granted are expected to be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outstanding.</w:t>
      </w:r>
    </w:p>
    <w:p>
      <w:pPr>
        <w:spacing w:after="0" w:line="292"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Weighted-</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Average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Arial" w:cs="Arial" w:eastAsia="Arial" w:hAnsi="Arial"/>
                <w:sz w:val="18"/>
                <w:szCs w:val="18"/>
                <w:color w:val="auto"/>
              </w:rPr>
              <w:t>Options</w:t>
            </w: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Exercise Price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88"/>
              </w:rPr>
              <w:t>(per share)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Term (in years)</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Aggregate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Intrinsic Value</w:t>
      </w:r>
    </w:p>
    <w:p>
      <w:pPr>
        <w:spacing w:after="0" w:line="363" w:lineRule="exact"/>
        <w:rPr>
          <w:sz w:val="20"/>
          <w:szCs w:val="20"/>
          <w:color w:val="auto"/>
        </w:rPr>
      </w:pPr>
    </w:p>
    <w:p>
      <w:pPr>
        <w:sectPr>
          <w:pgSz w:w="11900" w:h="16838" w:orient="portrait"/>
          <w:cols w:equalWidth="0" w:num="2">
            <w:col w:w="10100" w:space="160"/>
            <w:col w:w="11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 at January 1, 2015</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190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250"/>
              <w:spacing w:after="0"/>
              <w:rPr>
                <w:sz w:val="20"/>
                <w:szCs w:val="20"/>
                <w:color w:val="auto"/>
              </w:rPr>
            </w:pPr>
            <w:r>
              <w:rPr>
                <w:rFonts w:ascii="Arial" w:cs="Arial" w:eastAsia="Arial" w:hAnsi="Arial"/>
                <w:sz w:val="18"/>
                <w:szCs w:val="18"/>
                <w:color w:val="auto"/>
              </w:rPr>
              <w:t>16.98</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outstanding and exercisable as of December 31, 2015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16.98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Starting in 2014, the Company has granted equity based compensation to employees of a subsidiary consisting of 1.3 million restricted shares of such subsidiary’s equity instruments in exchange for services to be provided. One award for 1.25 million restricted shares vests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August 27, 2014, the date of grant, and estimated using a market approach. As of December 31, 2015, the achievement of one performance condition representing 50% of the grant value remains probable.</w:t>
      </w:r>
    </w:p>
    <w:p>
      <w:pPr>
        <w:spacing w:after="0" w:line="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 second award vests over four years, subject to continued employment. The grant date fair value of the award is $800, which is based on the fair value per share on the date of grant, estimated using a market approach.</w:t>
      </w:r>
    </w:p>
    <w:p>
      <w:pPr>
        <w:spacing w:after="0" w:line="6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restricted shares were outstanding and unvested as of December 31, 2015 and December 31, 2014. The awards have an assumed forfeiture rate of zero.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Units</w:t>
      </w:r>
    </w:p>
    <w:p>
      <w:pPr>
        <w:spacing w:after="0" w:line="11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Starting in 2014, the Company has granted equity based compensation to employees of a subsidiary consisting of 1.4 million common units of such subsidiary’s equity instruments with an aggregate grant date fair value of $1,688 in exchange for services to be provided. The awards have varying terms, ranging between 16 and 36 months, and vest subject to continued employment through each respective vesting date. The awards are equity based, with compensation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recognized ratably over the vesting periods. The awards have an assumed forfeiture rate of zero. As of December 31, 2015 and December 31, 2014, 733 and 1,300 common units were nonvested, respectively. During the year ended December 31, 2015, 617 common units vested, with a fair value of $765.</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Statements of Operations includes the following expense related to its stock-based compensation arrangements: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60" w:type="dxa"/>
            <w:vAlign w:val="bottom"/>
            <w:vMerge w:val="restart"/>
          </w:tcPr>
          <w:p>
            <w:pPr>
              <w:jc w:val="right"/>
              <w:ind w:right="659"/>
              <w:spacing w:after="0"/>
              <w:rPr>
                <w:sz w:val="20"/>
                <w:szCs w:val="20"/>
                <w:color w:val="auto"/>
              </w:rPr>
            </w:pPr>
            <w:r>
              <w:rPr>
                <w:rFonts w:ascii="Arial" w:cs="Arial" w:eastAsia="Arial" w:hAnsi="Arial"/>
                <w:sz w:val="16"/>
                <w:szCs w:val="16"/>
                <w:color w:val="auto"/>
              </w:rPr>
              <w:t>Year Ended December 31, 2015</w:t>
            </w:r>
          </w:p>
        </w:tc>
        <w:tc>
          <w:tcPr>
            <w:tcW w:w="3680" w:type="dxa"/>
            <w:vAlign w:val="bottom"/>
            <w:gridSpan w:val="2"/>
          </w:tcPr>
          <w:p>
            <w:pPr>
              <w:jc w:val="right"/>
              <w:spacing w:after="0"/>
              <w:rPr>
                <w:sz w:val="20"/>
                <w:szCs w:val="20"/>
                <w:color w:val="auto"/>
              </w:rPr>
            </w:pPr>
            <w:r>
              <w:rPr>
                <w:rFonts w:ascii="Arial" w:cs="Arial" w:eastAsia="Arial" w:hAnsi="Arial"/>
                <w:sz w:val="16"/>
                <w:szCs w:val="16"/>
                <w:color w:val="auto"/>
                <w:w w:val="95"/>
              </w:rPr>
              <w:t>Remaining Expense To Be Recognized, If All Vesting</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0" w:type="dxa"/>
            <w:vAlign w:val="bottom"/>
            <w:vMerge w:val="restart"/>
          </w:tcPr>
          <w:p>
            <w:pPr>
              <w:jc w:val="right"/>
              <w:ind w:right="1079"/>
              <w:spacing w:after="0"/>
              <w:rPr>
                <w:sz w:val="20"/>
                <w:szCs w:val="20"/>
                <w:color w:val="auto"/>
              </w:rPr>
            </w:pPr>
            <w:r>
              <w:rPr>
                <w:rFonts w:ascii="Arial" w:cs="Arial" w:eastAsia="Arial" w:hAnsi="Arial"/>
                <w:sz w:val="16"/>
                <w:szCs w:val="16"/>
                <w:color w:val="auto"/>
              </w:rPr>
              <w:t>Conditions Are Met</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3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Restricted Shares</w:t>
            </w:r>
          </w:p>
        </w:tc>
        <w:tc>
          <w:tcPr>
            <w:tcW w:w="46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Arial" w:cs="Arial" w:eastAsia="Arial" w:hAnsi="Arial"/>
                <w:sz w:val="16"/>
                <w:szCs w:val="16"/>
                <w:color w:val="auto"/>
              </w:rPr>
              <w:t>3,432</w:t>
            </w:r>
          </w:p>
        </w:tc>
        <w:tc>
          <w:tcPr>
            <w:tcW w:w="680" w:type="dxa"/>
            <w:vAlign w:val="bottom"/>
          </w:tcPr>
          <w:p>
            <w:pPr>
              <w:spacing w:after="0"/>
              <w:rPr>
                <w:sz w:val="19"/>
                <w:szCs w:val="19"/>
                <w:color w:val="auto"/>
              </w:rPr>
            </w:pPr>
          </w:p>
        </w:tc>
        <w:tc>
          <w:tcPr>
            <w:tcW w:w="3000" w:type="dxa"/>
            <w:vAlign w:val="bottom"/>
          </w:tcPr>
          <w:p>
            <w:pPr>
              <w:jc w:val="right"/>
              <w:ind w:right="19"/>
              <w:spacing w:after="0"/>
              <w:rPr>
                <w:sz w:val="20"/>
                <w:szCs w:val="20"/>
                <w:color w:val="auto"/>
              </w:rPr>
            </w:pPr>
            <w:r>
              <w:rPr>
                <w:rFonts w:ascii="Arial" w:cs="Arial" w:eastAsia="Arial" w:hAnsi="Arial"/>
                <w:sz w:val="16"/>
                <w:szCs w:val="16"/>
                <w:color w:val="auto"/>
              </w:rPr>
              <w:t>20,110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Units</w:t>
            </w:r>
          </w:p>
        </w:tc>
        <w:tc>
          <w:tcPr>
            <w:tcW w:w="46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68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3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6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3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20,464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the year ended December 31, 2014, the Company recorded stock-based compensation expense related to restricted shares and common units of $1,137 and $128, respectively.</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current and deferred components of the income tax expense included in the Consolidated Statements of Operations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2013</w:t>
            </w:r>
          </w:p>
        </w:tc>
      </w:tr>
      <w:tr>
        <w:trPr>
          <w:trHeight w:val="33"/>
        </w:trPr>
        <w:tc>
          <w:tcPr>
            <w:tcW w:w="55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Federal</w:t>
            </w: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2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Foreign</w:t>
            </w:r>
          </w:p>
        </w:tc>
        <w:tc>
          <w:tcPr>
            <w:tcW w:w="128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318"/>
        </w:trPr>
        <w:tc>
          <w:tcPr>
            <w:tcW w:w="55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Federal</w:t>
            </w:r>
          </w:p>
        </w:tc>
        <w:tc>
          <w:tcPr>
            <w:tcW w:w="1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Foreign</w:t>
            </w:r>
          </w:p>
        </w:tc>
        <w:tc>
          <w:tcPr>
            <w:tcW w:w="128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 (benefit)</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318"/>
        </w:trPr>
        <w:tc>
          <w:tcPr>
            <w:tcW w:w="55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difference between the Company's reported provision for income taxes and the U.S. federal statutory rate of 35%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37465</wp:posOffset>
            </wp:positionV>
            <wp:extent cx="4081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gridSpan w:val="2"/>
          </w:tcPr>
          <w:p>
            <w:pPr>
              <w:ind w:left="5820"/>
              <w:spacing w:after="0"/>
              <w:rPr>
                <w:sz w:val="20"/>
                <w:szCs w:val="20"/>
                <w:color w:val="auto"/>
              </w:rPr>
            </w:pPr>
            <w:r>
              <w:rPr>
                <w:rFonts w:ascii="Arial" w:cs="Arial" w:eastAsia="Arial" w:hAnsi="Arial"/>
                <w:sz w:val="16"/>
                <w:szCs w:val="16"/>
                <w:b w:val="1"/>
                <w:bCs w:val="1"/>
                <w:color w:val="auto"/>
              </w:rPr>
              <w:t>2015</w:t>
            </w:r>
          </w:p>
        </w:tc>
        <w:tc>
          <w:tcPr>
            <w:tcW w:w="2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right"/>
              <w:ind w:right="759"/>
              <w:spacing w:after="0"/>
              <w:rPr>
                <w:sz w:val="20"/>
                <w:szCs w:val="20"/>
                <w:color w:val="auto"/>
              </w:rPr>
            </w:pPr>
            <w:r>
              <w:rPr>
                <w:rFonts w:ascii="Arial" w:cs="Arial" w:eastAsia="Arial" w:hAnsi="Arial"/>
                <w:sz w:val="16"/>
                <w:szCs w:val="16"/>
                <w:b w:val="1"/>
                <w:bCs w:val="1"/>
                <w:color w:val="auto"/>
              </w:rPr>
              <w:t>2013</w:t>
            </w:r>
          </w:p>
        </w:tc>
      </w:tr>
      <w:tr>
        <w:trPr>
          <w:trHeight w:val="33"/>
        </w:trPr>
        <w:tc>
          <w:tcPr>
            <w:tcW w:w="50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tax at statutory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Income not subject to tax</w:t>
            </w:r>
          </w:p>
        </w:tc>
        <w:tc>
          <w:tcPr>
            <w:tcW w:w="700" w:type="dxa"/>
            <w:vAlign w:val="bottom"/>
          </w:tcPr>
          <w:p>
            <w:pPr>
              <w:jc w:val="right"/>
              <w:spacing w:after="0"/>
              <w:rPr>
                <w:sz w:val="20"/>
                <w:szCs w:val="20"/>
                <w:color w:val="auto"/>
              </w:rPr>
            </w:pPr>
            <w:r>
              <w:rPr>
                <w:rFonts w:ascii="Arial" w:cs="Arial" w:eastAsia="Arial" w:hAnsi="Arial"/>
                <w:sz w:val="16"/>
                <w:szCs w:val="16"/>
                <w:color w:val="auto"/>
              </w:rPr>
              <w:t>25.2 %</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(241.2)%</w:t>
            </w: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5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State and local taxes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Foreign taxes</w:t>
            </w: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200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Change in valuation allowance</w:t>
            </w:r>
          </w:p>
        </w:tc>
        <w:tc>
          <w:tcPr>
            <w:tcW w:w="700" w:type="dxa"/>
            <w:vAlign w:val="bottom"/>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228.8 %</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40"/>
              <w:spacing w:after="0"/>
              <w:rPr>
                <w:sz w:val="20"/>
                <w:szCs w:val="20"/>
                <w:color w:val="auto"/>
              </w:rPr>
            </w:pPr>
            <w:r>
              <w:rPr>
                <w:rFonts w:ascii="Arial" w:cs="Arial" w:eastAsia="Arial" w:hAnsi="Arial"/>
                <w:sz w:val="16"/>
                <w:szCs w:val="16"/>
                <w:color w:val="auto"/>
              </w:rPr>
              <w:t>Net operating loss carryforwards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5"/>
              <w:spacing w:after="0"/>
              <w:rPr>
                <w:sz w:val="20"/>
                <w:szCs w:val="20"/>
                <w:color w:val="auto"/>
              </w:rPr>
            </w:pPr>
            <w:r>
              <w:rPr>
                <w:rFonts w:ascii="Arial" w:cs="Arial" w:eastAsia="Arial" w:hAnsi="Arial"/>
                <w:sz w:val="16"/>
                <w:szCs w:val="16"/>
                <w:color w:val="auto"/>
              </w:rPr>
              <w:t>24,234</w:t>
            </w:r>
          </w:p>
        </w:tc>
        <w:tc>
          <w:tcPr>
            <w:tcW w:w="2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5"/>
              <w:spacing w:after="0"/>
              <w:rPr>
                <w:sz w:val="20"/>
                <w:szCs w:val="20"/>
                <w:color w:val="auto"/>
              </w:rPr>
            </w:pPr>
            <w:r>
              <w:rPr>
                <w:rFonts w:ascii="Arial" w:cs="Arial" w:eastAsia="Arial" w:hAnsi="Arial"/>
                <w:sz w:val="16"/>
                <w:szCs w:val="16"/>
                <w:color w:val="auto"/>
              </w:rPr>
              <w:t>6,144</w:t>
            </w:r>
          </w:p>
        </w:tc>
      </w:tr>
      <w:tr>
        <w:trPr>
          <w:trHeight w:val="33"/>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1,934</w:t>
            </w:r>
          </w:p>
        </w:tc>
      </w:tr>
      <w:tr>
        <w:trPr>
          <w:trHeight w:val="243"/>
        </w:trPr>
        <w:tc>
          <w:tcPr>
            <w:tcW w:w="75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4,038</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1,033</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2,712</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w:t>
            </w:r>
          </w:p>
        </w:tc>
      </w:tr>
      <w:tr>
        <w:trPr>
          <w:trHeight w:val="237"/>
        </w:trPr>
        <w:tc>
          <w:tcPr>
            <w:tcW w:w="7540" w:type="dxa"/>
            <w:vAlign w:val="bottom"/>
          </w:tcPr>
          <w:p>
            <w:pPr>
              <w:ind w:left="440"/>
              <w:spacing w:after="0"/>
              <w:rPr>
                <w:sz w:val="20"/>
                <w:szCs w:val="20"/>
                <w:color w:val="auto"/>
              </w:rPr>
            </w:pPr>
            <w:r>
              <w:rPr>
                <w:rFonts w:ascii="Arial" w:cs="Arial" w:eastAsia="Arial" w:hAnsi="Arial"/>
                <w:sz w:val="16"/>
                <w:szCs w:val="16"/>
                <w:color w:val="auto"/>
              </w:rPr>
              <w:t>Total deferred tax assets</w:t>
            </w:r>
          </w:p>
        </w:tc>
        <w:tc>
          <w:tcPr>
            <w:tcW w:w="1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32,751</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9,562</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Less valuation allowance</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(24,786)</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(8,675)</w:t>
            </w:r>
          </w:p>
        </w:tc>
      </w:tr>
      <w:tr>
        <w:trPr>
          <w:trHeight w:val="217"/>
        </w:trPr>
        <w:tc>
          <w:tcPr>
            <w:tcW w:w="7540" w:type="dxa"/>
            <w:vAlign w:val="bottom"/>
          </w:tcPr>
          <w:p>
            <w:pPr>
              <w:ind w:left="440"/>
              <w:spacing w:after="0"/>
              <w:rPr>
                <w:sz w:val="20"/>
                <w:szCs w:val="20"/>
                <w:color w:val="auto"/>
              </w:rPr>
            </w:pPr>
            <w:r>
              <w:rPr>
                <w:rFonts w:ascii="Arial" w:cs="Arial" w:eastAsia="Arial" w:hAnsi="Arial"/>
                <w:sz w:val="16"/>
                <w:szCs w:val="16"/>
                <w:color w:val="auto"/>
              </w:rPr>
              <w:t>Net deferred tax assets</w:t>
            </w:r>
          </w:p>
        </w:tc>
        <w:tc>
          <w:tcPr>
            <w:tcW w:w="1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6"/>
                <w:szCs w:val="16"/>
                <w:color w:val="auto"/>
              </w:rPr>
              <w:t>7,965</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887</w:t>
            </w:r>
          </w:p>
        </w:tc>
      </w:tr>
      <w:tr>
        <w:trPr>
          <w:trHeight w:val="33"/>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40"/>
              <w:spacing w:after="0"/>
              <w:rPr>
                <w:sz w:val="20"/>
                <w:szCs w:val="20"/>
                <w:color w:val="auto"/>
              </w:rPr>
            </w:pPr>
            <w:r>
              <w:rPr>
                <w:rFonts w:ascii="Arial" w:cs="Arial" w:eastAsia="Arial" w:hAnsi="Arial"/>
                <w:sz w:val="16"/>
                <w:szCs w:val="16"/>
                <w:color w:val="auto"/>
              </w:rPr>
              <w:t>Fixed assets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5"/>
              <w:spacing w:after="0"/>
              <w:rPr>
                <w:sz w:val="20"/>
                <w:szCs w:val="20"/>
                <w:color w:val="auto"/>
              </w:rPr>
            </w:pPr>
            <w:r>
              <w:rPr>
                <w:rFonts w:ascii="Arial" w:cs="Arial" w:eastAsia="Arial" w:hAnsi="Arial"/>
                <w:sz w:val="16"/>
                <w:szCs w:val="16"/>
                <w:color w:val="auto"/>
              </w:rPr>
              <w:t>8,357</w:t>
            </w:r>
          </w:p>
        </w:tc>
        <w:tc>
          <w:tcPr>
            <w:tcW w:w="2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5"/>
              <w:spacing w:after="0"/>
              <w:rPr>
                <w:sz w:val="20"/>
                <w:szCs w:val="20"/>
                <w:color w:val="auto"/>
              </w:rPr>
            </w:pPr>
            <w:r>
              <w:rPr>
                <w:rFonts w:ascii="Arial" w:cs="Arial" w:eastAsia="Arial" w:hAnsi="Arial"/>
                <w:sz w:val="16"/>
                <w:szCs w:val="16"/>
                <w:color w:val="auto"/>
              </w:rPr>
              <w:t>1,046</w:t>
            </w:r>
          </w:p>
        </w:tc>
      </w:tr>
      <w:tr>
        <w:trPr>
          <w:trHeight w:val="33"/>
        </w:trPr>
        <w:tc>
          <w:tcPr>
            <w:tcW w:w="7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liabilities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Current and deferred tax assets and liabilities are reported in other assets and other liabilities, respectively, in the Consolidated Balance Sheet.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has analyzed its deferred tax assets and has determined, based on the weight of available evidence, that it is more likely than not that a significant portion will not be realized. Accordingly, valuation allowances have been recognized as of December 31, 2015 and December 31, 2014 of approximately $24,786 and $8,675, respectively, related to certain deductible temporary differences and net operating loss carryforwards.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the valuation allowance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 at beginning of period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8,675</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40"/>
              <w:spacing w:after="0"/>
              <w:rPr>
                <w:sz w:val="20"/>
                <w:szCs w:val="20"/>
                <w:color w:val="auto"/>
              </w:rPr>
            </w:pPr>
            <w:r>
              <w:rPr>
                <w:rFonts w:ascii="Arial" w:cs="Arial" w:eastAsia="Arial" w:hAnsi="Arial"/>
                <w:sz w:val="16"/>
                <w:szCs w:val="16"/>
                <w:color w:val="auto"/>
              </w:rPr>
              <w:t>Increase to valuation allowance attributable to:</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Current year loss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16,111</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8,675</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 at end of period</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24,786</w:t>
            </w:r>
          </w:p>
        </w:tc>
        <w:tc>
          <w:tcPr>
            <w:tcW w:w="2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8,675</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December 31, 2015 and 2014, certain corporate subsidiaries of the Company had U.S. federal net operating loss carryforwards of approximately $62,014 and $13,000, respectively, and $60,646 and $12,300, respectively, of various state and local net operating loss carryforwards that are available to offset future taxable income, if and when it arises. These net operating loss carryforwards begin to expire in the year 2034. As of December 31, 2015 and 2014, the Company also had net operating loss carryforwards for Canadian federal and provincial income taxes of $6,672 and $4,000, respectively, which will begin to expire in the year 2034. As of December 31, 2015, the Company also had net operating loss carryforwards for Irish income tax purposes of $900, which can be carried forward indefinitely against future business income. The utilization of the net operating loss carryforwards to reduce future income taxes will depend on the corporate subsidiaries’ ability to generate sufficient taxable income prior to the expiration of the carryforward period. In addition,</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1" w:right="2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maximum annual use of net operating loss carryforwards may be limited in certain situations after changes in stock ownership occur.</w:t>
      </w:r>
    </w:p>
    <w:p>
      <w:pPr>
        <w:spacing w:after="0" w:line="1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and for the years ended December 31, 2015 and 2014, the Company had not established a liability for uncertain tax positions as no such positions existed. In general, the Company’s tax returns and the tax returns of its corporate subsidiaries are subject to U.S. federal, state and local and foreign income tax examinations by tax authorities. Generally, the Company is not subject to examination by taxing authorities for tax years prior to 2012. The Company does not believe that it is reasonably possible that the total amount of unrecognized tax benefits will significantly change within 12 months of the reporting date.</w:t>
      </w:r>
    </w:p>
    <w:p>
      <w:pPr>
        <w:spacing w:after="0" w:line="40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IPO, the Company entered into a new management agreement with the Manager, (the “Management Agreement”) which replaced its then-existing management agreement as a private fund. The terms of each arrangement, pre-IPO and post-IPO, are described below.</w:t>
      </w:r>
    </w:p>
    <w:p>
      <w:pPr>
        <w:spacing w:after="0" w:line="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pacing w:after="0" w:line="11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During the years ended December 31, 2015, 2014, and 2013, pre-IPO management fees were $3,873, $5,463, and $2,211, respectively.</w:t>
      </w:r>
    </w:p>
    <w:p>
      <w:pPr>
        <w:spacing w:after="0" w:line="70"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affiliates of the Manager were entitled to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 No expenses were reimbursed to the Manager or its affiliates for any period prior to the IPO.</w:t>
      </w:r>
    </w:p>
    <w:p>
      <w:pPr>
        <w:spacing w:after="0" w:line="78"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Prior to the IPO, the Master GP was entitled to an incentive return (the “Incentive Return”) generally equal to 10% of the Partnership’s profits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188"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Incentive Return was distributable to the Master GP from Distributable Proceeds of the Partnership (as defined) as they were distributed. Accordingly, an Incentive Return would have been paid to the Master GP in connection with a particular investment if and when such investment generated proceeds in excess of the capital called with respect to such investment, plus an 8% cumulative preferred return on such investment and on all previously liquidated investments. If, upon the termination of the Partnership, the aggregate amount paid to the Master GP as Incentive Return exceeded the amount actually due after taking into account the aggregate return to the Onshore Fund and the Offshore Fund investors, the excess was required to be returned by the Master GP (“clawed back”, after adjusting for tax in accordance with the Company agreements) to the Company for benefit of the Fund Investors.</w:t>
      </w:r>
    </w:p>
    <w:p>
      <w:pPr>
        <w:spacing w:after="0" w:line="18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consummation of the IPO, the Master GP contributed its rights to previously undistributed incentive return pursuant to the Partnership Agreement in exchange for limited partnership interests in each of the Onshore Fund and Offshore Fund equal to the amount of any such undistributed incentive returns.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years ended December 31, 2015, 2014, and 2013, the Master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GP did not incur any amounts payable to these employees under such profit sharing arrangements attributable to the operations of the Company.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Post-IPO Management Agreement</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year ended December 31, 2015 was $11,145.</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7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 2.2223% for such quarter; and (3) 10.0% of the amount of pre-incentive allocation net income, if any, that exceeds 2.2223% for such quarter. These calculations will be prorated for any period of less than three months. No Income Incentive Allocation was due to the Master GP for the year ended December 31, 2015.</w:t>
      </w:r>
    </w:p>
    <w:p>
      <w:pPr>
        <w:spacing w:after="0" w:line="19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year ended December 31, 2015.</w:t>
      </w:r>
    </w:p>
    <w:p>
      <w:pPr>
        <w:spacing w:after="0" w:line="188"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8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year ended December 31, 2015, expense reimbursement of $4,119 was recorded in General and Administrative and $2,181 was recorded in Acquisition and Transaction expenses in the Consolidated Statements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5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84"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As of December 31, 2015 and December 31, 2014, amounts receivable from the Manager or its affiliates of $0 and $335, respectively, are included within other assets on the Consolidated Balance Sheets. As of December 31, 2015 and December 31, 2014, amounts due to the Manager or its affiliates of $994 and $160, respectively, excluding accrued management fees, are included within other liabilities on the Consolidated Balance Sheets. As of December 31, 2015 and December 31, 2014, amounts due to the Manager or its affiliates of $1,506 and $3,626, respectively, related to accrued management fees, are included within accounts payable and accrued liabilities on the Consolidated Balance Sheets.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Affiliate Transactions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December 31, 2015 and December 31, 2014, a private equity fund sponsored by Fortress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2015 and December 31, 2014 was $71,321 and $54,273. For the year ending December 31, 2015 and December 31, 2014, the amount of this non-controlling interest share of net loss was $(7,950) and $(3,068), respectively.</w:t>
      </w:r>
    </w:p>
    <w:p>
      <w:pPr>
        <w:spacing w:after="0" w:line="8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December 31, 2015 and December 31, 2014, accounts payable due to this vendor was $4,708 and $14,025, respectively.</w:t>
      </w:r>
    </w:p>
    <w:p>
      <w:pPr>
        <w:spacing w:after="0" w:line="16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 of investments in shipping containers and related equipment subject to operating leases and finance leases and also includes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89"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With the CMQR and Jefferson Terminal acquisitions during 2014, the Company created two new reporting segments, Jefferson Terminal and Railroad. The Chief Operating Decision Maker (“CODM”) also implemented Adjusted Net Income as the key performance measure during the same period. This segment structure and performance measure reflects the current management of the businesses and provides the CODM with the information necessary to assess operational performance as well as make resource and allocation decisions.</w:t>
      </w:r>
    </w:p>
    <w:p>
      <w:pPr>
        <w:spacing w:after="0" w:line="6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 the impact of intercompany eliminations.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evaluates investment performance for each reportable segment primarily based on Net Income attributable to shareholders and Adjusted Net Income.</w:t>
      </w:r>
    </w:p>
    <w:p>
      <w:pPr>
        <w:spacing w:after="0" w:line="14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Year Ended December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61,330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92,743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161,681</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(28,631)</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(16,805)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37,336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Equity in (losses) earnings of unconsolidated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10,969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35,079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61,330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136,568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Year Ended December 31,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20,958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43,984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57,930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68,013</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11,366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3,792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 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7,818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7,818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13,672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20,958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9,969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Year Ended December 31, 2013</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 2013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ind w:left="380"/>
              <w:spacing w:after="0"/>
              <w:rPr>
                <w:sz w:val="20"/>
                <w:szCs w:val="20"/>
                <w:color w:val="auto"/>
              </w:rPr>
            </w:pPr>
            <w:r>
              <w:rPr>
                <w:rFonts w:ascii="Arial" w:cs="Arial" w:eastAsia="Arial" w:hAnsi="Arial"/>
                <w:sz w:val="16"/>
                <w:szCs w:val="16"/>
                <w:b w:val="1"/>
                <w:bCs w:val="1"/>
                <w:color w:val="auto"/>
              </w:rPr>
              <w:t>Infrastructure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7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Equipment leasing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6,645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7,621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19,530</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Infrastructure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19,530</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and transaction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w w:val="96"/>
              </w:rPr>
              <w:t>Management fees and incentive allocation to affiliate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13,158</w:t>
            </w:r>
          </w:p>
        </w:tc>
        <w:tc>
          <w:tcPr>
            <w:tcW w:w="0" w:type="dxa"/>
            <w:vAlign w:val="bottom"/>
          </w:tcPr>
          <w:p>
            <w:pPr>
              <w:spacing w:after="0"/>
              <w:rPr>
                <w:sz w:val="1"/>
                <w:szCs w:val="1"/>
                <w:color w:val="auto"/>
              </w:rPr>
            </w:pPr>
          </w:p>
        </w:tc>
      </w:tr>
      <w:tr>
        <w:trPr>
          <w:trHeight w:val="318"/>
        </w:trPr>
        <w:tc>
          <w:tcPr>
            <w:tcW w:w="3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Equity in earnings of unconsolidated entities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equipment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Gain on sale of unconsolidated entity</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6,144</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Arial" w:cs="Arial" w:eastAsia="Arial" w:hAnsi="Arial"/>
                <w:sz w:val="16"/>
                <w:szCs w:val="16"/>
                <w:color w:val="auto"/>
              </w:rPr>
              <w:t>Total other income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18,907</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25,279</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25,279</w:t>
            </w:r>
          </w:p>
        </w:tc>
        <w:tc>
          <w:tcPr>
            <w:tcW w:w="0" w:type="dxa"/>
            <w:vAlign w:val="bottom"/>
          </w:tcPr>
          <w:p>
            <w:pPr>
              <w:spacing w:after="0"/>
              <w:rPr>
                <w:sz w:val="1"/>
                <w:szCs w:val="1"/>
                <w:color w:val="auto"/>
              </w:rPr>
            </w:pPr>
          </w:p>
        </w:tc>
      </w:tr>
      <w:tr>
        <w:trPr>
          <w:trHeight w:val="200"/>
        </w:trPr>
        <w:tc>
          <w:tcPr>
            <w:tcW w:w="364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20"/>
              <w:spacing w:after="0"/>
              <w:rPr>
                <w:sz w:val="20"/>
                <w:szCs w:val="20"/>
                <w:color w:val="auto"/>
              </w:rPr>
            </w:pPr>
            <w:r>
              <w:rPr>
                <w:rFonts w:ascii="Arial" w:cs="Arial" w:eastAsia="Arial" w:hAnsi="Arial"/>
                <w:sz w:val="16"/>
                <w:szCs w:val="16"/>
                <w:color w:val="auto"/>
              </w:rPr>
              <w:t>interests in consolidated subsidiaries</w:t>
            </w: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24,821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1"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 2013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Equipment Leasing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Aviation Leasing</w:t>
            </w:r>
          </w:p>
        </w:tc>
        <w:tc>
          <w:tcPr>
            <w:tcW w:w="140" w:type="dxa"/>
            <w:vAlign w:val="bottom"/>
          </w:tcPr>
          <w:p>
            <w:pPr>
              <w:spacing w:after="0"/>
              <w:rPr>
                <w:sz w:val="18"/>
                <w:szCs w:val="18"/>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Offshore Energy</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Shipping</w:t>
            </w:r>
          </w:p>
        </w:tc>
        <w:tc>
          <w:tcPr>
            <w:tcW w:w="280" w:type="dxa"/>
            <w:vAlign w:val="bottom"/>
          </w:tcPr>
          <w:p>
            <w:pPr>
              <w:spacing w:after="0"/>
              <w:rPr>
                <w:sz w:val="18"/>
                <w:szCs w:val="18"/>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8"/>
                <w:szCs w:val="18"/>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Containers</w:t>
            </w:r>
          </w:p>
        </w:tc>
        <w:tc>
          <w:tcPr>
            <w:tcW w:w="2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25,081</w:t>
            </w:r>
          </w:p>
        </w:tc>
        <w:tc>
          <w:tcPr>
            <w:tcW w:w="0" w:type="dxa"/>
            <w:vAlign w:val="bottom"/>
          </w:tcPr>
          <w:p>
            <w:pPr>
              <w:spacing w:after="0"/>
              <w:rPr>
                <w:sz w:val="1"/>
                <w:szCs w:val="1"/>
                <w:color w:val="auto"/>
              </w:rPr>
            </w:pPr>
          </w:p>
        </w:tc>
      </w:tr>
      <w:tr>
        <w:trPr>
          <w:trHeight w:val="200"/>
        </w:trPr>
        <w:tc>
          <w:tcPr>
            <w:tcW w:w="3540" w:type="dxa"/>
            <w:vAlign w:val="bottom"/>
          </w:tcPr>
          <w:p>
            <w:pPr>
              <w:ind w:left="20"/>
              <w:spacing w:after="0"/>
              <w:rPr>
                <w:sz w:val="20"/>
                <w:szCs w:val="20"/>
                <w:color w:val="auto"/>
              </w:rPr>
            </w:pPr>
            <w:r>
              <w:rPr>
                <w:rFonts w:ascii="Arial" w:cs="Arial" w:eastAsia="Arial" w:hAnsi="Arial"/>
                <w:sz w:val="16"/>
                <w:szCs w:val="16"/>
                <w:color w:val="auto"/>
              </w:rPr>
              <w:t>Add: Non-controlling share of adjustments to</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Equity in earnings of unconsolidated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Add: Cash payments for income taxes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Incentive allocations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20"/>
              <w:spacing w:after="0"/>
              <w:rPr>
                <w:sz w:val="20"/>
                <w:szCs w:val="20"/>
                <w:color w:val="auto"/>
              </w:rPr>
            </w:pPr>
            <w:r>
              <w:rPr>
                <w:rFonts w:ascii="Arial" w:cs="Arial" w:eastAsia="Arial" w:hAnsi="Arial"/>
                <w:sz w:val="16"/>
                <w:szCs w:val="16"/>
                <w:color w:val="auto"/>
                <w:w w:val="99"/>
              </w:rPr>
              <w:t>Less: Pro-rata share of Adjusted Net Income from</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0"/>
              <w:spacing w:after="0"/>
              <w:rPr>
                <w:sz w:val="20"/>
                <w:szCs w:val="20"/>
                <w:color w:val="auto"/>
              </w:rPr>
            </w:pPr>
            <w:r>
              <w:rPr>
                <w:rFonts w:ascii="Arial" w:cs="Arial" w:eastAsia="Arial" w:hAnsi="Arial"/>
                <w:sz w:val="16"/>
                <w:szCs w:val="16"/>
                <w:color w:val="auto"/>
              </w:rPr>
              <w:t>investments in unconsolidated entities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Asset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20"/>
              <w:spacing w:after="0"/>
              <w:rPr>
                <w:sz w:val="20"/>
                <w:szCs w:val="20"/>
                <w:color w:val="auto"/>
              </w:rPr>
            </w:pPr>
            <w:r>
              <w:rPr>
                <w:rFonts w:ascii="Arial" w:cs="Arial" w:eastAsia="Arial" w:hAnsi="Arial"/>
                <w:sz w:val="16"/>
                <w:szCs w:val="16"/>
                <w:color w:val="auto"/>
                <w:w w:val="95"/>
              </w:rPr>
              <w:t>Less: Changes in fair value of non-hedge derivative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0"/>
              <w:spacing w:after="0"/>
              <w:rPr>
                <w:sz w:val="20"/>
                <w:szCs w:val="20"/>
                <w:color w:val="auto"/>
              </w:rPr>
            </w:pPr>
            <w:r>
              <w:rPr>
                <w:rFonts w:ascii="Arial" w:cs="Arial" w:eastAsia="Arial" w:hAnsi="Arial"/>
                <w:sz w:val="16"/>
                <w:szCs w:val="16"/>
                <w:color w:val="auto"/>
              </w:rPr>
              <w:t>instruments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Less: Losses on the modification or extinguishment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debt and capital lease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Less: Acquisition and transaction expenses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Equity-based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Less: Provision for income taxes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 2013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ind w:left="380"/>
              <w:spacing w:after="0"/>
              <w:rPr>
                <w:sz w:val="20"/>
                <w:szCs w:val="20"/>
                <w:color w:val="auto"/>
              </w:rPr>
            </w:pPr>
            <w:r>
              <w:rPr>
                <w:rFonts w:ascii="Arial" w:cs="Arial" w:eastAsia="Arial" w:hAnsi="Arial"/>
                <w:sz w:val="16"/>
                <w:szCs w:val="16"/>
                <w:b w:val="1"/>
                <w:bCs w:val="1"/>
                <w:color w:val="auto"/>
              </w:rPr>
              <w:t>Infrastructure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7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Africa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13,381</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44"/>
        </w:trPr>
        <w:tc>
          <w:tcPr>
            <w:tcW w:w="36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19,530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121"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net and leasing equipment, net as of December 31, 2015 and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ind w:left="700"/>
              <w:spacing w:after="0"/>
              <w:rPr>
                <w:sz w:val="20"/>
                <w:szCs w:val="20"/>
                <w:color w:val="auto"/>
              </w:rPr>
            </w:pPr>
            <w:r>
              <w:rPr>
                <w:rFonts w:ascii="Arial" w:cs="Arial" w:eastAsia="Arial" w:hAnsi="Arial"/>
                <w:sz w:val="16"/>
                <w:szCs w:val="16"/>
                <w:b w:val="1"/>
                <w:bCs w:val="1"/>
                <w:color w:val="auto"/>
                <w:w w:val="98"/>
              </w:rPr>
              <w:t>December 31,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88"/>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7"/>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214,811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86,237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486,522</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34,411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1,649,641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69,540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46,099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146,011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271,057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162,746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358,955</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Non-controlling interests in equity of consolidated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113,514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323,776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1,290,686</w:t>
            </w: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214,811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486,522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1,649,641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7"/>
          </w:tcPr>
          <w:p>
            <w:pPr>
              <w:ind w:left="760"/>
              <w:spacing w:after="0"/>
              <w:rPr>
                <w:sz w:val="20"/>
                <w:szCs w:val="20"/>
                <w:color w:val="auto"/>
              </w:rPr>
            </w:pPr>
            <w:r>
              <w:rPr>
                <w:rFonts w:ascii="Arial" w:cs="Arial" w:eastAsia="Arial" w:hAnsi="Arial"/>
                <w:sz w:val="16"/>
                <w:szCs w:val="16"/>
                <w:b w:val="1"/>
                <w:bCs w:val="1"/>
                <w:color w:val="auto"/>
                <w:w w:val="94"/>
              </w:rPr>
              <w:t>December 31,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6"/>
          </w:tcPr>
          <w:p>
            <w:pPr>
              <w:ind w:left="40"/>
              <w:spacing w:after="0"/>
              <w:rPr>
                <w:sz w:val="20"/>
                <w:szCs w:val="20"/>
                <w:color w:val="auto"/>
              </w:rPr>
            </w:pPr>
            <w:r>
              <w:rPr>
                <w:rFonts w:ascii="Arial" w:cs="Arial" w:eastAsia="Arial" w:hAnsi="Arial"/>
                <w:sz w:val="16"/>
                <w:szCs w:val="16"/>
                <w:b w:val="1"/>
                <w:bCs w:val="1"/>
                <w:color w:val="auto"/>
                <w:w w:val="92"/>
              </w:rPr>
              <w:t>Equipment Leasing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48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3"/>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Africa</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56,927</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56,927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228,502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135,442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266,074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317,766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24,692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380,408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and leasing</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419,321</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174,580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317,766</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24,692</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936,359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ind w:left="840"/>
              <w:spacing w:after="0"/>
              <w:rPr>
                <w:sz w:val="20"/>
                <w:szCs w:val="20"/>
                <w:color w:val="auto"/>
              </w:rPr>
            </w:pPr>
            <w:r>
              <w:rPr>
                <w:rFonts w:ascii="Arial" w:cs="Arial" w:eastAsia="Arial" w:hAnsi="Arial"/>
                <w:sz w:val="16"/>
                <w:szCs w:val="16"/>
                <w:b w:val="1"/>
                <w:bCs w:val="1"/>
                <w:color w:val="auto"/>
                <w:w w:val="95"/>
              </w:rPr>
              <w:t>December 31, 2014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6"/>
                <w:szCs w:val="16"/>
                <w:b w:val="1"/>
                <w:bCs w:val="1"/>
                <w:color w:val="auto"/>
              </w:rPr>
              <w:t>Infrastructure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20" w:type="dxa"/>
            <w:vAlign w:val="bottom"/>
          </w:tcPr>
          <w:p>
            <w:pPr>
              <w:spacing w:after="0"/>
              <w:rPr>
                <w:sz w:val="18"/>
                <w:szCs w:val="1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1,404,740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691,243</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99,065</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258,675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713,497</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1,404,740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720"/>
              <w:spacing w:after="0"/>
              <w:rPr>
                <w:sz w:val="20"/>
                <w:szCs w:val="20"/>
                <w:color w:val="auto"/>
              </w:rPr>
            </w:pPr>
            <w:r>
              <w:rPr>
                <w:rFonts w:ascii="Arial" w:cs="Arial" w:eastAsia="Arial" w:hAnsi="Arial"/>
                <w:sz w:val="16"/>
                <w:szCs w:val="16"/>
                <w:b w:val="1"/>
                <w:bCs w:val="1"/>
                <w:color w:val="auto"/>
              </w:rPr>
              <w:t>December 31, 2014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47,945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47,945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105,762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243,743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178,618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251,407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736,760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(loss) earnings per share (“EPS”) is calculated by dividing net (loss) income attributable to the Company by the weighted average number of shares of common stock outstanding. Diluted EPS is calculated by dividing net (loss) income attributable to the Company by the weighted average number of shares of common stock outstanding, plus potentially dilutive securities. Potentially dilutive securities are calculated using the treasury stock method.</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an IPO on May 20, 2015 in which the Initial Shareholders, immediately prior to the consummation of the IPO, received shares in proportion to their respective ownership percentages. As a result, the Company has retrospectively presented the shares outstanding for all prior periods presented.</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 (in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80" w:type="dxa"/>
            <w:vAlign w:val="bottom"/>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7"/>
        </w:trPr>
        <w:tc>
          <w:tcPr>
            <w:tcW w:w="55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31"/>
        </w:trPr>
        <w:tc>
          <w:tcPr>
            <w:tcW w:w="5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79"/>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5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Shareholders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24,821</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4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67,039,439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53,502,873</w:t>
            </w:r>
          </w:p>
        </w:tc>
      </w:tr>
      <w:tr>
        <w:trPr>
          <w:trHeight w:val="33"/>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67,039,439</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r>
      <w:tr>
        <w:trPr>
          <w:trHeight w:val="324"/>
        </w:trPr>
        <w:tc>
          <w:tcPr>
            <w:tcW w:w="5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r>
      <w:tr>
        <w:trPr>
          <w:trHeight w:val="33"/>
        </w:trPr>
        <w:tc>
          <w:tcPr>
            <w:tcW w:w="5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1"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2015, 1,507 shares have been excluded from the calculation of Diluted EPS because the impact would be anti-dilutive.</w:t>
      </w:r>
    </w:p>
    <w:p>
      <w:pPr>
        <w:spacing w:after="0" w:line="244"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a lessee has asserted that it is entitled to certain reimbursable expenses or adjustments per the terms of the related charter agreement. Although the Company believes it has strong defenses against these claims, the range of potential damages is $0 to $3,978. No amount has been recorded for this matter in the Company's consolidated financial statements as of December 31, 2015,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6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formation of MT6015, a consolidated VIE (Note 2), the joint venture partner is obligated to fund an additional equity contribution of $11,925 and secure a charter for the vessel, at which time the Company would be obligated to contribute additional equity of $11,925.</w:t>
      </w:r>
    </w:p>
    <w:p>
      <w:pPr>
        <w:spacing w:after="0" w:line="7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Two of the Company’s subsidiaries are lessees under various operating and capital leases. Total rent expense for operating leases was $3,717, $1,556, and $0 in years ended December 31, 2015, December 31, 2014, and December 31, 2013, respectively.</w:t>
      </w:r>
    </w:p>
    <w:p>
      <w:pPr>
        <w:spacing w:after="0" w:line="6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minimum future rental payments under these leases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5,853</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5,259</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4,853</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4,176</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76,967</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103,832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QUARTERLY FINANCIAL INFORMATION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unaudited summary information of the Company's quarterly operations.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ind w:left="960"/>
              <w:spacing w:after="0"/>
              <w:rPr>
                <w:sz w:val="20"/>
                <w:szCs w:val="20"/>
                <w:color w:val="auto"/>
              </w:rPr>
            </w:pPr>
            <w:r>
              <w:rPr>
                <w:rFonts w:ascii="Arial" w:cs="Arial" w:eastAsia="Arial" w:hAnsi="Arial"/>
                <w:sz w:val="16"/>
                <w:szCs w:val="16"/>
                <w:b w:val="1"/>
                <w:bCs w:val="1"/>
                <w:color w:val="auto"/>
              </w:rPr>
              <w:t>Quarter Ended</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Year Ended</w:t>
            </w:r>
          </w:p>
        </w:tc>
      </w:tr>
      <w:tr>
        <w:trPr>
          <w:trHeight w:val="223"/>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5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62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96"/>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revenues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33,973</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33,564</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35,233</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33,798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136,568</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33,226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40,194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161,681</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other income (expense)</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(7,664)</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(2,932)</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(28,045)</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(28,631)</w:t>
            </w:r>
          </w:p>
        </w:tc>
      </w:tr>
      <w:tr>
        <w:trPr>
          <w:trHeight w:val="220"/>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Net loss attributable to non-controlling interests in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consolidated subsidiaries</w:t>
            </w:r>
          </w:p>
        </w:tc>
        <w:tc>
          <w:tcPr>
            <w:tcW w:w="138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(16,805)</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shareholders</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Basic</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Weighted Average Shares Outstanding:</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62,879,023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75,718,183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75,718,183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67,039,439</w:t>
            </w:r>
          </w:p>
        </w:tc>
      </w:tr>
      <w:tr>
        <w:trPr>
          <w:trHeight w:val="237"/>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62,879,023</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75,718,183</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75,718,183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67,039,439</w:t>
            </w:r>
          </w:p>
        </w:tc>
      </w:tr>
      <w:tr>
        <w:trPr>
          <w:trHeight w:val="64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960"/>
              <w:spacing w:after="0"/>
              <w:rPr>
                <w:sz w:val="20"/>
                <w:szCs w:val="20"/>
                <w:color w:val="auto"/>
              </w:rPr>
            </w:pPr>
            <w:r>
              <w:rPr>
                <w:rFonts w:ascii="Arial" w:cs="Arial" w:eastAsia="Arial" w:hAnsi="Arial"/>
                <w:sz w:val="16"/>
                <w:szCs w:val="16"/>
                <w:b w:val="1"/>
                <w:bCs w:val="1"/>
                <w:color w:val="auto"/>
              </w:rPr>
              <w:t>Quarter Ended</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Year Ended</w:t>
            </w:r>
          </w:p>
        </w:tc>
      </w:tr>
      <w:tr>
        <w:trPr>
          <w:trHeight w:val="223"/>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5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62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96"/>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revenues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7,696</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10,735</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16,080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57,930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17,733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68,013</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other income</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3,779</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4,780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13,875</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r>
      <w:tr>
        <w:trPr>
          <w:trHeight w:val="220"/>
        </w:trPr>
        <w:tc>
          <w:tcPr>
            <w:tcW w:w="4000" w:type="dxa"/>
            <w:vAlign w:val="bottom"/>
            <w:gridSpan w:val="3"/>
          </w:tcPr>
          <w:p>
            <w:pPr>
              <w:ind w:left="40"/>
              <w:spacing w:after="0"/>
              <w:rPr>
                <w:sz w:val="20"/>
                <w:szCs w:val="20"/>
                <w:color w:val="auto"/>
              </w:rPr>
            </w:pPr>
            <w:r>
              <w:rPr>
                <w:rFonts w:ascii="Arial" w:cs="Arial" w:eastAsia="Arial" w:hAnsi="Arial"/>
                <w:sz w:val="16"/>
                <w:szCs w:val="16"/>
                <w:color w:val="auto"/>
                <w:w w:val="94"/>
              </w:rPr>
              <w:t>Net income (loss) attributable to non-controlling interests in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consolidated subsidiaries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(4,862)</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shareholders</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Earnings per Share: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Basic</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Weighted Average Shares Outstanding:</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r>
      <w:tr>
        <w:trPr>
          <w:trHeight w:val="237"/>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53,502,873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53,502,873</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On February 16, 2016, the Company terminated its lease arrangement related to its ROV Support Vessel and is currently pursuing a new lessee.</w:t>
      </w:r>
    </w:p>
    <w:p>
      <w:pPr>
        <w:spacing w:after="0" w:line="14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1, 2016, the Company’s Board of Directors declared a cash dividend on its common stock of $0.33 per share for the quarter ended December 31, 2015, payable on March 28, 2016 to the holders of record on March 18, 2016.</w:t>
      </w:r>
    </w:p>
    <w:p>
      <w:pPr>
        <w:spacing w:after="0" w:line="62"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7, 2016, the Port of Beaumont Navigation District of Jefferson County, Texas (the “District”) issued $144.2 million of 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On March 8, 2016, in connection with the issuance and sale of such bonds, Jefferson Gulf Coast Energy Holdings, LLC and its subsidiaries prepaid all amounts outstanding under the Jefferson Terminal Credit Agreement and the Jefferson Terminal Credit Agreement was terminated.</w:t>
      </w:r>
    </w:p>
    <w:p>
      <w:pPr>
        <w:spacing w:after="0" w:line="81"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1" w:right="239" w:bottom="1440" w:gutter="0" w:footer="0" w:header="0"/>
        </w:sectPr>
      </w:pPr>
    </w:p>
    <w:bookmarkStart w:id="136" w:name="page137"/>
    <w:bookmarkEnd w:id="136"/>
    <w:p>
      <w:pPr>
        <w:jc w:val="both"/>
        <w:spacing w:after="0" w:line="272" w:lineRule="auto"/>
        <w:rPr>
          <w:sz w:val="20"/>
          <w:szCs w:val="20"/>
          <w:color w:val="auto"/>
        </w:rPr>
      </w:pPr>
      <w:r>
        <w:rPr>
          <w:rFonts w:ascii="Arial" w:cs="Arial" w:eastAsia="Arial" w:hAnsi="Arial"/>
          <w:sz w:val="17"/>
          <w:szCs w:val="17"/>
          <w:color w:val="auto"/>
        </w:rPr>
        <w:t>The Series 2016 Bonds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 Capital Call Agreement, the Company has agreed to make funds available to Jefferson Holdings in order to satisfy its obligation sunder the Standby Bond Purchase Agreement. The Capital Call Agreement contains certain covenants applicable to the Company, including a negative lien covenant regarding Aviation Assets, as well as maintenance of a minimum total asset value of Aviation Assets and minimum total equity of the Company.</w:t>
      </w:r>
    </w:p>
    <w:p>
      <w:pPr>
        <w:spacing w:after="0" w:line="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9, 2016, the Company consummated the sale of approximately 39,000 shipping containers that were subject to a direct finance lease with a major Asian shipping line. After the payoff of debt securing the containers, the Company received net proceeds of approximately $25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760"/>
          </w:cols>
          <w:pgMar w:left="900" w:top="476"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Intermodal Finance I Ltd: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financial statements of Intermodal Finance I Ltd. and its subsidiaries, which comprise the consolidated balance sheets as of December 31, 2015 and December 31, 2014 and the related consolidated statements of operations, comprehensive (loss) income, members’ equity and cash flows for each of the three years in the period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Intermodal Finance I Ltd. and its subsidiaries as of December 31, 2015 and December 31, 2014 and the results of their operations and their cash flows for each of the three years in the period ended December 31, 2015 in accordance with accounting principles generally accepted in the United States of America.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audit was conducted for the purpose of forming an opinion on the consolidated financial statements taken as a whole. The consolidating information contained in the Other Financial Information section is the responsibility of management and was derived from and relates directly to the underlying accounting and other records used to prepare the consolidated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consolidated financial statements or to the consolidated financial statements themselves and other additional procedures, in accordance with auditing standards generally accepted in the United States of America. In our opinion, the consolidating information is fairly stated, in all material respects, in relation to the consolidated financial statements taken as a whole. The consolidating information is presented for purposes of additional analysis of the consolidated financial statements rather than to present the financial position or results of operations of the individual companies and is not a required part of the consolidated financial statements. Accordingly, we do not express an opinion on the financial position or results of operations of the individual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8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4,796</w:t>
            </w:r>
          </w:p>
        </w:tc>
        <w:tc>
          <w:tcPr>
            <w:tcW w:w="14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5,214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2,320</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1,153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Leasing assets, net of accumulated depreciation of $7,305 and $4,449, respectively</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47,735</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74,045</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Finance Leases, net</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34,261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62,393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costs, net of accumulated amortization of $864 and $602, respectively</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1,524</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91,153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146,555</w:t>
            </w:r>
          </w:p>
        </w:tc>
      </w:tr>
      <w:tr>
        <w:trPr>
          <w:trHeight w:val="250"/>
        </w:trPr>
        <w:tc>
          <w:tcPr>
            <w:tcW w:w="8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 payable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 to affiliates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Term loan payable</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65,564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97,727</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payable to affiliates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18,487</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22,576</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Syndication liabilities</w:t>
            </w:r>
          </w:p>
        </w:tc>
        <w:tc>
          <w:tcPr>
            <w:tcW w:w="100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3,201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5,152</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87,864</w:t>
            </w: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125,995</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20,560</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members’ equity</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91,153</w:t>
            </w:r>
          </w:p>
        </w:tc>
        <w:tc>
          <w:tcPr>
            <w:tcW w:w="14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146,555</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8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77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leasing revenue</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12,393</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Finance revenue</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7,951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12,482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20,331</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24,875</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Direct operating expenses</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2,416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Interest expense-affiliates</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expense</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(LOSS) INCOME</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1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early termination of finance lease</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3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gain on disposal of equipment</w:t>
            </w:r>
          </w:p>
        </w:tc>
        <w:tc>
          <w:tcPr>
            <w:tcW w:w="1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Total other (loss) income</w:t>
            </w:r>
          </w:p>
        </w:tc>
        <w:tc>
          <w:tcPr>
            <w:tcW w:w="1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11,402</w:t>
            </w:r>
          </w:p>
        </w:tc>
        <w:tc>
          <w:tcPr>
            <w:tcW w:w="14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14,251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580" w:right="2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ind w:right="534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color w:val="auto"/>
        </w:rPr>
        <w:t>(dollar amounts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ind w:right="93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jc w:val="right"/>
              <w:ind w:right="939"/>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60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6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60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58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6"/>
                <w:szCs w:val="16"/>
                <w:b w:val="1"/>
                <w:bCs w:val="1"/>
                <w:color w:val="auto"/>
                <w:w w:val="94"/>
              </w:rPr>
              <w:t>Year Ended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(14,050)</w:t>
            </w:r>
          </w:p>
        </w:tc>
        <w:tc>
          <w:tcPr>
            <w:tcW w:w="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11,402</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14,251</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2,693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2,689</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early termination of finance lease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(Gain) loss on disposal of equipment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equipment held for lease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Change in: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Accrued interest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Management fees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11,203</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15,851</w:t>
            </w:r>
          </w:p>
        </w:tc>
      </w:tr>
      <w:tr>
        <w:trPr>
          <w:trHeight w:val="270"/>
        </w:trPr>
        <w:tc>
          <w:tcPr>
            <w:tcW w:w="6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Principal collections on direct finance leases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28,132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40,082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42,961</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early termination of finance lease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5,990</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Proceeds from disposal of equipment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29,834</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61,532</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49,142</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repayments on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(36,325)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(41,657)</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Principal repayments on loans payable to affiliates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(8,846)</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repayments on syndication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Deferred financing fee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distributions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(24,674)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(10,728)</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(41,455)</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(74,257)</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(64,898)</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4,558</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Cash and cash equivalents, end of year</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4,796</w:t>
            </w:r>
          </w:p>
        </w:tc>
        <w:tc>
          <w:tcPr>
            <w:tcW w:w="2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5,214</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4,653</w:t>
            </w: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SUPPLEMENTAL DISCLOSURE: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5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6,613</w:t>
            </w:r>
          </w:p>
        </w:tc>
      </w:tr>
      <w:tr>
        <w:trPr>
          <w:trHeight w:val="33"/>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364"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WWTAI</w:t>
            </w:r>
          </w:p>
        </w:tc>
        <w:tc>
          <w:tcPr>
            <w:tcW w:w="30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Deutsche</w:t>
            </w:r>
          </w:p>
        </w:tc>
        <w:tc>
          <w:tcPr>
            <w:tcW w:w="380" w:type="dxa"/>
            <w:vAlign w:val="bottom"/>
          </w:tcPr>
          <w:p>
            <w:pPr>
              <w:spacing w:after="0"/>
              <w:rPr>
                <w:sz w:val="17"/>
                <w:szCs w:val="17"/>
                <w:color w:val="auto"/>
              </w:rPr>
            </w:pPr>
          </w:p>
        </w:tc>
        <w:tc>
          <w:tcPr>
            <w:tcW w:w="13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6100" w:type="dxa"/>
            <w:vAlign w:val="bottom"/>
          </w:tcPr>
          <w:p>
            <w:pPr>
              <w:spacing w:after="0"/>
              <w:rPr>
                <w:sz w:val="8"/>
                <w:szCs w:val="8"/>
                <w:color w:val="auto"/>
              </w:rPr>
            </w:pP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Container HoldCo Ltd</w:t>
            </w:r>
          </w:p>
        </w:tc>
        <w:tc>
          <w:tcPr>
            <w:tcW w:w="300" w:type="dxa"/>
            <w:vAlign w:val="bottom"/>
          </w:tcPr>
          <w:p>
            <w:pPr>
              <w:spacing w:after="0"/>
              <w:rPr>
                <w:sz w:val="8"/>
                <w:szCs w:val="8"/>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Bank AG</w:t>
            </w:r>
          </w:p>
        </w:tc>
        <w:tc>
          <w:tcPr>
            <w:tcW w:w="3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 at December 31, 2013</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33,832</w:t>
            </w:r>
          </w:p>
        </w:tc>
        <w:tc>
          <w:tcPr>
            <w:tcW w:w="0" w:type="dxa"/>
            <w:vAlign w:val="bottom"/>
          </w:tcPr>
          <w:p>
            <w:pPr>
              <w:spacing w:after="0"/>
              <w:rPr>
                <w:sz w:val="1"/>
                <w:szCs w:val="1"/>
                <w:color w:val="auto"/>
              </w:rPr>
            </w:pPr>
          </w:p>
        </w:tc>
      </w:tr>
      <w:tr>
        <w:trPr>
          <w:trHeight w:val="224"/>
        </w:trPr>
        <w:tc>
          <w:tcPr>
            <w:tcW w:w="6100" w:type="dxa"/>
            <w:vAlign w:val="bottom"/>
          </w:tcPr>
          <w:p>
            <w:pPr>
              <w:ind w:left="40"/>
              <w:spacing w:after="0"/>
              <w:rPr>
                <w:sz w:val="20"/>
                <w:szCs w:val="20"/>
                <w:color w:val="auto"/>
              </w:rPr>
            </w:pPr>
            <w:r>
              <w:rPr>
                <w:rFonts w:ascii="Arial" w:cs="Arial" w:eastAsia="Arial" w:hAnsi="Arial"/>
                <w:sz w:val="16"/>
                <w:szCs w:val="16"/>
                <w:color w:val="auto"/>
              </w:rPr>
              <w:t>Capital distributions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(24,674)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180"/>
              <w:spacing w:after="0"/>
              <w:rPr>
                <w:sz w:val="20"/>
                <w:szCs w:val="20"/>
                <w:color w:val="auto"/>
              </w:rPr>
            </w:pPr>
            <w:r>
              <w:rPr>
                <w:rFonts w:ascii="Arial" w:cs="Arial" w:eastAsia="Arial" w:hAnsi="Arial"/>
                <w:sz w:val="16"/>
                <w:szCs w:val="16"/>
                <w:color w:val="auto"/>
              </w:rPr>
              <w:t>Net income for the period</w:t>
            </w:r>
          </w:p>
        </w:tc>
        <w:tc>
          <w:tcPr>
            <w:tcW w:w="3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5,587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11,402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100" w:type="dxa"/>
            <w:vAlign w:val="bottom"/>
          </w:tcPr>
          <w:p>
            <w:pPr>
              <w:ind w:left="180"/>
              <w:spacing w:after="0"/>
              <w:rPr>
                <w:sz w:val="20"/>
                <w:szCs w:val="20"/>
                <w:color w:val="auto"/>
              </w:rPr>
            </w:pPr>
            <w:r>
              <w:rPr>
                <w:rFonts w:ascii="Arial" w:cs="Arial" w:eastAsia="Arial" w:hAnsi="Arial"/>
                <w:sz w:val="16"/>
                <w:szCs w:val="16"/>
                <w:color w:val="auto"/>
              </w:rPr>
              <w:t>Total comprehensive income</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11,402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Members’ Equity at December 31, 2014</w:t>
            </w:r>
          </w:p>
        </w:tc>
        <w:tc>
          <w:tcPr>
            <w:tcW w:w="3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20,560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distributions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224"/>
        </w:trPr>
        <w:tc>
          <w:tcPr>
            <w:tcW w:w="61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for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24"/>
        </w:trPr>
        <w:tc>
          <w:tcPr>
            <w:tcW w:w="610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comprehensive loss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 at December 31, 2015</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Intermodal Finance I Ltd. (“Intermodal Finance”) is a Cayman Islands limited liability company which was formed on August 21, 2012 for the object and purpose of, directly or indirectly, investing in portfolios of shipping containers subject to operating leases or direct financing leases, and engaging in all activities incidental hereto.</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members of Intermodal Finance are WWTAI Container HoldCo Ltd., with a 51% interest, and Deutsche Bank AG, Cayman Islands Branch, with a 49% interest. Intermodal Finance shall continue in existence until such time as its members determine upon its winding up and dissolution. Intermodal Finance commenced operations on September 5, 2012.</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12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accompanying consolidated financial statements are prepared in accordance with U.S.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(“GAAP”) and include the accounts of Intermodal Finance and its subsidiaries. Intermodal Finance consolidates those entities which it has an investment of 50% or more and in which it has control over significant operating decisions, as well as variable interest entities in which Intermodal Finance is the primary beneficiary. All significant intercompany transactions and balances have been eliminated.</w:t>
      </w:r>
    </w:p>
    <w:p>
      <w:pPr>
        <w:spacing w:after="0" w:line="6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Intermodal Finance holds a variable interest in WWTAI Container 1 Ltd (“Container 1”), an entity which holds an investment in four direct finance leases, and has determined that it is the primary beneficiary of Container 1. Accordingly, Intermodal Finance consolidates Container 1 (collectively, the “Company”).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may encounter two significant types of economic risk: credit risk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risk. Credit risk is the risk of default on leases, loans, securities or derivatives, as applicable, which results from the inability or unwillingness of a lessee, borrower, or derivative counterparty to make required or expected payments. Market risk reflects changes in the value of leasing assets (including residual value estimates), loans, securities or derivatives, as applicable, due to changes in interest rates or other market factors, including the value of the collateral underlying loans and the valuation of equity and debt securities. The Company conducts operations outside of the United States; such international operations are subject to risks, such as unexpected changes in regulatory requirements, heightened risk of political and economic instability, potentially adverse tax consequences and the burden of complying with foreign laws.</w:t>
      </w:r>
    </w:p>
    <w:p>
      <w:pPr>
        <w:spacing w:after="0" w:line="59"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—The Company considers all highly liquid short-term investments with a maturity of 90 days or less when purchased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cash equivalents. Substantially all of the Company’s amounts on deposit with major financial institutions exceed insured limits.</w:t>
      </w:r>
    </w:p>
    <w:p>
      <w:pPr>
        <w:spacing w:after="0" w:line="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consists of cash held in segregated accounts pursuant to the requirements of the Company’s Term Loan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4).</w:t>
      </w:r>
    </w:p>
    <w:p>
      <w:pPr>
        <w:spacing w:after="0" w:line="62"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b w:val="1"/>
          <w:bCs w:val="1"/>
          <w:i w:val="1"/>
          <w:iCs w:val="1"/>
          <w:color w:val="auto"/>
        </w:rPr>
        <w:t>Deferred Costs and Amortization</w:t>
      </w:r>
      <w:r>
        <w:rPr>
          <w:rFonts w:ascii="Arial" w:cs="Arial" w:eastAsia="Arial" w:hAnsi="Arial"/>
          <w:sz w:val="18"/>
          <w:szCs w:val="18"/>
          <w:color w:val="auto"/>
        </w:rPr>
        <w:t>—Deferred financing costs incurred in connection with the Term Loan are amortized over the seven year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underlying loan. Amortization expense for the year ended December 31, 2015, 2014 and 2013 was approximately $277 thousand, $277 thousand and $274 thousand,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costs also include a commission paid to a third party in connection with the acquisition and leaseback of a portfolio of shipping containers.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commission is being amortized using the straight line method over the term of the underlying lease. Amortization expense for the year ended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2015, 2014 and 2013 was approximately $217 thousand, $248 thousand and $245 thousand, respectively.</w:t>
      </w:r>
    </w:p>
    <w:p>
      <w:pPr>
        <w:spacing w:after="0" w:line="10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Direct Finance Leases</w:t>
      </w:r>
      <w:r>
        <w:rPr>
          <w:rFonts w:ascii="Arial" w:cs="Arial" w:eastAsia="Arial" w:hAnsi="Arial"/>
          <w:sz w:val="18"/>
          <w:szCs w:val="18"/>
          <w:color w:val="auto"/>
        </w:rPr>
        <w:t>—Direct finance leases are recorded at the aggregated future minimum lease payments, including any bargain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economically compelled purchase options granted to the customer, less unearned income.</w:t>
      </w:r>
    </w:p>
    <w:p>
      <w:pPr>
        <w:spacing w:after="0" w:line="6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Leasing Equipment</w:t>
      </w:r>
      <w:r>
        <w:rPr>
          <w:rFonts w:ascii="Arial" w:cs="Arial" w:eastAsia="Arial" w:hAnsi="Arial"/>
          <w:sz w:val="18"/>
          <w:szCs w:val="18"/>
          <w:color w:val="auto"/>
        </w:rPr>
        <w:t>—Shipping containers held for lease are stated at initial cost and are depreciated on a straight-line basis to an estimated residual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over a 15 year useful life from date of manufacture. The shipping containers owned by the Company are being depreciated over remaining useful lives ranging from 0.5 to 2.5 years. Depreciation expense for the years ended December 31, 2015, 2014 and 2013 was approximately $3,442 thousand, $2,168 thousand and $2,170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29"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thousand, respectively.</w:t>
      </w:r>
    </w:p>
    <w:p>
      <w:pPr>
        <w:spacing w:after="0" w:line="11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recognizes repair and maintenance costs that do not extend the lives of the assets as incurred and includes them as a component of direct operating expenses in the consolidated statement of operations.</w:t>
      </w:r>
    </w:p>
    <w:p>
      <w:pPr>
        <w:spacing w:after="0" w:line="6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performs a recoverability assessment of shipping container portfolios at least annually. In addition, a recoverability assessment is performed whenever events or changes in circumstances, or indicators, indicate that the carrying amount or net book value of an asset may not be recoverable. Indicators may include, but are not limited to, a decline in demand for the types of equipment owned by the Company, or other indicators of obsolescence. When performing a recoverability assessment, the Company measures whether the estimated future undiscounted net cash flows expected to be generated by the equipment exceed its net book value. The undiscounted cash flows consist of cash flows from currently contracted leases, future projected lease rates, transition costs, estimated down time and estimated residual or scrap values for the equipment. In the event that the equipment does not meet the recoverability test, the carrying value of the equipment will be adjusted to fair value resulting in an impairment charge.</w:t>
      </w:r>
    </w:p>
    <w:p>
      <w:pPr>
        <w:spacing w:after="0" w:line="8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Management of the Company develops the assumptions used in the recoverability analysis based on its knowledge of active lease contracts, current and future expectations of the global demand for a particular container type and historical experience in the container leasing market,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container type and other factors. In the event that the porfolio does not meet the recoverability test, the carrying value will be adjusted to fair value based on a discounted cash flow analysis, resulting in an impairment charge.</w:t>
      </w:r>
    </w:p>
    <w:p>
      <w:pPr>
        <w:spacing w:after="0" w:line="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September 30, 2015, Intermodal Finance I, Ltd. recorded an impairment charge of $20,604, which resulted from certain operating leases not being renewed and containers being returned at a faster pace than expected. Additionally, due to challenging market conditions for shipping containers, a limited number of the returned containers were sold at values lower than previously estimated.</w:t>
      </w:r>
    </w:p>
    <w:p>
      <w:pPr>
        <w:spacing w:after="0" w:line="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leases shipping containers pursuant to operating leases. Operating leases with fixed rentals and step rentals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recognized on a straight-line basis over the term of the initial lease, assuming no renewals.</w:t>
      </w:r>
    </w:p>
    <w:p>
      <w:pPr>
        <w:spacing w:after="0" w:line="6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determines the provision for doubtful accounts based on its assessment of the collectability of its receivables on a customer-by-customer basis and places a likelihood of default percentage on each delinquent account individually. Changes in economic conditions may require a re-assessment of the risk and could result in increases or decreases in the allowance for doubtful accounts. At December 31, 2015, 2014 and 2013, there were no provisions for doubtful accounts on the Company’s accounts receivable.</w:t>
      </w:r>
    </w:p>
    <w:p>
      <w:pPr>
        <w:spacing w:after="0" w:line="63"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also holds a portfolio of direct finance lease receivables. In most instances, the leases include a bargain purchase option to purchase the leased equipment at the end of the lease term. Net investment in direct finance leases represents the receivables due from lessees, net of unearned income. The lease payments are segregated into principal and interest components similar to a loan. Unearned income is recognized on an effective interest method over the life of the lease term and is recorded as finance revenue in the consolidated statement of operations. The principal component of the lease payment is reflected as a reduction to the net investment in direct finance leases.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—The Company recognizes expenses as incurred on an accrual basis.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color w:val="auto"/>
        </w:rPr>
        <w:t>—Comprehensive income consists of net income and other gains and losses, net of tax, if any, affecting shareholders’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under GAAP, are excluded from net income. Such amounts include the changes in the fair value of derivative instruments, reclassification into the earnings of amounts previously deferred relating to the derivative instruments and foreign currency translation gains and losses. For the year ended December 31, 2015, 2014, and and 2013, there were no differences between the Company’s comprehensive income and the net income as presented in the consolidated statement of operations.</w:t>
      </w:r>
    </w:p>
    <w:p>
      <w:pPr>
        <w:spacing w:after="0" w:line="8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Foreign Currency</w:t>
      </w:r>
      <w:r>
        <w:rPr>
          <w:rFonts w:ascii="Arial" w:cs="Arial" w:eastAsia="Arial" w:hAnsi="Arial"/>
          <w:sz w:val="16"/>
          <w:szCs w:val="16"/>
          <w:color w:val="auto"/>
        </w:rPr>
        <w:t>—The Company’s functional and reporting currency is the U.S. dollar. Purchases and sales of assets and income and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denominated in foreign currencies are translated into U.S. dollar amounts on the respective dates of such transactions. Differences between these recorded amounts and the U.S. dollar equivalent actually received or paid are reported as net realized foreign currency gains or losses.</w:t>
      </w:r>
    </w:p>
    <w:p>
      <w:pPr>
        <w:spacing w:after="0" w:line="3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Federal Income Taxes</w:t>
      </w:r>
      <w:r>
        <w:rPr>
          <w:rFonts w:ascii="Arial" w:cs="Arial" w:eastAsia="Arial" w:hAnsi="Arial"/>
          <w:sz w:val="18"/>
          <w:szCs w:val="18"/>
          <w:color w:val="auto"/>
        </w:rPr>
        <w:t>—No income taxes have been provided for in these consolidated financial statements as each investor in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individually responsible for reporting income or loss based upon its respective share of the Company’s income and expenses as reported for income tax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29"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There are no uncertain tax positions that would require recognition in the consolidated financial statements. The Company files income tax returns in the U.S. federal jurisdiction and various state jurisdictions. The income tax returns filed by the Company are subject to examination by the U.S. Federal and state tax authorities.</w:t>
      </w:r>
    </w:p>
    <w:p>
      <w:pPr>
        <w:spacing w:after="0" w:line="7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Distributions and Allocations to Members</w:t>
      </w:r>
      <w:r>
        <w:rPr>
          <w:rFonts w:ascii="Arial" w:cs="Arial" w:eastAsia="Arial" w:hAnsi="Arial"/>
          <w:sz w:val="17"/>
          <w:szCs w:val="17"/>
          <w:color w:val="auto"/>
        </w:rPr>
        <w:t>—Distributions to members are recorded when paid or, in the case of an in-kind distribution,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The 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6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b w:val="1"/>
          <w:bCs w:val="1"/>
          <w:i w:val="1"/>
          <w:iCs w:val="1"/>
          <w:color w:val="auto"/>
        </w:rPr>
        <w:t>Concentration of Credit Risk</w:t>
      </w:r>
      <w:r>
        <w:rPr>
          <w:rFonts w:ascii="Arial" w:cs="Arial" w:eastAsia="Arial" w:hAnsi="Arial"/>
          <w:sz w:val="17"/>
          <w:szCs w:val="17"/>
          <w:color w:val="auto"/>
        </w:rPr>
        <w:t>—The Company is subject to concentrations of credit risk with respect to amounts due from customers on its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leases and operating leases. The Company attempts to limit its credit risk by performing ongoing credit evaluations. The Company’s three largest customers represented approximately 15%, 15%, 11%, and 4%, 16%, 11% (direct finance lease customers) and 74%, 58% and 47% (operating lease customer), respectively, of revenues for the years ended December 31, 2015, 2014 and 2013. Based on the in-place operating lease contract at December 31, 2015, 2014 and 2013, the maximum amount of loss the Company would incur if the operating lease customer failed completely to perform according to the terms of the lease would be approximately $8,431, $13,479 and $25,900 million, respectively. As it relates to the Company’s direct finance lease portfolio, the three largest customers account for approximately 68%, 14%, and 11%, 56%, 14% and 11% and 37%, 24% and 11%, of the outstanding principal at December 31, 2015, 2014 and 2013, respectively. If any of these customers were to default, the Company would seek to recover the equipment securing the lease, with a view towards either selling or re-leasing the equipment. To date, the Company has not experienced any losses related to direct finance leases and does not expect future uncollectible amounts related to the principal balances receivable.</w:t>
      </w:r>
    </w:p>
    <w:p>
      <w:pPr>
        <w:spacing w:after="0" w:line="7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Deterioration in credit quality of several of the Company’s major customers could have an adverse effect on its consolidated financial position and operating results. Management does not believe significant risk exists in connection with the Company’s concentrations of credit as of December 31, 2015, 2014 and 2013.</w:t>
      </w:r>
    </w:p>
    <w:p>
      <w:pPr>
        <w:spacing w:after="0" w:line="73"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—The FASB has recently issued or discussed a number of proposed standards on such topics as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39"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to defer the effective date of ASU 2014-09 by one year, making it effective for annual reporting periods beginning after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15, 2017 while also providing for early adoption but not before the original effective date. The Company is currently evaluating the impact of adopting this new guidance on its consolidated financial statements.</w:t>
      </w:r>
    </w:p>
    <w:p>
      <w:pPr>
        <w:spacing w:after="0" w:line="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does not expect the adoption of this guidance to have a material impact on its consolidated financial statements.</w:t>
      </w:r>
    </w:p>
    <w:p>
      <w:pPr>
        <w:spacing w:after="0" w:line="8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Imputation of Interest: Simplifying the Presentation of Debt Issuance Costs</w:t>
      </w:r>
      <w:r>
        <w:rPr>
          <w:rFonts w:ascii="Arial" w:cs="Arial" w:eastAsia="Arial" w:hAnsi="Arial"/>
          <w:sz w:val="16"/>
          <w:szCs w:val="16"/>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will adopt ASU 2015-03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229"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of January 1, 2016. Upon adoption, the Company will revise its balance sheet to present debt issuance costs as a direct deduction from Debt rather than within Other Assets.</w:t>
      </w:r>
    </w:p>
    <w:p>
      <w:pPr>
        <w:spacing w:after="0" w:line="6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 xml:space="preserve">In August 2015, the FASB issued ASU No. 2015-15, </w:t>
      </w:r>
      <w:r>
        <w:rPr>
          <w:rFonts w:ascii="Arial" w:cs="Arial" w:eastAsia="Arial" w:hAnsi="Arial"/>
          <w:sz w:val="16"/>
          <w:szCs w:val="16"/>
          <w:i w:val="1"/>
          <w:iCs w:val="1"/>
          <w:color w:val="auto"/>
        </w:rPr>
        <w:t>Interest - Imputation of Interest (Subtopic 835-30)</w:t>
      </w:r>
      <w:r>
        <w:rPr>
          <w:rFonts w:ascii="Arial" w:cs="Arial" w:eastAsia="Arial" w:hAnsi="Arial"/>
          <w:sz w:val="16"/>
          <w:szCs w:val="16"/>
          <w:color w:val="auto"/>
        </w:rPr>
        <w:t xml:space="preserve"> ("ASU 2015-15"). ASU 2015-15 provides further guidance related to the presentation or subsequent measurement of debt issuance costs related to line-of-credit arrangements. ASU 2015-15 allows companies to defer and present debt issuance costs as an asset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does not expect the adoption of this guidance to have a material impact on its consolidated financial statements.</w:t>
      </w:r>
    </w:p>
    <w:p>
      <w:pPr>
        <w:spacing w:after="0" w:line="5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194"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w:t>
      </w:r>
      <w:r>
        <w:rPr>
          <w:rFonts w:ascii="Arial" w:cs="Arial" w:eastAsia="Arial" w:hAnsi="Arial"/>
          <w:sz w:val="17"/>
          <w:szCs w:val="17"/>
          <w:color w:val="auto"/>
        </w:rPr>
        <w:t>“ASU 2016-02”</w:t>
      </w:r>
      <w:r>
        <w:rPr>
          <w:rFonts w:ascii="Arial" w:cs="Arial" w:eastAsia="Arial" w:hAnsi="Arial"/>
          <w:sz w:val="17"/>
          <w:szCs w:val="17"/>
          <w:i w:val="1"/>
          <w:iCs w:val="1"/>
          <w:color w:val="auto"/>
        </w:rPr>
        <w:t>)</w:t>
      </w:r>
      <w:r>
        <w:rPr>
          <w:rFonts w:ascii="Arial" w:cs="Arial" w:eastAsia="Arial" w:hAnsi="Arial"/>
          <w:sz w:val="17"/>
          <w:szCs w:val="17"/>
          <w:color w:val="auto"/>
        </w:rPr>
        <w:t>.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SHIPPING CONTAINER PORTFOLIOS</w:t>
      </w:r>
    </w:p>
    <w:p>
      <w:pPr>
        <w:spacing w:after="0" w:line="33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Direct Finance Lease Portfolio</w:t>
      </w:r>
      <w:r>
        <w:rPr>
          <w:rFonts w:ascii="Arial" w:cs="Arial" w:eastAsia="Arial" w:hAnsi="Arial"/>
          <w:sz w:val="17"/>
          <w:szCs w:val="17"/>
          <w:color w:val="auto"/>
        </w:rPr>
        <w:t>-On September 5, 2012, the Company acquired a portfolio of 28 direct finance leases (“DFL’s”) representing 10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customers and comprising approximately 97,500 shipping containers for a net purchase price of $165,149. At the date of acquisition, the DFL’s had remaining terms ranging from 5 months to 5.33 years. At the date of acquisition, the remaining outstanding balance of the DFL’s was approximately $202,800, of which four of the DFL’s were subject to non-recourse syndication liabilities to third parties having an aggregate outstanding balance of approximately $21,800 (Note 5). 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the Company allocated the purchase price to the acquired assets and assumed liabilities based upon their relative fair values, as follows:</w:t>
      </w: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DFL receivables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184,681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Cash</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8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Syndication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(19,532)</w:t>
            </w:r>
          </w:p>
        </w:tc>
      </w:tr>
      <w:tr>
        <w:trPr>
          <w:trHeight w:val="27"/>
        </w:trPr>
        <w:tc>
          <w:tcPr>
            <w:tcW w:w="8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165,149</w:t>
            </w:r>
          </w:p>
        </w:tc>
      </w:tr>
      <w:tr>
        <w:trPr>
          <w:trHeight w:val="27"/>
        </w:trPr>
        <w:tc>
          <w:tcPr>
            <w:tcW w:w="8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September 2014, one of the DFL lessees completed an early buy-out of its obligations under three DFL’s for a payment of $20,335. Such amount exceeded the carrying values of these DFL’s by $917, which has been recorded as a gain on early termination of finance lease in the accompanying consolidated statement of operations.</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March 2013, one of the DFL lessees completed an early buy-out of its obligations under the DFL for a payment of $5,990. Such amount exceeded the carrying value by $1,052, which has been recorded as a gain on early termination of finance lease in the accompanying consolidated statement of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29"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net investment in direct financing leases are comprised as follows:</w:t>
      </w:r>
    </w:p>
    <w:p>
      <w:pPr>
        <w:spacing w:after="0" w:line="200" w:lineRule="exact"/>
        <w:rPr>
          <w:sz w:val="20"/>
          <w:szCs w:val="20"/>
          <w:color w:val="auto"/>
        </w:rPr>
      </w:pP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76"/>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Minimum lease payments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70,326</w:t>
            </w:r>
          </w:p>
        </w:tc>
      </w:tr>
      <w:tr>
        <w:trPr>
          <w:trHeight w:val="224"/>
        </w:trPr>
        <w:tc>
          <w:tcPr>
            <w:tcW w:w="7080" w:type="dxa"/>
            <w:vAlign w:val="bottom"/>
          </w:tcPr>
          <w:p>
            <w:pPr>
              <w:ind w:left="20"/>
              <w:spacing w:after="0"/>
              <w:rPr>
                <w:sz w:val="20"/>
                <w:szCs w:val="20"/>
                <w:color w:val="auto"/>
              </w:rPr>
            </w:pPr>
            <w:r>
              <w:rPr>
                <w:rFonts w:ascii="Arial" w:cs="Arial" w:eastAsia="Arial" w:hAnsi="Arial"/>
                <w:sz w:val="16"/>
                <w:szCs w:val="16"/>
                <w:color w:val="auto"/>
              </w:rPr>
              <w:t>Less: Unearned income</w:t>
            </w: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(4,062)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investment in direct finance leases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34,261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62,393</w:t>
            </w:r>
          </w:p>
        </w:tc>
      </w:tr>
      <w:tr>
        <w:trPr>
          <w:trHeight w:val="648"/>
        </w:trPr>
        <w:tc>
          <w:tcPr>
            <w:tcW w:w="8620" w:type="dxa"/>
            <w:vAlign w:val="bottom"/>
            <w:gridSpan w:val="5"/>
          </w:tcPr>
          <w:p>
            <w:pPr>
              <w:spacing w:after="0"/>
              <w:rPr>
                <w:sz w:val="20"/>
                <w:szCs w:val="20"/>
                <w:color w:val="auto"/>
              </w:rPr>
            </w:pPr>
            <w:r>
              <w:rPr>
                <w:rFonts w:ascii="Arial" w:cs="Arial" w:eastAsia="Arial" w:hAnsi="Arial"/>
                <w:sz w:val="18"/>
                <w:szCs w:val="18"/>
                <w:color w:val="auto"/>
                <w:w w:val="95"/>
              </w:rPr>
              <w:t>At December 31, 2015, future minimum lease payments to be received under direct finance leases are as follows: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19,579</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11,110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38,323</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Operating Lease Portfolio</w:t>
      </w:r>
      <w:r>
        <w:rPr>
          <w:rFonts w:ascii="Arial" w:cs="Arial" w:eastAsia="Arial" w:hAnsi="Arial"/>
          <w:sz w:val="16"/>
          <w:szCs w:val="16"/>
          <w:color w:val="auto"/>
        </w:rPr>
        <w:t>-On December 17, 2012, the Company acquired a portfolio of approximately 38,300 shipping containers for a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of approximately $78,600 and simultaneously leased them back to the seller pursuant to nine separate operating leases having terms ranging from 27 months to 42 months. Pursuant to ASC 805-50, the entire purchase price was allocated to the underlying shipping containers.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Minimum future annual lease rentals to be received pursuant to operating leases of shipping containers at December 31, 2015 are as follows:</w:t>
      </w:r>
    </w:p>
    <w:p>
      <w:pPr>
        <w:spacing w:after="0" w:line="200" w:lineRule="exact"/>
        <w:rPr>
          <w:sz w:val="20"/>
          <w:szCs w:val="20"/>
          <w:color w:val="auto"/>
        </w:rPr>
      </w:pP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84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8,431</w:t>
            </w:r>
          </w:p>
        </w:tc>
      </w:tr>
      <w:tr>
        <w:trPr>
          <w:trHeight w:val="27"/>
        </w:trPr>
        <w:tc>
          <w:tcPr>
            <w:tcW w:w="8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 Payable</w:t>
      </w:r>
    </w:p>
    <w:p>
      <w:pPr>
        <w:spacing w:after="0" w:line="11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On September 5, 2012, the Company entered in to a Term Loan Agreement (the “Term Loan”) with Deutsche Bank AG, Cayman Islands Branch (the “Lender”) for an initial aggregate amount of $125,000 in connection with the acquisition of a portfolio of shipping containers subject to direct finance leases. On December 17, 2012 the Term Loan was amended to provide for an additional borrowing of $53,000 which was used in connection with the acquisition of a portfolio of shipping containers subject to operating leases. Borrowings under the Term Loan bear interest at either</w:t>
      </w:r>
    </w:p>
    <w:p>
      <w:pPr>
        <w:spacing w:after="0" w:line="2" w:lineRule="exact"/>
        <w:rPr>
          <w:sz w:val="20"/>
          <w:szCs w:val="20"/>
          <w:color w:val="auto"/>
        </w:rPr>
      </w:pPr>
    </w:p>
    <w:p>
      <w:pPr>
        <w:jc w:val="both"/>
        <w:ind w:left="660" w:hanging="4"/>
        <w:spacing w:after="0" w:line="287" w:lineRule="auto"/>
        <w:tabs>
          <w:tab w:leader="none" w:pos="891" w:val="left"/>
        </w:tabs>
        <w:numPr>
          <w:ilvl w:val="0"/>
          <w:numId w:val="76"/>
        </w:numPr>
        <w:rPr>
          <w:rFonts w:ascii="Arial" w:cs="Arial" w:eastAsia="Arial" w:hAnsi="Arial"/>
          <w:sz w:val="16"/>
          <w:szCs w:val="16"/>
          <w:color w:val="auto"/>
        </w:rPr>
      </w:pPr>
      <w:r>
        <w:rPr>
          <w:rFonts w:ascii="Arial" w:cs="Arial" w:eastAsia="Arial" w:hAnsi="Arial"/>
          <w:sz w:val="16"/>
          <w:szCs w:val="16"/>
          <w:color w:val="auto"/>
        </w:rPr>
        <w:t>LIBOR plus 3% or (ii) a Base Rate (equal to the higher of the Prime Rate or the Federal Funds Rate, plus 0.50%) plus a spread of 0.25%. In addition, an administrative agent fee calculated at a rate of 0.50% per annum is also payable. In April 2013, the administrative agent fee rate was reduced to 0.25%. In October 2014, the LIBOR spread was reduced to 2.75%. All borrowings under the Term Loan as of December 31, 2015 and 2014 were LIBOR based borrowings and the interest rate at December 31, 2015 and 2014 was approximately 2.97% and 2.91%, respectively (exclusive of the administrative agent fee). The Term Loan requires monthly payments of interest, administrative agent fees and scheduled amortization payments through its maturity on September 25, 2019. The Term Loan is secured by the Company’s interest in the shipping containers and related direct finance leases and operating lease agreements. Interest expense on the Term Loan for year ended December 31, 2015, 2014 and 2013 was $2,459, 3,758 and $5,000, respectively, exclusive of administrative agent fees of $210, $304 and $515, respectively.</w:t>
      </w:r>
    </w:p>
    <w:p>
      <w:pPr>
        <w:spacing w:after="0" w:line="6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Pursuant to the Term Loan agreement, amounts realized by the Company from its operations during each Collection Period, as defined, are accumulated as restricted cash in a Collection Account for disbursement according to payment priorities specified in the Term Loan agreement. Residual amounts remaining in the Collection Account after payment of required obligations are released to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29"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scheduled principal repayments under the Term Loan for the next five years are summarized as follows:</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12,276</w:t>
            </w:r>
          </w:p>
        </w:tc>
      </w:tr>
      <w:tr>
        <w:trPr>
          <w:trHeight w:val="27"/>
        </w:trPr>
        <w:tc>
          <w:tcPr>
            <w:tcW w:w="8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5,969</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21,039</w:t>
            </w:r>
          </w:p>
        </w:tc>
      </w:tr>
      <w:tr>
        <w:trPr>
          <w:trHeight w:val="27"/>
        </w:trPr>
        <w:tc>
          <w:tcPr>
            <w:tcW w:w="8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5,393</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65,564</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Class B Term Loan Payable to Affiliates</w:t>
      </w:r>
    </w:p>
    <w:p>
      <w:pPr>
        <w:spacing w:after="0" w:line="117"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September 5, 2012, the Company entered in to a Class B Term Loan Agreement (the "Class B Loan”) with its members, pursuant to which it borrowed an initial aggregate amount of $25,000 in connection with the acquisition of a portfolio of shipping containers subject to direct finance leases. On December 17, 2012 the Class B Loan was amended to provide for an additional borrowing of approximately $15,100 which was used in connection with the acquisition of a portfolio of shipping containers subject to operating leases. Borrowings under the Class B Loan are unsecured and bear interest at a rate of 2%. Interest expense on the Class B Loan for the year ended December 31, 2015, 2014 and 2013 was approximately $411, $545 and $737, respectively. Payments of principal and interest on the Class B Loan are subject to the available cash flow of the Company remaining in the Collection Account after satisfaction of senior payment priorities as delineated in the Term Loan agreement. The Class B Loan matures on September 25, 2017, at which time all remaining balances of principal and accrued interest are due.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Remaining scheduled principal repayments under the Class B Loan are summarized as follows:</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17,402</w:t>
            </w:r>
          </w:p>
        </w:tc>
      </w:tr>
      <w:tr>
        <w:trPr>
          <w:trHeight w:val="27"/>
        </w:trPr>
        <w:tc>
          <w:tcPr>
            <w:tcW w:w="84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18,487</w:t>
            </w:r>
          </w:p>
        </w:tc>
      </w:tr>
      <w:tr>
        <w:trPr>
          <w:trHeight w:val="27"/>
        </w:trPr>
        <w:tc>
          <w:tcPr>
            <w:tcW w:w="8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SYNDICATION LIABILITIES</w:t>
      </w:r>
    </w:p>
    <w:p>
      <w:pPr>
        <w:spacing w:after="0" w:line="12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connection with the acquisition of the DFL’s in September 2012, the Company assumed syndication liabilities to third parties relating to four of the acquired DFL contracts. The syndication liabilities have remaining terms equal to the remaining terms of the associated DFL contracts, which had ranges from 28 months to 42 months. The acquisition date fair value ascribed to these obligations was approximately $19,500. Interest on the syndication liabilities is recognized using the effective interest method at rates which range from 2.30% to 4.44%. Interest expense recognized on the syndication liabilities amounted to approximately $342, $561 and $845 during the year ended December 31, 2015, 2014 and 2013. The obligations pursuant to these arrangements are non recourse to the Company and the sole source of payment for these obligations is the cash flows generated from the underlying DFL contracts.</w:t>
      </w:r>
    </w:p>
    <w:p>
      <w:pPr>
        <w:spacing w:after="0" w:line="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September 2014, in connection with the early termination of three DFL’s, the Company settled the associated liabilities related to the syndication holder in those DFL contracts and extinguished the liabilities at their nominal value of approximately $2,136. The amount paid exceeded the carrying value by approximately $119, accordingly such amount has been reflected in the accompanying statement of operations as a loss on extinguishment of debt.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repayments of the syndication liabilities for the remaining terms of the associated DFL contracts summarized as follows:</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6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2017</w:t>
            </w:r>
          </w:p>
        </w:tc>
        <w:tc>
          <w:tcPr>
            <w:tcW w:w="5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1,207</w:t>
            </w:r>
          </w:p>
        </w:tc>
      </w:tr>
      <w:tr>
        <w:trPr>
          <w:trHeight w:val="27"/>
        </w:trPr>
        <w:tc>
          <w:tcPr>
            <w:tcW w:w="26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3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3,201</w:t>
            </w:r>
          </w:p>
        </w:tc>
      </w:tr>
      <w:tr>
        <w:trPr>
          <w:trHeight w:val="675"/>
        </w:trPr>
        <w:tc>
          <w:tcPr>
            <w:tcW w:w="2660" w:type="dxa"/>
            <w:vAlign w:val="bottom"/>
          </w:tcPr>
          <w:p>
            <w:pPr>
              <w:spacing w:after="0"/>
              <w:rPr>
                <w:sz w:val="24"/>
                <w:szCs w:val="24"/>
                <w:color w:val="auto"/>
              </w:rPr>
            </w:pPr>
          </w:p>
        </w:tc>
        <w:tc>
          <w:tcPr>
            <w:tcW w:w="5740" w:type="dxa"/>
            <w:vAlign w:val="bottom"/>
          </w:tcPr>
          <w:p>
            <w:pPr>
              <w:jc w:val="right"/>
              <w:ind w:right="3130"/>
              <w:spacing w:after="0"/>
              <w:rPr>
                <w:sz w:val="20"/>
                <w:szCs w:val="20"/>
                <w:color w:val="auto"/>
              </w:rPr>
            </w:pPr>
            <w:r>
              <w:rPr>
                <w:rFonts w:ascii="Arial" w:cs="Arial" w:eastAsia="Arial" w:hAnsi="Arial"/>
                <w:sz w:val="18"/>
                <w:szCs w:val="18"/>
                <w:color w:val="auto"/>
              </w:rPr>
              <w:t>148</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MANAGEMENT AGREEMENT</w:t>
      </w:r>
    </w:p>
    <w:p>
      <w:pPr>
        <w:spacing w:after="0" w:line="12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has engaged Container Leasing International LLC (the “Manager”) to manage and administer its DFL portfolio pursuant to a management agreement having an initial term of 10 years and providing for three additional extension terms of one-year each. Pursuant to the management agreement, the Manager receives (i) a base monthly fee equal to 1.5% of payments received on the DFL contracts and is entitled to receive additional fees, as applicable, equal to (a) 5% of the sum of net sales proceeds and casualty proceeds for containers which have been sold or lost and (b) a recovery fee of 25 dollars for each container recovered by the Manager following the occurrence of a lessee default under a DFL contract and (ii) a base monthly fee equal to (a) 4% of the Net Operating Income, as defined, of the containers subject to operating leases and an additional fee of 5% of the net sales proceeds from the sale or disposal of containers subject to operating leases.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FAIR VALUE OF FINANCIAL INSTRUMENTS</w:t>
      </w:r>
    </w:p>
    <w:p>
      <w:pPr>
        <w:spacing w:after="0" w:line="121"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In assessing the fair value of financial instruments, the Company applies the provisions included in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ASC 820 provides that fair value is a market-based measurement, not an entity-specific measurement. It further clarifies that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exit price, representing the price that would be received to sell an asset or paid to transfer a liability in the principal or most advantageous market in an orderly transaction between market participants on the measurement date. ASC 820 requires the use of valuation techniques to measure fair value that maximize the use of observable inputs and minimize use of unobservable inputs. These inputs are prioritized as follows:</w:t>
      </w:r>
    </w:p>
    <w:p>
      <w:pPr>
        <w:spacing w:after="0" w:line="77" w:lineRule="exact"/>
        <w:rPr>
          <w:sz w:val="20"/>
          <w:szCs w:val="20"/>
          <w:color w:val="auto"/>
        </w:rPr>
      </w:pPr>
    </w:p>
    <w:p>
      <w:pPr>
        <w:ind w:left="1360" w:hanging="380"/>
        <w:spacing w:after="0"/>
        <w:tabs>
          <w:tab w:leader="none" w:pos="1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jc w:val="both"/>
        <w:ind w:left="1300" w:right="20" w:hanging="320"/>
        <w:spacing w:after="0" w:line="286"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Level 2: Inputs other than quoted prices included within Level 1 that are observable for the asset or liability, either directly or indirectly. Level 2 inputs include quoted prices for similar assets or liabilities in active markets and inputs other than quoted prices that are observable for the asset or liability, such as interest rates and yield curves that are observable at commonly quoted intervals.</w:t>
      </w:r>
    </w:p>
    <w:p>
      <w:pPr>
        <w:spacing w:after="0" w:line="57"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internal development of assumptions about how market participants price the asset or liability.</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Company’s financial instruments consist principally of cash and cash equivalents, restricted cash, accounts receivable, accounts payable and accrued liabilities, term loan payable, loans payable to affiliates and syndication liabilities. The fair value of cash and cash equivalents, restricted cash, accounts receivable and accounts payable and accrued liabilities approximates their carrying values because of their short term nature.</w:t>
      </w:r>
    </w:p>
    <w:p>
      <w:pPr>
        <w:spacing w:after="0" w:line="3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fair value of the term loan payable is based on inputs classified as Level 2 in the fair value hierarchy and approximates its carrying value because such loan bears interest at a floating market rate for similar types of loans.</w:t>
      </w:r>
    </w:p>
    <w:p>
      <w:pPr>
        <w:spacing w:after="0" w:line="6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fair value of loans payable to affiliates is based on inputs classified as Level 2 in the fair value hierarchy and approximates its carrying value as such loans bear interest at market rate for similar types of instruments.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evaluated whether any material events have occurred subsequent to the balance sheet date through March 9, 2016 the date the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29" w:right="2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FINANCIAL INFORMATION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9019"/>
          </w:cols>
          <w:pgMar w:left="1440" w:top="1440" w:right="1440"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Intermodal</w:t>
            </w:r>
          </w:p>
        </w:tc>
        <w:tc>
          <w:tcPr>
            <w:tcW w:w="180" w:type="dxa"/>
            <w:vAlign w:val="bottom"/>
          </w:tcPr>
          <w:p>
            <w:pPr>
              <w:spacing w:after="0"/>
              <w:rPr>
                <w:sz w:val="18"/>
                <w:szCs w:val="18"/>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rPr>
              <w:t>WWTAI</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9"/>
                <w:szCs w:val="9"/>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Intermodal</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Finance I Ltd</w:t>
            </w:r>
          </w:p>
        </w:tc>
        <w:tc>
          <w:tcPr>
            <w:tcW w:w="180" w:type="dxa"/>
            <w:vAlign w:val="bottom"/>
          </w:tcPr>
          <w:p>
            <w:pPr>
              <w:spacing w:after="0"/>
              <w:rPr>
                <w:sz w:val="9"/>
                <w:szCs w:val="9"/>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Container I Ltd</w:t>
            </w: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color w:val="auto"/>
                <w:w w:val="92"/>
              </w:rPr>
              <w:t>Finance I Ltd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Leasing equipment, net of accumulated depreciation of $7,305</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47,735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47,735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34,261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Deferred costs, net of accumulated amortization of $864</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Due from affiliates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87,952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26,800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91,153</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 to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Term loan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65,564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65,564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payable to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Syndication liabilities</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3,201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26,800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87,864</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3,289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87,952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26,800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91,153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Intermodal</w:t>
            </w:r>
          </w:p>
        </w:tc>
        <w:tc>
          <w:tcPr>
            <w:tcW w:w="180" w:type="dxa"/>
            <w:vAlign w:val="bottom"/>
          </w:tcPr>
          <w:p>
            <w:pPr>
              <w:spacing w:after="0"/>
              <w:rPr>
                <w:sz w:val="18"/>
                <w:szCs w:val="18"/>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rPr>
              <w:t>WWTAI</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9"/>
                <w:szCs w:val="9"/>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Intermodal</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Finance I Ltd</w:t>
            </w:r>
          </w:p>
        </w:tc>
        <w:tc>
          <w:tcPr>
            <w:tcW w:w="180" w:type="dxa"/>
            <w:vAlign w:val="bottom"/>
          </w:tcPr>
          <w:p>
            <w:pPr>
              <w:spacing w:after="0"/>
              <w:rPr>
                <w:sz w:val="9"/>
                <w:szCs w:val="9"/>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Container I Ltd</w:t>
            </w: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color w:val="auto"/>
                <w:w w:val="92"/>
              </w:rPr>
              <w:t>Finance I Ltd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Leasing equipment, net of accumulated depreciation of $4,449</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74,045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74,045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62,393</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Deferred costs, net of accumulated amortization of $602</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Due from affiliates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37,561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141,022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43,094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146,555</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Management fees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payable to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Term loan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97,727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97,727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payable to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Syndication liabilities</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5,152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37,561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120,462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43,094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125,995</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20,560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141,022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43,094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146,555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Intermodal</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WWTAI</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Finance</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Container</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Intermodal</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rPr>
              <w:t>I Ltd</w:t>
            </w: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 Ltd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Finance I Ltd</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leasing revenue</w:t>
            </w:r>
          </w:p>
        </w:tc>
        <w:tc>
          <w:tcPr>
            <w:tcW w:w="1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Finance revenue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income-affiliate</w:t>
            </w:r>
          </w:p>
        </w:tc>
        <w:tc>
          <w:tcPr>
            <w:tcW w:w="18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15,447</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operating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Management fee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expense-affiliates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expense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Participation expense-affiliate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28,978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29,553</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equipment</w:t>
            </w:r>
          </w:p>
        </w:tc>
        <w:tc>
          <w:tcPr>
            <w:tcW w:w="18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other (loss) income</w:t>
            </w:r>
          </w:p>
        </w:tc>
        <w:tc>
          <w:tcPr>
            <w:tcW w:w="1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(14,050)</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(14,050)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Intermodal</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WWTAI</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Finance</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Container</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Intermodal</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rPr>
              <w:t>I Ltd</w:t>
            </w: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 Ltd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Finance I Ltd</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leasing revenue</w:t>
            </w:r>
          </w:p>
        </w:tc>
        <w:tc>
          <w:tcPr>
            <w:tcW w:w="1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Finance revenue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4,444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income-affiliate</w:t>
            </w:r>
          </w:p>
        </w:tc>
        <w:tc>
          <w:tcPr>
            <w:tcW w:w="1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20,124</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EXPENSES</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operating expenses</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Management fee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expense-affiliates</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expense-affiliate</w:t>
            </w:r>
          </w:p>
        </w:tc>
        <w:tc>
          <w:tcPr>
            <w:tcW w:w="1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9,051</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Gain on early termination of finance lease</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1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1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11,402</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2013</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Intermodal</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WWTAI</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Finance</w:t>
            </w:r>
          </w:p>
        </w:tc>
        <w:tc>
          <w:tcPr>
            <w:tcW w:w="1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Container</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Intermodal</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I Ltd</w:t>
            </w: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 Ltd</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Finance I Ltd</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leasing revenue</w:t>
            </w:r>
          </w:p>
        </w:tc>
        <w:tc>
          <w:tcPr>
            <w:tcW w:w="2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Finance revenue</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income-affiliate</w:t>
            </w:r>
          </w:p>
        </w:tc>
        <w:tc>
          <w:tcPr>
            <w:tcW w:w="1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23,640</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24,875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EXPENSES</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Management fee</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expense-affiliates</w:t>
            </w: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Participation expense-affiliate</w:t>
            </w:r>
          </w:p>
        </w:tc>
        <w:tc>
          <w:tcPr>
            <w:tcW w:w="1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10,462</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early termination of finance lease</w:t>
            </w:r>
          </w:p>
        </w:tc>
        <w:tc>
          <w:tcPr>
            <w:tcW w:w="1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Gain on disposal of equipment</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1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14,251</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6" w:name="page157"/>
    <w:bookmarkEnd w:id="156"/>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has evaluated the effectiveness of our disclosure controls and procedures (as such term is defined in Rule 13a-15(e) under the Securities Exchange Act of 1934 (the “Exchange Act”)) as of December 31, 2015. Based on such evaluation, the Chief Executive Officer and Chief Financial Officer have concluded that these disclosure controls and procedures were effective as of December 31,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no change in our internal control over financial reporting (as such term is defined in Rule 13a-15(f) under the Exchange Act) occurred during the fourth quarter of the fiscal year covered by this report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 and Report of Independent Registered Public Accounting Firm</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registered public accounting firm due to a transition period established by the rules of the SEC for newly public companies.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Jefferson Terminal Financing</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7, 2016, the Port of Beaumont Navigation District of Jefferson County, Texas (the “District”) issued $144.2 million of Dock and Wharf Facility Revenue Bonds, Series 2016 (Jefferson Energy Companies Project) (the “Series 2016 Bonds”). Proceeds from the issuance of the bonds will be used</w:t>
      </w:r>
    </w:p>
    <w:p>
      <w:pPr>
        <w:jc w:val="both"/>
        <w:ind w:firstLine="8"/>
        <w:spacing w:after="0" w:line="254" w:lineRule="auto"/>
        <w:tabs>
          <w:tab w:leader="none" w:pos="2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pay for the development, construction and acquisition of certain facilities for the transport, loading, unloading, and storage of petroleum products, which have been or will be constructed on behalf of the District by Jefferson Railport Terminal II LLC (“Jefferson Railport”), a majority-owned subsidiary of Fortress Transportation and Infrastructure Investors LLC (the “Company”), (ii) pay capitalized interest on a portion of the Series 2016 Bonds and (iii) pay certain costs of issuance of the Series 2016 Bonds.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7, 2016, the District and The Bank of New York Mellon Trust Company, National Association (the “Trustee”), entered into a Trust Indenture and Security Agreement, dated as of February 1, 2016 (the “Indenture”), pursuant to which the Series 2016 Bonds were issued. The Series 2016 Bonds have a stated maturity of February 1, 2036 and bear interest at a rate of 7.25% during the initial rate period ending February 13, 2020 (the “Initial Bonds Remarketing Date”). Interest on the Series 2016 Bonds is payable beginning on August 1, 2016, and on each February 1 and August 1 thereafter.</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Series 2016 Bonds are subject to mandatory tender for purchase at par on the Initial Bonds Remarketing Date if they have not been repurchased with proceeds of a remarketing on such date or previously redeemed or defeased, as further described below.</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Series 2016 Bonds are subject to optional redemption during the period commencing August 1, 2019, and ending on the Initial Bonds Remarketing Date, at the option of the District, at a price equal to par plus a premium, as described in the Indenture.</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Indenture contains customary events of default which, if any of them occurs, would permit or require the principal of and accrued interest on the Series 2016 Bonds to become or to be declared due and payable.</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District’s obligations with respect to the Series 2016 Bonds are limited. The District is under no obligation to pay any portion of the purchase price of the Series 2016 Bonds subject to tender on the Initial Bonds Remarketing Date, other than from funds provided from a successful remarketing of the Series 2016 Bonds or funds provided under the Standby Bond Purchase Agreement, as further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Bond Purchase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7, 2016, the District, the Trustee, and Jefferson Railport Terminal II Holdings LLC, a majority-owned subsidiary of the Company and parent of Jefferson Railport (“Jefferson Holdings”) and Jefferson Railport entered into the Standby Bond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1" w:right="239" w:bottom="1440" w:gutter="0" w:footer="0" w:header="0"/>
        </w:sectPr>
      </w:pPr>
    </w:p>
    <w:bookmarkStart w:id="157" w:name="page158"/>
    <w:bookmarkEnd w:id="157"/>
    <w:p>
      <w:pPr>
        <w:jc w:val="both"/>
        <w:spacing w:after="0" w:line="269" w:lineRule="auto"/>
        <w:rPr>
          <w:sz w:val="20"/>
          <w:szCs w:val="20"/>
          <w:color w:val="auto"/>
        </w:rPr>
      </w:pPr>
      <w:r>
        <w:rPr>
          <w:rFonts w:ascii="Arial" w:cs="Arial" w:eastAsia="Arial" w:hAnsi="Arial"/>
          <w:sz w:val="17"/>
          <w:szCs w:val="17"/>
          <w:color w:val="auto"/>
        </w:rPr>
        <w:t>Purchase Agreement, dated as of February 1, 2016. Pursuant to the Standby Bond Purchase Agreement, in the event all of the Series 2016 Bonds are not repurchased from the proceeds of a remarketing or redeemed or defeased on or before the Initial Bonds Remarketing Date, Jefferson Railport and Jefferson Holdings have agreed to purchase the Series 2016 Bonds from the holders thereof at par. In addition, pursuant to the Standby Bond Purchase Agreement, Jefferson Holdings has agreed to guarantee the payment of all principal of and premium and interest on the Series 2016 Bonds payable prior to repurchase or redemption on the Initial Bonds Remarketing Date and certain amounts due pursuant to the Facilities Lease. Pursuant to the Standby Bond Purchase Agreement, Jefferson Railport agreed to certain special purpose entity covenants, which require Jefferson Railport to operate in a manner designed to preserve its separateness from the business and affairs of FTAI Energy (as defined below), its member or any affiliate of FTAI Energy. The operating agreement of Jefferson Holdings also contains special purpose entity restrictions in order to preserve its bankruptcy remote entity status. The Standby Bond Purchase Agreement terminates on the earliest of (i) the repurchase of all, but not less than all, Series 2016 Bonds with proceeds of a remarketing, a redemption or a defeasance, (ii) the date that there are no Series 2016 Bonds outstanding and (iii) the third business day after the Initial Bonds Remarketing Date (provided no default by the purchasers has occurred and is continuing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Call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March 7, 2016, the Company, FTAI Energy Holdings LLC (“FTAI Holdings”), FTAI Partner Holdings LLC, FTAI Midstream GP Holdings LLC, FTAI Midstream GP LLC, FTAI Midstream Holdings LLC, FTAI Energy Partners LLC (“FTAI Energy”) (each majority-owned subsidiaries of the Company) and Jefferson Holdings entered into a Capital Call Agreement, dated as of February 1, 2016. Pursuant to the Capital Call Agreement, the Company and its subsidiaries party thereto, other than Jefferson Holdings, jointly and severally agreed to make funds available to Jefferson Holdings to enable Jefferson Holdings to satisfy its obligations under the Standby Bond Purchase Agreement. The Capital Call Agreement contains certain covenants applicable to the Company, including a negative pledge covenant which prohibits the Company from incurring any liens securing indebtedness for borrowed money or capital leases on any asset of its subsidiaries that hold aviation assets (the “Aviation Subsidiaries”), a covenant that the Company will maintain on a consolidated basis “Total equity” that is not less than two times the aggregate principal of and interest payable on or before the Initial Bonds Remarketing Date on the Series 2016 Bonds, and a covenant that the Company will maintain on a consolidated basis an aggregate book value of assets constituting “Total assets” in the Company’s Aviation Leasing segment (or a successor segment), that is no less than (i) the aggregate principal of and interest payable on or before the Initial Bonds Remarketing Date on the Bonds, and all third-party costs, expenses and fees related to the Series 2016 Bonds payable as rent under the Facilities Lease, less (ii) any cash held in a separate account created to hold such funds on the date of determination. In the event that the Company and its Aviation Subsidiaries are not in compliance with the covenants described above, under certain circumstances the Company will be required to deposit cash into a separate account pledged to and held by the Trustee for the benefit of holders of the Series 2016 Bonds. The Capital Call Agreement terminates upon the date that is the earlier of (i) the date on which Jefferson Holdings receives funds directly or indirectly from the Company sufficient to satisfy its obligations under the Standby Bond Purchase Agreement, (ii) the termination of the Standby Bond Purchase Agreement in accordance with its terms and (iii) the third business day after the Initial Bonds Remarketing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and Support Agreement</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March 7, 2016, the Company also entered into an intercompany arrangement (the “Fee and Support Agreement”), with FTAI Holdings, FEP Terminal Holdings LLC, an affiliate of the Company (“FEP”), FTAI Energy and Jefferson Railport, pursuant to which FTAI Holdings and FEP covenanted and agreed, severally but not jointly, to be responsible on a pro rata basis (based on their relative equity ownership in FTAI Energy) for Jefferson Railport’s and Jefferson Holdings’ monetary obligations under the Standby Bond Purchase Agreement, in exchange for which FTAI Holdings and FEP will receive a fee from FTAI Energy of approximately $6.9 million to be shared by FTAI Holdings and FEP on the same pro rata basis. The Fee and Support Agreement was entered into by the Company, FTAI Holdings and FEP, respectively, in their capacity as existing equityholders of Jefferson Railport, and no consideration was paid to or received by or between any of them (except for the $6.9 million fee referenced above). Wesley Edens, the Chairman of the Board of the Company and Co-Chairman and Principal of Fortress Investment Group LLC (“Fortress”), an affiliate of which is the manager of the Company, and Randal Nardone, the Chief Executive Officer, director and a Principal of Fortress, are currently the seed investors in FEP. The Fee and Support Agreement provides that in no event shall any provision of such agreement limit the Company’s obligations pursuant to the Capital Call Agreement. The Fee and Support Agreement terminates upon the earlier of (i) the date on which Jefferson Holdings receives funds directly or indirectly from the Company sufficient to satisfy its obligations under the Standby Bond Purchase Agreement, (ii) the termination of the Standby Bond Purchase Agreement in accordance with its terms, (iii) the third business day after the Initial Bonds Remarketing Date and (iv) such other date on which all parties to the Fee and Support Agreement shall consent in writing to the termination of the Fee and Support Agreement. The Fee and Support Agreement was unanimously approved by the independent directors of the Company. Amounts payable to FTAI Holdings and FEP under the Fee and Support Agreement are expected to be paid in the form of additional indebtedness under an existing intercompany credit agreement between a subsidiary of FTAI Energy, as borrower, and a jointly owned subsidiary of FTAI Holdings and FEP, as lender. Amounts outstanding under such credit agreement bear interest at a rate of 12% per annum. The credit agreement matures on January 2, 2017.</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206"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Facilities Lease</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7, 2016, in connection with the issuance of the Series 2016 Bonds, Jefferson Railport and the District entered into a Lease and Development Agreement (Facilities Lease), dated as of February 1, 2016 (the “Facilities Lease”), whereby Jefferson Railport agreed to construct certain petroleum transport, loading, unloading, and storage facilities using proceeds from the Series 2016 Bonds and was granted the right to operate such facilities for a term expiring July 31, 2063, with the right to purchase such facilities at fair market value at any time during the term of the Facilities Lease, provided that if any Series 2016 Bonds are outstanding, such Series 2016 Bonds must be repurchased, redeemed or defeased before the facilities can be purchased. In connection therewith, Jefferson Railport also amended and restated its Ground Lease with the District. The Facilities Lease is a triple-net lease with rental payments equal to an amount sufficient (together with capitalized interest funded with proceeds of the Series 2016 Bonds and prepaid rent) to provide for the payment of interest on the Series 2016 Bonds to the Initial Bonds Remarketing Date, plus amounts sufficient to provide for the payment of principal of and interest on the Series 2016 Bonds when, if, and as repurchased in whole and remarketed and all third-party costs, expenses, fees and rebates related to the Series 2016 Bonds when due thereunder. The Facilities Lease contains customary event of default provisions and, in certain circumstances, cure rights.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Deed of Trust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7, 2016, Jefferson Railport entered into a Leasehold Deed of Trust and Security Agreement, dated as of February 1, 2016 (the “Deed of Trust”), pursuant to which Jefferson Railport granted a deed of trust lien on and security interest in its interest in the Facilities Lease and in the Ground Lease and its interest in all buildings, fixtures, modifications, replacements, improvements, easements, rights-of-way, air/water/development rights, machinery and equipment on the Ground Lease site or with respect thereto to the Trustee to secure its obligations under the Standby Bond Purchase Agreement and its obligations to pay rent in accordance with the Facilities Lease.</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payoff letter dated as of March 7, 2016, all amounts outstanding under the credit agreement, dated as of August 27, 2014 (the “Jefferson Terminal Credit Agreement”), among Morgan Stanley Senior Funding, Inc., as administrative agent, Jefferson Gulf Coast Energy Holdings LLC (“Holdings”) and Jefferson Gulf Coast Energy Partners LLC (the “Borrower”), each majority-owned subsidiaries of the Company, and the lenders party thereto, were prepaid in full and the Jefferson Terminal Credit Agreement was terminated. The outstanding principal balance that was prepaid was $98.75 million, plus accrued and unpaid interest, applicable premiums and legal fees and expenses. No material early termination penalties were incurred by Holdings or the Borrower.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LLC Agreement</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8, 2016, the Company adopted the First Amendment to its Amended and Restated Limited Liability Company Agreement in order to conform certain provisions thereof to the intent expressed in the registration statement filed in connection with the Company’s initial public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Shipping Containers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March 9, 2016, the Company consummated the sale of approximately 39,000 shipping containers that were subject to a direct finance lease with a major Asian shipping line. After the payoff of debt securing the containers, the Company received net proceeds of approximately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by reference to our definitive proxy statement for the 2015 annual meeting of stockholders to be filed with the Securities and Exchange Commission pursuant to Regulation 14A Exchange Act, within 120 days after the fiscal year ended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585" w:right="239" w:bottom="1440" w:gutter="0" w:footer="0" w:header="0"/>
        </w:sectPr>
      </w:pPr>
    </w:p>
    <w:bookmarkStart w:id="159" w:name="page160"/>
    <w:bookmarkEnd w:id="159"/>
    <w:p>
      <w:pPr>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our definitive proxy statement for the 2015 annual meeting of stockholders to be filed with the Securities and Exchange Commission pursuant to Regulation 14A Exchange Act, within 120 days after the fiscal year ended December 31, 2015.</w:t>
      </w:r>
    </w:p>
    <w:p>
      <w:pPr>
        <w:spacing w:after="0" w:line="200" w:lineRule="exact"/>
        <w:rPr>
          <w:sz w:val="20"/>
          <w:szCs w:val="20"/>
          <w:color w:val="auto"/>
        </w:rPr>
      </w:pPr>
    </w:p>
    <w:p>
      <w:pPr>
        <w:spacing w:after="0" w:line="29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our definitive proxy statement for the 2015 annual meeting of stockholders to be filed with the Securities and Exchange Commission pursuant to Regulation 14A Exchange Act, within 120 days after the fiscal year ended December 31, 2015.</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our definitive proxy statement for the 2015 annual meeting of stockholders to be filed with the Securities and Exchange Commission pursuant to Regulation 14A Exchange Act, within 120 days after the fiscal year ended December 31, 2015.</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our definitive proxy statement for the 2015 annual meeting of stockholders to be filed with the Securities and Exchange Commission pursuant to Regulation 14A Exchange Act, within 120 days after the fiscal year ended December 31, 2015.</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statements and schedules: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See "Financial Statements and Supplementary Data" included in Part II, Item 8 of this Form 10-K</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45" w:right="239" w:bottom="1440" w:gutter="0" w:footer="0" w:header="0"/>
        </w:sectPr>
      </w:pPr>
    </w:p>
    <w:bookmarkStart w:id="160" w:name="page161"/>
    <w:bookmarkEnd w:id="160"/>
    <w:p>
      <w:pPr>
        <w:jc w:val="center"/>
        <w:ind w:right="-1091"/>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42" w:lineRule="exact"/>
        <w:rPr>
          <w:sz w:val="20"/>
          <w:szCs w:val="20"/>
          <w:color w:val="auto"/>
        </w:rPr>
      </w:pPr>
    </w:p>
    <w:p>
      <w:pPr>
        <w:jc w:val="center"/>
        <w:ind w:right="-1091"/>
        <w:spacing w:after="0"/>
        <w:rPr>
          <w:sz w:val="20"/>
          <w:szCs w:val="20"/>
          <w:color w:val="auto"/>
        </w:rPr>
      </w:pPr>
      <w:r>
        <w:rPr>
          <w:rFonts w:ascii="Arial" w:cs="Arial" w:eastAsia="Arial" w:hAnsi="Arial"/>
          <w:sz w:val="14"/>
          <w:szCs w:val="14"/>
          <w:b w:val="1"/>
          <w:bCs w:val="1"/>
          <w:color w:val="auto"/>
        </w:rPr>
        <w:t>Fortress Transportation and Infrastructure Investors LLC</w:t>
      </w:r>
    </w:p>
    <w:p>
      <w:pPr>
        <w:spacing w:after="0" w:line="42" w:lineRule="exact"/>
        <w:rPr>
          <w:sz w:val="20"/>
          <w:szCs w:val="20"/>
          <w:color w:val="auto"/>
        </w:rPr>
      </w:pPr>
    </w:p>
    <w:p>
      <w:pPr>
        <w:jc w:val="center"/>
        <w:ind w:right="-1091"/>
        <w:spacing w:after="0"/>
        <w:rPr>
          <w:sz w:val="20"/>
          <w:szCs w:val="20"/>
          <w:color w:val="auto"/>
        </w:rPr>
      </w:pPr>
      <w:r>
        <w:rPr>
          <w:rFonts w:ascii="Arial" w:cs="Arial" w:eastAsia="Arial" w:hAnsi="Arial"/>
          <w:sz w:val="14"/>
          <w:szCs w:val="14"/>
          <w:b w:val="1"/>
          <w:bCs w:val="1"/>
          <w:color w:val="auto"/>
        </w:rPr>
        <w:t>December 31, 2015</w:t>
      </w:r>
    </w:p>
    <w:p>
      <w:pPr>
        <w:spacing w:after="0" w:line="42" w:lineRule="exact"/>
        <w:rPr>
          <w:sz w:val="20"/>
          <w:szCs w:val="20"/>
          <w:color w:val="auto"/>
        </w:rPr>
      </w:pPr>
    </w:p>
    <w:p>
      <w:pPr>
        <w:jc w:val="center"/>
        <w:ind w:right="-1091"/>
        <w:spacing w:after="0"/>
        <w:rPr>
          <w:sz w:val="20"/>
          <w:szCs w:val="20"/>
          <w:color w:val="auto"/>
        </w:rPr>
      </w:pPr>
      <w:r>
        <w:rPr>
          <w:rFonts w:ascii="Arial" w:cs="Arial" w:eastAsia="Arial" w:hAnsi="Arial"/>
          <w:sz w:val="14"/>
          <w:szCs w:val="14"/>
          <w:b w:val="1"/>
          <w:bCs w:val="1"/>
          <w:color w:val="auto"/>
        </w:rPr>
        <w:t>(Dollars in thousands)</w:t>
      </w:r>
    </w:p>
    <w:p>
      <w:pPr>
        <w:spacing w:after="0" w:line="45" w:lineRule="exact"/>
        <w:rPr>
          <w:sz w:val="20"/>
          <w:szCs w:val="20"/>
          <w:color w:val="auto"/>
        </w:rPr>
      </w:pPr>
    </w:p>
    <w:tbl>
      <w:tblPr>
        <w:tblLayout w:type="fixed"/>
        <w:tblInd w:w="1122" w:type="dxa"/>
        <w:tblCellMar>
          <w:top w:w="0" w:type="dxa"/>
          <w:left w:w="0" w:type="dxa"/>
          <w:bottom w:w="0" w:type="dxa"/>
          <w:right w:w="0" w:type="dxa"/>
        </w:tblCellMar>
      </w:tblPr>
      <w:tr>
        <w:trPr>
          <w:trHeight w:val="262"/>
        </w:trPr>
        <w:tc>
          <w:tcPr>
            <w:tcW w:w="840" w:type="dxa"/>
            <w:vAlign w:val="bottom"/>
            <w:tcBorders>
              <w:left w:val="single" w:sz="8" w:color="CCEEFF"/>
              <w:bottom w:val="single" w:sz="8" w:color="auto"/>
            </w:tcBorders>
            <w:shd w:val="clear" w:color="auto" w:fill="CCEEFF"/>
          </w:tcPr>
          <w:p>
            <w:pPr>
              <w:spacing w:after="0"/>
              <w:rPr>
                <w:sz w:val="22"/>
                <w:szCs w:val="22"/>
                <w:color w:val="auto"/>
              </w:rPr>
            </w:pPr>
          </w:p>
        </w:tc>
        <w:tc>
          <w:tcPr>
            <w:tcW w:w="14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Column A</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right w:val="single" w:sz="8" w:color="CCEEFF"/>
            </w:tcBorders>
            <w:gridSpan w:val="3"/>
            <w:shd w:val="clear" w:color="auto" w:fill="CCEEFF"/>
          </w:tcPr>
          <w:p>
            <w:pPr>
              <w:jc w:val="center"/>
              <w:ind w:right="68"/>
              <w:spacing w:after="0"/>
              <w:rPr>
                <w:sz w:val="20"/>
                <w:szCs w:val="20"/>
                <w:color w:val="auto"/>
              </w:rPr>
            </w:pPr>
            <w:r>
              <w:rPr>
                <w:rFonts w:ascii="Arial" w:cs="Arial" w:eastAsia="Arial" w:hAnsi="Arial"/>
                <w:sz w:val="14"/>
                <w:szCs w:val="14"/>
                <w:color w:val="auto"/>
                <w:w w:val="97"/>
              </w:rPr>
              <w:t>Column B</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right w:val="single" w:sz="8" w:color="CCEEFF"/>
            </w:tcBorders>
            <w:gridSpan w:val="4"/>
            <w:shd w:val="clear" w:color="auto" w:fill="CCEEFF"/>
          </w:tcPr>
          <w:p>
            <w:pPr>
              <w:ind w:left="720"/>
              <w:spacing w:after="0"/>
              <w:rPr>
                <w:sz w:val="20"/>
                <w:szCs w:val="20"/>
                <w:color w:val="auto"/>
              </w:rPr>
            </w:pPr>
            <w:r>
              <w:rPr>
                <w:rFonts w:ascii="Arial" w:cs="Arial" w:eastAsia="Arial" w:hAnsi="Arial"/>
                <w:sz w:val="14"/>
                <w:szCs w:val="14"/>
                <w:color w:val="auto"/>
              </w:rPr>
              <w:t>Column C</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righ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Column D</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center"/>
              <w:ind w:right="288"/>
              <w:spacing w:after="0"/>
              <w:rPr>
                <w:sz w:val="20"/>
                <w:szCs w:val="20"/>
                <w:color w:val="auto"/>
              </w:rPr>
            </w:pPr>
            <w:r>
              <w:rPr>
                <w:rFonts w:ascii="Arial" w:cs="Arial" w:eastAsia="Arial" w:hAnsi="Arial"/>
                <w:sz w:val="14"/>
                <w:szCs w:val="14"/>
                <w:color w:val="auto"/>
                <w:w w:val="94"/>
              </w:rPr>
              <w:t>Column 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4"/>
                <w:szCs w:val="14"/>
                <w:color w:val="auto"/>
              </w:rPr>
              <w:t>Additions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300" w:type="dxa"/>
            <w:vAlign w:val="bottom"/>
            <w:tcBorders>
              <w:left w:val="single" w:sz="8" w:color="auto"/>
              <w:right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Description</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tcBorders>
              <w:right w:val="single" w:sz="8" w:color="auto"/>
            </w:tcBorders>
            <w:gridSpan w:val="2"/>
            <w:shd w:val="clear" w:color="auto" w:fill="CCEEFF"/>
          </w:tcPr>
          <w:p>
            <w:pPr>
              <w:jc w:val="center"/>
              <w:ind w:right="248"/>
              <w:spacing w:after="0" w:line="151" w:lineRule="exact"/>
              <w:rPr>
                <w:sz w:val="20"/>
                <w:szCs w:val="20"/>
                <w:color w:val="auto"/>
              </w:rPr>
            </w:pPr>
            <w:r>
              <w:rPr>
                <w:rFonts w:ascii="Arial" w:cs="Arial" w:eastAsia="Arial" w:hAnsi="Arial"/>
                <w:sz w:val="14"/>
                <w:szCs w:val="14"/>
                <w:color w:val="auto"/>
                <w:w w:val="90"/>
              </w:rPr>
              <w:t>Balance at</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tcBorders>
              <w:right w:val="single" w:sz="8" w:color="auto"/>
            </w:tcBorders>
            <w:gridSpan w:val="2"/>
            <w:shd w:val="clear" w:color="auto" w:fill="CCEEFF"/>
          </w:tcPr>
          <w:p>
            <w:pPr>
              <w:jc w:val="right"/>
              <w:ind w:right="108"/>
              <w:spacing w:after="0" w:line="151" w:lineRule="exact"/>
              <w:rPr>
                <w:sz w:val="20"/>
                <w:szCs w:val="20"/>
                <w:color w:val="auto"/>
              </w:rPr>
            </w:pPr>
            <w:r>
              <w:rPr>
                <w:rFonts w:ascii="Arial" w:cs="Arial" w:eastAsia="Arial" w:hAnsi="Arial"/>
                <w:sz w:val="14"/>
                <w:szCs w:val="14"/>
                <w:color w:val="auto"/>
                <w:w w:val="89"/>
              </w:rPr>
              <w:t>Charged to Costs</w:t>
            </w:r>
          </w:p>
        </w:tc>
        <w:tc>
          <w:tcPr>
            <w:tcW w:w="12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jc w:val="center"/>
              <w:ind w:right="108"/>
              <w:spacing w:after="0" w:line="151" w:lineRule="exact"/>
              <w:rPr>
                <w:sz w:val="20"/>
                <w:szCs w:val="20"/>
                <w:color w:val="auto"/>
              </w:rPr>
            </w:pPr>
            <w:r>
              <w:rPr>
                <w:rFonts w:ascii="Arial" w:cs="Arial" w:eastAsia="Arial" w:hAnsi="Arial"/>
                <w:sz w:val="14"/>
                <w:szCs w:val="14"/>
                <w:color w:val="auto"/>
                <w:w w:val="92"/>
              </w:rPr>
              <w:t>Charged to</w:t>
            </w:r>
          </w:p>
        </w:tc>
        <w:tc>
          <w:tcPr>
            <w:tcW w:w="12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tcBorders>
              <w:right w:val="single" w:sz="8" w:color="auto"/>
            </w:tcBorders>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Deductions</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center"/>
              <w:ind w:right="48"/>
              <w:spacing w:after="0" w:line="151" w:lineRule="exact"/>
              <w:rPr>
                <w:sz w:val="20"/>
                <w:szCs w:val="20"/>
                <w:color w:val="auto"/>
              </w:rPr>
            </w:pPr>
            <w:r>
              <w:rPr>
                <w:rFonts w:ascii="Arial" w:cs="Arial" w:eastAsia="Arial" w:hAnsi="Arial"/>
                <w:sz w:val="14"/>
                <w:szCs w:val="14"/>
                <w:color w:val="auto"/>
                <w:w w:val="92"/>
              </w:rPr>
              <w:t>Balance at End of</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300" w:type="dxa"/>
            <w:vAlign w:val="bottom"/>
            <w:tcBorders>
              <w:left w:val="single" w:sz="8" w:color="auto"/>
              <w:right w:val="single" w:sz="8" w:color="auto"/>
            </w:tcBorders>
            <w:gridSpan w:val="3"/>
            <w:vMerge w:val="continue"/>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tcBorders>
              <w:right w:val="single" w:sz="8" w:color="auto"/>
            </w:tcBorders>
            <w:gridSpan w:val="3"/>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5"/>
              </w:rPr>
              <w:t>Beginning of Year</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tcBorders>
              <w:right w:val="single" w:sz="8" w:color="auto"/>
            </w:tcBorders>
            <w:gridSpan w:val="2"/>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99"/>
              </w:rPr>
              <w:t>and Expenses</w:t>
            </w:r>
          </w:p>
        </w:tc>
        <w:tc>
          <w:tcPr>
            <w:tcW w:w="98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Other Accounts</w:t>
            </w:r>
          </w:p>
        </w:tc>
        <w:tc>
          <w:tcPr>
            <w:tcW w:w="120" w:type="dxa"/>
            <w:vAlign w:val="bottom"/>
            <w:tcBorders>
              <w:right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20" w:type="dxa"/>
            <w:vAlign w:val="bottom"/>
            <w:tcBorders>
              <w:right w:val="single" w:sz="8" w:color="auto"/>
            </w:tcBorders>
            <w:gridSpan w:val="3"/>
            <w:vMerge w:val="continue"/>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center"/>
              <w:ind w:right="288"/>
              <w:spacing w:after="0"/>
              <w:rPr>
                <w:sz w:val="20"/>
                <w:szCs w:val="20"/>
                <w:color w:val="auto"/>
              </w:rPr>
            </w:pPr>
            <w:r>
              <w:rPr>
                <w:rFonts w:ascii="Arial" w:cs="Arial" w:eastAsia="Arial" w:hAnsi="Arial"/>
                <w:sz w:val="14"/>
                <w:szCs w:val="14"/>
                <w:color w:val="auto"/>
                <w:w w:val="87"/>
              </w:rPr>
              <w:t>Year</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right w:val="single" w:sz="8" w:color="auto"/>
            </w:tcBorders>
            <w:gridSpan w:val="3"/>
            <w:vMerge w:val="continue"/>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right w:val="single" w:sz="8" w:color="auto"/>
            </w:tcBorders>
            <w:gridSpan w:val="2"/>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gridSpan w:val="2"/>
            <w:vMerge w:val="continue"/>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500" w:type="dxa"/>
            <w:vAlign w:val="bottom"/>
            <w:gridSpan w:val="5"/>
          </w:tcPr>
          <w:p>
            <w:pPr>
              <w:ind w:left="20"/>
              <w:spacing w:after="0"/>
              <w:rPr>
                <w:sz w:val="20"/>
                <w:szCs w:val="20"/>
                <w:color w:val="auto"/>
              </w:rPr>
            </w:pPr>
            <w:r>
              <w:rPr>
                <w:rFonts w:ascii="Arial" w:cs="Arial" w:eastAsia="Arial" w:hAnsi="Arial"/>
                <w:sz w:val="14"/>
                <w:szCs w:val="14"/>
                <w:color w:val="auto"/>
              </w:rPr>
              <w:t>Year ended December 31, 2015</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00" w:type="dxa"/>
            <w:vAlign w:val="bottom"/>
            <w:tcBorders>
              <w:left w:val="single" w:sz="8" w:color="CCEEFF"/>
            </w:tcBorders>
            <w:gridSpan w:val="5"/>
            <w:shd w:val="clear" w:color="auto" w:fill="CCEEFF"/>
          </w:tcPr>
          <w:p>
            <w:pPr>
              <w:ind w:left="300"/>
              <w:spacing w:after="0"/>
              <w:rPr>
                <w:sz w:val="20"/>
                <w:szCs w:val="20"/>
                <w:color w:val="auto"/>
              </w:rPr>
            </w:pPr>
            <w:r>
              <w:rPr>
                <w:rFonts w:ascii="Arial" w:cs="Arial" w:eastAsia="Arial" w:hAnsi="Arial"/>
                <w:sz w:val="14"/>
                <w:szCs w:val="14"/>
                <w:color w:val="auto"/>
              </w:rPr>
              <w:t>Allowance for doubtful accounts   $</w:t>
            </w: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676</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3"/>
            <w:shd w:val="clear" w:color="auto" w:fill="CCEEFF"/>
          </w:tcPr>
          <w:p>
            <w:pPr>
              <w:ind w:left="480"/>
              <w:spacing w:after="0" w:line="276" w:lineRule="exact"/>
              <w:rPr>
                <w:sz w:val="20"/>
                <w:szCs w:val="20"/>
                <w:color w:val="auto"/>
              </w:rPr>
            </w:pPr>
            <w:r>
              <w:rPr>
                <w:rFonts w:ascii="Arial" w:cs="Arial" w:eastAsia="Arial" w:hAnsi="Arial"/>
                <w:sz w:val="14"/>
                <w:szCs w:val="14"/>
                <w:color w:val="auto"/>
              </w:rPr>
              <w:t xml:space="preserve">(395) </w:t>
            </w:r>
            <w:r>
              <w:rPr>
                <w:rFonts w:ascii="Arial" w:cs="Arial" w:eastAsia="Arial" w:hAnsi="Arial"/>
                <w:sz w:val="28"/>
                <w:szCs w:val="28"/>
                <w:color w:val="auto"/>
                <w:vertAlign w:val="superscript"/>
              </w:rPr>
              <w:t>(i)</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Year ended December 31, 2014</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gridSpan w:val="5"/>
          </w:tcPr>
          <w:p>
            <w:pPr>
              <w:ind w:left="300"/>
              <w:spacing w:after="0"/>
              <w:rPr>
                <w:sz w:val="20"/>
                <w:szCs w:val="20"/>
                <w:color w:val="auto"/>
              </w:rPr>
            </w:pPr>
            <w:r>
              <w:rPr>
                <w:rFonts w:ascii="Arial" w:cs="Arial" w:eastAsia="Arial" w:hAnsi="Arial"/>
                <w:sz w:val="14"/>
                <w:szCs w:val="14"/>
                <w:color w:val="auto"/>
              </w:rPr>
              <w:t>Allowance for doubtful accounts</w:t>
            </w: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3"/>
          </w:tcPr>
          <w:p>
            <w:pPr>
              <w:ind w:left="480"/>
              <w:spacing w:after="0" w:line="270" w:lineRule="exact"/>
              <w:rPr>
                <w:sz w:val="20"/>
                <w:szCs w:val="20"/>
                <w:color w:val="auto"/>
              </w:rPr>
            </w:pPr>
            <w:r>
              <w:rPr>
                <w:rFonts w:ascii="Arial" w:cs="Arial" w:eastAsia="Arial" w:hAnsi="Arial"/>
                <w:sz w:val="14"/>
                <w:szCs w:val="14"/>
                <w:color w:val="auto"/>
              </w:rPr>
              <w:t xml:space="preserve">(170) </w:t>
            </w:r>
            <w:r>
              <w:rPr>
                <w:rFonts w:ascii="Arial" w:cs="Arial" w:eastAsia="Arial" w:hAnsi="Arial"/>
                <w:sz w:val="28"/>
                <w:szCs w:val="28"/>
                <w:color w:val="auto"/>
                <w:vertAlign w:val="superscript"/>
              </w:rPr>
              <w:t>(i)</w:t>
            </w:r>
          </w:p>
        </w:tc>
        <w:tc>
          <w:tcPr>
            <w:tcW w:w="10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840" w:type="dxa"/>
            <w:vAlign w:val="bottom"/>
            <w:tcBorders>
              <w:lef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gridSpan w:val="5"/>
          </w:tcPr>
          <w:p>
            <w:pPr>
              <w:ind w:left="20"/>
              <w:spacing w:after="0"/>
              <w:rPr>
                <w:sz w:val="20"/>
                <w:szCs w:val="20"/>
                <w:color w:val="auto"/>
              </w:rPr>
            </w:pPr>
            <w:r>
              <w:rPr>
                <w:rFonts w:ascii="Arial" w:cs="Arial" w:eastAsia="Arial" w:hAnsi="Arial"/>
                <w:sz w:val="14"/>
                <w:szCs w:val="14"/>
                <w:color w:val="auto"/>
              </w:rPr>
              <w:t>Year ended December 31, 2013</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00" w:type="dxa"/>
            <w:vAlign w:val="bottom"/>
            <w:tcBorders>
              <w:left w:val="single" w:sz="8" w:color="CCEEFF"/>
            </w:tcBorders>
            <w:gridSpan w:val="5"/>
            <w:shd w:val="clear" w:color="auto" w:fill="CCEEFF"/>
          </w:tcPr>
          <w:p>
            <w:pPr>
              <w:ind w:left="300"/>
              <w:spacing w:after="0"/>
              <w:rPr>
                <w:sz w:val="20"/>
                <w:szCs w:val="20"/>
                <w:color w:val="auto"/>
              </w:rPr>
            </w:pPr>
            <w:r>
              <w:rPr>
                <w:rFonts w:ascii="Arial" w:cs="Arial" w:eastAsia="Arial" w:hAnsi="Arial"/>
                <w:sz w:val="14"/>
                <w:szCs w:val="14"/>
                <w:color w:val="auto"/>
              </w:rPr>
              <w:t>Allowance for doubtful accounts</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205740</wp:posOffset>
            </wp:positionV>
            <wp:extent cx="58318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1840" cy="171450"/>
                    </a:xfrm>
                    <a:prstGeom prst="rect">
                      <a:avLst/>
                    </a:prstGeom>
                    <a:noFill/>
                  </pic:spPr>
                </pic:pic>
              </a:graphicData>
            </a:graphic>
          </wp:anchor>
        </w:drawing>
      </w:r>
    </w:p>
    <w:p>
      <w:pPr>
        <w:spacing w:after="0" w:line="312" w:lineRule="exact"/>
        <w:rPr>
          <w:sz w:val="20"/>
          <w:szCs w:val="20"/>
          <w:color w:val="auto"/>
        </w:rPr>
      </w:pPr>
    </w:p>
    <w:p>
      <w:pPr>
        <w:ind w:left="1132"/>
        <w:spacing w:after="0"/>
        <w:tabs>
          <w:tab w:leader="none" w:pos="1392" w:val="left"/>
        </w:tabs>
        <w:rPr>
          <w:sz w:val="20"/>
          <w:szCs w:val="20"/>
          <w:color w:val="auto"/>
        </w:rPr>
      </w:pPr>
      <w:r>
        <w:rPr>
          <w:rFonts w:ascii="Arial" w:cs="Arial" w:eastAsia="Arial" w:hAnsi="Arial"/>
          <w:sz w:val="28"/>
          <w:szCs w:val="28"/>
          <w:color w:val="auto"/>
          <w:vertAlign w:val="superscript"/>
        </w:rPr>
        <w:t>(i)</w:t>
      </w:r>
      <w:r>
        <w:rPr>
          <w:sz w:val="20"/>
          <w:szCs w:val="20"/>
          <w:color w:val="auto"/>
        </w:rPr>
        <w:tab/>
      </w:r>
      <w:r>
        <w:rPr>
          <w:rFonts w:ascii="Arial" w:cs="Arial" w:eastAsia="Arial" w:hAnsi="Arial"/>
          <w:sz w:val="13"/>
          <w:szCs w:val="13"/>
          <w:color w:val="auto"/>
        </w:rPr>
        <w:t>Uncollectible accounts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167640</wp:posOffset>
            </wp:positionV>
            <wp:extent cx="583184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1840" cy="222885"/>
                    </a:xfrm>
                    <a:prstGeom prst="rect">
                      <a:avLst/>
                    </a:prstGeom>
                    <a:noFill/>
                  </pic:spPr>
                </pic:pic>
              </a:graphicData>
            </a:graphic>
          </wp:anchor>
        </w:drawing>
      </w:r>
    </w:p>
    <w:p>
      <w:pPr>
        <w:spacing w:after="0" w:line="252" w:lineRule="exact"/>
        <w:rPr>
          <w:sz w:val="20"/>
          <w:szCs w:val="20"/>
          <w:color w:val="auto"/>
        </w:rPr>
      </w:pPr>
    </w:p>
    <w:p>
      <w:pPr>
        <w:ind w:left="1132" w:right="240"/>
        <w:spacing w:after="0" w:line="253" w:lineRule="auto"/>
        <w:rPr>
          <w:sz w:val="20"/>
          <w:szCs w:val="20"/>
          <w:color w:val="auto"/>
        </w:rPr>
      </w:pPr>
      <w:r>
        <w:rPr>
          <w:rFonts w:ascii="Arial" w:cs="Arial" w:eastAsia="Arial" w:hAnsi="Arial"/>
          <w:sz w:val="14"/>
          <w:szCs w:val="14"/>
          <w:color w:val="auto"/>
        </w:rPr>
        <w:t>All other schedules are omitted because they are not applicable or not required or because the required information is included in the consolidated financial statements of the Company or the notes thereto.</w:t>
      </w:r>
    </w:p>
    <w:p>
      <w:pPr>
        <w:spacing w:after="0" w:line="200" w:lineRule="exact"/>
        <w:rPr>
          <w:sz w:val="20"/>
          <w:szCs w:val="20"/>
          <w:color w:val="auto"/>
        </w:rPr>
      </w:pPr>
    </w:p>
    <w:p>
      <w:pPr>
        <w:spacing w:after="0" w:line="221" w:lineRule="exact"/>
        <w:rPr>
          <w:sz w:val="20"/>
          <w:szCs w:val="20"/>
          <w:color w:val="auto"/>
        </w:rPr>
      </w:pPr>
    </w:p>
    <w:p>
      <w:pPr>
        <w:ind w:left="5572" w:right="3760" w:hanging="5572"/>
        <w:spacing w:after="0" w:line="606" w:lineRule="auto"/>
        <w:tabs>
          <w:tab w:leader="none" w:pos="256"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See Index to Exhibits immediately following the signature page of this this Form 10-K. 160</w:t>
      </w:r>
    </w:p>
    <w:p>
      <w:pPr>
        <w:sectPr>
          <w:pgSz w:w="11900" w:h="16838" w:orient="portrait"/>
          <w:cols w:equalWidth="0" w:num="1">
            <w:col w:w="10312"/>
          </w:cols>
          <w:pgMar w:left="248" w:top="279" w:right="133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FORTRESS TRANSPORTATION AND INFRASTRUCTURE INVESTORS LLC</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Wesley R. Edens</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Wesley R. Edens</w:t>
            </w:r>
          </w:p>
        </w:tc>
      </w:tr>
      <w:tr>
        <w:trPr>
          <w:trHeight w:val="270"/>
        </w:trPr>
        <w:tc>
          <w:tcPr>
            <w:tcW w:w="12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8"/>
        </w:trPr>
        <w:tc>
          <w:tcPr>
            <w:tcW w:w="1220" w:type="dxa"/>
            <w:vAlign w:val="bottom"/>
          </w:tcPr>
          <w:p>
            <w:pPr>
              <w:spacing w:after="0"/>
              <w:rPr>
                <w:sz w:val="20"/>
                <w:szCs w:val="20"/>
                <w:color w:val="auto"/>
              </w:rPr>
            </w:pPr>
            <w:r>
              <w:rPr>
                <w:rFonts w:ascii="Arial" w:cs="Arial" w:eastAsia="Arial" w:hAnsi="Arial"/>
                <w:sz w:val="16"/>
                <w:szCs w:val="16"/>
                <w:color w:val="auto"/>
              </w:rPr>
              <w:t>March 9, 2016</w:t>
            </w:r>
          </w:p>
        </w:tc>
        <w:tc>
          <w:tcPr>
            <w:tcW w:w="2240" w:type="dxa"/>
            <w:vAlign w:val="bottom"/>
          </w:tcPr>
          <w:p>
            <w:pPr>
              <w:spacing w:after="0"/>
              <w:rPr>
                <w:sz w:val="24"/>
                <w:szCs w:val="24"/>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206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r>
        <w:trPr>
          <w:trHeight w:val="39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56"/>
        </w:trPr>
        <w:tc>
          <w:tcPr>
            <w:tcW w:w="2060" w:type="dxa"/>
            <w:vAlign w:val="bottom"/>
          </w:tcPr>
          <w:p>
            <w:pPr>
              <w:spacing w:after="0"/>
              <w:rPr>
                <w:sz w:val="22"/>
                <w:szCs w:val="22"/>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w:t>
            </w:r>
          </w:p>
        </w:tc>
      </w:tr>
      <w:tr>
        <w:trPr>
          <w:trHeight w:val="230"/>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r>
        <w:trPr>
          <w:trHeight w:val="39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206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r>
        <w:trPr>
          <w:trHeight w:val="39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Paul R. Goodwin</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Paul R. Goodwin</w:t>
            </w:r>
          </w:p>
        </w:tc>
      </w:tr>
      <w:tr>
        <w:trPr>
          <w:trHeight w:val="270"/>
        </w:trPr>
        <w:tc>
          <w:tcPr>
            <w:tcW w:w="206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r>
        <w:trPr>
          <w:trHeight w:val="39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Ray M. Robinson</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Ray M. Robinson</w:t>
            </w:r>
          </w:p>
        </w:tc>
      </w:tr>
      <w:tr>
        <w:trPr>
          <w:trHeight w:val="270"/>
        </w:trPr>
        <w:tc>
          <w:tcPr>
            <w:tcW w:w="206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r>
        <w:trPr>
          <w:trHeight w:val="398"/>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Martin Tuchman</w:t>
            </w:r>
          </w:p>
        </w:tc>
      </w:tr>
      <w:tr>
        <w:trPr>
          <w:trHeight w:val="27"/>
        </w:trPr>
        <w:tc>
          <w:tcPr>
            <w:tcW w:w="20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Martin Tuchman</w:t>
            </w:r>
          </w:p>
        </w:tc>
      </w:tr>
      <w:tr>
        <w:trPr>
          <w:trHeight w:val="270"/>
        </w:trPr>
        <w:tc>
          <w:tcPr>
            <w:tcW w:w="206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8"/>
        </w:trPr>
        <w:tc>
          <w:tcPr>
            <w:tcW w:w="2060" w:type="dxa"/>
            <w:vAlign w:val="bottom"/>
          </w:tcPr>
          <w:p>
            <w:pPr>
              <w:spacing w:after="0"/>
              <w:rPr>
                <w:sz w:val="20"/>
                <w:szCs w:val="20"/>
                <w:color w:val="auto"/>
              </w:rPr>
            </w:pPr>
            <w:r>
              <w:rPr>
                <w:rFonts w:ascii="Arial" w:cs="Arial" w:eastAsia="Arial" w:hAnsi="Arial"/>
                <w:sz w:val="16"/>
                <w:szCs w:val="16"/>
                <w:color w:val="auto"/>
              </w:rPr>
              <w:t>March 9, 2016</w:t>
            </w:r>
          </w:p>
        </w:tc>
        <w:tc>
          <w:tcPr>
            <w:tcW w:w="3700" w:type="dxa"/>
            <w:vAlign w:val="bottom"/>
          </w:tcPr>
          <w:p>
            <w:pPr>
              <w:spacing w:after="0"/>
              <w:rPr>
                <w:sz w:val="24"/>
                <w:szCs w:val="24"/>
                <w:color w:val="auto"/>
              </w:rPr>
            </w:pPr>
          </w:p>
        </w:tc>
      </w:tr>
    </w:tbl>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553" w:right="2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Certificate of Formation (incorporated by reference to Exhibit 3.1 of Amendment No. 4 to the Company's Registration Statement on</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Form S-1, filed April 30,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Limited Liability Company Agreement of Fortress Transportation and Infrastructure Investors LLC</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(incorporated by reference to Exhibit 3.2 of the Company's Current Report on Form 8-K, filed on May 21,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3.3</w:t>
            </w:r>
          </w:p>
        </w:tc>
        <w:tc>
          <w:tcPr>
            <w:tcW w:w="9800" w:type="dxa"/>
            <w:vAlign w:val="bottom"/>
          </w:tcPr>
          <w:p>
            <w:pPr>
              <w:ind w:left="20"/>
              <w:spacing w:after="0"/>
              <w:rPr>
                <w:sz w:val="20"/>
                <w:szCs w:val="20"/>
                <w:color w:val="auto"/>
              </w:rPr>
            </w:pPr>
            <w:r>
              <w:rPr>
                <w:rFonts w:ascii="Arial" w:cs="Arial" w:eastAsia="Arial" w:hAnsi="Arial"/>
                <w:sz w:val="18"/>
                <w:szCs w:val="18"/>
                <w:color w:val="auto"/>
                <w:w w:val="96"/>
              </w:rPr>
              <w:t>First Amendment to Amended and Restated Limited Liability Company Agreement of Fortress Transportation and Infrastructure</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Investors LLC</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9800" w:type="dxa"/>
            <w:vAlign w:val="bottom"/>
          </w:tcPr>
          <w:p>
            <w:pPr>
              <w:ind w:left="20"/>
              <w:spacing w:after="0"/>
              <w:rPr>
                <w:sz w:val="20"/>
                <w:szCs w:val="20"/>
                <w:color w:val="auto"/>
              </w:rPr>
            </w:pPr>
            <w:r>
              <w:rPr>
                <w:rFonts w:ascii="Arial" w:cs="Arial" w:eastAsia="Arial" w:hAnsi="Arial"/>
                <w:sz w:val="18"/>
                <w:szCs w:val="18"/>
                <w:color w:val="auto"/>
                <w:w w:val="92"/>
              </w:rPr>
              <w:t>Fourth Amended and Restated Partnership Agreement of Fortress Worldwide Transportation and Infrastructure General Partnership</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(incorporated by reference to Exhibit 10.1 of the Company's Current Report on Form 8-K, filed on May 21,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9800" w:type="dxa"/>
            <w:vAlign w:val="bottom"/>
          </w:tcPr>
          <w:p>
            <w:pPr>
              <w:ind w:left="20"/>
              <w:spacing w:after="0"/>
              <w:rPr>
                <w:sz w:val="20"/>
                <w:szCs w:val="20"/>
                <w:color w:val="auto"/>
              </w:rPr>
            </w:pPr>
            <w:r>
              <w:rPr>
                <w:rFonts w:ascii="Arial" w:cs="Arial" w:eastAsia="Arial" w:hAnsi="Arial"/>
                <w:sz w:val="18"/>
                <w:szCs w:val="18"/>
                <w:color w:val="auto"/>
                <w:w w:val="92"/>
              </w:rPr>
              <w:t>Management and Advisory Agreement, dated as of May 20, 2015, between Fortress Transportation and Infrastructure Investors LLC</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w w:val="97"/>
              </w:rPr>
              <w:t>and FIG LLC (incorporated by reference to Exhibit 10.2 of the Company's Current Report on Form 8-K, filed on May 21,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9800" w:type="dxa"/>
            <w:vAlign w:val="bottom"/>
          </w:tcPr>
          <w:p>
            <w:pPr>
              <w:ind w:left="20"/>
              <w:spacing w:after="0"/>
              <w:rPr>
                <w:sz w:val="20"/>
                <w:szCs w:val="20"/>
                <w:color w:val="auto"/>
              </w:rPr>
            </w:pPr>
            <w:r>
              <w:rPr>
                <w:rFonts w:ascii="Arial" w:cs="Arial" w:eastAsia="Arial" w:hAnsi="Arial"/>
                <w:sz w:val="18"/>
                <w:szCs w:val="18"/>
                <w:color w:val="auto"/>
                <w:w w:val="96"/>
              </w:rPr>
              <w:t>Fortress Transportation and Infrastructure Investors LLC Nonqualified Stock Option and Incentive Award Plan (incorporated by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reference to Exhibit 10.4 of the Company's Current Report on Form 8-K, filed on May 21,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Registration Rights Agreement, dated as of May 20, 2015, among Fortress Transportation and Infrastructure Investors LLC, FIG LLC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800" w:type="dxa"/>
            <w:vAlign w:val="bottom"/>
          </w:tcPr>
          <w:p>
            <w:pPr>
              <w:ind w:left="20"/>
              <w:spacing w:after="0"/>
              <w:rPr>
                <w:sz w:val="20"/>
                <w:szCs w:val="20"/>
                <w:color w:val="auto"/>
              </w:rPr>
            </w:pPr>
            <w:r>
              <w:rPr>
                <w:rFonts w:ascii="Arial" w:cs="Arial" w:eastAsia="Arial" w:hAnsi="Arial"/>
                <w:sz w:val="18"/>
                <w:szCs w:val="18"/>
                <w:color w:val="auto"/>
                <w:w w:val="93"/>
              </w:rPr>
              <w:t>and Fortress Transportation and Infrastructure Master GP LLC (incorporated by reference to Exhibit 10.3 of the Company's Current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filed on May 21, 2015).</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9800" w:type="dxa"/>
            <w:vAlign w:val="bottom"/>
          </w:tcPr>
          <w:p>
            <w:pPr>
              <w:ind w:left="20"/>
              <w:spacing w:after="0"/>
              <w:rPr>
                <w:sz w:val="20"/>
                <w:szCs w:val="20"/>
                <w:color w:val="auto"/>
              </w:rPr>
            </w:pPr>
            <w:r>
              <w:rPr>
                <w:rFonts w:ascii="Arial" w:cs="Arial" w:eastAsia="Arial" w:hAnsi="Arial"/>
                <w:sz w:val="18"/>
                <w:szCs w:val="18"/>
                <w:color w:val="auto"/>
                <w:w w:val="93"/>
              </w:rPr>
              <w:t>Form of director and officer indemnification agreement of Fortress Transportation and Infrastructure Investors LLC (incorporated by</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reference to Exhibit 10.5 of Amendment No. 4 to the Company's Registration Statement on Form S-1, filed April 30, 2015).</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Credit Agreement, dated as of August 27, 2014, among Morgan Stanley Senior Funding, Inc., as administrative agent, Jefferson Gulf</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Coast Energy Partners LLC and the other lenders party thereto (incorporated by reference to Exhibit 10.6 of Amendment No. 4 to the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Company's Registration Statement on Form S-1, filed April 30, 2015).</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10.7</w:t>
            </w:r>
          </w:p>
        </w:tc>
        <w:tc>
          <w:tcPr>
            <w:tcW w:w="9800" w:type="dxa"/>
            <w:vAlign w:val="bottom"/>
          </w:tcPr>
          <w:p>
            <w:pPr>
              <w:ind w:left="20"/>
              <w:spacing w:after="0"/>
              <w:rPr>
                <w:sz w:val="20"/>
                <w:szCs w:val="20"/>
                <w:color w:val="auto"/>
              </w:rPr>
            </w:pPr>
            <w:r>
              <w:rPr>
                <w:rFonts w:ascii="Arial" w:cs="Arial" w:eastAsia="Arial" w:hAnsi="Arial"/>
                <w:sz w:val="18"/>
                <w:szCs w:val="18"/>
                <w:color w:val="auto"/>
              </w:rPr>
              <w:t>Trust Indenture and Security Agreement between the District and The Bank of New York Mellon Trust Company, National</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800" w:type="dxa"/>
            <w:vAlign w:val="bottom"/>
            <w:vMerge w:val="restart"/>
          </w:tcPr>
          <w:p>
            <w:pPr>
              <w:ind w:left="20"/>
              <w:spacing w:after="0"/>
              <w:rPr>
                <w:sz w:val="20"/>
                <w:szCs w:val="20"/>
                <w:color w:val="auto"/>
              </w:rPr>
            </w:pPr>
            <w:r>
              <w:rPr>
                <w:rFonts w:ascii="Arial" w:cs="Arial" w:eastAsia="Arial" w:hAnsi="Arial"/>
                <w:sz w:val="18"/>
                <w:szCs w:val="18"/>
                <w:color w:val="auto"/>
              </w:rPr>
              <w:t>Association, dated as of February 1, 2016.</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Standby Bond Purchase Agreement among the Port of Beaumont Navigation District of Jefferson County, Texas, The Bank of New</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9800" w:type="dxa"/>
            <w:vAlign w:val="bottom"/>
          </w:tcPr>
          <w:p>
            <w:pPr>
              <w:ind w:left="20"/>
              <w:spacing w:after="0"/>
              <w:rPr>
                <w:sz w:val="20"/>
                <w:szCs w:val="20"/>
                <w:color w:val="auto"/>
              </w:rPr>
            </w:pPr>
            <w:r>
              <w:rPr>
                <w:rFonts w:ascii="Arial" w:cs="Arial" w:eastAsia="Arial" w:hAnsi="Arial"/>
                <w:sz w:val="18"/>
                <w:szCs w:val="18"/>
                <w:color w:val="auto"/>
                <w:w w:val="95"/>
              </w:rPr>
              <w:t>York Mellon Trust Company, National Association, Jefferson Railport Terminal II Holdings LLC and Jefferson Railport Terminal II</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LLC dated as of February 1, 2016.</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Capital Call Agreement, by and among Fortress Transportation and Infrastructure Investors LLC, FTAI Energy Holdings LLC, FTAI</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9800" w:type="dxa"/>
            <w:vAlign w:val="bottom"/>
          </w:tcPr>
          <w:p>
            <w:pPr>
              <w:ind w:left="20"/>
              <w:spacing w:after="0"/>
              <w:rPr>
                <w:sz w:val="20"/>
                <w:szCs w:val="20"/>
                <w:color w:val="auto"/>
              </w:rPr>
            </w:pPr>
            <w:r>
              <w:rPr>
                <w:rFonts w:ascii="Arial" w:cs="Arial" w:eastAsia="Arial" w:hAnsi="Arial"/>
                <w:sz w:val="18"/>
                <w:szCs w:val="18"/>
                <w:color w:val="auto"/>
                <w:w w:val="95"/>
              </w:rPr>
              <w:t>Partner Holdings LLC, FTAI Midstream GP Holdings LLC, FTAI Midstream GP LLC, FTAI Midstream Holdings LLC, FTAI Energy</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Partners LLC and Jefferson Railport Terminal II Holdings LLC, dated as of February 1, 2016.</w:t>
            </w: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40" w:type="dxa"/>
            <w:vAlign w:val="bottom"/>
            <w:vMerge w:val="restart"/>
          </w:tcPr>
          <w:p>
            <w:pPr>
              <w:jc w:val="right"/>
              <w:ind w:right="150"/>
              <w:spacing w:after="0"/>
              <w:rPr>
                <w:sz w:val="20"/>
                <w:szCs w:val="20"/>
                <w:color w:val="auto"/>
              </w:rPr>
            </w:pPr>
            <w:r>
              <w:rPr>
                <w:rFonts w:ascii="Arial" w:cs="Arial" w:eastAsia="Arial" w:hAnsi="Arial"/>
                <w:sz w:val="18"/>
                <w:szCs w:val="18"/>
                <w:color w:val="auto"/>
                <w:w w:val="84"/>
              </w:rPr>
              <w:t>10.10</w:t>
            </w:r>
          </w:p>
        </w:tc>
        <w:tc>
          <w:tcPr>
            <w:tcW w:w="9460" w:type="dxa"/>
            <w:vAlign w:val="bottom"/>
          </w:tcPr>
          <w:p>
            <w:pPr>
              <w:ind w:left="220"/>
              <w:spacing w:after="0"/>
              <w:rPr>
                <w:sz w:val="20"/>
                <w:szCs w:val="20"/>
                <w:color w:val="auto"/>
              </w:rPr>
            </w:pPr>
            <w:r>
              <w:rPr>
                <w:rFonts w:ascii="Arial" w:cs="Arial" w:eastAsia="Arial" w:hAnsi="Arial"/>
                <w:sz w:val="18"/>
                <w:szCs w:val="18"/>
                <w:color w:val="auto"/>
                <w:w w:val="92"/>
              </w:rPr>
              <w:t>Fee and Support Agreement, among FTAI Energy Holdings LLC, FEP Terminal Holdings LLC, FTAI Energy Partners LLC and</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460" w:type="dxa"/>
            <w:vAlign w:val="bottom"/>
            <w:vMerge w:val="restart"/>
          </w:tcPr>
          <w:p>
            <w:pPr>
              <w:ind w:left="220"/>
              <w:spacing w:after="0"/>
              <w:rPr>
                <w:sz w:val="20"/>
                <w:szCs w:val="20"/>
                <w:color w:val="auto"/>
              </w:rPr>
            </w:pPr>
            <w:r>
              <w:rPr>
                <w:rFonts w:ascii="Arial" w:cs="Arial" w:eastAsia="Arial" w:hAnsi="Arial"/>
                <w:sz w:val="18"/>
                <w:szCs w:val="18"/>
                <w:color w:val="auto"/>
              </w:rPr>
              <w:t>Jefferson Railport Terminal II LLC, dated as of March 7, 2016.</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20"/>
          </w:cols>
          <w:pgMar w:left="440" w:top="553" w:right="239" w:bottom="1440" w:gutter="0" w:footer="0" w:header="0"/>
        </w:sectPr>
      </w:pPr>
    </w:p>
    <w:p>
      <w:pPr>
        <w:spacing w:after="0" w:line="1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10.11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10.12</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21.1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Lease and Development Agreement (Facilities Lease), dated as of February 1, 2016, by and between the Port of Beaumont Navigation District of Jefferson County, Texas and Jefferson Railport Terminal II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Deed of Trust of Jefferson Railport Terminal II LLC, dated as of February 1,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Fortress Transportation and Infrastructure Investors LLC.</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Certification of Chief Executive Officer pursuant to Rule 13a-14(a)/15d-14(a), as adopted pursuant to Section 302 of the Sarbanes-Oxley Act of 2002.</w:t>
      </w:r>
    </w:p>
    <w:p>
      <w:pPr>
        <w:spacing w:after="0" w:line="8" w:lineRule="exact"/>
        <w:rPr>
          <w:sz w:val="20"/>
          <w:szCs w:val="20"/>
          <w:color w:val="auto"/>
        </w:rPr>
      </w:pPr>
    </w:p>
    <w:p>
      <w:pPr>
        <w:sectPr>
          <w:pgSz w:w="11900" w:h="16838" w:orient="portrait"/>
          <w:cols w:equalWidth="0" w:num="2">
            <w:col w:w="980" w:space="460"/>
            <w:col w:w="9780"/>
          </w:cols>
          <w:pgMar w:left="440" w:top="553" w:right="239" w:bottom="1440" w:gutter="0" w:footer="0" w:header="0"/>
          <w:type w:val="continuous"/>
        </w:sectPr>
      </w:pPr>
    </w:p>
    <w:tbl>
      <w:tblPr>
        <w:tblLayout w:type="fixed"/>
        <w:tblInd w:w="620" w:type="dxa"/>
        <w:tblCellMar>
          <w:top w:w="0" w:type="dxa"/>
          <w:left w:w="0" w:type="dxa"/>
          <w:bottom w:w="0" w:type="dxa"/>
          <w:right w:w="0" w:type="dxa"/>
        </w:tblCellMar>
      </w:tblPr>
      <w:tr>
        <w:trPr>
          <w:trHeight w:val="216"/>
        </w:trPr>
        <w:tc>
          <w:tcPr>
            <w:tcW w:w="580" w:type="dxa"/>
            <w:vAlign w:val="bottom"/>
            <w:vMerge w:val="restart"/>
          </w:tcPr>
          <w:p>
            <w:pPr>
              <w:jc w:val="right"/>
              <w:ind w:right="170"/>
              <w:spacing w:after="0"/>
              <w:rPr>
                <w:sz w:val="20"/>
                <w:szCs w:val="20"/>
                <w:color w:val="auto"/>
              </w:rPr>
            </w:pPr>
            <w:r>
              <w:rPr>
                <w:rFonts w:ascii="Arial" w:cs="Arial" w:eastAsia="Arial" w:hAnsi="Arial"/>
                <w:sz w:val="18"/>
                <w:szCs w:val="18"/>
                <w:color w:val="auto"/>
                <w:w w:val="85"/>
              </w:rPr>
              <w:t>31.2</w:t>
            </w:r>
          </w:p>
        </w:tc>
        <w:tc>
          <w:tcPr>
            <w:tcW w:w="9980" w:type="dxa"/>
            <w:vAlign w:val="bottom"/>
          </w:tcPr>
          <w:p>
            <w:pPr>
              <w:ind w:left="240"/>
              <w:spacing w:after="0"/>
              <w:rPr>
                <w:sz w:val="20"/>
                <w:szCs w:val="20"/>
                <w:color w:val="auto"/>
              </w:rPr>
            </w:pPr>
            <w:r>
              <w:rPr>
                <w:rFonts w:ascii="Arial" w:cs="Arial" w:eastAsia="Arial" w:hAnsi="Arial"/>
                <w:sz w:val="18"/>
                <w:szCs w:val="18"/>
                <w:color w:val="auto"/>
                <w:w w:val="94"/>
              </w:rPr>
              <w:t>Certification of Chief Financial Officer pursuant to Rule 13a-14(a)/15d-14(a), as adopted pursuant to Section 302 of the Sarbanes-</w:t>
            </w:r>
          </w:p>
        </w:tc>
        <w:tc>
          <w:tcPr>
            <w:tcW w:w="0" w:type="dxa"/>
            <w:vAlign w:val="bottom"/>
          </w:tcPr>
          <w:p>
            <w:pPr>
              <w:spacing w:after="0"/>
              <w:rPr>
                <w:sz w:val="1"/>
                <w:szCs w:val="1"/>
                <w:color w:val="auto"/>
              </w:rPr>
            </w:pPr>
          </w:p>
        </w:tc>
      </w:tr>
      <w:tr>
        <w:trPr>
          <w:trHeight w:val="122"/>
        </w:trPr>
        <w:tc>
          <w:tcPr>
            <w:tcW w:w="580" w:type="dxa"/>
            <w:vAlign w:val="bottom"/>
            <w:vMerge w:val="continue"/>
          </w:tcPr>
          <w:p>
            <w:pPr>
              <w:spacing w:after="0"/>
              <w:rPr>
                <w:sz w:val="10"/>
                <w:szCs w:val="10"/>
                <w:color w:val="auto"/>
              </w:rPr>
            </w:pPr>
          </w:p>
        </w:tc>
        <w:tc>
          <w:tcPr>
            <w:tcW w:w="9980" w:type="dxa"/>
            <w:vAlign w:val="bottom"/>
            <w:vMerge w:val="restart"/>
          </w:tcPr>
          <w:p>
            <w:pPr>
              <w:ind w:left="24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80" w:type="dxa"/>
            <w:vAlign w:val="bottom"/>
            <w:vMerge w:val="restart"/>
          </w:tcPr>
          <w:p>
            <w:pPr>
              <w:jc w:val="right"/>
              <w:ind w:right="170"/>
              <w:spacing w:after="0"/>
              <w:rPr>
                <w:sz w:val="20"/>
                <w:szCs w:val="20"/>
                <w:color w:val="auto"/>
              </w:rPr>
            </w:pPr>
            <w:r>
              <w:rPr>
                <w:rFonts w:ascii="Arial" w:cs="Arial" w:eastAsia="Arial" w:hAnsi="Arial"/>
                <w:sz w:val="18"/>
                <w:szCs w:val="18"/>
                <w:color w:val="auto"/>
                <w:w w:val="85"/>
              </w:rPr>
              <w:t>32.1</w:t>
            </w:r>
          </w:p>
        </w:tc>
        <w:tc>
          <w:tcPr>
            <w:tcW w:w="998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22"/>
        </w:trPr>
        <w:tc>
          <w:tcPr>
            <w:tcW w:w="580" w:type="dxa"/>
            <w:vAlign w:val="bottom"/>
            <w:vMerge w:val="continue"/>
          </w:tcPr>
          <w:p>
            <w:pPr>
              <w:spacing w:after="0"/>
              <w:rPr>
                <w:sz w:val="10"/>
                <w:szCs w:val="10"/>
                <w:color w:val="auto"/>
              </w:rPr>
            </w:pPr>
          </w:p>
        </w:tc>
        <w:tc>
          <w:tcPr>
            <w:tcW w:w="9980" w:type="dxa"/>
            <w:vAlign w:val="bottom"/>
            <w:vMerge w:val="restart"/>
          </w:tcPr>
          <w:p>
            <w:pPr>
              <w:ind w:left="24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20"/>
          </w:cols>
          <w:pgMar w:left="440" w:top="553" w:right="239" w:bottom="1440" w:gutter="0" w:footer="0" w:header="0"/>
          <w:type w:val="continuous"/>
        </w:sectPr>
      </w:pPr>
    </w:p>
    <w:p>
      <w:pPr>
        <w:spacing w:after="0" w:line="1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32.2</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101.INS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00" w:lineRule="exact"/>
        <w:rPr>
          <w:sz w:val="20"/>
          <w:szCs w:val="20"/>
          <w:color w:val="auto"/>
        </w:rPr>
      </w:pPr>
    </w:p>
    <w:p>
      <w:pPr>
        <w:sectPr>
          <w:pgSz w:w="11900" w:h="16838" w:orient="portrait"/>
          <w:cols w:equalWidth="0" w:num="2">
            <w:col w:w="1120" w:space="320"/>
            <w:col w:w="9780"/>
          </w:cols>
          <w:pgMar w:left="440" w:top="553" w:right="239" w:bottom="1440" w:gutter="0" w:footer="0" w:header="0"/>
          <w:type w:val="continuous"/>
        </w:sectPr>
      </w:pPr>
    </w:p>
    <w:p>
      <w:pPr>
        <w:spacing w:after="0" w:line="79"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220"/>
          </w:cols>
          <w:pgMar w:left="440" w:top="553" w:right="239" w:bottom="1440" w:gutter="0" w:footer="0" w:header="0"/>
          <w:type w:val="continuous"/>
        </w:sectPr>
      </w:pPr>
    </w:p>
    <w:bookmarkStart w:id="163" w:name="page164"/>
    <w:bookmarkEnd w:id="163"/>
    <w:tbl>
      <w:tblPr>
        <w:tblLayout w:type="fixed"/>
        <w:tblInd w:w="447"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70"/>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56" w:lineRule="exact"/>
        <w:rPr>
          <w:sz w:val="20"/>
          <w:szCs w:val="20"/>
          <w:color w:val="auto"/>
        </w:rPr>
      </w:pPr>
    </w:p>
    <w:p>
      <w:pPr>
        <w:ind w:left="307" w:hanging="307"/>
        <w:spacing w:after="0"/>
        <w:tabs>
          <w:tab w:leader="none" w:pos="3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contracts and compensatory plans or arrangements.</w:t>
      </w:r>
    </w:p>
    <w:p>
      <w:pPr>
        <w:spacing w:after="0" w:line="200" w:lineRule="exact"/>
        <w:rPr>
          <w:sz w:val="20"/>
          <w:szCs w:val="20"/>
          <w:color w:val="auto"/>
        </w:rPr>
      </w:pPr>
    </w:p>
    <w:p>
      <w:pPr>
        <w:spacing w:after="0" w:line="295" w:lineRule="exact"/>
        <w:rPr>
          <w:sz w:val="20"/>
          <w:szCs w:val="20"/>
          <w:color w:val="auto"/>
        </w:rPr>
      </w:pPr>
    </w:p>
    <w:p>
      <w:pPr>
        <w:ind w:left="5387"/>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027"/>
          </w:cols>
          <w:pgMar w:left="433" w:top="287"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Exhibit 3.3</w:t>
      </w:r>
    </w:p>
    <w:p>
      <w:pPr>
        <w:spacing w:after="0" w:line="33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FIRST AMENDMENT TO AMENDED AND RESTATED LIMITED LIABILITY COMPANY AGREEMENT OF FORTRESS TRANSPORTATION AND INFRASTRUCTURE INVESTORS LLC</w:t>
      </w:r>
    </w:p>
    <w:p>
      <w:pPr>
        <w:spacing w:after="0" w:line="2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First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Amended and Restated Limited Liability Company Agreement of Fortress Transportation and Infrastructure Investors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May 20, 2015 (the “</w:t>
      </w:r>
      <w:r>
        <w:rPr>
          <w:rFonts w:ascii="Arial" w:cs="Arial" w:eastAsia="Arial" w:hAnsi="Arial"/>
          <w:sz w:val="18"/>
          <w:szCs w:val="18"/>
          <w:u w:val="single" w:color="auto"/>
          <w:color w:val="auto"/>
        </w:rPr>
        <w:t>LLC Agreement</w:t>
      </w:r>
      <w:r>
        <w:rPr>
          <w:rFonts w:ascii="Arial" w:cs="Arial" w:eastAsia="Arial" w:hAnsi="Arial"/>
          <w:sz w:val="18"/>
          <w:szCs w:val="18"/>
          <w:color w:val="auto"/>
        </w:rPr>
        <w:t>”), is executed as of March 8, 2016 (the “</w:t>
      </w:r>
      <w:r>
        <w:rPr>
          <w:rFonts w:ascii="Arial" w:cs="Arial" w:eastAsia="Arial" w:hAnsi="Arial"/>
          <w:sz w:val="18"/>
          <w:szCs w:val="18"/>
          <w:u w:val="single" w:color="auto"/>
          <w:color w:val="auto"/>
        </w:rPr>
        <w:t>Amendment Date</w:t>
      </w:r>
      <w:r>
        <w:rPr>
          <w:rFonts w:ascii="Arial" w:cs="Arial" w:eastAsia="Arial" w:hAnsi="Arial"/>
          <w:sz w:val="18"/>
          <w:szCs w:val="18"/>
          <w:color w:val="auto"/>
        </w:rPr>
        <w:t>”). Capitalized terms used herein without definition shall have the respective meanings ascribed thereto in the LLC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3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pursuant to Section 9.3(d)(v) of the LLC Agreement, the Board of Directors, without the approval of any Member, may amend any provision of the LLC Agreement, and execute, swear to, acknowledge, deliver, file and record whatever documents may be required in connection therewith, to reflect a change that, in the sole discretion of the Board of Directors, it determines is required to effect the intent expressed in the Registration Statement;</w:t>
      </w:r>
    </w:p>
    <w:p>
      <w:pPr>
        <w:spacing w:after="0" w:line="25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Registration Statement states that the LLC Agreement provides that the Directors will not be personally liable to the Company or the Members for monetary damages for breach of a fiduciary duty as a Director, except to the extent such exemption is not permitted under the Delaware Act;</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has approved this Amendment in accordance with Section 9.3(d) of the LLC Agreement in order to effect the intent expressed in the foregoing statement in the Registration Statement; and</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accordance with Section 2.6(a) of the LLC Agreement, this Amendment shall become immediately effective upon its execution by an authorized officer of the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w:t>
      </w:r>
    </w:p>
    <w:p>
      <w:pPr>
        <w:spacing w:after="0" w:line="337"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Section 5.19 of the LLC Agreement is hereby amended to add the following:</w:t>
      </w:r>
    </w:p>
    <w:p>
      <w:pPr>
        <w:spacing w:after="0" w:line="117"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(n) </w:t>
      </w:r>
      <w:r>
        <w:rPr>
          <w:rFonts w:ascii="Arial" w:cs="Arial" w:eastAsia="Arial" w:hAnsi="Arial"/>
          <w:sz w:val="18"/>
          <w:szCs w:val="18"/>
          <w:u w:val="single" w:color="auto"/>
          <w:color w:val="auto"/>
        </w:rPr>
        <w:t>Exculpation</w:t>
      </w:r>
      <w:r>
        <w:rPr>
          <w:rFonts w:ascii="Arial" w:cs="Arial" w:eastAsia="Arial" w:hAnsi="Arial"/>
          <w:sz w:val="18"/>
          <w:szCs w:val="18"/>
          <w:color w:val="auto"/>
        </w:rPr>
        <w:t>. Notwithstanding anything contained in this Agreement to the contrary, to the fullest extent permitted by the Delaware Act, no Director will be personally liable to the Company or the Members for monetary damages for breach of a fiduciary duty as a Director, except to the extent such exemption is not permitted under the Delaware Act.</w:t>
      </w:r>
    </w:p>
    <w:p>
      <w:pPr>
        <w:spacing w:after="0" w:line="2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specifically amended hereby, the terms, covenants, provisions and conditions of the LLC Agreement shall remain unmodified and continue in full force and effect and, except as amended hereby, all of the terms, covenants, provisions and conditions of the Agreement are hereby ratified and confirmed in all respects.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Amendment, effective as of March 8, 2016.</w:t>
      </w:r>
    </w:p>
    <w:p>
      <w:pPr>
        <w:spacing w:after="0" w:line="32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28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Jonathan G. Atkeson</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Jonathan G. Atkeson</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88" w:right="23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TRUST INDENTURE AND SECURITY AGREEMENT</w:t>
      </w: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PORT OF BEAUMONT NAVIGATION DISTRICT OF JEFFERSON COUNTY, TEXAS</w:t>
      </w: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ind w:left="240" w:right="279"/>
        <w:spacing w:after="0" w:line="269" w:lineRule="auto"/>
        <w:rPr>
          <w:sz w:val="20"/>
          <w:szCs w:val="20"/>
          <w:color w:val="auto"/>
        </w:rPr>
      </w:pPr>
      <w:r>
        <w:rPr>
          <w:rFonts w:ascii="Arial" w:cs="Arial" w:eastAsia="Arial" w:hAnsi="Arial"/>
          <w:sz w:val="22"/>
          <w:szCs w:val="22"/>
          <w:b w:val="1"/>
          <w:bCs w:val="1"/>
          <w:color w:val="auto"/>
        </w:rPr>
        <w:t>THE BANK OF NEW YORK MELLON TRUST COMPANY,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Relating to</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$144,200,000</w:t>
      </w:r>
    </w:p>
    <w:p>
      <w:pPr>
        <w:spacing w:after="0" w:line="28" w:lineRule="exact"/>
        <w:rPr>
          <w:sz w:val="20"/>
          <w:szCs w:val="20"/>
          <w:color w:val="auto"/>
        </w:rPr>
      </w:pPr>
    </w:p>
    <w:p>
      <w:pPr>
        <w:jc w:val="center"/>
        <w:ind w:left="240" w:right="279"/>
        <w:spacing w:after="0" w:line="245" w:lineRule="auto"/>
        <w:rPr>
          <w:sz w:val="20"/>
          <w:szCs w:val="20"/>
          <w:color w:val="auto"/>
        </w:rPr>
      </w:pPr>
      <w:r>
        <w:rPr>
          <w:rFonts w:ascii="Arial" w:cs="Arial" w:eastAsia="Arial" w:hAnsi="Arial"/>
          <w:sz w:val="22"/>
          <w:szCs w:val="22"/>
          <w:b w:val="1"/>
          <w:bCs w:val="1"/>
          <w:color w:val="auto"/>
        </w:rPr>
        <w:t>Port of Beaumont Navigation District of Jefferson County, Texas Dock and Wharf Facility Revenue Bonds, Series 2016 (Jefferson Energy Companies Project)</w:t>
      </w:r>
    </w:p>
    <w:p>
      <w:pPr>
        <w:spacing w:after="0" w:line="201"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Dated as of</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February 1, 2016</w:t>
      </w:r>
    </w:p>
    <w:p>
      <w:pPr>
        <w:sectPr>
          <w:pgSz w:w="11900" w:h="16838" w:orient="portrait"/>
          <w:cols w:equalWidth="0" w:num="1">
            <w:col w:w="9019"/>
          </w:cols>
          <w:pgMar w:left="1440" w:top="625" w:right="1440" w:bottom="1440" w:gutter="0" w:footer="0" w:header="0"/>
        </w:sectPr>
      </w:pPr>
    </w:p>
    <w:bookmarkStart w:id="166" w:name="page167"/>
    <w:bookmarkEnd w:id="166"/>
    <w:p>
      <w:pPr>
        <w:jc w:val="center"/>
        <w:ind w:right="100"/>
        <w:spacing w:after="0"/>
        <w:rPr>
          <w:sz w:val="20"/>
          <w:szCs w:val="20"/>
          <w:color w:val="auto"/>
        </w:rPr>
      </w:pPr>
      <w:r>
        <w:rPr>
          <w:rFonts w:ascii="Arial" w:cs="Arial" w:eastAsia="Arial" w:hAnsi="Arial"/>
          <w:sz w:val="22"/>
          <w:szCs w:val="22"/>
          <w:u w:val="single" w:color="auto"/>
          <w:color w:val="auto"/>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875"/>
        </w:trPr>
        <w:tc>
          <w:tcPr>
            <w:tcW w:w="10160" w:type="dxa"/>
            <w:vAlign w:val="bottom"/>
            <w:gridSpan w:val="2"/>
          </w:tcPr>
          <w:p>
            <w:pPr>
              <w:spacing w:after="0"/>
              <w:rPr>
                <w:sz w:val="20"/>
                <w:szCs w:val="20"/>
                <w:color w:val="auto"/>
              </w:rPr>
            </w:pPr>
            <w:r>
              <w:rPr>
                <w:rFonts w:ascii="Arial" w:cs="Arial" w:eastAsia="Arial" w:hAnsi="Arial"/>
                <w:sz w:val="20"/>
                <w:szCs w:val="20"/>
                <w:color w:val="auto"/>
              </w:rPr>
              <w:t>ARTICLE I DEFINITIONS AND OTHER PROVISIONS OF GENERAL APPLICATION</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1.01</w:t>
            </w:r>
          </w:p>
        </w:tc>
        <w:tc>
          <w:tcPr>
            <w:tcW w:w="7340" w:type="dxa"/>
            <w:vAlign w:val="bottom"/>
          </w:tcPr>
          <w:p>
            <w:pPr>
              <w:ind w:left="580"/>
              <w:spacing w:after="0"/>
              <w:rPr>
                <w:sz w:val="20"/>
                <w:szCs w:val="20"/>
                <w:color w:val="auto"/>
              </w:rPr>
            </w:pPr>
            <w:r>
              <w:rPr>
                <w:rFonts w:ascii="Arial" w:cs="Arial" w:eastAsia="Arial" w:hAnsi="Arial"/>
                <w:sz w:val="20"/>
                <w:szCs w:val="20"/>
                <w:color w:val="auto"/>
              </w:rPr>
              <w:t>Definitions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1.02</w:t>
            </w:r>
          </w:p>
        </w:tc>
        <w:tc>
          <w:tcPr>
            <w:tcW w:w="7340" w:type="dxa"/>
            <w:vAlign w:val="bottom"/>
          </w:tcPr>
          <w:p>
            <w:pPr>
              <w:ind w:left="580"/>
              <w:spacing w:after="0"/>
              <w:rPr>
                <w:sz w:val="20"/>
                <w:szCs w:val="20"/>
                <w:color w:val="auto"/>
              </w:rPr>
            </w:pPr>
            <w:r>
              <w:rPr>
                <w:rFonts w:ascii="Arial" w:cs="Arial" w:eastAsia="Arial" w:hAnsi="Arial"/>
                <w:sz w:val="20"/>
                <w:szCs w:val="20"/>
                <w:color w:val="auto"/>
              </w:rPr>
              <w:t>Effect of Headings and Table of Contents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1.03</w:t>
            </w:r>
          </w:p>
        </w:tc>
        <w:tc>
          <w:tcPr>
            <w:tcW w:w="7340" w:type="dxa"/>
            <w:vAlign w:val="bottom"/>
          </w:tcPr>
          <w:p>
            <w:pPr>
              <w:ind w:left="580"/>
              <w:spacing w:after="0"/>
              <w:rPr>
                <w:sz w:val="20"/>
                <w:szCs w:val="20"/>
                <w:color w:val="auto"/>
              </w:rPr>
            </w:pPr>
            <w:r>
              <w:rPr>
                <w:rFonts w:ascii="Arial" w:cs="Arial" w:eastAsia="Arial" w:hAnsi="Arial"/>
                <w:sz w:val="20"/>
                <w:szCs w:val="20"/>
                <w:color w:val="auto"/>
              </w:rPr>
              <w:t>Form of Documents Delivered to Trustee</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1.04</w:t>
            </w:r>
          </w:p>
        </w:tc>
        <w:tc>
          <w:tcPr>
            <w:tcW w:w="7340" w:type="dxa"/>
            <w:vAlign w:val="bottom"/>
          </w:tcPr>
          <w:p>
            <w:pPr>
              <w:ind w:left="580"/>
              <w:spacing w:after="0"/>
              <w:rPr>
                <w:sz w:val="20"/>
                <w:szCs w:val="20"/>
                <w:color w:val="auto"/>
              </w:rPr>
            </w:pPr>
            <w:r>
              <w:rPr>
                <w:rFonts w:ascii="Arial" w:cs="Arial" w:eastAsia="Arial" w:hAnsi="Arial"/>
                <w:sz w:val="20"/>
                <w:szCs w:val="20"/>
                <w:color w:val="auto"/>
              </w:rPr>
              <w:t>Acts of Bondholders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1.05</w:t>
            </w:r>
          </w:p>
        </w:tc>
        <w:tc>
          <w:tcPr>
            <w:tcW w:w="7340" w:type="dxa"/>
            <w:vAlign w:val="bottom"/>
          </w:tcPr>
          <w:p>
            <w:pPr>
              <w:ind w:left="580"/>
              <w:spacing w:after="0"/>
              <w:rPr>
                <w:sz w:val="20"/>
                <w:szCs w:val="20"/>
                <w:color w:val="auto"/>
              </w:rPr>
            </w:pPr>
            <w:r>
              <w:rPr>
                <w:rFonts w:ascii="Arial" w:cs="Arial" w:eastAsia="Arial" w:hAnsi="Arial"/>
                <w:sz w:val="20"/>
                <w:szCs w:val="20"/>
                <w:color w:val="auto"/>
              </w:rPr>
              <w:t>Notices, etc., to Trustee and District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1.06</w:t>
            </w:r>
          </w:p>
        </w:tc>
        <w:tc>
          <w:tcPr>
            <w:tcW w:w="7340" w:type="dxa"/>
            <w:vAlign w:val="bottom"/>
          </w:tcPr>
          <w:p>
            <w:pPr>
              <w:ind w:left="580"/>
              <w:spacing w:after="0"/>
              <w:rPr>
                <w:sz w:val="20"/>
                <w:szCs w:val="20"/>
                <w:color w:val="auto"/>
              </w:rPr>
            </w:pPr>
            <w:r>
              <w:rPr>
                <w:rFonts w:ascii="Arial" w:cs="Arial" w:eastAsia="Arial" w:hAnsi="Arial"/>
                <w:sz w:val="20"/>
                <w:szCs w:val="20"/>
                <w:color w:val="auto"/>
              </w:rPr>
              <w:t>Notices to Bondholders; Waiver</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1.07</w:t>
            </w:r>
          </w:p>
        </w:tc>
        <w:tc>
          <w:tcPr>
            <w:tcW w:w="7340" w:type="dxa"/>
            <w:vAlign w:val="bottom"/>
          </w:tcPr>
          <w:p>
            <w:pPr>
              <w:ind w:left="580"/>
              <w:spacing w:after="0"/>
              <w:rPr>
                <w:sz w:val="20"/>
                <w:szCs w:val="20"/>
                <w:color w:val="auto"/>
              </w:rPr>
            </w:pPr>
            <w:r>
              <w:rPr>
                <w:rFonts w:ascii="Arial" w:cs="Arial" w:eastAsia="Arial" w:hAnsi="Arial"/>
                <w:sz w:val="20"/>
                <w:szCs w:val="20"/>
                <w:color w:val="auto"/>
              </w:rPr>
              <w:t>Successors and Assigns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1.08</w:t>
            </w:r>
          </w:p>
        </w:tc>
        <w:tc>
          <w:tcPr>
            <w:tcW w:w="7340" w:type="dxa"/>
            <w:vAlign w:val="bottom"/>
          </w:tcPr>
          <w:p>
            <w:pPr>
              <w:ind w:left="580"/>
              <w:spacing w:after="0"/>
              <w:rPr>
                <w:sz w:val="20"/>
                <w:szCs w:val="20"/>
                <w:color w:val="auto"/>
              </w:rPr>
            </w:pPr>
            <w:r>
              <w:rPr>
                <w:rFonts w:ascii="Arial" w:cs="Arial" w:eastAsia="Arial" w:hAnsi="Arial"/>
                <w:sz w:val="20"/>
                <w:szCs w:val="20"/>
                <w:color w:val="auto"/>
              </w:rPr>
              <w:t>Separability Clause</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1.09</w:t>
            </w:r>
          </w:p>
        </w:tc>
        <w:tc>
          <w:tcPr>
            <w:tcW w:w="7340" w:type="dxa"/>
            <w:vAlign w:val="bottom"/>
          </w:tcPr>
          <w:p>
            <w:pPr>
              <w:ind w:left="580"/>
              <w:spacing w:after="0"/>
              <w:rPr>
                <w:sz w:val="20"/>
                <w:szCs w:val="20"/>
                <w:color w:val="auto"/>
              </w:rPr>
            </w:pPr>
            <w:r>
              <w:rPr>
                <w:rFonts w:ascii="Arial" w:cs="Arial" w:eastAsia="Arial" w:hAnsi="Arial"/>
                <w:sz w:val="20"/>
                <w:szCs w:val="20"/>
                <w:color w:val="auto"/>
              </w:rPr>
              <w:t>Benefits of Indenture</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1.10</w:t>
            </w:r>
          </w:p>
        </w:tc>
        <w:tc>
          <w:tcPr>
            <w:tcW w:w="7340" w:type="dxa"/>
            <w:vAlign w:val="bottom"/>
          </w:tcPr>
          <w:p>
            <w:pPr>
              <w:ind w:left="580"/>
              <w:spacing w:after="0"/>
              <w:rPr>
                <w:sz w:val="20"/>
                <w:szCs w:val="20"/>
                <w:color w:val="auto"/>
              </w:rPr>
            </w:pPr>
            <w:r>
              <w:rPr>
                <w:rFonts w:ascii="Arial" w:cs="Arial" w:eastAsia="Arial" w:hAnsi="Arial"/>
                <w:sz w:val="20"/>
                <w:szCs w:val="20"/>
                <w:color w:val="auto"/>
              </w:rPr>
              <w:t>Governing Law</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1.11</w:t>
            </w:r>
          </w:p>
        </w:tc>
        <w:tc>
          <w:tcPr>
            <w:tcW w:w="7340" w:type="dxa"/>
            <w:vAlign w:val="bottom"/>
          </w:tcPr>
          <w:p>
            <w:pPr>
              <w:ind w:left="580"/>
              <w:spacing w:after="0"/>
              <w:rPr>
                <w:sz w:val="20"/>
                <w:szCs w:val="20"/>
                <w:color w:val="auto"/>
              </w:rPr>
            </w:pPr>
            <w:r>
              <w:rPr>
                <w:rFonts w:ascii="Arial" w:cs="Arial" w:eastAsia="Arial" w:hAnsi="Arial"/>
                <w:sz w:val="20"/>
                <w:szCs w:val="20"/>
                <w:color w:val="auto"/>
              </w:rPr>
              <w:t>Directors, Officers, Employees, and Agents Exempt from Personal Liability</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1.12</w:t>
            </w:r>
          </w:p>
        </w:tc>
        <w:tc>
          <w:tcPr>
            <w:tcW w:w="7340" w:type="dxa"/>
            <w:vAlign w:val="bottom"/>
          </w:tcPr>
          <w:p>
            <w:pPr>
              <w:ind w:left="580"/>
              <w:spacing w:after="0"/>
              <w:rPr>
                <w:sz w:val="20"/>
                <w:szCs w:val="20"/>
                <w:color w:val="auto"/>
              </w:rPr>
            </w:pPr>
            <w:r>
              <w:rPr>
                <w:rFonts w:ascii="Arial" w:cs="Arial" w:eastAsia="Arial" w:hAnsi="Arial"/>
                <w:sz w:val="20"/>
                <w:szCs w:val="20"/>
                <w:color w:val="auto"/>
              </w:rPr>
              <w:t>Recitals Incorporated</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1.13</w:t>
            </w:r>
          </w:p>
        </w:tc>
        <w:tc>
          <w:tcPr>
            <w:tcW w:w="7340" w:type="dxa"/>
            <w:vAlign w:val="bottom"/>
          </w:tcPr>
          <w:p>
            <w:pPr>
              <w:ind w:left="580"/>
              <w:spacing w:after="0"/>
              <w:rPr>
                <w:sz w:val="20"/>
                <w:szCs w:val="20"/>
                <w:color w:val="auto"/>
              </w:rPr>
            </w:pPr>
            <w:r>
              <w:rPr>
                <w:rFonts w:ascii="Arial" w:cs="Arial" w:eastAsia="Arial" w:hAnsi="Arial"/>
                <w:sz w:val="20"/>
                <w:szCs w:val="20"/>
                <w:color w:val="auto"/>
              </w:rPr>
              <w:t>References to the Liquidity Bank and Credit Enhancer</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587"/>
        </w:trPr>
        <w:tc>
          <w:tcPr>
            <w:tcW w:w="10160" w:type="dxa"/>
            <w:vAlign w:val="bottom"/>
            <w:gridSpan w:val="2"/>
          </w:tcPr>
          <w:p>
            <w:pPr>
              <w:spacing w:after="0"/>
              <w:rPr>
                <w:sz w:val="20"/>
                <w:szCs w:val="20"/>
                <w:color w:val="auto"/>
              </w:rPr>
            </w:pPr>
            <w:r>
              <w:rPr>
                <w:rFonts w:ascii="Arial" w:cs="Arial" w:eastAsia="Arial" w:hAnsi="Arial"/>
                <w:sz w:val="20"/>
                <w:szCs w:val="20"/>
                <w:color w:val="auto"/>
              </w:rPr>
              <w:t>ARTICLE II AUTHORIZATION AND TERMS OF BONDS; ISSUANCE AND FORM OF BONDS; ADDITIONAL</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2820" w:type="dxa"/>
            <w:vAlign w:val="bottom"/>
          </w:tcPr>
          <w:p>
            <w:pPr>
              <w:spacing w:after="0"/>
              <w:rPr>
                <w:sz w:val="20"/>
                <w:szCs w:val="20"/>
                <w:color w:val="auto"/>
              </w:rPr>
            </w:pPr>
            <w:r>
              <w:rPr>
                <w:rFonts w:ascii="Arial" w:cs="Arial" w:eastAsia="Arial" w:hAnsi="Arial"/>
                <w:sz w:val="20"/>
                <w:szCs w:val="20"/>
                <w:color w:val="auto"/>
              </w:rPr>
              <w:t>BONDS</w:t>
            </w:r>
          </w:p>
        </w:tc>
        <w:tc>
          <w:tcPr>
            <w:tcW w:w="7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63"/>
        </w:trPr>
        <w:tc>
          <w:tcPr>
            <w:tcW w:w="2820" w:type="dxa"/>
            <w:vAlign w:val="bottom"/>
          </w:tcPr>
          <w:p>
            <w:pPr>
              <w:ind w:left="1240"/>
              <w:spacing w:after="0"/>
              <w:rPr>
                <w:sz w:val="20"/>
                <w:szCs w:val="20"/>
                <w:color w:val="auto"/>
              </w:rPr>
            </w:pPr>
            <w:r>
              <w:rPr>
                <w:rFonts w:ascii="Arial" w:cs="Arial" w:eastAsia="Arial" w:hAnsi="Arial"/>
                <w:sz w:val="20"/>
                <w:szCs w:val="20"/>
                <w:color w:val="auto"/>
              </w:rPr>
              <w:t>Section 2.01</w:t>
            </w:r>
          </w:p>
        </w:tc>
        <w:tc>
          <w:tcPr>
            <w:tcW w:w="7340" w:type="dxa"/>
            <w:vAlign w:val="bottom"/>
          </w:tcPr>
          <w:p>
            <w:pPr>
              <w:ind w:left="580"/>
              <w:spacing w:after="0"/>
              <w:rPr>
                <w:sz w:val="20"/>
                <w:szCs w:val="20"/>
                <w:color w:val="auto"/>
              </w:rPr>
            </w:pPr>
            <w:r>
              <w:rPr>
                <w:rFonts w:ascii="Arial" w:cs="Arial" w:eastAsia="Arial" w:hAnsi="Arial"/>
                <w:sz w:val="20"/>
                <w:szCs w:val="20"/>
                <w:color w:val="auto"/>
              </w:rPr>
              <w:t>Authorization of Series 2016 Bonds; Additional Bonds; Security for the</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2820" w:type="dxa"/>
            <w:vAlign w:val="bottom"/>
          </w:tcPr>
          <w:p>
            <w:pPr>
              <w:spacing w:after="0"/>
              <w:rPr>
                <w:sz w:val="21"/>
                <w:szCs w:val="21"/>
                <w:color w:val="auto"/>
              </w:rPr>
            </w:pPr>
          </w:p>
        </w:tc>
        <w:tc>
          <w:tcPr>
            <w:tcW w:w="7340" w:type="dxa"/>
            <w:vAlign w:val="bottom"/>
          </w:tcPr>
          <w:p>
            <w:pPr>
              <w:ind w:left="580"/>
              <w:spacing w:after="0"/>
              <w:rPr>
                <w:sz w:val="20"/>
                <w:szCs w:val="20"/>
                <w:color w:val="auto"/>
              </w:rPr>
            </w:pPr>
            <w:r>
              <w:rPr>
                <w:rFonts w:ascii="Arial" w:cs="Arial" w:eastAsia="Arial" w:hAnsi="Arial"/>
                <w:sz w:val="20"/>
                <w:szCs w:val="20"/>
                <w:color w:val="auto"/>
              </w:rPr>
              <w:t>Bonds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2.02</w:t>
            </w:r>
          </w:p>
        </w:tc>
        <w:tc>
          <w:tcPr>
            <w:tcW w:w="7340" w:type="dxa"/>
            <w:vAlign w:val="bottom"/>
          </w:tcPr>
          <w:p>
            <w:pPr>
              <w:ind w:left="580"/>
              <w:spacing w:after="0"/>
              <w:rPr>
                <w:sz w:val="20"/>
                <w:szCs w:val="20"/>
                <w:color w:val="auto"/>
              </w:rPr>
            </w:pPr>
            <w:r>
              <w:rPr>
                <w:rFonts w:ascii="Arial" w:cs="Arial" w:eastAsia="Arial" w:hAnsi="Arial"/>
                <w:sz w:val="20"/>
                <w:szCs w:val="20"/>
                <w:color w:val="auto"/>
              </w:rPr>
              <w:t>Terms of Bonds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2.03</w:t>
            </w:r>
          </w:p>
        </w:tc>
        <w:tc>
          <w:tcPr>
            <w:tcW w:w="7340" w:type="dxa"/>
            <w:vAlign w:val="bottom"/>
          </w:tcPr>
          <w:p>
            <w:pPr>
              <w:ind w:left="580"/>
              <w:spacing w:after="0"/>
              <w:rPr>
                <w:sz w:val="20"/>
                <w:szCs w:val="20"/>
                <w:color w:val="auto"/>
              </w:rPr>
            </w:pPr>
            <w:r>
              <w:rPr>
                <w:rFonts w:ascii="Arial" w:cs="Arial" w:eastAsia="Arial" w:hAnsi="Arial"/>
                <w:sz w:val="20"/>
                <w:szCs w:val="20"/>
                <w:color w:val="auto"/>
              </w:rPr>
              <w:t>Execution, Authentication and Delivery</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2.04</w:t>
            </w:r>
          </w:p>
        </w:tc>
        <w:tc>
          <w:tcPr>
            <w:tcW w:w="7340" w:type="dxa"/>
            <w:vAlign w:val="bottom"/>
          </w:tcPr>
          <w:p>
            <w:pPr>
              <w:ind w:left="580"/>
              <w:spacing w:after="0"/>
              <w:rPr>
                <w:sz w:val="20"/>
                <w:szCs w:val="20"/>
                <w:color w:val="auto"/>
              </w:rPr>
            </w:pPr>
            <w:r>
              <w:rPr>
                <w:rFonts w:ascii="Arial" w:cs="Arial" w:eastAsia="Arial" w:hAnsi="Arial"/>
                <w:sz w:val="20"/>
                <w:szCs w:val="20"/>
                <w:color w:val="auto"/>
              </w:rPr>
              <w:t>Form of Bonds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2.05</w:t>
            </w:r>
          </w:p>
        </w:tc>
        <w:tc>
          <w:tcPr>
            <w:tcW w:w="7340" w:type="dxa"/>
            <w:vAlign w:val="bottom"/>
          </w:tcPr>
          <w:p>
            <w:pPr>
              <w:ind w:left="580"/>
              <w:spacing w:after="0"/>
              <w:rPr>
                <w:sz w:val="20"/>
                <w:szCs w:val="20"/>
                <w:color w:val="auto"/>
              </w:rPr>
            </w:pPr>
            <w:r>
              <w:rPr>
                <w:rFonts w:ascii="Arial" w:cs="Arial" w:eastAsia="Arial" w:hAnsi="Arial"/>
                <w:sz w:val="20"/>
                <w:szCs w:val="20"/>
                <w:color w:val="auto"/>
              </w:rPr>
              <w:t>Registration, Transfer, Transfer Restrictions and Exchange</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2.06</w:t>
            </w:r>
          </w:p>
        </w:tc>
        <w:tc>
          <w:tcPr>
            <w:tcW w:w="7340" w:type="dxa"/>
            <w:vAlign w:val="bottom"/>
          </w:tcPr>
          <w:p>
            <w:pPr>
              <w:ind w:left="580"/>
              <w:spacing w:after="0"/>
              <w:rPr>
                <w:sz w:val="20"/>
                <w:szCs w:val="20"/>
                <w:color w:val="auto"/>
              </w:rPr>
            </w:pPr>
            <w:r>
              <w:rPr>
                <w:rFonts w:ascii="Arial" w:cs="Arial" w:eastAsia="Arial" w:hAnsi="Arial"/>
                <w:sz w:val="20"/>
                <w:szCs w:val="20"/>
                <w:color w:val="auto"/>
              </w:rPr>
              <w:t>Mutilated, Destroyed, Lost and Stolen Bonds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2.07</w:t>
            </w:r>
          </w:p>
        </w:tc>
        <w:tc>
          <w:tcPr>
            <w:tcW w:w="7340" w:type="dxa"/>
            <w:vAlign w:val="bottom"/>
          </w:tcPr>
          <w:p>
            <w:pPr>
              <w:ind w:left="580"/>
              <w:spacing w:after="0"/>
              <w:rPr>
                <w:sz w:val="20"/>
                <w:szCs w:val="20"/>
                <w:color w:val="auto"/>
              </w:rPr>
            </w:pPr>
            <w:r>
              <w:rPr>
                <w:rFonts w:ascii="Arial" w:cs="Arial" w:eastAsia="Arial" w:hAnsi="Arial"/>
                <w:sz w:val="20"/>
                <w:szCs w:val="20"/>
                <w:color w:val="auto"/>
              </w:rPr>
              <w:t>Payment of Interest on Bonds; Interest Rights Preserved</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2.08</w:t>
            </w:r>
          </w:p>
        </w:tc>
        <w:tc>
          <w:tcPr>
            <w:tcW w:w="7340" w:type="dxa"/>
            <w:vAlign w:val="bottom"/>
          </w:tcPr>
          <w:p>
            <w:pPr>
              <w:ind w:left="580"/>
              <w:spacing w:after="0"/>
              <w:rPr>
                <w:sz w:val="20"/>
                <w:szCs w:val="20"/>
                <w:color w:val="auto"/>
              </w:rPr>
            </w:pPr>
            <w:r>
              <w:rPr>
                <w:rFonts w:ascii="Arial" w:cs="Arial" w:eastAsia="Arial" w:hAnsi="Arial"/>
                <w:sz w:val="20"/>
                <w:szCs w:val="20"/>
                <w:color w:val="auto"/>
              </w:rPr>
              <w:t>Determination of Interest Rate on the Bonds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2.09</w:t>
            </w:r>
          </w:p>
        </w:tc>
        <w:tc>
          <w:tcPr>
            <w:tcW w:w="7340" w:type="dxa"/>
            <w:vAlign w:val="bottom"/>
          </w:tcPr>
          <w:p>
            <w:pPr>
              <w:ind w:left="580"/>
              <w:spacing w:after="0"/>
              <w:rPr>
                <w:sz w:val="20"/>
                <w:szCs w:val="20"/>
                <w:color w:val="auto"/>
              </w:rPr>
            </w:pPr>
            <w:r>
              <w:rPr>
                <w:rFonts w:ascii="Arial" w:cs="Arial" w:eastAsia="Arial" w:hAnsi="Arial"/>
                <w:sz w:val="20"/>
                <w:szCs w:val="20"/>
                <w:color w:val="auto"/>
              </w:rPr>
              <w:t>Persons Deemed Owners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2.10</w:t>
            </w:r>
          </w:p>
        </w:tc>
        <w:tc>
          <w:tcPr>
            <w:tcW w:w="7340" w:type="dxa"/>
            <w:vAlign w:val="bottom"/>
          </w:tcPr>
          <w:p>
            <w:pPr>
              <w:ind w:left="580"/>
              <w:spacing w:after="0"/>
              <w:rPr>
                <w:sz w:val="20"/>
                <w:szCs w:val="20"/>
                <w:color w:val="auto"/>
              </w:rPr>
            </w:pPr>
            <w:r>
              <w:rPr>
                <w:rFonts w:ascii="Arial" w:cs="Arial" w:eastAsia="Arial" w:hAnsi="Arial"/>
                <w:sz w:val="20"/>
                <w:szCs w:val="20"/>
                <w:color w:val="auto"/>
              </w:rPr>
              <w:t>Cancellation</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2.11</w:t>
            </w:r>
          </w:p>
        </w:tc>
        <w:tc>
          <w:tcPr>
            <w:tcW w:w="7340" w:type="dxa"/>
            <w:vAlign w:val="bottom"/>
          </w:tcPr>
          <w:p>
            <w:pPr>
              <w:ind w:left="580"/>
              <w:spacing w:after="0"/>
              <w:rPr>
                <w:sz w:val="20"/>
                <w:szCs w:val="20"/>
                <w:color w:val="auto"/>
              </w:rPr>
            </w:pPr>
            <w:r>
              <w:rPr>
                <w:rFonts w:ascii="Arial" w:cs="Arial" w:eastAsia="Arial" w:hAnsi="Arial"/>
                <w:sz w:val="20"/>
                <w:szCs w:val="20"/>
                <w:color w:val="auto"/>
              </w:rPr>
              <w:t>Subrogation</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63"/>
        </w:trPr>
        <w:tc>
          <w:tcPr>
            <w:tcW w:w="2820" w:type="dxa"/>
            <w:vAlign w:val="bottom"/>
          </w:tcPr>
          <w:p>
            <w:pPr>
              <w:ind w:left="1240"/>
              <w:spacing w:after="0"/>
              <w:rPr>
                <w:sz w:val="20"/>
                <w:szCs w:val="20"/>
                <w:color w:val="auto"/>
              </w:rPr>
            </w:pPr>
            <w:r>
              <w:rPr>
                <w:rFonts w:ascii="Arial" w:cs="Arial" w:eastAsia="Arial" w:hAnsi="Arial"/>
                <w:sz w:val="20"/>
                <w:szCs w:val="20"/>
                <w:color w:val="auto"/>
              </w:rPr>
              <w:t>Section 2.12</w:t>
            </w:r>
          </w:p>
        </w:tc>
        <w:tc>
          <w:tcPr>
            <w:tcW w:w="7340" w:type="dxa"/>
            <w:vAlign w:val="bottom"/>
          </w:tcPr>
          <w:p>
            <w:pPr>
              <w:ind w:left="580"/>
              <w:spacing w:after="0"/>
              <w:rPr>
                <w:sz w:val="20"/>
                <w:szCs w:val="20"/>
                <w:color w:val="auto"/>
              </w:rPr>
            </w:pPr>
            <w:r>
              <w:rPr>
                <w:rFonts w:ascii="Arial" w:cs="Arial" w:eastAsia="Arial" w:hAnsi="Arial"/>
                <w:sz w:val="20"/>
                <w:szCs w:val="20"/>
                <w:color w:val="auto"/>
              </w:rPr>
              <w:t>Conversion of Daily Rate Bonds, Commercial Paper Rate Bonds, Weekly</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50"/>
        </w:trPr>
        <w:tc>
          <w:tcPr>
            <w:tcW w:w="2820" w:type="dxa"/>
            <w:vAlign w:val="bottom"/>
          </w:tcPr>
          <w:p>
            <w:pPr>
              <w:spacing w:after="0"/>
              <w:rPr>
                <w:sz w:val="21"/>
                <w:szCs w:val="21"/>
                <w:color w:val="auto"/>
              </w:rPr>
            </w:pPr>
          </w:p>
        </w:tc>
        <w:tc>
          <w:tcPr>
            <w:tcW w:w="7340" w:type="dxa"/>
            <w:vAlign w:val="bottom"/>
          </w:tcPr>
          <w:p>
            <w:pPr>
              <w:ind w:left="580"/>
              <w:spacing w:after="0"/>
              <w:rPr>
                <w:sz w:val="20"/>
                <w:szCs w:val="20"/>
                <w:color w:val="auto"/>
              </w:rPr>
            </w:pPr>
            <w:r>
              <w:rPr>
                <w:rFonts w:ascii="Arial" w:cs="Arial" w:eastAsia="Arial" w:hAnsi="Arial"/>
                <w:sz w:val="20"/>
                <w:szCs w:val="20"/>
                <w:color w:val="auto"/>
              </w:rPr>
              <w:t>Rate Bonds and Initial Bonds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2.13</w:t>
            </w:r>
          </w:p>
        </w:tc>
        <w:tc>
          <w:tcPr>
            <w:tcW w:w="7340" w:type="dxa"/>
            <w:vAlign w:val="bottom"/>
          </w:tcPr>
          <w:p>
            <w:pPr>
              <w:ind w:left="580"/>
              <w:spacing w:after="0"/>
              <w:rPr>
                <w:sz w:val="20"/>
                <w:szCs w:val="20"/>
                <w:color w:val="auto"/>
              </w:rPr>
            </w:pPr>
            <w:r>
              <w:rPr>
                <w:rFonts w:ascii="Arial" w:cs="Arial" w:eastAsia="Arial" w:hAnsi="Arial"/>
                <w:sz w:val="20"/>
                <w:szCs w:val="20"/>
                <w:color w:val="auto"/>
              </w:rPr>
              <w:t>Temporary Initial Bonds</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2.14</w:t>
            </w:r>
          </w:p>
        </w:tc>
        <w:tc>
          <w:tcPr>
            <w:tcW w:w="7340" w:type="dxa"/>
            <w:vAlign w:val="bottom"/>
          </w:tcPr>
          <w:p>
            <w:pPr>
              <w:ind w:left="580"/>
              <w:spacing w:after="0"/>
              <w:rPr>
                <w:sz w:val="20"/>
                <w:szCs w:val="20"/>
                <w:color w:val="auto"/>
              </w:rPr>
            </w:pPr>
            <w:r>
              <w:rPr>
                <w:rFonts w:ascii="Arial" w:cs="Arial" w:eastAsia="Arial" w:hAnsi="Arial"/>
                <w:sz w:val="20"/>
                <w:szCs w:val="20"/>
                <w:color w:val="auto"/>
              </w:rPr>
              <w:t>Book Entry System</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2.15</w:t>
            </w:r>
          </w:p>
        </w:tc>
        <w:tc>
          <w:tcPr>
            <w:tcW w:w="7340" w:type="dxa"/>
            <w:vAlign w:val="bottom"/>
          </w:tcPr>
          <w:p>
            <w:pPr>
              <w:ind w:left="580"/>
              <w:spacing w:after="0"/>
              <w:rPr>
                <w:sz w:val="20"/>
                <w:szCs w:val="20"/>
                <w:color w:val="auto"/>
              </w:rPr>
            </w:pPr>
            <w:r>
              <w:rPr>
                <w:rFonts w:ascii="Arial" w:cs="Arial" w:eastAsia="Arial" w:hAnsi="Arial"/>
                <w:sz w:val="20"/>
                <w:szCs w:val="20"/>
                <w:color w:val="auto"/>
              </w:rPr>
              <w:t>Liquidity Facility</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2.16</w:t>
            </w:r>
          </w:p>
        </w:tc>
        <w:tc>
          <w:tcPr>
            <w:tcW w:w="7340" w:type="dxa"/>
            <w:vAlign w:val="bottom"/>
          </w:tcPr>
          <w:p>
            <w:pPr>
              <w:ind w:left="580"/>
              <w:spacing w:after="0"/>
              <w:rPr>
                <w:sz w:val="20"/>
                <w:szCs w:val="20"/>
                <w:color w:val="auto"/>
              </w:rPr>
            </w:pPr>
            <w:r>
              <w:rPr>
                <w:rFonts w:ascii="Arial" w:cs="Arial" w:eastAsia="Arial" w:hAnsi="Arial"/>
                <w:sz w:val="20"/>
                <w:szCs w:val="20"/>
                <w:color w:val="auto"/>
              </w:rPr>
              <w:t>Acceptance of a Liquidity Facility</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2.17</w:t>
            </w:r>
          </w:p>
        </w:tc>
        <w:tc>
          <w:tcPr>
            <w:tcW w:w="7340" w:type="dxa"/>
            <w:vAlign w:val="bottom"/>
          </w:tcPr>
          <w:p>
            <w:pPr>
              <w:ind w:left="580"/>
              <w:spacing w:after="0"/>
              <w:rPr>
                <w:sz w:val="20"/>
                <w:szCs w:val="20"/>
                <w:color w:val="auto"/>
              </w:rPr>
            </w:pPr>
            <w:r>
              <w:rPr>
                <w:rFonts w:ascii="Arial" w:cs="Arial" w:eastAsia="Arial" w:hAnsi="Arial"/>
                <w:sz w:val="20"/>
                <w:szCs w:val="20"/>
                <w:color w:val="auto"/>
              </w:rPr>
              <w:t>Purchase Fund</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38</w:t>
            </w:r>
          </w:p>
        </w:tc>
      </w:tr>
      <w:tr>
        <w:trPr>
          <w:trHeight w:val="263"/>
        </w:trPr>
        <w:tc>
          <w:tcPr>
            <w:tcW w:w="2820" w:type="dxa"/>
            <w:vAlign w:val="bottom"/>
          </w:tcPr>
          <w:p>
            <w:pPr>
              <w:ind w:left="1240"/>
              <w:spacing w:after="0"/>
              <w:rPr>
                <w:sz w:val="20"/>
                <w:szCs w:val="20"/>
                <w:color w:val="auto"/>
              </w:rPr>
            </w:pPr>
            <w:r>
              <w:rPr>
                <w:rFonts w:ascii="Arial" w:cs="Arial" w:eastAsia="Arial" w:hAnsi="Arial"/>
                <w:sz w:val="20"/>
                <w:szCs w:val="20"/>
                <w:color w:val="auto"/>
              </w:rPr>
              <w:t>Section 2.18</w:t>
            </w:r>
          </w:p>
        </w:tc>
        <w:tc>
          <w:tcPr>
            <w:tcW w:w="7340" w:type="dxa"/>
            <w:vAlign w:val="bottom"/>
          </w:tcPr>
          <w:p>
            <w:pPr>
              <w:ind w:left="580"/>
              <w:spacing w:after="0"/>
              <w:rPr>
                <w:sz w:val="20"/>
                <w:szCs w:val="20"/>
                <w:color w:val="auto"/>
              </w:rPr>
            </w:pPr>
            <w:r>
              <w:rPr>
                <w:rFonts w:ascii="Arial" w:cs="Arial" w:eastAsia="Arial" w:hAnsi="Arial"/>
                <w:sz w:val="20"/>
                <w:szCs w:val="20"/>
                <w:color w:val="auto"/>
              </w:rPr>
              <w:t>Application of Funds for Purchase Price of Daily Rate Bonds, Commercial</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41</w:t>
            </w:r>
          </w:p>
        </w:tc>
      </w:tr>
      <w:tr>
        <w:trPr>
          <w:trHeight w:val="250"/>
        </w:trPr>
        <w:tc>
          <w:tcPr>
            <w:tcW w:w="2820" w:type="dxa"/>
            <w:vAlign w:val="bottom"/>
          </w:tcPr>
          <w:p>
            <w:pPr>
              <w:spacing w:after="0"/>
              <w:rPr>
                <w:sz w:val="21"/>
                <w:szCs w:val="21"/>
                <w:color w:val="auto"/>
              </w:rPr>
            </w:pPr>
          </w:p>
        </w:tc>
        <w:tc>
          <w:tcPr>
            <w:tcW w:w="7340" w:type="dxa"/>
            <w:vAlign w:val="bottom"/>
          </w:tcPr>
          <w:p>
            <w:pPr>
              <w:ind w:left="580"/>
              <w:spacing w:after="0"/>
              <w:rPr>
                <w:sz w:val="20"/>
                <w:szCs w:val="20"/>
                <w:color w:val="auto"/>
              </w:rPr>
            </w:pPr>
            <w:r>
              <w:rPr>
                <w:rFonts w:ascii="Arial" w:cs="Arial" w:eastAsia="Arial" w:hAnsi="Arial"/>
                <w:sz w:val="20"/>
                <w:szCs w:val="20"/>
                <w:color w:val="auto"/>
              </w:rPr>
              <w:t>Paper Rate Bonds or Weekly Rate Bonds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ectPr>
          <w:pgSz w:w="11900" w:h="16838" w:orient="portrait"/>
          <w:cols w:equalWidth="0" w:num="1">
            <w:col w:w="11320"/>
          </w:cols>
          <w:pgMar w:left="340" w:top="132" w:right="239" w:bottom="1440" w:gutter="0" w:footer="0" w:header="0"/>
        </w:sectPr>
      </w:pPr>
    </w:p>
    <w:bookmarkStart w:id="167" w:name="page168"/>
    <w:bookmarkEnd w:id="167"/>
    <w:p>
      <w:pPr>
        <w:jc w:val="center"/>
        <w:ind w:right="100"/>
        <w:spacing w:after="0"/>
        <w:rPr>
          <w:sz w:val="20"/>
          <w:szCs w:val="20"/>
          <w:color w:val="auto"/>
        </w:rPr>
      </w:pPr>
      <w:r>
        <w:rPr>
          <w:rFonts w:ascii="Arial" w:cs="Arial" w:eastAsia="Arial" w:hAnsi="Arial"/>
          <w:sz w:val="22"/>
          <w:szCs w:val="22"/>
          <w:u w:val="single" w:color="auto"/>
          <w:color w:val="auto"/>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2"/>
                <w:szCs w:val="22"/>
                <w:color w:val="auto"/>
                <w:w w:val="81"/>
              </w:rPr>
              <w:t>Page</w:t>
            </w:r>
          </w:p>
        </w:tc>
      </w:tr>
      <w:tr>
        <w:trPr>
          <w:trHeight w:val="875"/>
        </w:trPr>
        <w:tc>
          <w:tcPr>
            <w:tcW w:w="2820" w:type="dxa"/>
            <w:vAlign w:val="bottom"/>
          </w:tcPr>
          <w:p>
            <w:pPr>
              <w:ind w:left="1240"/>
              <w:spacing w:after="0"/>
              <w:rPr>
                <w:sz w:val="20"/>
                <w:szCs w:val="20"/>
                <w:color w:val="auto"/>
              </w:rPr>
            </w:pPr>
            <w:r>
              <w:rPr>
                <w:rFonts w:ascii="Arial" w:cs="Arial" w:eastAsia="Arial" w:hAnsi="Arial"/>
                <w:sz w:val="20"/>
                <w:szCs w:val="20"/>
                <w:color w:val="auto"/>
              </w:rPr>
              <w:t>Section 2.19</w:t>
            </w:r>
          </w:p>
        </w:tc>
        <w:tc>
          <w:tcPr>
            <w:tcW w:w="7140" w:type="dxa"/>
            <w:vAlign w:val="bottom"/>
          </w:tcPr>
          <w:p>
            <w:pPr>
              <w:ind w:left="580"/>
              <w:spacing w:after="0"/>
              <w:rPr>
                <w:sz w:val="20"/>
                <w:szCs w:val="20"/>
                <w:color w:val="auto"/>
              </w:rPr>
            </w:pPr>
            <w:r>
              <w:rPr>
                <w:rFonts w:ascii="Arial" w:cs="Arial" w:eastAsia="Arial" w:hAnsi="Arial"/>
                <w:sz w:val="20"/>
                <w:szCs w:val="20"/>
                <w:color w:val="auto"/>
              </w:rPr>
              <w:t>Delivery of Bonds Tendered for Purchase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2.20</w:t>
            </w:r>
          </w:p>
        </w:tc>
        <w:tc>
          <w:tcPr>
            <w:tcW w:w="7140" w:type="dxa"/>
            <w:vAlign w:val="bottom"/>
          </w:tcPr>
          <w:p>
            <w:pPr>
              <w:ind w:left="580"/>
              <w:spacing w:after="0"/>
              <w:rPr>
                <w:sz w:val="20"/>
                <w:szCs w:val="20"/>
                <w:color w:val="auto"/>
              </w:rPr>
            </w:pPr>
            <w:r>
              <w:rPr>
                <w:rFonts w:ascii="Arial" w:cs="Arial" w:eastAsia="Arial" w:hAnsi="Arial"/>
                <w:sz w:val="20"/>
                <w:szCs w:val="20"/>
                <w:color w:val="auto"/>
              </w:rPr>
              <w:t>Delivery of Proceeds of Sale of Bonds Tendered for Purchase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2.21</w:t>
            </w:r>
          </w:p>
        </w:tc>
        <w:tc>
          <w:tcPr>
            <w:tcW w:w="7140" w:type="dxa"/>
            <w:vAlign w:val="bottom"/>
          </w:tcPr>
          <w:p>
            <w:pPr>
              <w:ind w:left="580"/>
              <w:spacing w:after="0"/>
              <w:rPr>
                <w:sz w:val="20"/>
                <w:szCs w:val="20"/>
                <w:color w:val="auto"/>
              </w:rPr>
            </w:pPr>
            <w:r>
              <w:rPr>
                <w:rFonts w:ascii="Arial" w:cs="Arial" w:eastAsia="Arial" w:hAnsi="Arial"/>
                <w:sz w:val="20"/>
                <w:szCs w:val="20"/>
                <w:color w:val="auto"/>
              </w:rPr>
              <w:t>Credit Facility</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2.22</w:t>
            </w:r>
          </w:p>
        </w:tc>
        <w:tc>
          <w:tcPr>
            <w:tcW w:w="7140" w:type="dxa"/>
            <w:vAlign w:val="bottom"/>
          </w:tcPr>
          <w:p>
            <w:pPr>
              <w:ind w:left="580"/>
              <w:spacing w:after="0"/>
              <w:rPr>
                <w:sz w:val="20"/>
                <w:szCs w:val="20"/>
                <w:color w:val="auto"/>
              </w:rPr>
            </w:pPr>
            <w:r>
              <w:rPr>
                <w:rFonts w:ascii="Arial" w:cs="Arial" w:eastAsia="Arial" w:hAnsi="Arial"/>
                <w:sz w:val="20"/>
                <w:szCs w:val="20"/>
                <w:color w:val="auto"/>
              </w:rPr>
              <w:t>Alternate Credit Facility</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2.23</w:t>
            </w:r>
          </w:p>
        </w:tc>
        <w:tc>
          <w:tcPr>
            <w:tcW w:w="7140" w:type="dxa"/>
            <w:vAlign w:val="bottom"/>
          </w:tcPr>
          <w:p>
            <w:pPr>
              <w:ind w:left="580"/>
              <w:spacing w:after="0"/>
              <w:rPr>
                <w:sz w:val="20"/>
                <w:szCs w:val="20"/>
                <w:color w:val="auto"/>
              </w:rPr>
            </w:pPr>
            <w:r>
              <w:rPr>
                <w:rFonts w:ascii="Arial" w:cs="Arial" w:eastAsia="Arial" w:hAnsi="Arial"/>
                <w:sz w:val="20"/>
                <w:szCs w:val="20"/>
                <w:color w:val="auto"/>
              </w:rPr>
              <w:t>Additional Bonds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45</w:t>
            </w:r>
          </w:p>
        </w:tc>
      </w:tr>
      <w:tr>
        <w:trPr>
          <w:trHeight w:val="621"/>
        </w:trPr>
        <w:tc>
          <w:tcPr>
            <w:tcW w:w="9960" w:type="dxa"/>
            <w:vAlign w:val="bottom"/>
            <w:gridSpan w:val="2"/>
          </w:tcPr>
          <w:p>
            <w:pPr>
              <w:spacing w:after="0"/>
              <w:rPr>
                <w:sz w:val="20"/>
                <w:szCs w:val="20"/>
                <w:color w:val="auto"/>
              </w:rPr>
            </w:pPr>
            <w:r>
              <w:rPr>
                <w:rFonts w:ascii="Arial" w:cs="Arial" w:eastAsia="Arial" w:hAnsi="Arial"/>
                <w:sz w:val="20"/>
                <w:szCs w:val="20"/>
                <w:color w:val="auto"/>
              </w:rPr>
              <w:t>ARTICLE III REDEMPTION OF BONDS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3.01</w:t>
            </w:r>
          </w:p>
        </w:tc>
        <w:tc>
          <w:tcPr>
            <w:tcW w:w="7140" w:type="dxa"/>
            <w:vAlign w:val="bottom"/>
          </w:tcPr>
          <w:p>
            <w:pPr>
              <w:ind w:left="580"/>
              <w:spacing w:after="0"/>
              <w:rPr>
                <w:sz w:val="20"/>
                <w:szCs w:val="20"/>
                <w:color w:val="auto"/>
              </w:rPr>
            </w:pPr>
            <w:r>
              <w:rPr>
                <w:rFonts w:ascii="Arial" w:cs="Arial" w:eastAsia="Arial" w:hAnsi="Arial"/>
                <w:sz w:val="20"/>
                <w:szCs w:val="20"/>
                <w:color w:val="auto"/>
              </w:rPr>
              <w:t>Redemption</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3.02</w:t>
            </w:r>
          </w:p>
        </w:tc>
        <w:tc>
          <w:tcPr>
            <w:tcW w:w="7140" w:type="dxa"/>
            <w:vAlign w:val="bottom"/>
          </w:tcPr>
          <w:p>
            <w:pPr>
              <w:ind w:left="580"/>
              <w:spacing w:after="0"/>
              <w:rPr>
                <w:sz w:val="20"/>
                <w:szCs w:val="20"/>
                <w:color w:val="auto"/>
              </w:rPr>
            </w:pPr>
            <w:r>
              <w:rPr>
                <w:rFonts w:ascii="Arial" w:cs="Arial" w:eastAsia="Arial" w:hAnsi="Arial"/>
                <w:sz w:val="20"/>
                <w:szCs w:val="20"/>
                <w:color w:val="auto"/>
              </w:rPr>
              <w:t>Election to Redeem; Notice to Trustee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3.03</w:t>
            </w:r>
          </w:p>
        </w:tc>
        <w:tc>
          <w:tcPr>
            <w:tcW w:w="7140" w:type="dxa"/>
            <w:vAlign w:val="bottom"/>
          </w:tcPr>
          <w:p>
            <w:pPr>
              <w:ind w:left="580"/>
              <w:spacing w:after="0"/>
              <w:rPr>
                <w:sz w:val="20"/>
                <w:szCs w:val="20"/>
                <w:color w:val="auto"/>
              </w:rPr>
            </w:pPr>
            <w:r>
              <w:rPr>
                <w:rFonts w:ascii="Arial" w:cs="Arial" w:eastAsia="Arial" w:hAnsi="Arial"/>
                <w:sz w:val="20"/>
                <w:szCs w:val="20"/>
                <w:color w:val="auto"/>
              </w:rPr>
              <w:t>Selection of Bonds to be Redeemed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3.04</w:t>
            </w:r>
          </w:p>
        </w:tc>
        <w:tc>
          <w:tcPr>
            <w:tcW w:w="7140" w:type="dxa"/>
            <w:vAlign w:val="bottom"/>
          </w:tcPr>
          <w:p>
            <w:pPr>
              <w:ind w:left="580"/>
              <w:spacing w:after="0"/>
              <w:rPr>
                <w:sz w:val="20"/>
                <w:szCs w:val="20"/>
                <w:color w:val="auto"/>
              </w:rPr>
            </w:pPr>
            <w:r>
              <w:rPr>
                <w:rFonts w:ascii="Arial" w:cs="Arial" w:eastAsia="Arial" w:hAnsi="Arial"/>
                <w:sz w:val="20"/>
                <w:szCs w:val="20"/>
                <w:color w:val="auto"/>
              </w:rPr>
              <w:t>Notice of Redemption</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49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3.05</w:t>
            </w:r>
          </w:p>
        </w:tc>
        <w:tc>
          <w:tcPr>
            <w:tcW w:w="7140" w:type="dxa"/>
            <w:vAlign w:val="bottom"/>
          </w:tcPr>
          <w:p>
            <w:pPr>
              <w:ind w:left="580"/>
              <w:spacing w:after="0"/>
              <w:rPr>
                <w:sz w:val="20"/>
                <w:szCs w:val="20"/>
                <w:color w:val="auto"/>
              </w:rPr>
            </w:pPr>
            <w:r>
              <w:rPr>
                <w:rFonts w:ascii="Arial" w:cs="Arial" w:eastAsia="Arial" w:hAnsi="Arial"/>
                <w:sz w:val="20"/>
                <w:szCs w:val="20"/>
                <w:color w:val="auto"/>
              </w:rPr>
              <w:t>Deposit of Redemption Price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3.06</w:t>
            </w:r>
          </w:p>
        </w:tc>
        <w:tc>
          <w:tcPr>
            <w:tcW w:w="7140" w:type="dxa"/>
            <w:vAlign w:val="bottom"/>
          </w:tcPr>
          <w:p>
            <w:pPr>
              <w:ind w:left="580"/>
              <w:spacing w:after="0"/>
              <w:rPr>
                <w:sz w:val="20"/>
                <w:szCs w:val="20"/>
                <w:color w:val="auto"/>
              </w:rPr>
            </w:pPr>
            <w:r>
              <w:rPr>
                <w:rFonts w:ascii="Arial" w:cs="Arial" w:eastAsia="Arial" w:hAnsi="Arial"/>
                <w:sz w:val="20"/>
                <w:szCs w:val="20"/>
                <w:color w:val="auto"/>
              </w:rPr>
              <w:t>Bonds Payable on Redemption Date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3.07</w:t>
            </w:r>
          </w:p>
        </w:tc>
        <w:tc>
          <w:tcPr>
            <w:tcW w:w="7140" w:type="dxa"/>
            <w:vAlign w:val="bottom"/>
          </w:tcPr>
          <w:p>
            <w:pPr>
              <w:ind w:left="580"/>
              <w:spacing w:after="0"/>
              <w:rPr>
                <w:sz w:val="20"/>
                <w:szCs w:val="20"/>
                <w:color w:val="auto"/>
              </w:rPr>
            </w:pPr>
            <w:r>
              <w:rPr>
                <w:rFonts w:ascii="Arial" w:cs="Arial" w:eastAsia="Arial" w:hAnsi="Arial"/>
                <w:sz w:val="20"/>
                <w:szCs w:val="20"/>
                <w:color w:val="auto"/>
              </w:rPr>
              <w:t>Bonds Redeemed in Part</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50</w:t>
            </w:r>
          </w:p>
        </w:tc>
      </w:tr>
      <w:tr>
        <w:trPr>
          <w:trHeight w:val="608"/>
        </w:trPr>
        <w:tc>
          <w:tcPr>
            <w:tcW w:w="9960" w:type="dxa"/>
            <w:vAlign w:val="bottom"/>
            <w:gridSpan w:val="2"/>
          </w:tcPr>
          <w:p>
            <w:pPr>
              <w:spacing w:after="0"/>
              <w:rPr>
                <w:sz w:val="20"/>
                <w:szCs w:val="20"/>
                <w:color w:val="auto"/>
              </w:rPr>
            </w:pPr>
            <w:r>
              <w:rPr>
                <w:rFonts w:ascii="Arial" w:cs="Arial" w:eastAsia="Arial" w:hAnsi="Arial"/>
                <w:sz w:val="20"/>
                <w:szCs w:val="20"/>
                <w:color w:val="auto"/>
              </w:rPr>
              <w:t>ARTICLE IV FUNDS AND INVESTMENTS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4.01</w:t>
            </w:r>
          </w:p>
        </w:tc>
        <w:tc>
          <w:tcPr>
            <w:tcW w:w="7140" w:type="dxa"/>
            <w:vAlign w:val="bottom"/>
          </w:tcPr>
          <w:p>
            <w:pPr>
              <w:ind w:left="580"/>
              <w:spacing w:after="0"/>
              <w:rPr>
                <w:sz w:val="20"/>
                <w:szCs w:val="20"/>
                <w:color w:val="auto"/>
              </w:rPr>
            </w:pPr>
            <w:r>
              <w:rPr>
                <w:rFonts w:ascii="Arial" w:cs="Arial" w:eastAsia="Arial" w:hAnsi="Arial"/>
                <w:sz w:val="20"/>
                <w:szCs w:val="20"/>
                <w:color w:val="auto"/>
              </w:rPr>
              <w:t>Establishment of Funds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4.02</w:t>
            </w:r>
          </w:p>
        </w:tc>
        <w:tc>
          <w:tcPr>
            <w:tcW w:w="7140" w:type="dxa"/>
            <w:vAlign w:val="bottom"/>
          </w:tcPr>
          <w:p>
            <w:pPr>
              <w:ind w:left="580"/>
              <w:spacing w:after="0"/>
              <w:rPr>
                <w:sz w:val="20"/>
                <w:szCs w:val="20"/>
                <w:color w:val="auto"/>
              </w:rPr>
            </w:pPr>
            <w:r>
              <w:rPr>
                <w:rFonts w:ascii="Arial" w:cs="Arial" w:eastAsia="Arial" w:hAnsi="Arial"/>
                <w:sz w:val="20"/>
                <w:szCs w:val="20"/>
                <w:color w:val="auto"/>
              </w:rPr>
              <w:t>Costs of Issuance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4.03</w:t>
            </w:r>
          </w:p>
        </w:tc>
        <w:tc>
          <w:tcPr>
            <w:tcW w:w="7140" w:type="dxa"/>
            <w:vAlign w:val="bottom"/>
          </w:tcPr>
          <w:p>
            <w:pPr>
              <w:ind w:left="580"/>
              <w:spacing w:after="0"/>
              <w:rPr>
                <w:sz w:val="20"/>
                <w:szCs w:val="20"/>
                <w:color w:val="auto"/>
              </w:rPr>
            </w:pPr>
            <w:r>
              <w:rPr>
                <w:rFonts w:ascii="Arial" w:cs="Arial" w:eastAsia="Arial" w:hAnsi="Arial"/>
                <w:sz w:val="20"/>
                <w:szCs w:val="20"/>
                <w:color w:val="auto"/>
              </w:rPr>
              <w:t>Credit Facility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4.04</w:t>
            </w:r>
          </w:p>
        </w:tc>
        <w:tc>
          <w:tcPr>
            <w:tcW w:w="7140" w:type="dxa"/>
            <w:vAlign w:val="bottom"/>
          </w:tcPr>
          <w:p>
            <w:pPr>
              <w:ind w:left="580"/>
              <w:spacing w:after="0"/>
              <w:rPr>
                <w:sz w:val="20"/>
                <w:szCs w:val="20"/>
                <w:color w:val="auto"/>
              </w:rPr>
            </w:pPr>
            <w:r>
              <w:rPr>
                <w:rFonts w:ascii="Arial" w:cs="Arial" w:eastAsia="Arial" w:hAnsi="Arial"/>
                <w:sz w:val="20"/>
                <w:szCs w:val="20"/>
                <w:color w:val="auto"/>
              </w:rPr>
              <w:t>Debt Service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52</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4.05</w:t>
            </w:r>
          </w:p>
        </w:tc>
        <w:tc>
          <w:tcPr>
            <w:tcW w:w="7140" w:type="dxa"/>
            <w:vAlign w:val="bottom"/>
          </w:tcPr>
          <w:p>
            <w:pPr>
              <w:ind w:left="580"/>
              <w:spacing w:after="0"/>
              <w:rPr>
                <w:sz w:val="20"/>
                <w:szCs w:val="20"/>
                <w:color w:val="auto"/>
              </w:rPr>
            </w:pPr>
            <w:r>
              <w:rPr>
                <w:rFonts w:ascii="Arial" w:cs="Arial" w:eastAsia="Arial" w:hAnsi="Arial"/>
                <w:sz w:val="20"/>
                <w:szCs w:val="20"/>
                <w:color w:val="auto"/>
              </w:rPr>
              <w:t>Rebate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4.06</w:t>
            </w:r>
          </w:p>
        </w:tc>
        <w:tc>
          <w:tcPr>
            <w:tcW w:w="7140" w:type="dxa"/>
            <w:vAlign w:val="bottom"/>
          </w:tcPr>
          <w:p>
            <w:pPr>
              <w:ind w:left="580"/>
              <w:spacing w:after="0"/>
              <w:rPr>
                <w:sz w:val="20"/>
                <w:szCs w:val="20"/>
                <w:color w:val="auto"/>
              </w:rPr>
            </w:pPr>
            <w:r>
              <w:rPr>
                <w:rFonts w:ascii="Arial" w:cs="Arial" w:eastAsia="Arial" w:hAnsi="Arial"/>
                <w:sz w:val="20"/>
                <w:szCs w:val="20"/>
                <w:color w:val="auto"/>
              </w:rPr>
              <w:t>Project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4.07</w:t>
            </w:r>
          </w:p>
        </w:tc>
        <w:tc>
          <w:tcPr>
            <w:tcW w:w="7140" w:type="dxa"/>
            <w:vAlign w:val="bottom"/>
          </w:tcPr>
          <w:p>
            <w:pPr>
              <w:ind w:left="580"/>
              <w:spacing w:after="0"/>
              <w:rPr>
                <w:sz w:val="20"/>
                <w:szCs w:val="20"/>
                <w:color w:val="auto"/>
              </w:rPr>
            </w:pPr>
            <w:r>
              <w:rPr>
                <w:rFonts w:ascii="Arial" w:cs="Arial" w:eastAsia="Arial" w:hAnsi="Arial"/>
                <w:sz w:val="20"/>
                <w:szCs w:val="20"/>
                <w:color w:val="auto"/>
              </w:rPr>
              <w:t>Closing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55</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4.08</w:t>
            </w:r>
          </w:p>
        </w:tc>
        <w:tc>
          <w:tcPr>
            <w:tcW w:w="7140" w:type="dxa"/>
            <w:vAlign w:val="bottom"/>
          </w:tcPr>
          <w:p>
            <w:pPr>
              <w:ind w:left="580"/>
              <w:spacing w:after="0"/>
              <w:rPr>
                <w:sz w:val="20"/>
                <w:szCs w:val="20"/>
                <w:color w:val="auto"/>
              </w:rPr>
            </w:pPr>
            <w:r>
              <w:rPr>
                <w:rFonts w:ascii="Arial" w:cs="Arial" w:eastAsia="Arial" w:hAnsi="Arial"/>
                <w:sz w:val="20"/>
                <w:szCs w:val="20"/>
                <w:color w:val="auto"/>
              </w:rPr>
              <w:t>Investment of Funds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4.09</w:t>
            </w:r>
          </w:p>
        </w:tc>
        <w:tc>
          <w:tcPr>
            <w:tcW w:w="7140" w:type="dxa"/>
            <w:vAlign w:val="bottom"/>
          </w:tcPr>
          <w:p>
            <w:pPr>
              <w:ind w:left="580"/>
              <w:spacing w:after="0"/>
              <w:rPr>
                <w:sz w:val="20"/>
                <w:szCs w:val="20"/>
                <w:color w:val="auto"/>
              </w:rPr>
            </w:pPr>
            <w:r>
              <w:rPr>
                <w:rFonts w:ascii="Arial" w:cs="Arial" w:eastAsia="Arial" w:hAnsi="Arial"/>
                <w:sz w:val="20"/>
                <w:szCs w:val="20"/>
                <w:color w:val="auto"/>
              </w:rPr>
              <w:t>Trustee and District Relieved From Responsibility</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4.10</w:t>
            </w:r>
          </w:p>
        </w:tc>
        <w:tc>
          <w:tcPr>
            <w:tcW w:w="7140" w:type="dxa"/>
            <w:vAlign w:val="bottom"/>
          </w:tcPr>
          <w:p>
            <w:pPr>
              <w:ind w:left="580"/>
              <w:spacing w:after="0"/>
              <w:rPr>
                <w:sz w:val="20"/>
                <w:szCs w:val="20"/>
                <w:color w:val="auto"/>
              </w:rPr>
            </w:pPr>
            <w:r>
              <w:rPr>
                <w:rFonts w:ascii="Arial" w:cs="Arial" w:eastAsia="Arial" w:hAnsi="Arial"/>
                <w:sz w:val="20"/>
                <w:szCs w:val="20"/>
                <w:color w:val="auto"/>
              </w:rPr>
              <w:t>Waiver of Trade Confirmations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4.11</w:t>
            </w:r>
          </w:p>
        </w:tc>
        <w:tc>
          <w:tcPr>
            <w:tcW w:w="7140" w:type="dxa"/>
            <w:vAlign w:val="bottom"/>
          </w:tcPr>
          <w:p>
            <w:pPr>
              <w:ind w:left="580"/>
              <w:spacing w:after="0"/>
              <w:rPr>
                <w:sz w:val="20"/>
                <w:szCs w:val="20"/>
                <w:color w:val="auto"/>
              </w:rPr>
            </w:pPr>
            <w:r>
              <w:rPr>
                <w:rFonts w:ascii="Arial" w:cs="Arial" w:eastAsia="Arial" w:hAnsi="Arial"/>
                <w:sz w:val="20"/>
                <w:szCs w:val="20"/>
                <w:color w:val="auto"/>
              </w:rPr>
              <w:t>Reserve Fund</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56</w:t>
            </w:r>
          </w:p>
        </w:tc>
      </w:tr>
      <w:tr>
        <w:trPr>
          <w:trHeight w:val="608"/>
        </w:trPr>
        <w:tc>
          <w:tcPr>
            <w:tcW w:w="9960" w:type="dxa"/>
            <w:vAlign w:val="bottom"/>
            <w:gridSpan w:val="2"/>
          </w:tcPr>
          <w:p>
            <w:pPr>
              <w:spacing w:after="0"/>
              <w:rPr>
                <w:sz w:val="20"/>
                <w:szCs w:val="20"/>
                <w:color w:val="auto"/>
              </w:rPr>
            </w:pPr>
            <w:r>
              <w:rPr>
                <w:rFonts w:ascii="Arial" w:cs="Arial" w:eastAsia="Arial" w:hAnsi="Arial"/>
                <w:sz w:val="20"/>
                <w:szCs w:val="20"/>
                <w:color w:val="auto"/>
              </w:rPr>
              <w:t>ARTICLE V COVENANTS OF THE DISTRICT</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5.01</w:t>
            </w:r>
          </w:p>
        </w:tc>
        <w:tc>
          <w:tcPr>
            <w:tcW w:w="7140" w:type="dxa"/>
            <w:vAlign w:val="bottom"/>
          </w:tcPr>
          <w:p>
            <w:pPr>
              <w:ind w:left="580"/>
              <w:spacing w:after="0"/>
              <w:rPr>
                <w:sz w:val="20"/>
                <w:szCs w:val="20"/>
                <w:color w:val="auto"/>
              </w:rPr>
            </w:pPr>
            <w:r>
              <w:rPr>
                <w:rFonts w:ascii="Arial" w:cs="Arial" w:eastAsia="Arial" w:hAnsi="Arial"/>
                <w:sz w:val="20"/>
                <w:szCs w:val="20"/>
                <w:color w:val="auto"/>
              </w:rPr>
              <w:t>Payment of Debt Service; Limited Obligations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57</w:t>
            </w:r>
          </w:p>
        </w:tc>
      </w:tr>
      <w:tr>
        <w:trPr>
          <w:trHeight w:val="263"/>
        </w:trPr>
        <w:tc>
          <w:tcPr>
            <w:tcW w:w="2820" w:type="dxa"/>
            <w:vAlign w:val="bottom"/>
          </w:tcPr>
          <w:p>
            <w:pPr>
              <w:ind w:left="1240"/>
              <w:spacing w:after="0"/>
              <w:rPr>
                <w:sz w:val="20"/>
                <w:szCs w:val="20"/>
                <w:color w:val="auto"/>
              </w:rPr>
            </w:pPr>
            <w:r>
              <w:rPr>
                <w:rFonts w:ascii="Arial" w:cs="Arial" w:eastAsia="Arial" w:hAnsi="Arial"/>
                <w:sz w:val="20"/>
                <w:szCs w:val="20"/>
                <w:color w:val="auto"/>
              </w:rPr>
              <w:t>Section 5.02</w:t>
            </w:r>
          </w:p>
        </w:tc>
        <w:tc>
          <w:tcPr>
            <w:tcW w:w="7140" w:type="dxa"/>
            <w:vAlign w:val="bottom"/>
          </w:tcPr>
          <w:p>
            <w:pPr>
              <w:ind w:left="580"/>
              <w:spacing w:after="0"/>
              <w:rPr>
                <w:sz w:val="20"/>
                <w:szCs w:val="20"/>
                <w:color w:val="auto"/>
              </w:rPr>
            </w:pPr>
            <w:r>
              <w:rPr>
                <w:rFonts w:ascii="Arial" w:cs="Arial" w:eastAsia="Arial" w:hAnsi="Arial"/>
                <w:sz w:val="20"/>
                <w:szCs w:val="20"/>
                <w:color w:val="auto"/>
              </w:rPr>
              <w:t>Money for Bond Payments to be Held in Trust; Appointment of Paying</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57</w:t>
            </w:r>
          </w:p>
        </w:tc>
      </w:tr>
      <w:tr>
        <w:trPr>
          <w:trHeight w:val="250"/>
        </w:trPr>
        <w:tc>
          <w:tcPr>
            <w:tcW w:w="2820" w:type="dxa"/>
            <w:vAlign w:val="bottom"/>
          </w:tcPr>
          <w:p>
            <w:pPr>
              <w:spacing w:after="0"/>
              <w:rPr>
                <w:sz w:val="21"/>
                <w:szCs w:val="21"/>
                <w:color w:val="auto"/>
              </w:rPr>
            </w:pPr>
          </w:p>
        </w:tc>
        <w:tc>
          <w:tcPr>
            <w:tcW w:w="7140" w:type="dxa"/>
            <w:vAlign w:val="bottom"/>
          </w:tcPr>
          <w:p>
            <w:pPr>
              <w:ind w:left="580"/>
              <w:spacing w:after="0"/>
              <w:rPr>
                <w:sz w:val="20"/>
                <w:szCs w:val="20"/>
                <w:color w:val="auto"/>
              </w:rPr>
            </w:pPr>
            <w:r>
              <w:rPr>
                <w:rFonts w:ascii="Arial" w:cs="Arial" w:eastAsia="Arial" w:hAnsi="Arial"/>
                <w:sz w:val="20"/>
                <w:szCs w:val="20"/>
                <w:color w:val="auto"/>
              </w:rPr>
              <w:t>Agents</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5.03</w:t>
            </w:r>
          </w:p>
        </w:tc>
        <w:tc>
          <w:tcPr>
            <w:tcW w:w="7140" w:type="dxa"/>
            <w:vAlign w:val="bottom"/>
          </w:tcPr>
          <w:p>
            <w:pPr>
              <w:ind w:left="580"/>
              <w:spacing w:after="0"/>
              <w:rPr>
                <w:sz w:val="20"/>
                <w:szCs w:val="20"/>
                <w:color w:val="auto"/>
              </w:rPr>
            </w:pPr>
            <w:r>
              <w:rPr>
                <w:rFonts w:ascii="Arial" w:cs="Arial" w:eastAsia="Arial" w:hAnsi="Arial"/>
                <w:sz w:val="20"/>
                <w:szCs w:val="20"/>
                <w:color w:val="auto"/>
              </w:rPr>
              <w:t>Instruments of Further Assurance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5.04</w:t>
            </w:r>
          </w:p>
        </w:tc>
        <w:tc>
          <w:tcPr>
            <w:tcW w:w="7140" w:type="dxa"/>
            <w:vAlign w:val="bottom"/>
          </w:tcPr>
          <w:p>
            <w:pPr>
              <w:ind w:left="580"/>
              <w:spacing w:after="0"/>
              <w:rPr>
                <w:sz w:val="20"/>
                <w:szCs w:val="20"/>
                <w:color w:val="auto"/>
              </w:rPr>
            </w:pPr>
            <w:r>
              <w:rPr>
                <w:rFonts w:ascii="Arial" w:cs="Arial" w:eastAsia="Arial" w:hAnsi="Arial"/>
                <w:sz w:val="20"/>
                <w:szCs w:val="20"/>
                <w:color w:val="auto"/>
              </w:rPr>
              <w:t>Maintenance of Rights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5.05</w:t>
            </w:r>
          </w:p>
        </w:tc>
        <w:tc>
          <w:tcPr>
            <w:tcW w:w="7140" w:type="dxa"/>
            <w:vAlign w:val="bottom"/>
          </w:tcPr>
          <w:p>
            <w:pPr>
              <w:ind w:left="580"/>
              <w:spacing w:after="0"/>
              <w:rPr>
                <w:sz w:val="20"/>
                <w:szCs w:val="20"/>
                <w:color w:val="auto"/>
              </w:rPr>
            </w:pPr>
            <w:r>
              <w:rPr>
                <w:rFonts w:ascii="Arial" w:cs="Arial" w:eastAsia="Arial" w:hAnsi="Arial"/>
                <w:sz w:val="20"/>
                <w:szCs w:val="20"/>
                <w:color w:val="auto"/>
              </w:rPr>
              <w:t>Corporate Existence</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5.06</w:t>
            </w:r>
          </w:p>
        </w:tc>
        <w:tc>
          <w:tcPr>
            <w:tcW w:w="7140" w:type="dxa"/>
            <w:vAlign w:val="bottom"/>
          </w:tcPr>
          <w:p>
            <w:pPr>
              <w:ind w:left="580"/>
              <w:spacing w:after="0"/>
              <w:rPr>
                <w:sz w:val="20"/>
                <w:szCs w:val="20"/>
                <w:color w:val="auto"/>
              </w:rPr>
            </w:pPr>
            <w:r>
              <w:rPr>
                <w:rFonts w:ascii="Arial" w:cs="Arial" w:eastAsia="Arial" w:hAnsi="Arial"/>
                <w:sz w:val="20"/>
                <w:szCs w:val="20"/>
                <w:color w:val="auto"/>
              </w:rPr>
              <w:t>Limitations on Liens, Debt and Disposition of Assets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5.07</w:t>
            </w:r>
          </w:p>
        </w:tc>
        <w:tc>
          <w:tcPr>
            <w:tcW w:w="7140" w:type="dxa"/>
            <w:vAlign w:val="bottom"/>
          </w:tcPr>
          <w:p>
            <w:pPr>
              <w:ind w:left="580"/>
              <w:spacing w:after="0"/>
              <w:rPr>
                <w:sz w:val="20"/>
                <w:szCs w:val="20"/>
                <w:color w:val="auto"/>
              </w:rPr>
            </w:pPr>
            <w:r>
              <w:rPr>
                <w:rFonts w:ascii="Arial" w:cs="Arial" w:eastAsia="Arial" w:hAnsi="Arial"/>
                <w:sz w:val="20"/>
                <w:szCs w:val="20"/>
                <w:color w:val="auto"/>
              </w:rPr>
              <w:t>Tax Covenants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59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5.08</w:t>
            </w:r>
          </w:p>
        </w:tc>
        <w:tc>
          <w:tcPr>
            <w:tcW w:w="7140" w:type="dxa"/>
            <w:vAlign w:val="bottom"/>
          </w:tcPr>
          <w:p>
            <w:pPr>
              <w:ind w:left="580"/>
              <w:spacing w:after="0"/>
              <w:rPr>
                <w:sz w:val="20"/>
                <w:szCs w:val="20"/>
                <w:color w:val="auto"/>
              </w:rPr>
            </w:pPr>
            <w:r>
              <w:rPr>
                <w:rFonts w:ascii="Arial" w:cs="Arial" w:eastAsia="Arial" w:hAnsi="Arial"/>
                <w:sz w:val="20"/>
                <w:szCs w:val="20"/>
                <w:color w:val="auto"/>
              </w:rPr>
              <w:t>Change in Law</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60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5.09</w:t>
            </w:r>
          </w:p>
        </w:tc>
        <w:tc>
          <w:tcPr>
            <w:tcW w:w="7140" w:type="dxa"/>
            <w:vAlign w:val="bottom"/>
          </w:tcPr>
          <w:p>
            <w:pPr>
              <w:ind w:left="580"/>
              <w:spacing w:after="0"/>
              <w:rPr>
                <w:sz w:val="20"/>
                <w:szCs w:val="20"/>
                <w:color w:val="auto"/>
              </w:rPr>
            </w:pPr>
            <w:r>
              <w:rPr>
                <w:rFonts w:ascii="Arial" w:cs="Arial" w:eastAsia="Arial" w:hAnsi="Arial"/>
                <w:sz w:val="20"/>
                <w:szCs w:val="20"/>
                <w:color w:val="auto"/>
              </w:rPr>
              <w:t>Purchase of Bonds</w:t>
            </w:r>
          </w:p>
        </w:tc>
        <w:tc>
          <w:tcPr>
            <w:tcW w:w="1360" w:type="dxa"/>
            <w:vAlign w:val="bottom"/>
            <w:gridSpan w:val="2"/>
          </w:tcPr>
          <w:p>
            <w:pPr>
              <w:jc w:val="center"/>
              <w:ind w:left="861"/>
              <w:spacing w:after="0"/>
              <w:rPr>
                <w:sz w:val="20"/>
                <w:szCs w:val="20"/>
                <w:color w:val="auto"/>
              </w:rPr>
            </w:pPr>
            <w:r>
              <w:rPr>
                <w:rFonts w:ascii="Arial" w:cs="Arial" w:eastAsia="Arial" w:hAnsi="Arial"/>
                <w:sz w:val="20"/>
                <w:szCs w:val="20"/>
                <w:color w:val="auto"/>
                <w:w w:val="89"/>
              </w:rPr>
              <w:t>60</w:t>
            </w:r>
          </w:p>
        </w:tc>
      </w:tr>
    </w:tbl>
    <w:p>
      <w:pPr>
        <w:sectPr>
          <w:pgSz w:w="11900" w:h="16838" w:orient="portrait"/>
          <w:cols w:equalWidth="0" w:num="1">
            <w:col w:w="11320"/>
          </w:cols>
          <w:pgMar w:left="340" w:top="132" w:right="239" w:bottom="1440" w:gutter="0" w:footer="0" w:header="0"/>
        </w:sectPr>
      </w:pPr>
    </w:p>
    <w:bookmarkStart w:id="168" w:name="page169"/>
    <w:bookmarkEnd w:id="168"/>
    <w:p>
      <w:pPr>
        <w:jc w:val="center"/>
        <w:ind w:right="100"/>
        <w:spacing w:after="0"/>
        <w:rPr>
          <w:sz w:val="20"/>
          <w:szCs w:val="20"/>
          <w:color w:val="auto"/>
        </w:rPr>
      </w:pPr>
      <w:r>
        <w:rPr>
          <w:rFonts w:ascii="Arial" w:cs="Arial" w:eastAsia="Arial" w:hAnsi="Arial"/>
          <w:sz w:val="22"/>
          <w:szCs w:val="22"/>
          <w:u w:val="single" w:color="auto"/>
          <w:color w:val="auto"/>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2"/>
                <w:szCs w:val="22"/>
                <w:color w:val="auto"/>
                <w:w w:val="81"/>
              </w:rPr>
              <w:t>Page</w:t>
            </w:r>
          </w:p>
        </w:tc>
      </w:tr>
      <w:tr>
        <w:trPr>
          <w:trHeight w:val="875"/>
        </w:trPr>
        <w:tc>
          <w:tcPr>
            <w:tcW w:w="2820" w:type="dxa"/>
            <w:vAlign w:val="bottom"/>
          </w:tcPr>
          <w:p>
            <w:pPr>
              <w:spacing w:after="0"/>
              <w:rPr>
                <w:sz w:val="20"/>
                <w:szCs w:val="20"/>
                <w:color w:val="auto"/>
              </w:rPr>
            </w:pPr>
            <w:r>
              <w:rPr>
                <w:rFonts w:ascii="Arial" w:cs="Arial" w:eastAsia="Arial" w:hAnsi="Arial"/>
                <w:sz w:val="20"/>
                <w:szCs w:val="20"/>
                <w:color w:val="auto"/>
              </w:rPr>
              <w:t>ARTICLE VI RESERVED</w:t>
            </w:r>
          </w:p>
        </w:tc>
        <w:tc>
          <w:tcPr>
            <w:tcW w:w="7200" w:type="dxa"/>
            <w:vAlign w:val="bottom"/>
          </w:tcPr>
          <w:p>
            <w:pPr>
              <w:spacing w:after="0"/>
              <w:rPr>
                <w:sz w:val="24"/>
                <w:szCs w:val="24"/>
                <w:color w:val="auto"/>
              </w:rPr>
            </w:pP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608"/>
        </w:trPr>
        <w:tc>
          <w:tcPr>
            <w:tcW w:w="10020" w:type="dxa"/>
            <w:vAlign w:val="bottom"/>
            <w:gridSpan w:val="2"/>
          </w:tcPr>
          <w:p>
            <w:pPr>
              <w:spacing w:after="0"/>
              <w:rPr>
                <w:sz w:val="20"/>
                <w:szCs w:val="20"/>
                <w:color w:val="auto"/>
              </w:rPr>
            </w:pPr>
            <w:r>
              <w:rPr>
                <w:rFonts w:ascii="Arial" w:cs="Arial" w:eastAsia="Arial" w:hAnsi="Arial"/>
                <w:sz w:val="20"/>
                <w:szCs w:val="20"/>
                <w:color w:val="auto"/>
              </w:rPr>
              <w:t>ARTICLE VII REMEDIES OF THE TRUSTEE AND HOLDERS OF BONDS IN EVENT OF DEFAULT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7.01</w:t>
            </w:r>
          </w:p>
        </w:tc>
        <w:tc>
          <w:tcPr>
            <w:tcW w:w="7200" w:type="dxa"/>
            <w:vAlign w:val="bottom"/>
          </w:tcPr>
          <w:p>
            <w:pPr>
              <w:ind w:left="580"/>
              <w:spacing w:after="0"/>
              <w:rPr>
                <w:sz w:val="20"/>
                <w:szCs w:val="20"/>
                <w:color w:val="auto"/>
              </w:rPr>
            </w:pPr>
            <w:r>
              <w:rPr>
                <w:rFonts w:ascii="Arial" w:cs="Arial" w:eastAsia="Arial" w:hAnsi="Arial"/>
                <w:sz w:val="20"/>
                <w:szCs w:val="20"/>
                <w:color w:val="auto"/>
              </w:rPr>
              <w:t>Events of Default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7.02</w:t>
            </w:r>
          </w:p>
        </w:tc>
        <w:tc>
          <w:tcPr>
            <w:tcW w:w="7200" w:type="dxa"/>
            <w:vAlign w:val="bottom"/>
          </w:tcPr>
          <w:p>
            <w:pPr>
              <w:ind w:left="580"/>
              <w:spacing w:after="0"/>
              <w:rPr>
                <w:sz w:val="20"/>
                <w:szCs w:val="20"/>
                <w:color w:val="auto"/>
              </w:rPr>
            </w:pPr>
            <w:r>
              <w:rPr>
                <w:rFonts w:ascii="Arial" w:cs="Arial" w:eastAsia="Arial" w:hAnsi="Arial"/>
                <w:sz w:val="20"/>
                <w:szCs w:val="20"/>
                <w:color w:val="auto"/>
              </w:rPr>
              <w:t>Acceleration of Maturity In Certain Cases; Rescission and Annulment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62</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7.03</w:t>
            </w:r>
          </w:p>
        </w:tc>
        <w:tc>
          <w:tcPr>
            <w:tcW w:w="7200" w:type="dxa"/>
            <w:vAlign w:val="bottom"/>
          </w:tcPr>
          <w:p>
            <w:pPr>
              <w:ind w:left="580"/>
              <w:spacing w:after="0"/>
              <w:rPr>
                <w:sz w:val="20"/>
                <w:szCs w:val="20"/>
                <w:color w:val="auto"/>
              </w:rPr>
            </w:pPr>
            <w:r>
              <w:rPr>
                <w:rFonts w:ascii="Arial" w:cs="Arial" w:eastAsia="Arial" w:hAnsi="Arial"/>
                <w:sz w:val="20"/>
                <w:szCs w:val="20"/>
                <w:color w:val="auto"/>
              </w:rPr>
              <w:t>Collection of Indebtedness and Suits for Enforcement by Trustee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7.04</w:t>
            </w:r>
          </w:p>
        </w:tc>
        <w:tc>
          <w:tcPr>
            <w:tcW w:w="7200" w:type="dxa"/>
            <w:vAlign w:val="bottom"/>
          </w:tcPr>
          <w:p>
            <w:pPr>
              <w:ind w:left="580"/>
              <w:spacing w:after="0"/>
              <w:rPr>
                <w:sz w:val="20"/>
                <w:szCs w:val="20"/>
                <w:color w:val="auto"/>
              </w:rPr>
            </w:pPr>
            <w:r>
              <w:rPr>
                <w:rFonts w:ascii="Arial" w:cs="Arial" w:eastAsia="Arial" w:hAnsi="Arial"/>
                <w:sz w:val="20"/>
                <w:szCs w:val="20"/>
                <w:color w:val="auto"/>
              </w:rPr>
              <w:t>Trustee May File Proofs of Claim</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65</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7.05</w:t>
            </w:r>
          </w:p>
        </w:tc>
        <w:tc>
          <w:tcPr>
            <w:tcW w:w="7200" w:type="dxa"/>
            <w:vAlign w:val="bottom"/>
          </w:tcPr>
          <w:p>
            <w:pPr>
              <w:ind w:left="580"/>
              <w:spacing w:after="0"/>
              <w:rPr>
                <w:sz w:val="20"/>
                <w:szCs w:val="20"/>
                <w:color w:val="auto"/>
              </w:rPr>
            </w:pPr>
            <w:r>
              <w:rPr>
                <w:rFonts w:ascii="Arial" w:cs="Arial" w:eastAsia="Arial" w:hAnsi="Arial"/>
                <w:sz w:val="20"/>
                <w:szCs w:val="20"/>
                <w:color w:val="auto"/>
              </w:rPr>
              <w:t>Trustee May Enforce Claims Without Possession of Bonds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65</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7.06</w:t>
            </w:r>
          </w:p>
        </w:tc>
        <w:tc>
          <w:tcPr>
            <w:tcW w:w="7200" w:type="dxa"/>
            <w:vAlign w:val="bottom"/>
          </w:tcPr>
          <w:p>
            <w:pPr>
              <w:ind w:left="580"/>
              <w:spacing w:after="0"/>
              <w:rPr>
                <w:sz w:val="20"/>
                <w:szCs w:val="20"/>
                <w:color w:val="auto"/>
              </w:rPr>
            </w:pPr>
            <w:r>
              <w:rPr>
                <w:rFonts w:ascii="Arial" w:cs="Arial" w:eastAsia="Arial" w:hAnsi="Arial"/>
                <w:sz w:val="20"/>
                <w:szCs w:val="20"/>
                <w:color w:val="auto"/>
              </w:rPr>
              <w:t>Application of Money Collected</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7.07</w:t>
            </w:r>
          </w:p>
        </w:tc>
        <w:tc>
          <w:tcPr>
            <w:tcW w:w="7200" w:type="dxa"/>
            <w:vAlign w:val="bottom"/>
          </w:tcPr>
          <w:p>
            <w:pPr>
              <w:ind w:left="580"/>
              <w:spacing w:after="0"/>
              <w:rPr>
                <w:sz w:val="20"/>
                <w:szCs w:val="20"/>
                <w:color w:val="auto"/>
              </w:rPr>
            </w:pPr>
            <w:r>
              <w:rPr>
                <w:rFonts w:ascii="Arial" w:cs="Arial" w:eastAsia="Arial" w:hAnsi="Arial"/>
                <w:sz w:val="20"/>
                <w:szCs w:val="20"/>
                <w:color w:val="auto"/>
              </w:rPr>
              <w:t>Limitation on Suits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66</w:t>
            </w:r>
          </w:p>
        </w:tc>
      </w:tr>
      <w:tr>
        <w:trPr>
          <w:trHeight w:val="263"/>
        </w:trPr>
        <w:tc>
          <w:tcPr>
            <w:tcW w:w="2820" w:type="dxa"/>
            <w:vAlign w:val="bottom"/>
          </w:tcPr>
          <w:p>
            <w:pPr>
              <w:ind w:left="1240"/>
              <w:spacing w:after="0"/>
              <w:rPr>
                <w:sz w:val="20"/>
                <w:szCs w:val="20"/>
                <w:color w:val="auto"/>
              </w:rPr>
            </w:pPr>
            <w:r>
              <w:rPr>
                <w:rFonts w:ascii="Arial" w:cs="Arial" w:eastAsia="Arial" w:hAnsi="Arial"/>
                <w:sz w:val="20"/>
                <w:szCs w:val="20"/>
                <w:color w:val="auto"/>
              </w:rPr>
              <w:t>Section 7.08</w:t>
            </w:r>
          </w:p>
        </w:tc>
        <w:tc>
          <w:tcPr>
            <w:tcW w:w="7200" w:type="dxa"/>
            <w:vAlign w:val="bottom"/>
          </w:tcPr>
          <w:p>
            <w:pPr>
              <w:ind w:left="580"/>
              <w:spacing w:after="0"/>
              <w:rPr>
                <w:sz w:val="20"/>
                <w:szCs w:val="20"/>
                <w:color w:val="auto"/>
              </w:rPr>
            </w:pPr>
            <w:r>
              <w:rPr>
                <w:rFonts w:ascii="Arial" w:cs="Arial" w:eastAsia="Arial" w:hAnsi="Arial"/>
                <w:sz w:val="20"/>
                <w:szCs w:val="20"/>
                <w:color w:val="auto"/>
              </w:rPr>
              <w:t>Unconditional Right of Holders of Bonds to Receive Principal, Premium</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67</w:t>
            </w:r>
          </w:p>
        </w:tc>
      </w:tr>
      <w:tr>
        <w:trPr>
          <w:trHeight w:val="250"/>
        </w:trPr>
        <w:tc>
          <w:tcPr>
            <w:tcW w:w="2820" w:type="dxa"/>
            <w:vAlign w:val="bottom"/>
          </w:tcPr>
          <w:p>
            <w:pPr>
              <w:spacing w:after="0"/>
              <w:rPr>
                <w:sz w:val="21"/>
                <w:szCs w:val="21"/>
                <w:color w:val="auto"/>
              </w:rPr>
            </w:pPr>
          </w:p>
        </w:tc>
        <w:tc>
          <w:tcPr>
            <w:tcW w:w="7200" w:type="dxa"/>
            <w:vAlign w:val="bottom"/>
          </w:tcPr>
          <w:p>
            <w:pPr>
              <w:ind w:left="580"/>
              <w:spacing w:after="0"/>
              <w:rPr>
                <w:sz w:val="20"/>
                <w:szCs w:val="20"/>
                <w:color w:val="auto"/>
              </w:rPr>
            </w:pPr>
            <w:r>
              <w:rPr>
                <w:rFonts w:ascii="Arial" w:cs="Arial" w:eastAsia="Arial" w:hAnsi="Arial"/>
                <w:sz w:val="20"/>
                <w:szCs w:val="20"/>
                <w:color w:val="auto"/>
              </w:rPr>
              <w:t>and Interest</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7.09</w:t>
            </w:r>
          </w:p>
        </w:tc>
        <w:tc>
          <w:tcPr>
            <w:tcW w:w="7200" w:type="dxa"/>
            <w:vAlign w:val="bottom"/>
          </w:tcPr>
          <w:p>
            <w:pPr>
              <w:ind w:left="580"/>
              <w:spacing w:after="0"/>
              <w:rPr>
                <w:sz w:val="20"/>
                <w:szCs w:val="20"/>
                <w:color w:val="auto"/>
              </w:rPr>
            </w:pPr>
            <w:r>
              <w:rPr>
                <w:rFonts w:ascii="Arial" w:cs="Arial" w:eastAsia="Arial" w:hAnsi="Arial"/>
                <w:sz w:val="20"/>
                <w:szCs w:val="20"/>
                <w:color w:val="auto"/>
              </w:rPr>
              <w:t>Restoration of Rights and Remedies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7.10</w:t>
            </w:r>
          </w:p>
        </w:tc>
        <w:tc>
          <w:tcPr>
            <w:tcW w:w="7200" w:type="dxa"/>
            <w:vAlign w:val="bottom"/>
          </w:tcPr>
          <w:p>
            <w:pPr>
              <w:ind w:left="580"/>
              <w:spacing w:after="0"/>
              <w:rPr>
                <w:sz w:val="20"/>
                <w:szCs w:val="20"/>
                <w:color w:val="auto"/>
              </w:rPr>
            </w:pPr>
            <w:r>
              <w:rPr>
                <w:rFonts w:ascii="Arial" w:cs="Arial" w:eastAsia="Arial" w:hAnsi="Arial"/>
                <w:sz w:val="20"/>
                <w:szCs w:val="20"/>
                <w:color w:val="auto"/>
              </w:rPr>
              <w:t>Rights and Remedies Cumulative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7.11</w:t>
            </w:r>
          </w:p>
        </w:tc>
        <w:tc>
          <w:tcPr>
            <w:tcW w:w="7200" w:type="dxa"/>
            <w:vAlign w:val="bottom"/>
          </w:tcPr>
          <w:p>
            <w:pPr>
              <w:ind w:left="580"/>
              <w:spacing w:after="0"/>
              <w:rPr>
                <w:sz w:val="20"/>
                <w:szCs w:val="20"/>
                <w:color w:val="auto"/>
              </w:rPr>
            </w:pPr>
            <w:r>
              <w:rPr>
                <w:rFonts w:ascii="Arial" w:cs="Arial" w:eastAsia="Arial" w:hAnsi="Arial"/>
                <w:sz w:val="20"/>
                <w:szCs w:val="20"/>
                <w:color w:val="auto"/>
              </w:rPr>
              <w:t>Delay or Omission Not Waiver</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67</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7.12</w:t>
            </w:r>
          </w:p>
        </w:tc>
        <w:tc>
          <w:tcPr>
            <w:tcW w:w="7200" w:type="dxa"/>
            <w:vAlign w:val="bottom"/>
          </w:tcPr>
          <w:p>
            <w:pPr>
              <w:ind w:left="580"/>
              <w:spacing w:after="0"/>
              <w:rPr>
                <w:sz w:val="20"/>
                <w:szCs w:val="20"/>
                <w:color w:val="auto"/>
              </w:rPr>
            </w:pPr>
            <w:r>
              <w:rPr>
                <w:rFonts w:ascii="Arial" w:cs="Arial" w:eastAsia="Arial" w:hAnsi="Arial"/>
                <w:sz w:val="20"/>
                <w:szCs w:val="20"/>
                <w:color w:val="auto"/>
              </w:rPr>
              <w:t>Control by Holders of Bonds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7.13</w:t>
            </w:r>
          </w:p>
        </w:tc>
        <w:tc>
          <w:tcPr>
            <w:tcW w:w="7200" w:type="dxa"/>
            <w:vAlign w:val="bottom"/>
          </w:tcPr>
          <w:p>
            <w:pPr>
              <w:ind w:left="580"/>
              <w:spacing w:after="0"/>
              <w:rPr>
                <w:sz w:val="20"/>
                <w:szCs w:val="20"/>
                <w:color w:val="auto"/>
              </w:rPr>
            </w:pPr>
            <w:r>
              <w:rPr>
                <w:rFonts w:ascii="Arial" w:cs="Arial" w:eastAsia="Arial" w:hAnsi="Arial"/>
                <w:sz w:val="20"/>
                <w:szCs w:val="20"/>
                <w:color w:val="auto"/>
              </w:rPr>
              <w:t>Waiver of Past Defaults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7.14</w:t>
            </w:r>
          </w:p>
        </w:tc>
        <w:tc>
          <w:tcPr>
            <w:tcW w:w="7200" w:type="dxa"/>
            <w:vAlign w:val="bottom"/>
          </w:tcPr>
          <w:p>
            <w:pPr>
              <w:ind w:left="580"/>
              <w:spacing w:after="0"/>
              <w:rPr>
                <w:sz w:val="20"/>
                <w:szCs w:val="20"/>
                <w:color w:val="auto"/>
              </w:rPr>
            </w:pPr>
            <w:r>
              <w:rPr>
                <w:rFonts w:ascii="Arial" w:cs="Arial" w:eastAsia="Arial" w:hAnsi="Arial"/>
                <w:sz w:val="20"/>
                <w:szCs w:val="20"/>
                <w:color w:val="auto"/>
              </w:rPr>
              <w:t>Undertaking for Costs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68</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7.15</w:t>
            </w:r>
          </w:p>
        </w:tc>
        <w:tc>
          <w:tcPr>
            <w:tcW w:w="7200" w:type="dxa"/>
            <w:vAlign w:val="bottom"/>
          </w:tcPr>
          <w:p>
            <w:pPr>
              <w:ind w:left="580"/>
              <w:spacing w:after="0"/>
              <w:rPr>
                <w:sz w:val="20"/>
                <w:szCs w:val="20"/>
                <w:color w:val="auto"/>
              </w:rPr>
            </w:pPr>
            <w:r>
              <w:rPr>
                <w:rFonts w:ascii="Arial" w:cs="Arial" w:eastAsia="Arial" w:hAnsi="Arial"/>
                <w:sz w:val="20"/>
                <w:szCs w:val="20"/>
                <w:color w:val="auto"/>
              </w:rPr>
              <w:t>Waiver of Stay or Extension Laws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7.16</w:t>
            </w:r>
          </w:p>
        </w:tc>
        <w:tc>
          <w:tcPr>
            <w:tcW w:w="7200" w:type="dxa"/>
            <w:vAlign w:val="bottom"/>
          </w:tcPr>
          <w:p>
            <w:pPr>
              <w:ind w:left="580"/>
              <w:spacing w:after="0"/>
              <w:rPr>
                <w:sz w:val="20"/>
                <w:szCs w:val="20"/>
                <w:color w:val="auto"/>
              </w:rPr>
            </w:pPr>
            <w:r>
              <w:rPr>
                <w:rFonts w:ascii="Arial" w:cs="Arial" w:eastAsia="Arial" w:hAnsi="Arial"/>
                <w:sz w:val="20"/>
                <w:szCs w:val="20"/>
                <w:color w:val="auto"/>
              </w:rPr>
              <w:t>No Recourse Against Others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7.17</w:t>
            </w:r>
          </w:p>
        </w:tc>
        <w:tc>
          <w:tcPr>
            <w:tcW w:w="7200" w:type="dxa"/>
            <w:vAlign w:val="bottom"/>
          </w:tcPr>
          <w:p>
            <w:pPr>
              <w:ind w:left="580"/>
              <w:spacing w:after="0"/>
              <w:rPr>
                <w:sz w:val="20"/>
                <w:szCs w:val="20"/>
                <w:color w:val="auto"/>
              </w:rPr>
            </w:pPr>
            <w:r>
              <w:rPr>
                <w:rFonts w:ascii="Arial" w:cs="Arial" w:eastAsia="Arial" w:hAnsi="Arial"/>
                <w:sz w:val="20"/>
                <w:szCs w:val="20"/>
                <w:color w:val="auto"/>
              </w:rPr>
              <w:t>Expenses Payable under Indenture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69</w:t>
            </w:r>
          </w:p>
        </w:tc>
      </w:tr>
      <w:tr>
        <w:trPr>
          <w:trHeight w:val="608"/>
        </w:trPr>
        <w:tc>
          <w:tcPr>
            <w:tcW w:w="10020" w:type="dxa"/>
            <w:vAlign w:val="bottom"/>
            <w:gridSpan w:val="2"/>
          </w:tcPr>
          <w:p>
            <w:pPr>
              <w:spacing w:after="0"/>
              <w:rPr>
                <w:sz w:val="20"/>
                <w:szCs w:val="20"/>
                <w:color w:val="auto"/>
              </w:rPr>
            </w:pPr>
            <w:r>
              <w:rPr>
                <w:rFonts w:ascii="Arial" w:cs="Arial" w:eastAsia="Arial" w:hAnsi="Arial"/>
                <w:sz w:val="20"/>
                <w:szCs w:val="20"/>
                <w:color w:val="auto"/>
              </w:rPr>
              <w:t>ARTICLE VIII CONCERNING THE TRUSTEE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8.01</w:t>
            </w:r>
          </w:p>
        </w:tc>
        <w:tc>
          <w:tcPr>
            <w:tcW w:w="7200" w:type="dxa"/>
            <w:vAlign w:val="bottom"/>
          </w:tcPr>
          <w:p>
            <w:pPr>
              <w:ind w:left="580"/>
              <w:spacing w:after="0"/>
              <w:rPr>
                <w:sz w:val="20"/>
                <w:szCs w:val="20"/>
                <w:color w:val="auto"/>
              </w:rPr>
            </w:pPr>
            <w:r>
              <w:rPr>
                <w:rFonts w:ascii="Arial" w:cs="Arial" w:eastAsia="Arial" w:hAnsi="Arial"/>
                <w:sz w:val="20"/>
                <w:szCs w:val="20"/>
                <w:color w:val="auto"/>
              </w:rPr>
              <w:t>Duties and Liabilities of Trustee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69</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8.02</w:t>
            </w:r>
          </w:p>
        </w:tc>
        <w:tc>
          <w:tcPr>
            <w:tcW w:w="7200" w:type="dxa"/>
            <w:vAlign w:val="bottom"/>
          </w:tcPr>
          <w:p>
            <w:pPr>
              <w:ind w:left="580"/>
              <w:spacing w:after="0"/>
              <w:rPr>
                <w:sz w:val="20"/>
                <w:szCs w:val="20"/>
                <w:color w:val="auto"/>
              </w:rPr>
            </w:pPr>
            <w:r>
              <w:rPr>
                <w:rFonts w:ascii="Arial" w:cs="Arial" w:eastAsia="Arial" w:hAnsi="Arial"/>
                <w:sz w:val="20"/>
                <w:szCs w:val="20"/>
                <w:color w:val="auto"/>
              </w:rPr>
              <w:t>Notice of Defaults; Notice to Rating Service and Beneficial Owners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70</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8.03</w:t>
            </w:r>
          </w:p>
        </w:tc>
        <w:tc>
          <w:tcPr>
            <w:tcW w:w="7200" w:type="dxa"/>
            <w:vAlign w:val="bottom"/>
          </w:tcPr>
          <w:p>
            <w:pPr>
              <w:ind w:left="580"/>
              <w:spacing w:after="0"/>
              <w:rPr>
                <w:sz w:val="20"/>
                <w:szCs w:val="20"/>
                <w:color w:val="auto"/>
              </w:rPr>
            </w:pPr>
            <w:r>
              <w:rPr>
                <w:rFonts w:ascii="Arial" w:cs="Arial" w:eastAsia="Arial" w:hAnsi="Arial"/>
                <w:sz w:val="20"/>
                <w:szCs w:val="20"/>
                <w:color w:val="auto"/>
              </w:rPr>
              <w:t>Certain Rights of Trustee</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72</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8.04</w:t>
            </w:r>
          </w:p>
        </w:tc>
        <w:tc>
          <w:tcPr>
            <w:tcW w:w="7200" w:type="dxa"/>
            <w:vAlign w:val="bottom"/>
          </w:tcPr>
          <w:p>
            <w:pPr>
              <w:ind w:left="580"/>
              <w:spacing w:after="0"/>
              <w:rPr>
                <w:sz w:val="20"/>
                <w:szCs w:val="20"/>
                <w:color w:val="auto"/>
              </w:rPr>
            </w:pPr>
            <w:r>
              <w:rPr>
                <w:rFonts w:ascii="Arial" w:cs="Arial" w:eastAsia="Arial" w:hAnsi="Arial"/>
                <w:sz w:val="20"/>
                <w:szCs w:val="20"/>
                <w:color w:val="auto"/>
              </w:rPr>
              <w:t>Not Responsible For Recitals or Issuance of Bonds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8.05</w:t>
            </w:r>
          </w:p>
        </w:tc>
        <w:tc>
          <w:tcPr>
            <w:tcW w:w="7200" w:type="dxa"/>
            <w:vAlign w:val="bottom"/>
          </w:tcPr>
          <w:p>
            <w:pPr>
              <w:ind w:left="580"/>
              <w:spacing w:after="0"/>
              <w:rPr>
                <w:sz w:val="20"/>
                <w:szCs w:val="20"/>
                <w:color w:val="auto"/>
              </w:rPr>
            </w:pPr>
            <w:r>
              <w:rPr>
                <w:rFonts w:ascii="Arial" w:cs="Arial" w:eastAsia="Arial" w:hAnsi="Arial"/>
                <w:sz w:val="20"/>
                <w:szCs w:val="20"/>
                <w:color w:val="auto"/>
              </w:rPr>
              <w:t>Trustee May Own Bonds</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8.06</w:t>
            </w:r>
          </w:p>
        </w:tc>
        <w:tc>
          <w:tcPr>
            <w:tcW w:w="7200" w:type="dxa"/>
            <w:vAlign w:val="bottom"/>
          </w:tcPr>
          <w:p>
            <w:pPr>
              <w:ind w:left="580"/>
              <w:spacing w:after="0"/>
              <w:rPr>
                <w:sz w:val="20"/>
                <w:szCs w:val="20"/>
                <w:color w:val="auto"/>
              </w:rPr>
            </w:pPr>
            <w:r>
              <w:rPr>
                <w:rFonts w:ascii="Arial" w:cs="Arial" w:eastAsia="Arial" w:hAnsi="Arial"/>
                <w:sz w:val="20"/>
                <w:szCs w:val="20"/>
                <w:color w:val="auto"/>
              </w:rPr>
              <w:t>Money to Be Held in Trust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73</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8.07</w:t>
            </w:r>
          </w:p>
        </w:tc>
        <w:tc>
          <w:tcPr>
            <w:tcW w:w="7200" w:type="dxa"/>
            <w:vAlign w:val="bottom"/>
          </w:tcPr>
          <w:p>
            <w:pPr>
              <w:ind w:left="580"/>
              <w:spacing w:after="0"/>
              <w:rPr>
                <w:sz w:val="20"/>
                <w:szCs w:val="20"/>
                <w:color w:val="auto"/>
              </w:rPr>
            </w:pPr>
            <w:r>
              <w:rPr>
                <w:rFonts w:ascii="Arial" w:cs="Arial" w:eastAsia="Arial" w:hAnsi="Arial"/>
                <w:sz w:val="20"/>
                <w:szCs w:val="20"/>
                <w:color w:val="auto"/>
              </w:rPr>
              <w:t>Compensation and Expenses of Trustee and Paying Agent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8.08</w:t>
            </w:r>
          </w:p>
        </w:tc>
        <w:tc>
          <w:tcPr>
            <w:tcW w:w="7200" w:type="dxa"/>
            <w:vAlign w:val="bottom"/>
          </w:tcPr>
          <w:p>
            <w:pPr>
              <w:ind w:left="580"/>
              <w:spacing w:after="0"/>
              <w:rPr>
                <w:sz w:val="20"/>
                <w:szCs w:val="20"/>
                <w:color w:val="auto"/>
              </w:rPr>
            </w:pPr>
            <w:r>
              <w:rPr>
                <w:rFonts w:ascii="Arial" w:cs="Arial" w:eastAsia="Arial" w:hAnsi="Arial"/>
                <w:sz w:val="20"/>
                <w:szCs w:val="20"/>
                <w:color w:val="auto"/>
              </w:rPr>
              <w:t>Corporate Trustee Required; Eligibility</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74</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8.09</w:t>
            </w:r>
          </w:p>
        </w:tc>
        <w:tc>
          <w:tcPr>
            <w:tcW w:w="7200" w:type="dxa"/>
            <w:vAlign w:val="bottom"/>
          </w:tcPr>
          <w:p>
            <w:pPr>
              <w:ind w:left="580"/>
              <w:spacing w:after="0"/>
              <w:rPr>
                <w:sz w:val="20"/>
                <w:szCs w:val="20"/>
                <w:color w:val="auto"/>
              </w:rPr>
            </w:pPr>
            <w:r>
              <w:rPr>
                <w:rFonts w:ascii="Arial" w:cs="Arial" w:eastAsia="Arial" w:hAnsi="Arial"/>
                <w:sz w:val="20"/>
                <w:szCs w:val="20"/>
                <w:color w:val="auto"/>
              </w:rPr>
              <w:t>Resignation and Removal; Appointment of Successor</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75</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8.10</w:t>
            </w:r>
          </w:p>
        </w:tc>
        <w:tc>
          <w:tcPr>
            <w:tcW w:w="7200" w:type="dxa"/>
            <w:vAlign w:val="bottom"/>
          </w:tcPr>
          <w:p>
            <w:pPr>
              <w:ind w:left="580"/>
              <w:spacing w:after="0"/>
              <w:rPr>
                <w:sz w:val="20"/>
                <w:szCs w:val="20"/>
                <w:color w:val="auto"/>
              </w:rPr>
            </w:pPr>
            <w:r>
              <w:rPr>
                <w:rFonts w:ascii="Arial" w:cs="Arial" w:eastAsia="Arial" w:hAnsi="Arial"/>
                <w:sz w:val="20"/>
                <w:szCs w:val="20"/>
                <w:color w:val="auto"/>
              </w:rPr>
              <w:t>Acceptance of Appointment by Successor</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8.11</w:t>
            </w:r>
          </w:p>
        </w:tc>
        <w:tc>
          <w:tcPr>
            <w:tcW w:w="7200" w:type="dxa"/>
            <w:vAlign w:val="bottom"/>
          </w:tcPr>
          <w:p>
            <w:pPr>
              <w:ind w:left="580"/>
              <w:spacing w:after="0"/>
              <w:rPr>
                <w:sz w:val="20"/>
                <w:szCs w:val="20"/>
                <w:color w:val="auto"/>
              </w:rPr>
            </w:pPr>
            <w:r>
              <w:rPr>
                <w:rFonts w:ascii="Arial" w:cs="Arial" w:eastAsia="Arial" w:hAnsi="Arial"/>
                <w:sz w:val="20"/>
                <w:szCs w:val="20"/>
                <w:color w:val="auto"/>
              </w:rPr>
              <w:t>Merger or Consolidation</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8.12</w:t>
            </w:r>
          </w:p>
        </w:tc>
        <w:tc>
          <w:tcPr>
            <w:tcW w:w="7200" w:type="dxa"/>
            <w:vAlign w:val="bottom"/>
          </w:tcPr>
          <w:p>
            <w:pPr>
              <w:ind w:left="580"/>
              <w:spacing w:after="0"/>
              <w:rPr>
                <w:sz w:val="20"/>
                <w:szCs w:val="20"/>
                <w:color w:val="auto"/>
              </w:rPr>
            </w:pPr>
            <w:r>
              <w:rPr>
                <w:rFonts w:ascii="Arial" w:cs="Arial" w:eastAsia="Arial" w:hAnsi="Arial"/>
                <w:sz w:val="20"/>
                <w:szCs w:val="20"/>
                <w:color w:val="auto"/>
              </w:rPr>
              <w:t>Authenticating Agent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76</w:t>
            </w:r>
          </w:p>
        </w:tc>
      </w:tr>
      <w:tr>
        <w:trPr>
          <w:trHeight w:val="284"/>
        </w:trPr>
        <w:tc>
          <w:tcPr>
            <w:tcW w:w="2820" w:type="dxa"/>
            <w:vAlign w:val="bottom"/>
          </w:tcPr>
          <w:p>
            <w:pPr>
              <w:ind w:left="1240"/>
              <w:spacing w:after="0"/>
              <w:rPr>
                <w:sz w:val="20"/>
                <w:szCs w:val="20"/>
                <w:color w:val="auto"/>
              </w:rPr>
            </w:pPr>
            <w:r>
              <w:rPr>
                <w:rFonts w:ascii="Arial" w:cs="Arial" w:eastAsia="Arial" w:hAnsi="Arial"/>
                <w:sz w:val="20"/>
                <w:szCs w:val="20"/>
                <w:color w:val="auto"/>
              </w:rPr>
              <w:t>Section 8.13</w:t>
            </w:r>
          </w:p>
        </w:tc>
        <w:tc>
          <w:tcPr>
            <w:tcW w:w="7200" w:type="dxa"/>
            <w:vAlign w:val="bottom"/>
          </w:tcPr>
          <w:p>
            <w:pPr>
              <w:ind w:left="580"/>
              <w:spacing w:after="0"/>
              <w:rPr>
                <w:sz w:val="20"/>
                <w:szCs w:val="20"/>
                <w:color w:val="auto"/>
              </w:rPr>
            </w:pPr>
            <w:r>
              <w:rPr>
                <w:rFonts w:ascii="Arial" w:cs="Arial" w:eastAsia="Arial" w:hAnsi="Arial"/>
                <w:sz w:val="20"/>
                <w:szCs w:val="20"/>
                <w:color w:val="auto"/>
              </w:rPr>
              <w:t>Tender Agent</w:t>
            </w:r>
          </w:p>
        </w:tc>
        <w:tc>
          <w:tcPr>
            <w:tcW w:w="130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77</w:t>
            </w:r>
          </w:p>
        </w:tc>
      </w:tr>
    </w:tbl>
    <w:p>
      <w:pPr>
        <w:sectPr>
          <w:pgSz w:w="11900" w:h="16838" w:orient="portrait"/>
          <w:cols w:equalWidth="0" w:num="1">
            <w:col w:w="11320"/>
          </w:cols>
          <w:pgMar w:left="340" w:top="132" w:right="239" w:bottom="1440" w:gutter="0" w:footer="0" w:header="0"/>
        </w:sectPr>
      </w:pPr>
    </w:p>
    <w:bookmarkStart w:id="169" w:name="page170"/>
    <w:bookmarkEnd w:id="169"/>
    <w:p>
      <w:pPr>
        <w:jc w:val="center"/>
        <w:ind w:right="100"/>
        <w:spacing w:after="0"/>
        <w:rPr>
          <w:sz w:val="20"/>
          <w:szCs w:val="20"/>
          <w:color w:val="auto"/>
        </w:rPr>
      </w:pPr>
      <w:r>
        <w:rPr>
          <w:rFonts w:ascii="Arial" w:cs="Arial" w:eastAsia="Arial" w:hAnsi="Arial"/>
          <w:sz w:val="22"/>
          <w:szCs w:val="22"/>
          <w:u w:val="single" w:color="auto"/>
          <w:color w:val="auto"/>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2"/>
                <w:szCs w:val="22"/>
                <w:color w:val="auto"/>
                <w:w w:val="81"/>
              </w:rPr>
              <w:t>Page</w:t>
            </w:r>
          </w:p>
        </w:tc>
      </w:tr>
      <w:tr>
        <w:trPr>
          <w:trHeight w:val="875"/>
        </w:trPr>
        <w:tc>
          <w:tcPr>
            <w:tcW w:w="2860" w:type="dxa"/>
            <w:vAlign w:val="bottom"/>
          </w:tcPr>
          <w:p>
            <w:pPr>
              <w:ind w:left="1240"/>
              <w:spacing w:after="0"/>
              <w:rPr>
                <w:sz w:val="20"/>
                <w:szCs w:val="20"/>
                <w:color w:val="auto"/>
              </w:rPr>
            </w:pPr>
            <w:r>
              <w:rPr>
                <w:rFonts w:ascii="Arial" w:cs="Arial" w:eastAsia="Arial" w:hAnsi="Arial"/>
                <w:sz w:val="20"/>
                <w:szCs w:val="20"/>
                <w:color w:val="auto"/>
              </w:rPr>
              <w:t>Section 8.14</w:t>
            </w:r>
          </w:p>
        </w:tc>
        <w:tc>
          <w:tcPr>
            <w:tcW w:w="7220" w:type="dxa"/>
            <w:vAlign w:val="bottom"/>
          </w:tcPr>
          <w:p>
            <w:pPr>
              <w:ind w:left="540"/>
              <w:spacing w:after="0"/>
              <w:rPr>
                <w:sz w:val="20"/>
                <w:szCs w:val="20"/>
                <w:color w:val="auto"/>
              </w:rPr>
            </w:pPr>
            <w:r>
              <w:rPr>
                <w:rFonts w:ascii="Arial" w:cs="Arial" w:eastAsia="Arial" w:hAnsi="Arial"/>
                <w:sz w:val="20"/>
                <w:szCs w:val="20"/>
                <w:color w:val="auto"/>
              </w:rPr>
              <w:t>Remarketing Agent</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79</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8.15</w:t>
            </w:r>
          </w:p>
        </w:tc>
        <w:tc>
          <w:tcPr>
            <w:tcW w:w="7220" w:type="dxa"/>
            <w:vAlign w:val="bottom"/>
          </w:tcPr>
          <w:p>
            <w:pPr>
              <w:ind w:left="540"/>
              <w:spacing w:after="0"/>
              <w:rPr>
                <w:sz w:val="20"/>
                <w:szCs w:val="20"/>
                <w:color w:val="auto"/>
              </w:rPr>
            </w:pPr>
            <w:r>
              <w:rPr>
                <w:rFonts w:ascii="Arial" w:cs="Arial" w:eastAsia="Arial" w:hAnsi="Arial"/>
                <w:sz w:val="20"/>
                <w:szCs w:val="20"/>
                <w:color w:val="auto"/>
              </w:rPr>
              <w:t>Trustee Liability for Agents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80</w:t>
            </w:r>
          </w:p>
        </w:tc>
      </w:tr>
      <w:tr>
        <w:trPr>
          <w:trHeight w:val="608"/>
        </w:trPr>
        <w:tc>
          <w:tcPr>
            <w:tcW w:w="10080" w:type="dxa"/>
            <w:vAlign w:val="bottom"/>
            <w:gridSpan w:val="2"/>
          </w:tcPr>
          <w:p>
            <w:pPr>
              <w:spacing w:after="0"/>
              <w:rPr>
                <w:sz w:val="20"/>
                <w:szCs w:val="20"/>
                <w:color w:val="auto"/>
              </w:rPr>
            </w:pPr>
            <w:r>
              <w:rPr>
                <w:rFonts w:ascii="Arial" w:cs="Arial" w:eastAsia="Arial" w:hAnsi="Arial"/>
                <w:sz w:val="20"/>
                <w:szCs w:val="20"/>
                <w:color w:val="auto"/>
              </w:rPr>
              <w:t>ARTICLE IX SUPPLEMENTS AND AMENDMENTS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80</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9.01</w:t>
            </w:r>
          </w:p>
        </w:tc>
        <w:tc>
          <w:tcPr>
            <w:tcW w:w="7220" w:type="dxa"/>
            <w:vAlign w:val="bottom"/>
          </w:tcPr>
          <w:p>
            <w:pPr>
              <w:ind w:left="540"/>
              <w:spacing w:after="0"/>
              <w:rPr>
                <w:sz w:val="20"/>
                <w:szCs w:val="20"/>
                <w:color w:val="auto"/>
              </w:rPr>
            </w:pPr>
            <w:r>
              <w:rPr>
                <w:rFonts w:ascii="Arial" w:cs="Arial" w:eastAsia="Arial" w:hAnsi="Arial"/>
                <w:sz w:val="20"/>
                <w:szCs w:val="20"/>
                <w:color w:val="auto"/>
              </w:rPr>
              <w:t>Supplemental Indentures Without Consent of Holders of Bonds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80</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9.02</w:t>
            </w:r>
          </w:p>
        </w:tc>
        <w:tc>
          <w:tcPr>
            <w:tcW w:w="7220" w:type="dxa"/>
            <w:vAlign w:val="bottom"/>
          </w:tcPr>
          <w:p>
            <w:pPr>
              <w:ind w:left="540"/>
              <w:spacing w:after="0"/>
              <w:rPr>
                <w:sz w:val="20"/>
                <w:szCs w:val="20"/>
                <w:color w:val="auto"/>
              </w:rPr>
            </w:pPr>
            <w:r>
              <w:rPr>
                <w:rFonts w:ascii="Arial" w:cs="Arial" w:eastAsia="Arial" w:hAnsi="Arial"/>
                <w:sz w:val="20"/>
                <w:szCs w:val="20"/>
                <w:color w:val="auto"/>
              </w:rPr>
              <w:t>Supplemental Indentures With Consent of Holders of Bonds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81</w:t>
            </w:r>
          </w:p>
        </w:tc>
      </w:tr>
      <w:tr>
        <w:trPr>
          <w:trHeight w:val="263"/>
        </w:trPr>
        <w:tc>
          <w:tcPr>
            <w:tcW w:w="2860" w:type="dxa"/>
            <w:vAlign w:val="bottom"/>
          </w:tcPr>
          <w:p>
            <w:pPr>
              <w:ind w:left="1240"/>
              <w:spacing w:after="0"/>
              <w:rPr>
                <w:sz w:val="20"/>
                <w:szCs w:val="20"/>
                <w:color w:val="auto"/>
              </w:rPr>
            </w:pPr>
            <w:r>
              <w:rPr>
                <w:rFonts w:ascii="Arial" w:cs="Arial" w:eastAsia="Arial" w:hAnsi="Arial"/>
                <w:sz w:val="20"/>
                <w:szCs w:val="20"/>
                <w:color w:val="auto"/>
              </w:rPr>
              <w:t>Section 9.03</w:t>
            </w:r>
          </w:p>
        </w:tc>
        <w:tc>
          <w:tcPr>
            <w:tcW w:w="7220" w:type="dxa"/>
            <w:vAlign w:val="bottom"/>
          </w:tcPr>
          <w:p>
            <w:pPr>
              <w:ind w:left="540"/>
              <w:spacing w:after="0"/>
              <w:rPr>
                <w:sz w:val="20"/>
                <w:szCs w:val="20"/>
                <w:color w:val="auto"/>
              </w:rPr>
            </w:pPr>
            <w:r>
              <w:rPr>
                <w:rFonts w:ascii="Arial" w:cs="Arial" w:eastAsia="Arial" w:hAnsi="Arial"/>
                <w:sz w:val="20"/>
                <w:szCs w:val="20"/>
                <w:color w:val="auto"/>
              </w:rPr>
              <w:t>Execution of Supplemental Indentures and Amendments of Other</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82</w:t>
            </w:r>
          </w:p>
        </w:tc>
      </w:tr>
      <w:tr>
        <w:trPr>
          <w:trHeight w:val="250"/>
        </w:trPr>
        <w:tc>
          <w:tcPr>
            <w:tcW w:w="2860" w:type="dxa"/>
            <w:vAlign w:val="bottom"/>
          </w:tcPr>
          <w:p>
            <w:pPr>
              <w:spacing w:after="0"/>
              <w:rPr>
                <w:sz w:val="21"/>
                <w:szCs w:val="21"/>
                <w:color w:val="auto"/>
              </w:rPr>
            </w:pPr>
          </w:p>
        </w:tc>
        <w:tc>
          <w:tcPr>
            <w:tcW w:w="7220" w:type="dxa"/>
            <w:vAlign w:val="bottom"/>
          </w:tcPr>
          <w:p>
            <w:pPr>
              <w:ind w:left="540"/>
              <w:spacing w:after="0"/>
              <w:rPr>
                <w:sz w:val="20"/>
                <w:szCs w:val="20"/>
                <w:color w:val="auto"/>
              </w:rPr>
            </w:pPr>
            <w:r>
              <w:rPr>
                <w:rFonts w:ascii="Arial" w:cs="Arial" w:eastAsia="Arial" w:hAnsi="Arial"/>
                <w:sz w:val="20"/>
                <w:szCs w:val="20"/>
                <w:color w:val="auto"/>
              </w:rPr>
              <w:t>Documents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9.04</w:t>
            </w:r>
          </w:p>
        </w:tc>
        <w:tc>
          <w:tcPr>
            <w:tcW w:w="7220" w:type="dxa"/>
            <w:vAlign w:val="bottom"/>
          </w:tcPr>
          <w:p>
            <w:pPr>
              <w:ind w:left="540"/>
              <w:spacing w:after="0"/>
              <w:rPr>
                <w:sz w:val="20"/>
                <w:szCs w:val="20"/>
                <w:color w:val="auto"/>
              </w:rPr>
            </w:pPr>
            <w:r>
              <w:rPr>
                <w:rFonts w:ascii="Arial" w:cs="Arial" w:eastAsia="Arial" w:hAnsi="Arial"/>
                <w:sz w:val="20"/>
                <w:szCs w:val="20"/>
                <w:color w:val="auto"/>
              </w:rPr>
              <w:t>Effect of Supplemental Indentures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83</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9.05</w:t>
            </w:r>
          </w:p>
        </w:tc>
        <w:tc>
          <w:tcPr>
            <w:tcW w:w="7220" w:type="dxa"/>
            <w:vAlign w:val="bottom"/>
          </w:tcPr>
          <w:p>
            <w:pPr>
              <w:ind w:left="540"/>
              <w:spacing w:after="0"/>
              <w:rPr>
                <w:sz w:val="20"/>
                <w:szCs w:val="20"/>
                <w:color w:val="auto"/>
              </w:rPr>
            </w:pPr>
            <w:r>
              <w:rPr>
                <w:rFonts w:ascii="Arial" w:cs="Arial" w:eastAsia="Arial" w:hAnsi="Arial"/>
                <w:sz w:val="20"/>
                <w:szCs w:val="20"/>
                <w:color w:val="auto"/>
              </w:rPr>
              <w:t>Bonds May Bear Notation of Changes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83</w:t>
            </w:r>
          </w:p>
        </w:tc>
      </w:tr>
      <w:tr>
        <w:trPr>
          <w:trHeight w:val="263"/>
        </w:trPr>
        <w:tc>
          <w:tcPr>
            <w:tcW w:w="2860" w:type="dxa"/>
            <w:vAlign w:val="bottom"/>
          </w:tcPr>
          <w:p>
            <w:pPr>
              <w:ind w:left="1240"/>
              <w:spacing w:after="0"/>
              <w:rPr>
                <w:sz w:val="20"/>
                <w:szCs w:val="20"/>
                <w:color w:val="auto"/>
              </w:rPr>
            </w:pPr>
            <w:r>
              <w:rPr>
                <w:rFonts w:ascii="Arial" w:cs="Arial" w:eastAsia="Arial" w:hAnsi="Arial"/>
                <w:sz w:val="20"/>
                <w:szCs w:val="20"/>
                <w:color w:val="auto"/>
              </w:rPr>
              <w:t>Section 9.06</w:t>
            </w:r>
          </w:p>
        </w:tc>
        <w:tc>
          <w:tcPr>
            <w:tcW w:w="7220" w:type="dxa"/>
            <w:vAlign w:val="bottom"/>
          </w:tcPr>
          <w:p>
            <w:pPr>
              <w:ind w:left="540"/>
              <w:spacing w:after="0"/>
              <w:rPr>
                <w:sz w:val="20"/>
                <w:szCs w:val="20"/>
                <w:color w:val="auto"/>
              </w:rPr>
            </w:pPr>
            <w:r>
              <w:rPr>
                <w:rFonts w:ascii="Arial" w:cs="Arial" w:eastAsia="Arial" w:hAnsi="Arial"/>
                <w:sz w:val="20"/>
                <w:szCs w:val="20"/>
                <w:color w:val="auto"/>
              </w:rPr>
              <w:t>Amendments to the SNDA, Ground Lease, Facilities Lease, Company</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83</w:t>
            </w:r>
          </w:p>
        </w:tc>
      </w:tr>
      <w:tr>
        <w:trPr>
          <w:trHeight w:val="230"/>
        </w:trPr>
        <w:tc>
          <w:tcPr>
            <w:tcW w:w="2860" w:type="dxa"/>
            <w:vAlign w:val="bottom"/>
          </w:tcPr>
          <w:p>
            <w:pPr>
              <w:spacing w:after="0"/>
              <w:rPr>
                <w:sz w:val="19"/>
                <w:szCs w:val="19"/>
                <w:color w:val="auto"/>
              </w:rPr>
            </w:pPr>
          </w:p>
        </w:tc>
        <w:tc>
          <w:tcPr>
            <w:tcW w:w="7220" w:type="dxa"/>
            <w:vAlign w:val="bottom"/>
          </w:tcPr>
          <w:p>
            <w:pPr>
              <w:ind w:left="540"/>
              <w:spacing w:after="0"/>
              <w:rPr>
                <w:sz w:val="20"/>
                <w:szCs w:val="20"/>
                <w:color w:val="auto"/>
              </w:rPr>
            </w:pPr>
            <w:r>
              <w:rPr>
                <w:rFonts w:ascii="Arial" w:cs="Arial" w:eastAsia="Arial" w:hAnsi="Arial"/>
                <w:sz w:val="20"/>
                <w:szCs w:val="20"/>
                <w:color w:val="auto"/>
              </w:rPr>
              <w:t>Leasehold Deed of Trust, Standby Bond Purchase Agreement and Capital</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0"/>
        </w:trPr>
        <w:tc>
          <w:tcPr>
            <w:tcW w:w="2860" w:type="dxa"/>
            <w:vAlign w:val="bottom"/>
          </w:tcPr>
          <w:p>
            <w:pPr>
              <w:spacing w:after="0"/>
              <w:rPr>
                <w:sz w:val="21"/>
                <w:szCs w:val="21"/>
                <w:color w:val="auto"/>
              </w:rPr>
            </w:pPr>
          </w:p>
        </w:tc>
        <w:tc>
          <w:tcPr>
            <w:tcW w:w="7220" w:type="dxa"/>
            <w:vAlign w:val="bottom"/>
          </w:tcPr>
          <w:p>
            <w:pPr>
              <w:ind w:left="540"/>
              <w:spacing w:after="0"/>
              <w:rPr>
                <w:sz w:val="20"/>
                <w:szCs w:val="20"/>
                <w:color w:val="auto"/>
              </w:rPr>
            </w:pPr>
            <w:r>
              <w:rPr>
                <w:rFonts w:ascii="Arial" w:cs="Arial" w:eastAsia="Arial" w:hAnsi="Arial"/>
                <w:sz w:val="20"/>
                <w:szCs w:val="20"/>
                <w:color w:val="auto"/>
              </w:rPr>
              <w:t>Call Agreement Without Consent of the Holders of Bonds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63"/>
        </w:trPr>
        <w:tc>
          <w:tcPr>
            <w:tcW w:w="2860" w:type="dxa"/>
            <w:vAlign w:val="bottom"/>
          </w:tcPr>
          <w:p>
            <w:pPr>
              <w:ind w:left="1240"/>
              <w:spacing w:after="0"/>
              <w:rPr>
                <w:sz w:val="20"/>
                <w:szCs w:val="20"/>
                <w:color w:val="auto"/>
              </w:rPr>
            </w:pPr>
            <w:r>
              <w:rPr>
                <w:rFonts w:ascii="Arial" w:cs="Arial" w:eastAsia="Arial" w:hAnsi="Arial"/>
                <w:sz w:val="20"/>
                <w:szCs w:val="20"/>
                <w:color w:val="auto"/>
              </w:rPr>
              <w:t>Section 9.07</w:t>
            </w:r>
          </w:p>
        </w:tc>
        <w:tc>
          <w:tcPr>
            <w:tcW w:w="7220" w:type="dxa"/>
            <w:vAlign w:val="bottom"/>
          </w:tcPr>
          <w:p>
            <w:pPr>
              <w:ind w:left="540"/>
              <w:spacing w:after="0"/>
              <w:rPr>
                <w:sz w:val="20"/>
                <w:szCs w:val="20"/>
                <w:color w:val="auto"/>
              </w:rPr>
            </w:pPr>
            <w:r>
              <w:rPr>
                <w:rFonts w:ascii="Arial" w:cs="Arial" w:eastAsia="Arial" w:hAnsi="Arial"/>
                <w:sz w:val="20"/>
                <w:szCs w:val="20"/>
                <w:color w:val="auto"/>
              </w:rPr>
              <w:t>Amendments to the SNDA, the Ground Lease, Facilities Lease, Company</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84</w:t>
            </w:r>
          </w:p>
        </w:tc>
      </w:tr>
      <w:tr>
        <w:trPr>
          <w:trHeight w:val="230"/>
        </w:trPr>
        <w:tc>
          <w:tcPr>
            <w:tcW w:w="2860" w:type="dxa"/>
            <w:vAlign w:val="bottom"/>
          </w:tcPr>
          <w:p>
            <w:pPr>
              <w:spacing w:after="0"/>
              <w:rPr>
                <w:sz w:val="19"/>
                <w:szCs w:val="19"/>
                <w:color w:val="auto"/>
              </w:rPr>
            </w:pPr>
          </w:p>
        </w:tc>
        <w:tc>
          <w:tcPr>
            <w:tcW w:w="7220" w:type="dxa"/>
            <w:vAlign w:val="bottom"/>
          </w:tcPr>
          <w:p>
            <w:pPr>
              <w:ind w:left="540"/>
              <w:spacing w:after="0"/>
              <w:rPr>
                <w:sz w:val="20"/>
                <w:szCs w:val="20"/>
                <w:color w:val="auto"/>
              </w:rPr>
            </w:pPr>
            <w:r>
              <w:rPr>
                <w:rFonts w:ascii="Arial" w:cs="Arial" w:eastAsia="Arial" w:hAnsi="Arial"/>
                <w:sz w:val="20"/>
                <w:szCs w:val="20"/>
                <w:color w:val="auto"/>
              </w:rPr>
              <w:t>Leasehold Deed of Trust, Standby Bond Purchase Agreement and Capital</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0"/>
        </w:trPr>
        <w:tc>
          <w:tcPr>
            <w:tcW w:w="2860" w:type="dxa"/>
            <w:vAlign w:val="bottom"/>
          </w:tcPr>
          <w:p>
            <w:pPr>
              <w:spacing w:after="0"/>
              <w:rPr>
                <w:sz w:val="21"/>
                <w:szCs w:val="21"/>
                <w:color w:val="auto"/>
              </w:rPr>
            </w:pPr>
          </w:p>
        </w:tc>
        <w:tc>
          <w:tcPr>
            <w:tcW w:w="7220" w:type="dxa"/>
            <w:vAlign w:val="bottom"/>
          </w:tcPr>
          <w:p>
            <w:pPr>
              <w:ind w:left="540"/>
              <w:spacing w:after="0"/>
              <w:rPr>
                <w:sz w:val="20"/>
                <w:szCs w:val="20"/>
                <w:color w:val="auto"/>
              </w:rPr>
            </w:pPr>
            <w:r>
              <w:rPr>
                <w:rFonts w:ascii="Arial" w:cs="Arial" w:eastAsia="Arial" w:hAnsi="Arial"/>
                <w:sz w:val="20"/>
                <w:szCs w:val="20"/>
                <w:color w:val="auto"/>
              </w:rPr>
              <w:t>Call Agreement With Consent of the Holders of Bonds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608"/>
        </w:trPr>
        <w:tc>
          <w:tcPr>
            <w:tcW w:w="10080" w:type="dxa"/>
            <w:vAlign w:val="bottom"/>
            <w:gridSpan w:val="2"/>
          </w:tcPr>
          <w:p>
            <w:pPr>
              <w:spacing w:after="0"/>
              <w:rPr>
                <w:sz w:val="20"/>
                <w:szCs w:val="20"/>
                <w:color w:val="auto"/>
              </w:rPr>
            </w:pPr>
            <w:r>
              <w:rPr>
                <w:rFonts w:ascii="Arial" w:cs="Arial" w:eastAsia="Arial" w:hAnsi="Arial"/>
                <w:sz w:val="20"/>
                <w:szCs w:val="20"/>
                <w:color w:val="auto"/>
              </w:rPr>
              <w:t>ARTICLE X SATISFACTION AND DISCHARGE OF INDENTURE; UNCLAIMED MONEY</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85</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10.01</w:t>
            </w:r>
          </w:p>
        </w:tc>
        <w:tc>
          <w:tcPr>
            <w:tcW w:w="7220" w:type="dxa"/>
            <w:vAlign w:val="bottom"/>
          </w:tcPr>
          <w:p>
            <w:pPr>
              <w:ind w:left="540"/>
              <w:spacing w:after="0"/>
              <w:rPr>
                <w:sz w:val="20"/>
                <w:szCs w:val="20"/>
                <w:color w:val="auto"/>
              </w:rPr>
            </w:pPr>
            <w:r>
              <w:rPr>
                <w:rFonts w:ascii="Arial" w:cs="Arial" w:eastAsia="Arial" w:hAnsi="Arial"/>
                <w:sz w:val="20"/>
                <w:szCs w:val="20"/>
                <w:color w:val="auto"/>
              </w:rPr>
              <w:t>Satisfaction and Discharge of Indenture</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85</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10.02</w:t>
            </w:r>
          </w:p>
        </w:tc>
        <w:tc>
          <w:tcPr>
            <w:tcW w:w="7220" w:type="dxa"/>
            <w:vAlign w:val="bottom"/>
          </w:tcPr>
          <w:p>
            <w:pPr>
              <w:ind w:left="540"/>
              <w:spacing w:after="0"/>
              <w:rPr>
                <w:sz w:val="20"/>
                <w:szCs w:val="20"/>
                <w:color w:val="auto"/>
              </w:rPr>
            </w:pPr>
            <w:r>
              <w:rPr>
                <w:rFonts w:ascii="Arial" w:cs="Arial" w:eastAsia="Arial" w:hAnsi="Arial"/>
                <w:sz w:val="20"/>
                <w:szCs w:val="20"/>
                <w:color w:val="auto"/>
              </w:rPr>
              <w:t>Payment of Bonds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86</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10.03</w:t>
            </w:r>
          </w:p>
        </w:tc>
        <w:tc>
          <w:tcPr>
            <w:tcW w:w="7220" w:type="dxa"/>
            <w:vAlign w:val="bottom"/>
          </w:tcPr>
          <w:p>
            <w:pPr>
              <w:ind w:left="540"/>
              <w:spacing w:after="0"/>
              <w:rPr>
                <w:sz w:val="20"/>
                <w:szCs w:val="20"/>
                <w:color w:val="auto"/>
              </w:rPr>
            </w:pPr>
            <w:r>
              <w:rPr>
                <w:rFonts w:ascii="Arial" w:cs="Arial" w:eastAsia="Arial" w:hAnsi="Arial"/>
                <w:sz w:val="20"/>
                <w:szCs w:val="20"/>
                <w:color w:val="auto"/>
              </w:rPr>
              <w:t>Application of Trust Money</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87</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10.04</w:t>
            </w:r>
          </w:p>
        </w:tc>
        <w:tc>
          <w:tcPr>
            <w:tcW w:w="7220" w:type="dxa"/>
            <w:vAlign w:val="bottom"/>
          </w:tcPr>
          <w:p>
            <w:pPr>
              <w:ind w:left="540"/>
              <w:spacing w:after="0"/>
              <w:rPr>
                <w:sz w:val="20"/>
                <w:szCs w:val="20"/>
                <w:color w:val="auto"/>
              </w:rPr>
            </w:pPr>
            <w:r>
              <w:rPr>
                <w:rFonts w:ascii="Arial" w:cs="Arial" w:eastAsia="Arial" w:hAnsi="Arial"/>
                <w:sz w:val="20"/>
                <w:szCs w:val="20"/>
                <w:color w:val="auto"/>
              </w:rPr>
              <w:t>Counterparts</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87</w:t>
            </w:r>
          </w:p>
        </w:tc>
      </w:tr>
      <w:tr>
        <w:trPr>
          <w:trHeight w:val="284"/>
        </w:trPr>
        <w:tc>
          <w:tcPr>
            <w:tcW w:w="2860" w:type="dxa"/>
            <w:vAlign w:val="bottom"/>
          </w:tcPr>
          <w:p>
            <w:pPr>
              <w:ind w:left="1240"/>
              <w:spacing w:after="0"/>
              <w:rPr>
                <w:sz w:val="20"/>
                <w:szCs w:val="20"/>
                <w:color w:val="auto"/>
              </w:rPr>
            </w:pPr>
            <w:r>
              <w:rPr>
                <w:rFonts w:ascii="Arial" w:cs="Arial" w:eastAsia="Arial" w:hAnsi="Arial"/>
                <w:sz w:val="20"/>
                <w:szCs w:val="20"/>
                <w:color w:val="auto"/>
              </w:rPr>
              <w:t>Section 10.05</w:t>
            </w:r>
          </w:p>
        </w:tc>
        <w:tc>
          <w:tcPr>
            <w:tcW w:w="7220" w:type="dxa"/>
            <w:vAlign w:val="bottom"/>
          </w:tcPr>
          <w:p>
            <w:pPr>
              <w:ind w:left="540"/>
              <w:spacing w:after="0"/>
              <w:rPr>
                <w:sz w:val="20"/>
                <w:szCs w:val="20"/>
                <w:color w:val="auto"/>
              </w:rPr>
            </w:pPr>
            <w:r>
              <w:rPr>
                <w:rFonts w:ascii="Arial" w:cs="Arial" w:eastAsia="Arial" w:hAnsi="Arial"/>
                <w:sz w:val="20"/>
                <w:szCs w:val="20"/>
                <w:color w:val="auto"/>
              </w:rPr>
              <w:t>Final Agreement</w:t>
            </w:r>
          </w:p>
        </w:tc>
        <w:tc>
          <w:tcPr>
            <w:tcW w:w="1240" w:type="dxa"/>
            <w:vAlign w:val="bottom"/>
            <w:gridSpan w:val="2"/>
          </w:tcPr>
          <w:p>
            <w:pPr>
              <w:jc w:val="center"/>
              <w:ind w:left="741"/>
              <w:spacing w:after="0"/>
              <w:rPr>
                <w:sz w:val="20"/>
                <w:szCs w:val="20"/>
                <w:color w:val="auto"/>
              </w:rPr>
            </w:pPr>
            <w:r>
              <w:rPr>
                <w:rFonts w:ascii="Arial" w:cs="Arial" w:eastAsia="Arial" w:hAnsi="Arial"/>
                <w:sz w:val="20"/>
                <w:szCs w:val="20"/>
                <w:color w:val="auto"/>
                <w:w w:val="89"/>
              </w:rPr>
              <w:t>87</w:t>
            </w:r>
          </w:p>
        </w:tc>
      </w:tr>
    </w:tbl>
    <w:p>
      <w:pPr>
        <w:sectPr>
          <w:pgSz w:w="11900" w:h="16838" w:orient="portrait"/>
          <w:cols w:equalWidth="0" w:num="1">
            <w:col w:w="11320"/>
          </w:cols>
          <w:pgMar w:left="340" w:top="13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TRUST INDENTURE AND SECURITY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THIS TRUST INDENTURE AND SECURITY AGREEMENT </w:t>
      </w:r>
      <w:r>
        <w:rPr>
          <w:rFonts w:ascii="Arial" w:cs="Arial" w:eastAsia="Arial" w:hAnsi="Arial"/>
          <w:sz w:val="21"/>
          <w:szCs w:val="21"/>
          <w:color w:val="auto"/>
        </w:rPr>
        <w:t>(this “</w:t>
      </w:r>
      <w:r>
        <w:rPr>
          <w:rFonts w:ascii="Arial" w:cs="Arial" w:eastAsia="Arial" w:hAnsi="Arial"/>
          <w:sz w:val="21"/>
          <w:szCs w:val="21"/>
          <w:u w:val="single" w:color="auto"/>
          <w:color w:val="auto"/>
        </w:rPr>
        <w:t>Indenture</w:t>
      </w:r>
      <w:r>
        <w:rPr>
          <w:rFonts w:ascii="Arial" w:cs="Arial" w:eastAsia="Arial" w:hAnsi="Arial"/>
          <w:sz w:val="21"/>
          <w:szCs w:val="21"/>
          <w:color w:val="auto"/>
        </w:rPr>
        <w:t>”), dated as of February 1, 2016,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between the </w:t>
      </w:r>
      <w:r>
        <w:rPr>
          <w:rFonts w:ascii="Arial" w:cs="Arial" w:eastAsia="Arial" w:hAnsi="Arial"/>
          <w:sz w:val="21"/>
          <w:szCs w:val="21"/>
          <w:b w:val="1"/>
          <w:bCs w:val="1"/>
          <w:color w:val="auto"/>
        </w:rPr>
        <w:t>PORT OF BEAUMONT NAVIGATION DISTRICT OF JEFFERSON COUNTY, TEXAS</w:t>
      </w:r>
      <w:r>
        <w:rPr>
          <w:rFonts w:ascii="Arial" w:cs="Arial" w:eastAsia="Arial" w:hAnsi="Arial"/>
          <w:sz w:val="21"/>
          <w:szCs w:val="21"/>
          <w:color w:val="auto"/>
        </w:rPr>
        <w:t>, a conservation and reclamation district (the “</w:t>
      </w:r>
      <w:r>
        <w:rPr>
          <w:rFonts w:ascii="Arial" w:cs="Arial" w:eastAsia="Arial" w:hAnsi="Arial"/>
          <w:sz w:val="21"/>
          <w:szCs w:val="21"/>
          <w:u w:val="single" w:color="auto"/>
          <w:color w:val="auto"/>
        </w:rPr>
        <w:t>District</w:t>
      </w:r>
      <w:r>
        <w:rPr>
          <w:rFonts w:ascii="Arial" w:cs="Arial" w:eastAsia="Arial" w:hAnsi="Arial"/>
          <w:sz w:val="21"/>
          <w:szCs w:val="21"/>
          <w:color w:val="auto"/>
        </w:rPr>
        <w:t xml:space="preserve">”), and </w:t>
      </w:r>
      <w:r>
        <w:rPr>
          <w:rFonts w:ascii="Arial" w:cs="Arial" w:eastAsia="Arial" w:hAnsi="Arial"/>
          <w:sz w:val="21"/>
          <w:szCs w:val="21"/>
          <w:b w:val="1"/>
          <w:bCs w:val="1"/>
          <w:color w:val="auto"/>
        </w:rPr>
        <w:t>THE BANK OF NEW YORK MELLON TRUST COMPANY, NATIONAL</w:t>
      </w:r>
      <w:r>
        <w:rPr>
          <w:rFonts w:ascii="Arial" w:cs="Arial" w:eastAsia="Arial" w:hAnsi="Arial"/>
          <w:sz w:val="21"/>
          <w:szCs w:val="21"/>
          <w:color w:val="auto"/>
        </w:rPr>
        <w:t xml:space="preserve"> </w:t>
      </w:r>
      <w:r>
        <w:rPr>
          <w:rFonts w:ascii="Arial" w:cs="Arial" w:eastAsia="Arial" w:hAnsi="Arial"/>
          <w:sz w:val="21"/>
          <w:szCs w:val="21"/>
          <w:b w:val="1"/>
          <w:bCs w:val="1"/>
          <w:color w:val="auto"/>
        </w:rPr>
        <w:t>ASSOCIATION</w:t>
      </w:r>
      <w:r>
        <w:rPr>
          <w:rFonts w:ascii="Arial" w:cs="Arial" w:eastAsia="Arial" w:hAnsi="Arial"/>
          <w:sz w:val="21"/>
          <w:szCs w:val="21"/>
          <w:color w:val="auto"/>
        </w:rPr>
        <w:t>, a national banking association, with a corporate trust office in Houston, Texas,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20" w:firstLine="656"/>
        <w:spacing w:after="0" w:line="313" w:lineRule="auto"/>
        <w:tabs>
          <w:tab w:leader="none" w:pos="1132"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District is a conservation and reclamation district under Article XVI, Section 59, of the Texas Constitution, and pursuant to Chapter 147, Acts of the 51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Legislature of Texas, Regular Session, 1949, as amended (the “</w:t>
      </w:r>
      <w:r>
        <w:rPr>
          <w:rFonts w:ascii="Arial" w:cs="Arial" w:eastAsia="Arial" w:hAnsi="Arial"/>
          <w:sz w:val="20"/>
          <w:szCs w:val="20"/>
          <w:u w:val="single" w:color="auto"/>
          <w:color w:val="auto"/>
        </w:rPr>
        <w:t>Enabling Act</w:t>
      </w:r>
      <w:r>
        <w:rPr>
          <w:rFonts w:ascii="Arial" w:cs="Arial" w:eastAsia="Arial" w:hAnsi="Arial"/>
          <w:sz w:val="20"/>
          <w:szCs w:val="20"/>
          <w:color w:val="auto"/>
        </w:rPr>
        <w:t>”).</w:t>
      </w:r>
    </w:p>
    <w:p>
      <w:pPr>
        <w:spacing w:after="0" w:line="39" w:lineRule="exact"/>
        <w:rPr>
          <w:rFonts w:ascii="Arial" w:cs="Arial" w:eastAsia="Arial" w:hAnsi="Arial"/>
          <w:sz w:val="20"/>
          <w:szCs w:val="20"/>
          <w:color w:val="auto"/>
        </w:rPr>
      </w:pPr>
    </w:p>
    <w:p>
      <w:pPr>
        <w:jc w:val="both"/>
        <w:ind w:firstLine="656"/>
        <w:spacing w:after="0" w:line="253" w:lineRule="auto"/>
        <w:tabs>
          <w:tab w:leader="none" w:pos="115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District is authorized under the Enabling Act; Chapter 60, Texas Water Code, as amended; and Chapter 1201, Texas Government Code, as amended (together, the “</w:t>
      </w:r>
      <w:r>
        <w:rPr>
          <w:rFonts w:ascii="Arial" w:cs="Arial" w:eastAsia="Arial" w:hAnsi="Arial"/>
          <w:sz w:val="22"/>
          <w:szCs w:val="22"/>
          <w:u w:val="single" w:color="auto"/>
          <w:color w:val="auto"/>
        </w:rPr>
        <w:t>Act</w:t>
      </w:r>
      <w:r>
        <w:rPr>
          <w:rFonts w:ascii="Arial" w:cs="Arial" w:eastAsia="Arial" w:hAnsi="Arial"/>
          <w:sz w:val="22"/>
          <w:szCs w:val="22"/>
          <w:color w:val="auto"/>
        </w:rPr>
        <w:t>”), to issue revenue bonds to finance improvements to the port facilities of the District.</w:t>
      </w:r>
    </w:p>
    <w:p>
      <w:pPr>
        <w:spacing w:after="0" w:line="185" w:lineRule="exact"/>
        <w:rPr>
          <w:rFonts w:ascii="Arial" w:cs="Arial" w:eastAsia="Arial" w:hAnsi="Arial"/>
          <w:sz w:val="22"/>
          <w:szCs w:val="22"/>
          <w:color w:val="auto"/>
        </w:rPr>
      </w:pPr>
    </w:p>
    <w:p>
      <w:pPr>
        <w:ind w:firstLine="656"/>
        <w:spacing w:after="0" w:line="263" w:lineRule="auto"/>
        <w:tabs>
          <w:tab w:leader="none" w:pos="117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District has duly authorized the issuance of $144,200,000 aggregate principal amount of its Dock and Wharf Facility Revenue Bonds, Series 2016 (Jefferson Energy Companies Project) (the “</w:t>
      </w:r>
      <w:r>
        <w:rPr>
          <w:rFonts w:ascii="Arial" w:cs="Arial" w:eastAsia="Arial" w:hAnsi="Arial"/>
          <w:sz w:val="22"/>
          <w:szCs w:val="22"/>
          <w:u w:val="single" w:color="auto"/>
          <w:color w:val="auto"/>
        </w:rPr>
        <w:t>Series 2016 Bonds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220" w:hanging="564"/>
        <w:spacing w:after="0"/>
        <w:tabs>
          <w:tab w:leader="none" w:pos="12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Series 2016 Bonds are being issued for the purpose of financing a portion of the Project Costs (hereinafter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defined).</w:t>
      </w:r>
    </w:p>
    <w:p>
      <w:pPr>
        <w:spacing w:after="0" w:line="201" w:lineRule="exact"/>
        <w:rPr>
          <w:rFonts w:ascii="Arial" w:cs="Arial" w:eastAsia="Arial" w:hAnsi="Arial"/>
          <w:sz w:val="19"/>
          <w:szCs w:val="19"/>
          <w:color w:val="auto"/>
        </w:rPr>
      </w:pPr>
    </w:p>
    <w:p>
      <w:pPr>
        <w:jc w:val="both"/>
        <w:ind w:firstLine="656"/>
        <w:spacing w:after="0" w:line="265" w:lineRule="auto"/>
        <w:tabs>
          <w:tab w:leader="none" w:pos="1182" w:val="left"/>
        </w:tabs>
        <w:numPr>
          <w:ilvl w:val="0"/>
          <w:numId w:val="83"/>
        </w:numPr>
        <w:rPr>
          <w:rFonts w:ascii="Arial" w:cs="Arial" w:eastAsia="Arial" w:hAnsi="Arial"/>
          <w:sz w:val="21"/>
          <w:szCs w:val="21"/>
          <w:color w:val="auto"/>
        </w:rPr>
      </w:pPr>
      <w:r>
        <w:rPr>
          <w:rFonts w:ascii="Arial" w:cs="Arial" w:eastAsia="Arial" w:hAnsi="Arial"/>
          <w:sz w:val="21"/>
          <w:szCs w:val="21"/>
          <w:color w:val="auto"/>
        </w:rPr>
        <w:t>Proceeds of the Series 2016 Bonds will be used to: (i) reimburse and pay Jefferson Railport Terminal II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for the development, construction and acquisition of certain facilities for the transport, loading, unloading and storage of petroleum products on behalf of the District; (ii) pay capitalized interest on a portion of the Series 2016 Bonds; and (iii) pay certain costs of issuance of the Series 2016 Bonds.</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0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District and the Company (i) have entered into that certain Amended and Restated Agreement and Lease, dated as of February 1, 2016 (the “</w:t>
      </w:r>
      <w:r>
        <w:rPr>
          <w:rFonts w:ascii="Arial" w:cs="Arial" w:eastAsia="Arial" w:hAnsi="Arial"/>
          <w:sz w:val="22"/>
          <w:szCs w:val="22"/>
          <w:u w:val="single" w:color="auto"/>
          <w:color w:val="auto"/>
        </w:rPr>
        <w:t>Ground Lease</w:t>
      </w:r>
      <w:r>
        <w:rPr>
          <w:rFonts w:ascii="Arial" w:cs="Arial" w:eastAsia="Arial" w:hAnsi="Arial"/>
          <w:sz w:val="22"/>
          <w:szCs w:val="22"/>
          <w:color w:val="auto"/>
        </w:rPr>
        <w:t>”), pursuant to which, inter alia, the Company has constructed certain improvements, consisting of facilities for the transport, loading, unloading and storage of petroleum products on behalf of the District; and (ii) have entered into that certain Lease and Development Agreement (Facilities Lease), dated as of February 1, 2016 (the “</w:t>
      </w: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inter alia, the Company will construct additional improvements on behalf of the District (together with certain improvements constructed under the Ground Lease, the “</w:t>
      </w:r>
      <w:r>
        <w:rPr>
          <w:rFonts w:ascii="Arial" w:cs="Arial" w:eastAsia="Arial" w:hAnsi="Arial"/>
          <w:sz w:val="22"/>
          <w:szCs w:val="22"/>
          <w:u w:val="single" w:color="auto"/>
          <w:color w:val="auto"/>
        </w:rPr>
        <w:t>Bond Financed Property</w:t>
      </w:r>
      <w:r>
        <w:rPr>
          <w:rFonts w:ascii="Arial" w:cs="Arial" w:eastAsia="Arial" w:hAnsi="Arial"/>
          <w:sz w:val="22"/>
          <w:szCs w:val="22"/>
          <w:color w:val="auto"/>
        </w:rPr>
        <w:t>”), all of which are subject to the Ground Lease.</w:t>
      </w:r>
    </w:p>
    <w:p>
      <w:pPr>
        <w:spacing w:after="0" w:line="197" w:lineRule="exact"/>
        <w:rPr>
          <w:rFonts w:ascii="Arial" w:cs="Arial" w:eastAsia="Arial" w:hAnsi="Arial"/>
          <w:sz w:val="22"/>
          <w:szCs w:val="22"/>
          <w:color w:val="auto"/>
        </w:rPr>
      </w:pPr>
    </w:p>
    <w:p>
      <w:pPr>
        <w:jc w:val="both"/>
        <w:ind w:firstLine="656"/>
        <w:spacing w:after="0" w:line="253" w:lineRule="auto"/>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achieve the purposes for which the Series 2016 Bonds will be issued, (i) the District will reimburse the Company for certain improvements constructed by the Company on behalf of the District under the Ground Lease, and (ii) the Company, pursuant to the Facilities Lease,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25"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will construct additional improvements on behalf of the District, all of which are subject to the Ground Lease.</w:t>
      </w:r>
    </w:p>
    <w:p>
      <w:pPr>
        <w:spacing w:after="0" w:line="220" w:lineRule="exact"/>
        <w:rPr>
          <w:sz w:val="20"/>
          <w:szCs w:val="20"/>
          <w:color w:val="auto"/>
        </w:rPr>
      </w:pPr>
    </w:p>
    <w:p>
      <w:pPr>
        <w:jc w:val="both"/>
        <w:ind w:firstLine="656"/>
        <w:spacing w:after="0" w:line="302" w:lineRule="auto"/>
        <w:tabs>
          <w:tab w:leader="none" w:pos="1127"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Series 2016 Bonds and all other payment obligations under this Indenture shall be special limited obligations of the District payable solely out of (a) Pledged Revenues (hereinafter defined), which includes Facilities Lease Rent (hereinafter defined) under the Facilities Lease, and (b) except as limited herein, any other assets constituting part of the Trust Estate established pursuant to this Indenture, including money in the funds and accounts established pursuant to this Indenture.</w:t>
      </w:r>
    </w:p>
    <w:p>
      <w:pPr>
        <w:spacing w:after="0" w:line="142" w:lineRule="exact"/>
        <w:rPr>
          <w:rFonts w:ascii="Arial" w:cs="Arial" w:eastAsia="Arial" w:hAnsi="Arial"/>
          <w:sz w:val="19"/>
          <w:szCs w:val="19"/>
          <w:color w:val="auto"/>
        </w:rPr>
      </w:pPr>
    </w:p>
    <w:p>
      <w:pPr>
        <w:ind w:firstLine="656"/>
        <w:spacing w:after="0" w:line="263" w:lineRule="auto"/>
        <w:tabs>
          <w:tab w:leader="none" w:pos="1025" w:val="left"/>
        </w:tabs>
        <w:numPr>
          <w:ilvl w:val="0"/>
          <w:numId w:val="84"/>
        </w:numPr>
        <w:rPr>
          <w:rFonts w:ascii="Arial" w:cs="Arial" w:eastAsia="Arial" w:hAnsi="Arial"/>
          <w:sz w:val="22"/>
          <w:szCs w:val="22"/>
          <w:color w:val="auto"/>
        </w:rPr>
      </w:pPr>
      <w:r>
        <w:rPr>
          <w:rFonts w:ascii="Arial" w:cs="Arial" w:eastAsia="Arial" w:hAnsi="Arial"/>
          <w:sz w:val="22"/>
          <w:szCs w:val="22"/>
          <w:color w:val="auto"/>
        </w:rPr>
        <w:t>As security for the payment of the Series 2016 Bonds and all other obligations under this Indenture, the District shall, pursuant to this Indenture, assign and pledge all of the Pledged Revenues.</w:t>
      </w:r>
    </w:p>
    <w:p>
      <w:pPr>
        <w:spacing w:after="0" w:line="174" w:lineRule="exact"/>
        <w:rPr>
          <w:rFonts w:ascii="Arial" w:cs="Arial" w:eastAsia="Arial" w:hAnsi="Arial"/>
          <w:sz w:val="22"/>
          <w:szCs w:val="22"/>
          <w:color w:val="auto"/>
        </w:rPr>
      </w:pPr>
    </w:p>
    <w:p>
      <w:pPr>
        <w:jc w:val="both"/>
        <w:ind w:firstLine="656"/>
        <w:spacing w:after="0" w:line="288" w:lineRule="auto"/>
        <w:tabs>
          <w:tab w:leader="none" w:pos="113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Series 2016 Bonds will initially be issued as fixed rate bonds bearing interest at the Initial Rate (hereinafter defined) and will be subject to mandatory tender on the First Initial Bonds Remarketing Date (hereinafter defined). The District, the Company, Jefferson Railport Terminal II Holdings LLC (“</w:t>
      </w:r>
      <w:r>
        <w:rPr>
          <w:rFonts w:ascii="Arial" w:cs="Arial" w:eastAsia="Arial" w:hAnsi="Arial"/>
          <w:sz w:val="19"/>
          <w:szCs w:val="19"/>
          <w:u w:val="single" w:color="auto"/>
          <w:color w:val="auto"/>
        </w:rPr>
        <w:t>Jefferson Holdings</w:t>
      </w:r>
      <w:r>
        <w:rPr>
          <w:rFonts w:ascii="Arial" w:cs="Arial" w:eastAsia="Arial" w:hAnsi="Arial"/>
          <w:sz w:val="19"/>
          <w:szCs w:val="19"/>
          <w:color w:val="auto"/>
        </w:rPr>
        <w:t>”) and the Trustee have entered into that certain Standby Bond Purchase Agreement, dated as of February 1, 2016 (the “</w:t>
      </w:r>
      <w:r>
        <w:rPr>
          <w:rFonts w:ascii="Arial" w:cs="Arial" w:eastAsia="Arial" w:hAnsi="Arial"/>
          <w:sz w:val="19"/>
          <w:szCs w:val="19"/>
          <w:u w:val="single" w:color="auto"/>
          <w:color w:val="auto"/>
        </w:rPr>
        <w:t>Standby Bond Purchase Agreement</w:t>
      </w:r>
      <w:r>
        <w:rPr>
          <w:rFonts w:ascii="Arial" w:cs="Arial" w:eastAsia="Arial" w:hAnsi="Arial"/>
          <w:sz w:val="19"/>
          <w:szCs w:val="19"/>
          <w:color w:val="auto"/>
        </w:rPr>
        <w:t>”), pursuant to which (i) in the event all of the Series 2016 Bonds are not repurchased from proceeds of a remarketing or redeemed, or defeased to a date, on or prior to the First Initial Bonds Remarketing Date, Jefferson Holdings and the Company shall be obligated to purchase the Series 2016 Bonds on the First Initial Bonds Remarketing Date at the Purchase Price for Initial Bonds (as both terms are hereinafter defined) and (ii) Jefferson Holdings shall guarantee the payment of all Rent (hereinafter defined) and all principal of, premium, if any, and interest on the Series 2016 Bonds payable prior to repurchase of the Series 2016 Bonds from proceeds of a remarketing or redemption of the Series 2016 Bonds or defeasance of the Series 2016 Bonds to a date, in each case, on or prior to the First Initial Bonds Remarketing Date.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56"/>
        <w:spacing w:after="0" w:line="292" w:lineRule="auto"/>
        <w:tabs>
          <w:tab w:leader="none" w:pos="1247" w:val="left"/>
        </w:tabs>
        <w:numPr>
          <w:ilvl w:val="0"/>
          <w:numId w:val="84"/>
        </w:numPr>
        <w:rPr>
          <w:rFonts w:ascii="Arial" w:cs="Arial" w:eastAsia="Arial" w:hAnsi="Arial"/>
          <w:sz w:val="19"/>
          <w:szCs w:val="19"/>
          <w:color w:val="auto"/>
        </w:rPr>
      </w:pPr>
      <w:r>
        <w:rPr>
          <w:rFonts w:ascii="Arial" w:cs="Arial" w:eastAsia="Arial" w:hAnsi="Arial"/>
          <w:sz w:val="19"/>
          <w:szCs w:val="19"/>
          <w:color w:val="auto"/>
        </w:rPr>
        <w:t>Fortress Transportation and Infrastructure Investors LLC (“</w:t>
      </w:r>
      <w:r>
        <w:rPr>
          <w:rFonts w:ascii="Arial" w:cs="Arial" w:eastAsia="Arial" w:hAnsi="Arial"/>
          <w:sz w:val="19"/>
          <w:szCs w:val="19"/>
          <w:u w:val="single" w:color="auto"/>
          <w:color w:val="auto"/>
        </w:rPr>
        <w:t>FTAI</w:t>
      </w:r>
      <w:r>
        <w:rPr>
          <w:rFonts w:ascii="Arial" w:cs="Arial" w:eastAsia="Arial" w:hAnsi="Arial"/>
          <w:sz w:val="19"/>
          <w:szCs w:val="19"/>
          <w:color w:val="auto"/>
        </w:rPr>
        <w:t>”), certain of FTAI’s subsidiaries and Jefferson Holdings have entered into that certain Capital Call Agreement, dated as of February 1, 2016 (the “</w:t>
      </w:r>
      <w:r>
        <w:rPr>
          <w:rFonts w:ascii="Arial" w:cs="Arial" w:eastAsia="Arial" w:hAnsi="Arial"/>
          <w:sz w:val="19"/>
          <w:szCs w:val="19"/>
          <w:u w:val="single" w:color="auto"/>
          <w:color w:val="auto"/>
        </w:rPr>
        <w:t>Capital Call Agreement</w:t>
      </w:r>
      <w:r>
        <w:rPr>
          <w:rFonts w:ascii="Arial" w:cs="Arial" w:eastAsia="Arial" w:hAnsi="Arial"/>
          <w:sz w:val="19"/>
          <w:szCs w:val="19"/>
          <w:color w:val="auto"/>
        </w:rPr>
        <w:t>”), pursuant to which FTAI or such subsidiaries will provide funds to Jefferson Holdings to permit Jefferson Holdings to satisfy its obligations under the Standby Bond Purchase Agreement. Pursuant to that certain Collateral Assignment and Pledge Agreement, dated as of February 1, 2016 (the “</w:t>
      </w:r>
      <w:r>
        <w:rPr>
          <w:rFonts w:ascii="Arial" w:cs="Arial" w:eastAsia="Arial" w:hAnsi="Arial"/>
          <w:sz w:val="19"/>
          <w:szCs w:val="19"/>
          <w:u w:val="single" w:color="auto"/>
          <w:color w:val="auto"/>
        </w:rPr>
        <w:t>Assignment</w:t>
      </w:r>
      <w:r>
        <w:rPr>
          <w:rFonts w:ascii="Arial" w:cs="Arial" w:eastAsia="Arial" w:hAnsi="Arial"/>
          <w:sz w:val="19"/>
          <w:szCs w:val="19"/>
          <w:color w:val="auto"/>
        </w:rPr>
        <w:t>”), Jefferson Holdings will collaterally assign, and grant a security interest in, all present and future right, title and interest of Jefferson Holdings in and to the Capital Call Agreement and all proceeds thereof to the Trustee to secure its obligations under the Standby Bond Purchase Agreement.</w:t>
      </w:r>
    </w:p>
    <w:p>
      <w:pPr>
        <w:spacing w:after="0" w:line="151" w:lineRule="exact"/>
        <w:rPr>
          <w:rFonts w:ascii="Arial" w:cs="Arial" w:eastAsia="Arial" w:hAnsi="Arial"/>
          <w:sz w:val="19"/>
          <w:szCs w:val="19"/>
          <w:color w:val="auto"/>
        </w:rPr>
      </w:pPr>
    </w:p>
    <w:p>
      <w:pPr>
        <w:jc w:val="both"/>
        <w:ind w:firstLine="656"/>
        <w:spacing w:after="0" w:line="250" w:lineRule="auto"/>
        <w:tabs>
          <w:tab w:leader="none" w:pos="113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All things have been done which are necessary to make the Series 2016 Bonds, when executed by the District and authenticated and delivered by the Trustee (or registered by the Comptroller of Public Accounts of the State of Texas) hereunder, the valid obligations of the District, and to constitute this Indenture a valid trust indenture for the security of the Series 2016 Bonds, in accordance with the terms of the Series 2016 Bonds and this Indenture.</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It is hereby covenanted and declared that all of the Series 2016 Bonds are to be registered or authenticated and delivered and the property subject to this Indenture is to be held and applied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31" w:right="239" w:bottom="1440" w:gutter="0" w:footer="0" w:header="0"/>
        </w:sectPr>
      </w:pPr>
    </w:p>
    <w:bookmarkStart w:id="172" w:name="page173"/>
    <w:bookmarkEnd w:id="172"/>
    <w:p>
      <w:pPr>
        <w:jc w:val="both"/>
        <w:spacing w:after="0" w:line="253" w:lineRule="auto"/>
        <w:rPr>
          <w:sz w:val="20"/>
          <w:szCs w:val="20"/>
          <w:color w:val="auto"/>
        </w:rPr>
      </w:pPr>
      <w:r>
        <w:rPr>
          <w:rFonts w:ascii="Arial" w:cs="Arial" w:eastAsia="Arial" w:hAnsi="Arial"/>
          <w:sz w:val="22"/>
          <w:szCs w:val="22"/>
          <w:color w:val="auto"/>
        </w:rPr>
        <w:t>by the Trustee, subject to the covenants, conditions and trusts hereinafter set forth, and the District does hereby covenant and agree to and with the Trustee, for the equal and proportionate benefit (except as otherwise expressly provided herein) of all Bondholders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GRANTING CLAUSES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NOW, THEREFORE, the District, in consideration of the premises and the acceptance by the Trustee of the trust hereby created and of the purchase and acceptance of the Bonds (hereinafter defined) by the Holders thereof, and of the sum of one dollar, in lawful money of the United States of America, to it duly paid by the Trustee at or before the execution and delivery of these presents, and for other good and valuable consideration, the receipt of which is hereby acknowledged, in order to secure the payment of the principal of, premium, if any, and interest on the Bonds (“</w:t>
      </w:r>
      <w:r>
        <w:rPr>
          <w:rFonts w:ascii="Arial" w:cs="Arial" w:eastAsia="Arial" w:hAnsi="Arial"/>
          <w:sz w:val="22"/>
          <w:szCs w:val="22"/>
          <w:u w:val="single" w:color="auto"/>
          <w:color w:val="auto"/>
        </w:rPr>
        <w:t>Debt Service</w:t>
      </w:r>
      <w:r>
        <w:rPr>
          <w:rFonts w:ascii="Arial" w:cs="Arial" w:eastAsia="Arial" w:hAnsi="Arial"/>
          <w:sz w:val="22"/>
          <w:szCs w:val="22"/>
          <w:color w:val="auto"/>
        </w:rPr>
        <w:t>”) and to secure the performance and observance by the District of all the covenants and obligations expressed or implied herein and in the Bonds, does hereby grant, alienate, bargain, sell, convey, transfer, collaterally assign, grant a security interest in, and pledge unto the Trustee (to the extent of its legal capacity to hold the same for the purposes hereof) and its successors in trust and assigns forever the following (the “</w:t>
      </w:r>
      <w:r>
        <w:rPr>
          <w:rFonts w:ascii="Arial" w:cs="Arial" w:eastAsia="Arial" w:hAnsi="Arial"/>
          <w:sz w:val="22"/>
          <w:szCs w:val="22"/>
          <w:u w:val="single" w:color="auto"/>
          <w:color w:val="auto"/>
        </w:rPr>
        <w:t>Trust</w:t>
      </w:r>
      <w:r>
        <w:rPr>
          <w:rFonts w:ascii="Arial" w:cs="Arial" w:eastAsia="Arial" w:hAnsi="Arial"/>
          <w:sz w:val="22"/>
          <w:szCs w:val="22"/>
          <w:color w:val="auto"/>
        </w:rPr>
        <w:t xml:space="preserve"> </w:t>
      </w:r>
      <w:r>
        <w:rPr>
          <w:rFonts w:ascii="Arial" w:cs="Arial" w:eastAsia="Arial" w:hAnsi="Arial"/>
          <w:sz w:val="22"/>
          <w:szCs w:val="22"/>
          <w:u w:val="single" w:color="auto"/>
          <w:color w:val="auto"/>
        </w:rPr>
        <w:t>Estate</w:t>
      </w:r>
      <w:r>
        <w:rPr>
          <w:rFonts w:ascii="Arial" w:cs="Arial" w:eastAsia="Arial" w:hAnsi="Arial"/>
          <w:sz w:val="22"/>
          <w:szCs w:val="22"/>
          <w:color w:val="auto"/>
        </w:rPr>
        <w:t>”):</w:t>
      </w:r>
    </w:p>
    <w:p>
      <w:pPr>
        <w:spacing w:after="0" w:line="19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GRANTING CLAUSE FIRST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right, title, and interest of the District in the Pledged Revenues;</w:t>
      </w: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GRANTING CLAUSE SECOND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right, title, and interest of the District in and to the Facilities Lease and the Standby Bond Purchase Agreement and the proceeds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GRANTING CLAUSE THIRD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right, title, and interest of the District in all moneys and securities from time to time held by the Trustee under the terms of this Indenture (except moneys held in the Rebate Fund, as herein defined, or moneys held by the Trustee for redemption of Bonds, notice of the redemption of which has been duly given);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GRANTING CLAUSE FOURTH</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Any and all property of every kind or description which may from time to time hereafter be sold, transferred, conveyed, assigned, hypothecated, endorsed, deposited, pledged, mortgaged, granted or delivered to, or deposited with the Trustee as additional security by the District or anyone on its part or with its written consent, or which pursuant to any of the provisions hereof may come into the possession of or control of the Trustee or a receiver appointed pursuant hereto, as such additional security; and the Trustee is hereby authorized to receive any and all such property as and for additional security for the payment of the Bonds, and to hold and apply all such property subject to the terms hereof;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32" w:right="239" w:bottom="1440" w:gutter="0" w:footer="0" w:header="0"/>
        </w:sectPr>
      </w:pPr>
    </w:p>
    <w:bookmarkStart w:id="173" w:name="page174"/>
    <w:bookmarkEnd w:id="173"/>
    <w:p>
      <w:pPr>
        <w:jc w:val="both"/>
        <w:ind w:firstLine="648"/>
        <w:spacing w:after="0" w:line="248" w:lineRule="auto"/>
        <w:rPr>
          <w:sz w:val="20"/>
          <w:szCs w:val="20"/>
          <w:color w:val="auto"/>
        </w:rPr>
      </w:pPr>
      <w:r>
        <w:rPr>
          <w:rFonts w:ascii="Arial" w:cs="Arial" w:eastAsia="Arial" w:hAnsi="Arial"/>
          <w:sz w:val="22"/>
          <w:szCs w:val="22"/>
          <w:color w:val="auto"/>
        </w:rPr>
        <w:t>TO HAVE AND TO HOLD all said property of every kind and description, real, personal, or mixed, hereby and hereafter (by supplemental indenture or otherwise) granted, bargained, sold, aliened, remised, released, conveyed, collaterally assigned, transferred, mortgaged, hypothecated, pledged, set over, or confirmed as aforesaid, or intended, agreed, or covenanted so to be, together with all the appurtenances thereto appertaining, and all amounts drawn thereunder unto the Trustee and its successors and assigns forever;</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TRUST NEVERTHELESS, upon the terms and trusts herein set forth for the equal and ratable benefit, security, except as specifically herein provided, and protection of all present and future Holders of the Bonds issued under and secured by this Indenture without privilege, priority, or distinction as to the lien or otherwise of any of the Bonds over any of the other Bonds;</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PROVIDED, HOWEVER, that if the District, its successor or its assigns shall well and truly pay, or cause to be paid, the principal of the Bonds and the interest and premium, if any, due or to become due thereon, at the times and in the manner mentioned in the Bonds, according to the true intent and meaning thereof, and shall cause the payments to be made into the Debt Service Fund (as hereinafter defined) as required hereunder or shall provide for the payment thereof as permitted hereunder, and shall well and truly keep, perform, and observe all of the covenants and conditions pursuant to the terms of this Indenture to be kept, performed, and observed by it, and shall pay or cause to be paid to the Trustee and all Paying Agents (as hereinafter defined) all sums of money due or to become due in accordance with the terms and provisions hereof, then this Indenture and the rights hereby granted shall cease and terminate; otherwise this Indenture is to be and remain in full force and effect;</w:t>
      </w:r>
    </w:p>
    <w:p>
      <w:pPr>
        <w:spacing w:after="0" w:line="1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INDENTURE FURTHER WITNESSETH, and it is expressly declared, that all Bonds issued and secured hereunder are to be issued, authenticated, and delivered, and all said property, rights, and interests, including, without limitation, the amounts hereby assigned, are to be dealt with and disposed of, under, upon, and subject to the terms, conditions, stipulations, covenants, agreements, trusts, uses, and purposes hereinafter expressed, and that the District has agreed and covenanted, and does hereby agree and covenant with the Trustee and with the respective Holders, from time to time, of said Bonds, or any part thereof,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31"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b w:val="1"/>
          <w:bCs w:val="1"/>
          <w:color w:val="auto"/>
        </w:rPr>
        <w:t>ARTICLE I</w:t>
      </w:r>
    </w:p>
    <w:p>
      <w:pPr>
        <w:spacing w:after="0" w:line="22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all purposes of this Indenture, except as otherwise expressly provided or unless the context otherwise requires:</w:t>
      </w:r>
    </w:p>
    <w:p>
      <w:pPr>
        <w:spacing w:after="0" w:line="267" w:lineRule="exact"/>
        <w:rPr>
          <w:rFonts w:ascii="Arial" w:cs="Arial" w:eastAsia="Arial" w:hAnsi="Arial"/>
          <w:sz w:val="19"/>
          <w:szCs w:val="19"/>
          <w:color w:val="auto"/>
        </w:rPr>
      </w:pPr>
    </w:p>
    <w:p>
      <w:pPr>
        <w:ind w:left="660" w:right="20" w:firstLine="645"/>
        <w:spacing w:after="0" w:line="358" w:lineRule="auto"/>
        <w:tabs>
          <w:tab w:leader="none" w:pos="1808"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“Indenture” means this instrument as originally executed or as it may from time to time be supplemented or amended by one or more indentures supplemental hereto entered into pursuant to the applicable provisions hereof.</w:t>
      </w:r>
    </w:p>
    <w:p>
      <w:pPr>
        <w:spacing w:after="0" w:line="90" w:lineRule="exact"/>
        <w:rPr>
          <w:rFonts w:ascii="Arial" w:cs="Arial" w:eastAsia="Arial" w:hAnsi="Arial"/>
          <w:sz w:val="19"/>
          <w:szCs w:val="19"/>
          <w:color w:val="auto"/>
        </w:rPr>
      </w:pPr>
    </w:p>
    <w:p>
      <w:pPr>
        <w:jc w:val="both"/>
        <w:ind w:left="660" w:firstLine="645"/>
        <w:spacing w:after="0" w:line="254" w:lineRule="auto"/>
        <w:tabs>
          <w:tab w:leader="none" w:pos="1929" w:val="left"/>
        </w:tabs>
        <w:numPr>
          <w:ilvl w:val="1"/>
          <w:numId w:val="85"/>
        </w:numPr>
        <w:rPr>
          <w:rFonts w:ascii="Arial" w:cs="Arial" w:eastAsia="Arial" w:hAnsi="Arial"/>
          <w:sz w:val="22"/>
          <w:szCs w:val="22"/>
          <w:color w:val="auto"/>
        </w:rPr>
      </w:pPr>
      <w:r>
        <w:rPr>
          <w:rFonts w:ascii="Arial" w:cs="Arial" w:eastAsia="Arial" w:hAnsi="Arial"/>
          <w:sz w:val="22"/>
          <w:szCs w:val="22"/>
          <w:color w:val="auto"/>
        </w:rPr>
        <w:t>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185" w:lineRule="exact"/>
        <w:rPr>
          <w:rFonts w:ascii="Arial" w:cs="Arial" w:eastAsia="Arial" w:hAnsi="Arial"/>
          <w:sz w:val="22"/>
          <w:szCs w:val="22"/>
          <w:color w:val="auto"/>
        </w:rPr>
      </w:pPr>
    </w:p>
    <w:p>
      <w:pPr>
        <w:jc w:val="both"/>
        <w:ind w:left="660" w:firstLine="645"/>
        <w:spacing w:after="0" w:line="320" w:lineRule="auto"/>
        <w:tabs>
          <w:tab w:leader="none" w:pos="1781"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terms defined in this Article have the meanings assigned to them in this Article and include the plural as well as the singular. Reference to any Bond Document means that Bond Document as amended or supplemented from time to time. Reference to any party to a Bond Document means that party and its successors and assigns.</w:t>
      </w:r>
    </w:p>
    <w:p>
      <w:pPr>
        <w:spacing w:after="0" w:line="125" w:lineRule="exact"/>
        <w:rPr>
          <w:rFonts w:ascii="Arial" w:cs="Arial" w:eastAsia="Arial" w:hAnsi="Arial"/>
          <w:sz w:val="19"/>
          <w:szCs w:val="19"/>
          <w:color w:val="auto"/>
        </w:rPr>
      </w:pPr>
    </w:p>
    <w:p>
      <w:pPr>
        <w:jc w:val="both"/>
        <w:ind w:left="660" w:firstLine="645"/>
        <w:spacing w:after="0" w:line="254" w:lineRule="auto"/>
        <w:tabs>
          <w:tab w:leader="none" w:pos="1835" w:val="left"/>
        </w:tabs>
        <w:numPr>
          <w:ilvl w:val="1"/>
          <w:numId w:val="85"/>
        </w:numPr>
        <w:rPr>
          <w:rFonts w:ascii="Arial" w:cs="Arial" w:eastAsia="Arial" w:hAnsi="Arial"/>
          <w:sz w:val="22"/>
          <w:szCs w:val="22"/>
          <w:color w:val="auto"/>
        </w:rPr>
      </w:pPr>
      <w:r>
        <w:rPr>
          <w:rFonts w:ascii="Arial" w:cs="Arial" w:eastAsia="Arial" w:hAnsi="Arial"/>
          <w:sz w:val="22"/>
          <w:szCs w:val="22"/>
          <w:color w:val="auto"/>
        </w:rPr>
        <w:t>Unless the context requires otherwise,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w:t>
      </w:r>
    </w:p>
    <w:p>
      <w:pPr>
        <w:spacing w:after="0" w:line="185" w:lineRule="exact"/>
        <w:rPr>
          <w:rFonts w:ascii="Arial" w:cs="Arial" w:eastAsia="Arial" w:hAnsi="Arial"/>
          <w:sz w:val="22"/>
          <w:szCs w:val="22"/>
          <w:color w:val="auto"/>
        </w:rPr>
      </w:pPr>
    </w:p>
    <w:p>
      <w:pPr>
        <w:ind w:firstLine="656"/>
        <w:spacing w:after="0" w:line="276" w:lineRule="auto"/>
        <w:tabs>
          <w:tab w:leader="none" w:pos="10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following terms have the meanings assigned to them below whenever they are used in this Indenture, except to the extent otherwise defined in </w:t>
      </w:r>
      <w:r>
        <w:rPr>
          <w:rFonts w:ascii="Arial" w:cs="Arial" w:eastAsia="Arial" w:hAnsi="Arial"/>
          <w:sz w:val="22"/>
          <w:szCs w:val="22"/>
          <w:u w:val="single" w:color="auto"/>
          <w:color w:val="auto"/>
        </w:rPr>
        <w:t>Exhibits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hereto:</w:t>
      </w:r>
    </w:p>
    <w:p>
      <w:pPr>
        <w:spacing w:after="0" w:line="16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Enabling Act; Chapter 60, Texas Water Code, as amended; and Chapter 1201, Texas Government Code, as amended.</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Bonds</w:t>
      </w:r>
      <w:r>
        <w:rPr>
          <w:rFonts w:ascii="Arial" w:cs="Arial" w:eastAsia="Arial" w:hAnsi="Arial"/>
          <w:sz w:val="22"/>
          <w:szCs w:val="22"/>
          <w:color w:val="auto"/>
        </w:rPr>
        <w:t>” means additional revenue bonds permitted to be authorized by, and issued under, Section 2.23 of this Indenture.</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Approval Certificate</w:t>
      </w:r>
      <w:r>
        <w:rPr>
          <w:rFonts w:ascii="Arial" w:cs="Arial" w:eastAsia="Arial" w:hAnsi="Arial"/>
          <w:sz w:val="22"/>
          <w:szCs w:val="22"/>
          <w:color w:val="auto"/>
        </w:rPr>
        <w:t>” means the Approval Certificate or any other supplemental certificate(s) to be executed by the Port Director &amp; CEO, which sets forth the pricing terms of the Series 2016 Bonds and any such appropriate variations, omissions and insertions as may be determined by the Authorized Officer.</w:t>
      </w:r>
    </w:p>
    <w:p>
      <w:pPr>
        <w:spacing w:after="0" w:line="186" w:lineRule="exact"/>
        <w:rPr>
          <w:sz w:val="20"/>
          <w:szCs w:val="20"/>
          <w:color w:val="auto"/>
        </w:rPr>
      </w:pPr>
    </w:p>
    <w:p>
      <w:pPr>
        <w:jc w:val="both"/>
        <w:ind w:left="660"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w:t>
      </w:r>
      <w:r>
        <w:rPr>
          <w:rFonts w:ascii="Arial" w:cs="Arial" w:eastAsia="Arial" w:hAnsi="Arial"/>
          <w:sz w:val="22"/>
          <w:szCs w:val="22"/>
          <w:color w:val="auto"/>
        </w:rPr>
        <w:t>” means that certain Collateral Assignment and Pledge Agreement, dated as of February 1, 2016 (the “Assignment”), from Jefferson Holdings to the Trustee, pursuant to which Jefferson Holdings will collaterally assign, and grant a security interest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626" w:right="239" w:bottom="1440" w:gutter="0" w:footer="0" w:header="0"/>
        </w:sectPr>
      </w:pPr>
    </w:p>
    <w:bookmarkStart w:id="175" w:name="page176"/>
    <w:bookmarkEnd w:id="175"/>
    <w:p>
      <w:pPr>
        <w:jc w:val="both"/>
        <w:ind w:right="20"/>
        <w:spacing w:after="0" w:line="263" w:lineRule="auto"/>
        <w:rPr>
          <w:sz w:val="20"/>
          <w:szCs w:val="20"/>
          <w:color w:val="auto"/>
        </w:rPr>
      </w:pPr>
      <w:r>
        <w:rPr>
          <w:rFonts w:ascii="Arial" w:cs="Arial" w:eastAsia="Arial" w:hAnsi="Arial"/>
          <w:sz w:val="22"/>
          <w:szCs w:val="22"/>
          <w:color w:val="auto"/>
        </w:rPr>
        <w:t>in, all present and future right, title and interest of Jefferson Holdings in and to the Capital Call Agreement and all proceeds thereof, to secure its obligations under the Standby Bond Purchase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means the Person designated pursuant to Section 8.12 hereof to perform the duties of such set forth in this Indenture, initially the Trustee.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Denominations</w:t>
      </w:r>
      <w:r>
        <w:rPr>
          <w:rFonts w:ascii="Arial" w:cs="Arial" w:eastAsia="Arial" w:hAnsi="Arial"/>
          <w:sz w:val="22"/>
          <w:szCs w:val="22"/>
          <w:color w:val="auto"/>
        </w:rPr>
        <w:t>” means, with respect to Initial Bonds, $100,000 and multiples of $5,000 in excess of $100,000; with respect to Daily Rate Bonds, $100,000 and multiples of $5,000 in excess of $100,000; with respect to Commercial Paper Rate Bonds, $100,000 and multiples of $5,000 in excess of $100,000; with respect to Weekly Rate Bonds, $100,000 and multiples of $5,000 in excess of $100,000; and with respect to Fixed Rate Bonds, $5,000 or any integral multiple thereof.</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Officer</w:t>
      </w:r>
      <w:r>
        <w:rPr>
          <w:rFonts w:ascii="Arial" w:cs="Arial" w:eastAsia="Arial" w:hAnsi="Arial"/>
          <w:sz w:val="21"/>
          <w:szCs w:val="21"/>
          <w:color w:val="auto"/>
        </w:rPr>
        <w:t>” means with respect to the District, the Port Director &amp; CEO, President or Vice-President.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Commitment</w:t>
      </w:r>
      <w:r>
        <w:rPr>
          <w:rFonts w:ascii="Arial" w:cs="Arial" w:eastAsia="Arial" w:hAnsi="Arial"/>
          <w:sz w:val="22"/>
          <w:szCs w:val="22"/>
          <w:color w:val="auto"/>
        </w:rPr>
        <w:t>” has the meaning ascribed thereto in the Standby Bond Purchase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Aviation Assets</w:t>
      </w:r>
      <w:r>
        <w:rPr>
          <w:rFonts w:ascii="Arial" w:cs="Arial" w:eastAsia="Arial" w:hAnsi="Arial"/>
          <w:sz w:val="22"/>
          <w:szCs w:val="22"/>
          <w:color w:val="auto"/>
        </w:rPr>
        <w:t>” has the meaning ascribed thereto in the Capital Call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Aviation Subsidiaries</w:t>
      </w:r>
      <w:r>
        <w:rPr>
          <w:rFonts w:ascii="Arial" w:cs="Arial" w:eastAsia="Arial" w:hAnsi="Arial"/>
          <w:sz w:val="22"/>
          <w:szCs w:val="22"/>
          <w:color w:val="auto"/>
        </w:rPr>
        <w:t>” has the meaning ascribed thereto in Section 2.08(h) of this Indenture.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as amended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w:t>
      </w:r>
      <w:r>
        <w:rPr>
          <w:rFonts w:ascii="Arial" w:cs="Arial" w:eastAsia="Arial" w:hAnsi="Arial"/>
          <w:sz w:val="22"/>
          <w:szCs w:val="22"/>
          <w:color w:val="auto"/>
        </w:rPr>
        <w:t>” has the meaning ascribed thereto in Section 2.14 of this Indenture.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Resolution</w:t>
      </w:r>
      <w:r>
        <w:rPr>
          <w:rFonts w:ascii="Arial" w:cs="Arial" w:eastAsia="Arial" w:hAnsi="Arial"/>
          <w:sz w:val="22"/>
          <w:szCs w:val="22"/>
          <w:color w:val="auto"/>
        </w:rPr>
        <w:t>” of the District means a copy of a resolution certified by the Secretary of the District to have been duly adopted by the Board of Commissioners of the District and to be in full force and effect on the date of such certification and delivered to the Trustee.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 Counsel</w:t>
      </w:r>
      <w:r>
        <w:rPr>
          <w:rFonts w:ascii="Arial" w:cs="Arial" w:eastAsia="Arial" w:hAnsi="Arial"/>
          <w:sz w:val="22"/>
          <w:szCs w:val="22"/>
          <w:color w:val="auto"/>
        </w:rPr>
        <w:t>” means a law firm that has nationally recognized expertise in the issuance of municipal securities, the interest on which is excluded from gross income for federal and state income tax purposes.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 Documents</w:t>
      </w:r>
      <w:r>
        <w:rPr>
          <w:rFonts w:ascii="Arial" w:cs="Arial" w:eastAsia="Arial" w:hAnsi="Arial"/>
          <w:sz w:val="19"/>
          <w:szCs w:val="19"/>
          <w:color w:val="auto"/>
        </w:rPr>
        <w:t>” means this Indenture, the Bonds, the Standby Bond Purchase Agreement, the Ground Lease, the Facilities Lease, the SNDA, the Capital Call Agreement, the Assignment, the Credit Facility, if any, the Liquidity Facility, if any, the Remarketing Agreement, the Tax Certificate, and all other agreements, documents and instruments ever delivered pursuant to any of the foregoing and any and all future renewals and extensions or restatements of any of the foregoing.</w:t>
      </w:r>
    </w:p>
    <w:p>
      <w:pPr>
        <w:spacing w:after="0" w:line="37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760"/>
          </w:cols>
          <w:pgMar w:left="900" w:top="631" w:right="239" w:bottom="1440" w:gutter="0" w:footer="0" w:header="0"/>
        </w:sectPr>
      </w:pPr>
    </w:p>
    <w:bookmarkStart w:id="176" w:name="page177"/>
    <w:bookmarkEnd w:id="176"/>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 Financed Property</w:t>
      </w:r>
      <w:r>
        <w:rPr>
          <w:rFonts w:ascii="Arial" w:cs="Arial" w:eastAsia="Arial" w:hAnsi="Arial"/>
          <w:sz w:val="19"/>
          <w:szCs w:val="19"/>
          <w:color w:val="auto"/>
        </w:rPr>
        <w:t>” means certain facilities for the transport, loading, unloading and storage of petroleum products that have been or will be constructed by the Company on behalf of the District pursuant to the Ground Lease and the Facilities Lease using proceeds of the Series 2016 Bonds as set forth in Exhibits B and C of the Facilities Lease.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 Register</w:t>
      </w:r>
      <w:r>
        <w:rPr>
          <w:rFonts w:ascii="Arial" w:cs="Arial" w:eastAsia="Arial" w:hAnsi="Arial"/>
          <w:sz w:val="22"/>
          <w:szCs w:val="22"/>
          <w:color w:val="auto"/>
        </w:rPr>
        <w:t>” and “</w:t>
      </w:r>
      <w:r>
        <w:rPr>
          <w:rFonts w:ascii="Arial" w:cs="Arial" w:eastAsia="Arial" w:hAnsi="Arial"/>
          <w:sz w:val="22"/>
          <w:szCs w:val="22"/>
          <w:u w:val="single" w:color="auto"/>
          <w:color w:val="auto"/>
        </w:rPr>
        <w:t>Bond Registrar</w:t>
      </w:r>
      <w:r>
        <w:rPr>
          <w:rFonts w:ascii="Arial" w:cs="Arial" w:eastAsia="Arial" w:hAnsi="Arial"/>
          <w:sz w:val="22"/>
          <w:szCs w:val="22"/>
          <w:color w:val="auto"/>
        </w:rPr>
        <w:t>” have the respective meanings specified in Section 2.05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 Resolution</w:t>
      </w:r>
      <w:r>
        <w:rPr>
          <w:rFonts w:ascii="Arial" w:cs="Arial" w:eastAsia="Arial" w:hAnsi="Arial"/>
          <w:sz w:val="22"/>
          <w:szCs w:val="22"/>
          <w:color w:val="auto"/>
        </w:rPr>
        <w:t>” means the resolutions duly adopted by the Board of Commissioners of the District on November 23, 2015 and February 22, 2016.</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w:t>
      </w:r>
      <w:r>
        <w:rPr>
          <w:rFonts w:ascii="Arial" w:cs="Arial" w:eastAsia="Arial" w:hAnsi="Arial"/>
          <w:sz w:val="22"/>
          <w:szCs w:val="22"/>
          <w:color w:val="auto"/>
        </w:rPr>
        <w:t>” or “</w:t>
      </w:r>
      <w:r>
        <w:rPr>
          <w:rFonts w:ascii="Arial" w:cs="Arial" w:eastAsia="Arial" w:hAnsi="Arial"/>
          <w:sz w:val="22"/>
          <w:szCs w:val="22"/>
          <w:u w:val="single" w:color="auto"/>
          <w:color w:val="auto"/>
        </w:rPr>
        <w:t>Bonds</w:t>
      </w:r>
      <w:r>
        <w:rPr>
          <w:rFonts w:ascii="Arial" w:cs="Arial" w:eastAsia="Arial" w:hAnsi="Arial"/>
          <w:sz w:val="22"/>
          <w:szCs w:val="22"/>
          <w:color w:val="auto"/>
        </w:rPr>
        <w:t>” means the Series 2016 Bonds, any Additional Bonds and any Bonds issued upon transfer thereof or in exchange therefor or in lieu thereof authorized by the Bond Resolution and as may be redesignated by the Authorized Officer in the Approval Certificate.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 Entry Form</w:t>
      </w:r>
      <w:r>
        <w:rPr>
          <w:rFonts w:ascii="Arial" w:cs="Arial" w:eastAsia="Arial" w:hAnsi="Arial"/>
          <w:sz w:val="22"/>
          <w:szCs w:val="22"/>
          <w:color w:val="auto"/>
        </w:rPr>
        <w:t>” or “</w:t>
      </w:r>
      <w:r>
        <w:rPr>
          <w:rFonts w:ascii="Arial" w:cs="Arial" w:eastAsia="Arial" w:hAnsi="Arial"/>
          <w:sz w:val="22"/>
          <w:szCs w:val="22"/>
          <w:u w:val="single" w:color="auto"/>
          <w:color w:val="auto"/>
        </w:rPr>
        <w:t>Book Entry System</w:t>
      </w:r>
      <w:r>
        <w:rPr>
          <w:rFonts w:ascii="Arial" w:cs="Arial" w:eastAsia="Arial" w:hAnsi="Arial"/>
          <w:sz w:val="22"/>
          <w:szCs w:val="22"/>
          <w:color w:val="auto"/>
        </w:rPr>
        <w:t>” means, with respect to the Bonds, a form or system, as applicable, under which (a) the ownership of beneficial interests in the Bonds may be transferred only through a book entry, and (b) physical bond certificates in fully registered form are registered only in the name of a Depository or its nominee as Holder, with the physical bond certificates held in the custody of the Depository.</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with respect to any Initial Bond, has the meaning given to it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with respect to any Daily Rate Bond, has the meaning given it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with respect to any Commercial Paper Rate Bond, has the meaning given it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with respect to any Fixed Rate Bond, has the meaning given to it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the form of Fixed Rate Bond; and with respect to any Weekly Rate Bond, has the meaning given to it in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Callable Bonds</w:t>
      </w:r>
      <w:r>
        <w:rPr>
          <w:rFonts w:ascii="Arial" w:cs="Arial" w:eastAsia="Arial" w:hAnsi="Arial"/>
          <w:sz w:val="22"/>
          <w:szCs w:val="22"/>
          <w:color w:val="auto"/>
        </w:rPr>
        <w:t>” has the meaning ascribed thereto in Section 3.08 of this Indenture.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Call Agreement</w:t>
      </w:r>
      <w:r>
        <w:rPr>
          <w:rFonts w:ascii="Arial" w:cs="Arial" w:eastAsia="Arial" w:hAnsi="Arial"/>
          <w:sz w:val="22"/>
          <w:szCs w:val="22"/>
          <w:color w:val="auto"/>
        </w:rPr>
        <w:t>” means that certain Capital Call Agreement, dated as of February 1, 2016, by and between Jefferson Holdings, FTAI and certain of FTAI’s subsidiaries and pursuant to which FTAI or such subsidiaries will provide funds to Jefferson Holdings to permit Jefferson Holdings to satisfy its obligations under the Standby Bond Purchase Agreement.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Fund</w:t>
      </w:r>
      <w:r>
        <w:rPr>
          <w:rFonts w:ascii="Arial" w:cs="Arial" w:eastAsia="Arial" w:hAnsi="Arial"/>
          <w:sz w:val="22"/>
          <w:szCs w:val="22"/>
          <w:color w:val="auto"/>
        </w:rPr>
        <w:t>” means the special trust fund created in Section 4.07 of this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 and the corresponding provisions, if any, of any successor internal revenue laws of the United States.</w:t>
      </w: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760"/>
          </w:cols>
          <w:pgMar w:left="900" w:top="631" w:right="239" w:bottom="1440" w:gutter="0" w:footer="0" w:header="0"/>
        </w:sectPr>
      </w:pPr>
    </w:p>
    <w:bookmarkStart w:id="177" w:name="page178"/>
    <w:bookmarkEnd w:id="17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 Paper Rate</w:t>
      </w:r>
      <w:r>
        <w:rPr>
          <w:rFonts w:ascii="Arial" w:cs="Arial" w:eastAsia="Arial" w:hAnsi="Arial"/>
          <w:sz w:val="19"/>
          <w:szCs w:val="19"/>
          <w:color w:val="auto"/>
        </w:rPr>
        <w:t xml:space="preserve">” has the meaning given it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the form of Commercial Paper Rate Bond.</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Paper Rate Bond</w:t>
      </w:r>
      <w:r>
        <w:rPr>
          <w:rFonts w:ascii="Arial" w:cs="Arial" w:eastAsia="Arial" w:hAnsi="Arial"/>
          <w:sz w:val="22"/>
          <w:szCs w:val="22"/>
          <w:color w:val="auto"/>
        </w:rPr>
        <w:t>” means any Bond bearing interest at a Commercial Paper Rate.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Paper Rate Period</w:t>
      </w:r>
      <w:r>
        <w:rPr>
          <w:rFonts w:ascii="Arial" w:cs="Arial" w:eastAsia="Arial" w:hAnsi="Arial"/>
          <w:sz w:val="22"/>
          <w:szCs w:val="22"/>
          <w:color w:val="auto"/>
        </w:rPr>
        <w:t>” means, with respect to any Bond, any period during which it bears interest at the Commercial Paper Rate.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Jefferson Railport Terminal II LLC, a Delaware limited liability company, together with successors and assigns.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Leasehold Deed of Trust</w:t>
      </w:r>
      <w:r>
        <w:rPr>
          <w:rFonts w:ascii="Arial" w:cs="Arial" w:eastAsia="Arial" w:hAnsi="Arial"/>
          <w:sz w:val="21"/>
          <w:szCs w:val="21"/>
          <w:color w:val="auto"/>
        </w:rPr>
        <w:t>” means the Leasehold Deed of Trust and Security Agreement, dated as of February 1, 2016, from the Company to a deed of trust trustee for the benefit of the Trustee, as additional security for the Company’s obligations under the Standby Bond Purchase Agreement and the Facilities Lease.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w:t>
      </w:r>
      <w:r>
        <w:rPr>
          <w:rFonts w:ascii="Arial" w:cs="Arial" w:eastAsia="Arial" w:hAnsi="Arial"/>
          <w:sz w:val="22"/>
          <w:szCs w:val="22"/>
          <w:u w:val="single" w:color="auto"/>
          <w:color w:val="auto"/>
        </w:rPr>
        <w:t>Order</w:t>
      </w:r>
      <w:r>
        <w:rPr>
          <w:rFonts w:ascii="Arial" w:cs="Arial" w:eastAsia="Arial" w:hAnsi="Arial"/>
          <w:sz w:val="22"/>
          <w:szCs w:val="22"/>
          <w:color w:val="auto"/>
        </w:rPr>
        <w:t>,” and “</w:t>
      </w:r>
      <w:r>
        <w:rPr>
          <w:rFonts w:ascii="Arial" w:cs="Arial" w:eastAsia="Arial" w:hAnsi="Arial"/>
          <w:sz w:val="22"/>
          <w:szCs w:val="22"/>
          <w:u w:val="single" w:color="auto"/>
          <w:color w:val="auto"/>
        </w:rPr>
        <w:t>Request</w:t>
      </w:r>
      <w:r>
        <w:rPr>
          <w:rFonts w:ascii="Arial" w:cs="Arial" w:eastAsia="Arial" w:hAnsi="Arial"/>
          <w:sz w:val="22"/>
          <w:szCs w:val="22"/>
          <w:color w:val="auto"/>
        </w:rPr>
        <w:t>” of the District means, a written consent, order, or request signed by an Authorized Officer of the District and delivered to the Trustee.</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Date</w:t>
      </w:r>
      <w:r>
        <w:rPr>
          <w:rFonts w:ascii="Arial" w:cs="Arial" w:eastAsia="Arial" w:hAnsi="Arial"/>
          <w:sz w:val="21"/>
          <w:szCs w:val="21"/>
          <w:color w:val="auto"/>
        </w:rPr>
        <w:t xml:space="preserve">” has the meaning given it in </w:t>
      </w:r>
      <w:r>
        <w:rPr>
          <w:rFonts w:ascii="Arial" w:cs="Arial" w:eastAsia="Arial" w:hAnsi="Arial"/>
          <w:sz w:val="21"/>
          <w:szCs w:val="21"/>
          <w:u w:val="single" w:color="auto"/>
          <w:color w:val="auto"/>
        </w:rPr>
        <w:t>Exhibits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w:t>
      </w:r>
      <w:r>
        <w:rPr>
          <w:rFonts w:ascii="Arial" w:cs="Arial" w:eastAsia="Arial" w:hAnsi="Arial"/>
          <w:sz w:val="21"/>
          <w:szCs w:val="21"/>
          <w:color w:val="auto"/>
        </w:rPr>
        <w:t xml:space="preserve"> hereto, the form of Initial Bond, the form of Daily Rate Bond, the form of Commercial Paper Rate Bond and the form of Weekly Rate Bond, respectively.</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Costs of Issuance</w:t>
      </w:r>
      <w:r>
        <w:rPr>
          <w:rFonts w:ascii="Arial" w:cs="Arial" w:eastAsia="Arial" w:hAnsi="Arial"/>
          <w:sz w:val="22"/>
          <w:szCs w:val="22"/>
          <w:color w:val="auto"/>
        </w:rPr>
        <w:t>” means the cost of financing, legal, printing, underwriter’s discount and other costs attributable to the issuance of the Bonds as defined in the Code.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Costs of Issuance Fund</w:t>
      </w:r>
      <w:r>
        <w:rPr>
          <w:rFonts w:ascii="Arial" w:cs="Arial" w:eastAsia="Arial" w:hAnsi="Arial"/>
          <w:sz w:val="22"/>
          <w:szCs w:val="22"/>
          <w:color w:val="auto"/>
        </w:rPr>
        <w:t>” means the special trust fund created in Section 4.02 of this Indenture.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Enhancer</w:t>
      </w:r>
      <w:r>
        <w:rPr>
          <w:rFonts w:ascii="Arial" w:cs="Arial" w:eastAsia="Arial" w:hAnsi="Arial"/>
          <w:sz w:val="22"/>
          <w:szCs w:val="22"/>
          <w:color w:val="auto"/>
        </w:rPr>
        <w:t>” means the issuer of a Credit Facility, if any, until such Credit Facility is released.</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the instrument, if any (1) which provides for draws or claims sufficient to pay the principal amount of any Bonds then Outstanding plus accrued interest thereon, at the maximum per annum rate of interest which may be borne by such Bonds during any Interest Mode to be in effect during the term of such Credit Facility, for up to at least the sum of (A) the greatest number of days for which interest on such Bonds may accrue before (assuming payment is not made from other sources) the Trustee makes a drawing under the Credit Facility to provide payment of such interest, and (B) the greatest number of days which may transpire after a draw or claim under the Credit Facility to pay interest on the Bonds prior to the reinstatement of such amount; (2) which has a term which is not less than 364 days; and (3) which may be a letter of credit, policy of insurance, surety bond, acceptance, or guarantee or other comparable instrument; provided that, in no event shall the Standby Bond Purchase Agreement be considered a Credit Facility.</w:t>
      </w:r>
    </w:p>
    <w:p>
      <w:pPr>
        <w:spacing w:after="0" w:line="3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760"/>
          </w:cols>
          <w:pgMar w:left="900" w:top="632" w:right="239" w:bottom="1440" w:gutter="0" w:footer="0" w:header="0"/>
        </w:sectPr>
      </w:pPr>
    </w:p>
    <w:bookmarkStart w:id="178" w:name="page179"/>
    <w:bookmarkEnd w:id="17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 Fund</w:t>
      </w:r>
      <w:r>
        <w:rPr>
          <w:rFonts w:ascii="Arial" w:cs="Arial" w:eastAsia="Arial" w:hAnsi="Arial"/>
          <w:sz w:val="22"/>
          <w:szCs w:val="22"/>
          <w:color w:val="auto"/>
        </w:rPr>
        <w:t>” means the special fund established with the Trustee pursuant to Section 4.03 of this Indenture.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 Termination Date</w:t>
      </w:r>
      <w:r>
        <w:rPr>
          <w:rFonts w:ascii="Arial" w:cs="Arial" w:eastAsia="Arial" w:hAnsi="Arial"/>
          <w:sz w:val="22"/>
          <w:szCs w:val="22"/>
          <w:color w:val="auto"/>
        </w:rPr>
        <w:t>” means the date the Credit Facility terminates pursuant to the terms of the Credit Facility, if any.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New York, New York, the initial securities depository of the Book Entry System described in Section 2.14 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Rate</w:t>
      </w:r>
      <w:r>
        <w:rPr>
          <w:rFonts w:ascii="Arial" w:cs="Arial" w:eastAsia="Arial" w:hAnsi="Arial"/>
          <w:sz w:val="22"/>
          <w:szCs w:val="22"/>
          <w:color w:val="auto"/>
        </w:rPr>
        <w:t xml:space="preserve">” has the meaning given it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Rate Bond</w:t>
      </w:r>
      <w:r>
        <w:rPr>
          <w:rFonts w:ascii="Arial" w:cs="Arial" w:eastAsia="Arial" w:hAnsi="Arial"/>
          <w:sz w:val="22"/>
          <w:szCs w:val="22"/>
          <w:color w:val="auto"/>
        </w:rPr>
        <w:t>” means any Bond bearing interest at the Daily Rate.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Rate Period</w:t>
      </w:r>
      <w:r>
        <w:rPr>
          <w:rFonts w:ascii="Arial" w:cs="Arial" w:eastAsia="Arial" w:hAnsi="Arial"/>
          <w:sz w:val="19"/>
          <w:szCs w:val="19"/>
          <w:color w:val="auto"/>
        </w:rPr>
        <w:t>” means, with respect to any Bond, any period during which it bears interest at the Daily Rate.</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Service Fund</w:t>
      </w:r>
      <w:r>
        <w:rPr>
          <w:rFonts w:ascii="Arial" w:cs="Arial" w:eastAsia="Arial" w:hAnsi="Arial"/>
          <w:sz w:val="22"/>
          <w:szCs w:val="22"/>
          <w:color w:val="auto"/>
        </w:rPr>
        <w:t>” means the special trust fund created in Section 4.04 of this Indenture.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Depository</w:t>
      </w:r>
      <w:r>
        <w:rPr>
          <w:rFonts w:ascii="Arial" w:cs="Arial" w:eastAsia="Arial" w:hAnsi="Arial"/>
          <w:sz w:val="22"/>
          <w:szCs w:val="22"/>
          <w:color w:val="auto"/>
        </w:rPr>
        <w:t>” means any securities depository that is a “clearing corporation” within the meaning of the New York Uniform Commercial Code and a “clearing agency” registered pursuant to the provisions of Section 17A of the Securities Exchange Act of 1934, as amended, operating and maintaining, with its participants or otherwise, a Book Entry System to record ownership of beneficial interests in the Bonds, and to effect transfers of the Bonds, in Book Entry Form. The initial Depository for the Bonds shall be DTC.</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District</w:t>
      </w:r>
      <w:r>
        <w:rPr>
          <w:rFonts w:ascii="Arial" w:cs="Arial" w:eastAsia="Arial" w:hAnsi="Arial"/>
          <w:sz w:val="22"/>
          <w:szCs w:val="22"/>
          <w:color w:val="auto"/>
        </w:rPr>
        <w:t>” means the Port of Beaumont Navigation District of Jefferson County, Texas, a conservation and reclamation district.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Means</w:t>
      </w:r>
      <w:r>
        <w:rPr>
          <w:rFonts w:ascii="Arial" w:cs="Arial" w:eastAsia="Arial" w:hAnsi="Arial"/>
          <w:sz w:val="19"/>
          <w:szCs w:val="19"/>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Securities</w:t>
      </w:r>
      <w:r>
        <w:rPr>
          <w:rFonts w:ascii="Arial" w:cs="Arial" w:eastAsia="Arial" w:hAnsi="Arial"/>
          <w:sz w:val="22"/>
          <w:szCs w:val="22"/>
          <w:color w:val="auto"/>
        </w:rPr>
        <w:t>” means those investment securities described in the Public Funds Investment Act, Chapter 2256, Texas Government Code, as amended.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Enabling Act</w:t>
      </w:r>
      <w:r>
        <w:rPr>
          <w:rFonts w:ascii="Arial" w:cs="Arial" w:eastAsia="Arial" w:hAnsi="Arial"/>
          <w:sz w:val="20"/>
          <w:szCs w:val="20"/>
          <w:color w:val="auto"/>
        </w:rPr>
        <w:t>” means Chapter 147, Acts of the 51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Legislature of Texas, Regular Session, 1949, as amended.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any of the events enumerated in Section 7.01 of this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Facilities Lease</w:t>
      </w:r>
      <w:r>
        <w:rPr>
          <w:rFonts w:ascii="Arial" w:cs="Arial" w:eastAsia="Arial" w:hAnsi="Arial"/>
          <w:sz w:val="22"/>
          <w:szCs w:val="22"/>
          <w:color w:val="auto"/>
        </w:rPr>
        <w:t>” means that certain Lease and Development Agreement (Facilities Lease), dated as of February 1, 2016, by and between the District and the Company and</w:t>
      </w: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760"/>
          </w:cols>
          <w:pgMar w:left="900" w:top="631" w:right="239" w:bottom="1440" w:gutter="0" w:footer="0" w:header="0"/>
        </w:sectPr>
      </w:pPr>
    </w:p>
    <w:bookmarkStart w:id="179" w:name="page180"/>
    <w:bookmarkEnd w:id="179"/>
    <w:p>
      <w:pPr>
        <w:spacing w:after="0" w:line="263" w:lineRule="auto"/>
        <w:rPr>
          <w:sz w:val="20"/>
          <w:szCs w:val="20"/>
          <w:color w:val="auto"/>
        </w:rPr>
      </w:pPr>
      <w:r>
        <w:rPr>
          <w:rFonts w:ascii="Arial" w:cs="Arial" w:eastAsia="Arial" w:hAnsi="Arial"/>
          <w:sz w:val="22"/>
          <w:szCs w:val="22"/>
          <w:color w:val="auto"/>
        </w:rPr>
        <w:t>pursuant to which, inter alia, the Company will construct additional facilities for the transport, loading, unloading and storage of petroleum products on behalf of the District.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Facilities Lease Rent</w:t>
      </w:r>
      <w:r>
        <w:rPr>
          <w:rFonts w:ascii="Arial" w:cs="Arial" w:eastAsia="Arial" w:hAnsi="Arial"/>
          <w:sz w:val="22"/>
          <w:szCs w:val="22"/>
          <w:color w:val="auto"/>
        </w:rPr>
        <w:t>” has the meaning ascribed to it in the Facilities Lease.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Bond</w:t>
      </w:r>
      <w:r>
        <w:rPr>
          <w:rFonts w:ascii="Arial" w:cs="Arial" w:eastAsia="Arial" w:hAnsi="Arial"/>
          <w:sz w:val="22"/>
          <w:szCs w:val="22"/>
          <w:color w:val="auto"/>
        </w:rPr>
        <w:t>” has the meaning ascribed thereto in Section 2.03 hereof.</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Initial Bonds Remarketing Date</w:t>
      </w:r>
      <w:r>
        <w:rPr>
          <w:rFonts w:ascii="Arial" w:cs="Arial" w:eastAsia="Arial" w:hAnsi="Arial"/>
          <w:sz w:val="22"/>
          <w:szCs w:val="22"/>
          <w:color w:val="auto"/>
        </w:rPr>
        <w:t>” means February 13, 2020.</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Rate</w:t>
      </w:r>
      <w:r>
        <w:rPr>
          <w:rFonts w:ascii="Arial" w:cs="Arial" w:eastAsia="Arial" w:hAnsi="Arial"/>
          <w:sz w:val="22"/>
          <w:szCs w:val="22"/>
          <w:color w:val="auto"/>
        </w:rPr>
        <w:t xml:space="preserve">” has the meaning given it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the form of Fixed Rate Bond.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Rate Bond</w:t>
      </w:r>
      <w:r>
        <w:rPr>
          <w:rFonts w:ascii="Arial" w:cs="Arial" w:eastAsia="Arial" w:hAnsi="Arial"/>
          <w:sz w:val="22"/>
          <w:szCs w:val="22"/>
          <w:color w:val="auto"/>
        </w:rPr>
        <w:t>” means any Bond bearing interest at a Fixed Rate.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Rate Period</w:t>
      </w:r>
      <w:r>
        <w:rPr>
          <w:rFonts w:ascii="Arial" w:cs="Arial" w:eastAsia="Arial" w:hAnsi="Arial"/>
          <w:sz w:val="19"/>
          <w:szCs w:val="19"/>
          <w:color w:val="auto"/>
        </w:rPr>
        <w:t>” means, with respect to any Bond, any period during which it bears interest at the Fixed Rate.</w:t>
      </w:r>
    </w:p>
    <w:p>
      <w:pPr>
        <w:spacing w:after="0" w:line="2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FTAI</w:t>
      </w:r>
      <w:r>
        <w:rPr>
          <w:rFonts w:ascii="Arial" w:cs="Arial" w:eastAsia="Arial" w:hAnsi="Arial"/>
          <w:sz w:val="22"/>
          <w:szCs w:val="22"/>
          <w:color w:val="auto"/>
        </w:rPr>
        <w:t>” means Fortress Transportation and Infrastructure Investors LLC, a Delaware limited liability company, together with successors and assigns under the Capital Call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Funds</w:t>
      </w:r>
      <w:r>
        <w:rPr>
          <w:rFonts w:ascii="Arial" w:cs="Arial" w:eastAsia="Arial" w:hAnsi="Arial"/>
          <w:sz w:val="22"/>
          <w:szCs w:val="22"/>
          <w:color w:val="auto"/>
        </w:rPr>
        <w:t>” has the meaning set forth in Section 4.01 hereof.</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Ground Lease</w:t>
      </w:r>
      <w:r>
        <w:rPr>
          <w:rFonts w:ascii="Arial" w:cs="Arial" w:eastAsia="Arial" w:hAnsi="Arial"/>
          <w:sz w:val="22"/>
          <w:szCs w:val="22"/>
          <w:color w:val="auto"/>
        </w:rPr>
        <w:t>” means that certain Amended and Restated Agreement and Lease between the District and the Company, dated as of February 1, 2016.</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Highest Lawful Rate</w:t>
      </w:r>
      <w:r>
        <w:rPr>
          <w:rFonts w:ascii="Arial" w:cs="Arial" w:eastAsia="Arial" w:hAnsi="Arial"/>
          <w:sz w:val="22"/>
          <w:szCs w:val="22"/>
          <w:color w:val="auto"/>
        </w:rPr>
        <w:t>” means the maximum rate of interest applicable to the Bonds allowed from time to time by applicable law.</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or “</w:t>
      </w:r>
      <w:r>
        <w:rPr>
          <w:rFonts w:ascii="Arial" w:cs="Arial" w:eastAsia="Arial" w:hAnsi="Arial"/>
          <w:sz w:val="22"/>
          <w:szCs w:val="22"/>
          <w:u w:val="single" w:color="auto"/>
          <w:color w:val="auto"/>
        </w:rPr>
        <w:t>Bondholder</w:t>
      </w:r>
      <w:r>
        <w:rPr>
          <w:rFonts w:ascii="Arial" w:cs="Arial" w:eastAsia="Arial" w:hAnsi="Arial"/>
          <w:sz w:val="22"/>
          <w:szCs w:val="22"/>
          <w:color w:val="auto"/>
        </w:rPr>
        <w:t>” or “</w:t>
      </w:r>
      <w:r>
        <w:rPr>
          <w:rFonts w:ascii="Arial" w:cs="Arial" w:eastAsia="Arial" w:hAnsi="Arial"/>
          <w:sz w:val="22"/>
          <w:szCs w:val="22"/>
          <w:u w:val="single" w:color="auto"/>
          <w:color w:val="auto"/>
        </w:rPr>
        <w:t>Registered Holder</w:t>
      </w:r>
      <w:r>
        <w:rPr>
          <w:rFonts w:ascii="Arial" w:cs="Arial" w:eastAsia="Arial" w:hAnsi="Arial"/>
          <w:sz w:val="22"/>
          <w:szCs w:val="22"/>
          <w:color w:val="auto"/>
        </w:rPr>
        <w:t>” means a Person in whose name a Bond is registered in the Bond Register.</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Trust Indenture and Security Agreement, dated as of February 1, 2016, by and between the District and the Trustee.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Bonds</w:t>
      </w:r>
      <w:r>
        <w:rPr>
          <w:rFonts w:ascii="Arial" w:cs="Arial" w:eastAsia="Arial" w:hAnsi="Arial"/>
          <w:sz w:val="22"/>
          <w:szCs w:val="22"/>
          <w:color w:val="auto"/>
        </w:rPr>
        <w:t>” means any Bond bearing interest at the Initial Rate.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Bonds Purchase Price Shortfall</w:t>
      </w:r>
      <w:r>
        <w:rPr>
          <w:rFonts w:ascii="Arial" w:cs="Arial" w:eastAsia="Arial" w:hAnsi="Arial"/>
          <w:sz w:val="21"/>
          <w:szCs w:val="21"/>
          <w:color w:val="auto"/>
        </w:rPr>
        <w:t>” has the meaning ascribed thereto in Section 2.l7 of this Indenture.</w:t>
      </w: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Bonds Remarketing Date</w:t>
      </w:r>
      <w:r>
        <w:rPr>
          <w:rFonts w:ascii="Arial" w:cs="Arial" w:eastAsia="Arial" w:hAnsi="Arial"/>
          <w:sz w:val="22"/>
          <w:szCs w:val="22"/>
          <w:color w:val="auto"/>
        </w:rPr>
        <w:t xml:space="preserve">” has the meaning ascribed thereto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from time to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Rate</w:t>
      </w:r>
      <w:r>
        <w:rPr>
          <w:rFonts w:ascii="Arial" w:cs="Arial" w:eastAsia="Arial" w:hAnsi="Arial"/>
          <w:sz w:val="21"/>
          <w:szCs w:val="21"/>
          <w:color w:val="auto"/>
        </w:rPr>
        <w:t xml:space="preserve">” has the meaning ascribed thereto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form of Initial Bond, from time to time.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Rate Period</w:t>
      </w:r>
      <w:r>
        <w:rPr>
          <w:rFonts w:ascii="Arial" w:cs="Arial" w:eastAsia="Arial" w:hAnsi="Arial"/>
          <w:sz w:val="19"/>
          <w:szCs w:val="19"/>
          <w:color w:val="auto"/>
        </w:rPr>
        <w:t xml:space="preserve">” has the meaning ascribed thereto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form of Initial Bond,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0" w:lineRule="exact"/>
        <w:rPr>
          <w:sz w:val="20"/>
          <w:szCs w:val="20"/>
          <w:color w:val="auto"/>
        </w:rPr>
      </w:pPr>
    </w:p>
    <w:p>
      <w:pPr>
        <w:spacing w:after="0" w:line="23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760"/>
          </w:cols>
          <w:pgMar w:left="900" w:top="631" w:right="239" w:bottom="1440" w:gutter="0" w:footer="0" w:header="0"/>
        </w:sectPr>
      </w:pPr>
    </w:p>
    <w:bookmarkStart w:id="180" w:name="page181"/>
    <w:bookmarkEnd w:id="180"/>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Mode</w:t>
      </w:r>
      <w:r>
        <w:rPr>
          <w:rFonts w:ascii="Arial" w:cs="Arial" w:eastAsia="Arial" w:hAnsi="Arial"/>
          <w:sz w:val="19"/>
          <w:szCs w:val="19"/>
          <w:color w:val="auto"/>
        </w:rPr>
        <w:t>” means the Daily Rate, the Commercial Paper Rate, the Fixed Rate, the Weekly Rate, or the Initial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with respect to Initial Bonds, has the meaning ascribed to it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with respect to Daily Rate Bonds, has the meaning ascribed to it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with respect to Commercial Paper Rate Bonds, has the meaning ascribed to it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with respect to Fixed Rate Bonds, has the meaning ascribed to it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the form of Fixed Rate Bond; and with respect to Weekly Rate Bonds, has the meaning ascribed to it in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Determination Method</w:t>
      </w:r>
      <w:r>
        <w:rPr>
          <w:rFonts w:ascii="Arial" w:cs="Arial" w:eastAsia="Arial" w:hAnsi="Arial"/>
          <w:sz w:val="22"/>
          <w:szCs w:val="22"/>
          <w:color w:val="auto"/>
        </w:rPr>
        <w:t>” means any of the methods of determining the interest rate on the Bonds described in Section 2.08 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Letter</w:t>
      </w:r>
      <w:r>
        <w:rPr>
          <w:rFonts w:ascii="Arial" w:cs="Arial" w:eastAsia="Arial" w:hAnsi="Arial"/>
          <w:sz w:val="22"/>
          <w:szCs w:val="22"/>
          <w:color w:val="auto"/>
        </w:rPr>
        <w:t xml:space="preserve">” means the Investor Letter required to be delivered pursuant to Section 2.03(d) hereof, the form of which is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means the date of issuance and delivery of the Initial Bonds to the initial purchaser thereof.</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Jefferson Holdings</w:t>
      </w:r>
      <w:r>
        <w:rPr>
          <w:rFonts w:ascii="Arial" w:cs="Arial" w:eastAsia="Arial" w:hAnsi="Arial"/>
          <w:sz w:val="22"/>
          <w:szCs w:val="22"/>
          <w:color w:val="auto"/>
        </w:rPr>
        <w:t>” means Jefferson Railport Terminal II Holdings LLC, a Delaware limited liability company, together with successors and assigns under the Standby Bond Purchase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Account</w:t>
      </w:r>
      <w:r>
        <w:rPr>
          <w:rFonts w:ascii="Arial" w:cs="Arial" w:eastAsia="Arial" w:hAnsi="Arial"/>
          <w:sz w:val="22"/>
          <w:szCs w:val="22"/>
          <w:color w:val="auto"/>
        </w:rPr>
        <w:t>” means the segregated account within the Purchase Fund into which is deposited the proceeds of draws under a Liquidity Facility to pay the Purchase Price of the Bonds.</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 Bank</w:t>
      </w:r>
      <w:r>
        <w:rPr>
          <w:rFonts w:ascii="Arial" w:cs="Arial" w:eastAsia="Arial" w:hAnsi="Arial"/>
          <w:sz w:val="19"/>
          <w:szCs w:val="19"/>
          <w:color w:val="auto"/>
        </w:rPr>
        <w:t>” shall mean the obligor or obligors on any Liquidity Facility accepted by the Trustee pursuant to the provisions of this Indenture and their successors in such capacity and their assigns permitted by the terms thereof.</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Bank Bonds</w:t>
      </w:r>
      <w:r>
        <w:rPr>
          <w:rFonts w:ascii="Arial" w:cs="Arial" w:eastAsia="Arial" w:hAnsi="Arial"/>
          <w:sz w:val="22"/>
          <w:szCs w:val="22"/>
          <w:color w:val="auto"/>
        </w:rPr>
        <w:t>” means any Daily Rate Bond, Commercial Paper Rate Bond or Weekly Rate Bond registered in the name of the Liquidity Bank.</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 Bank Differential</w:t>
      </w:r>
      <w:r>
        <w:rPr>
          <w:rFonts w:ascii="Arial" w:cs="Arial" w:eastAsia="Arial" w:hAnsi="Arial"/>
          <w:sz w:val="19"/>
          <w:szCs w:val="19"/>
          <w:color w:val="auto"/>
        </w:rPr>
        <w:t>” means, with respect to any Liquidity Bank Bond on the date such Daily Rate Bond, Commercial Paper Rate Bond or Weekly Rate Bond ceases to be a Liquidity Bank Bond, the difference between the amount of interest which accrued on such Daily Rate Bond, Commercial Paper Rate Bond or Weekly Rate Bond at the Liquidity Bank Bond Rate and the amount of interest which would have accrued on such Daily Rate Bond, Commercial Paper Rate Bond or Weekly Rate Bond at the interest rate determined pursuant to the Interest Mode at the time in effect.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Facility</w:t>
      </w:r>
      <w:r>
        <w:rPr>
          <w:rFonts w:ascii="Arial" w:cs="Arial" w:eastAsia="Arial" w:hAnsi="Arial"/>
          <w:sz w:val="22"/>
          <w:szCs w:val="22"/>
          <w:color w:val="auto"/>
        </w:rPr>
        <w:t>” means any instrument (1) which provides for draws or claims sufficient to pay a Purchase Price up to the principal amount of Bonds not yet due plus accrued interest thereon, at the maximum per annum rate of interest which may be borne</w:t>
      </w:r>
    </w:p>
    <w:p>
      <w:pPr>
        <w:spacing w:after="0" w:line="200" w:lineRule="exact"/>
        <w:rPr>
          <w:sz w:val="20"/>
          <w:szCs w:val="20"/>
          <w:color w:val="auto"/>
        </w:rPr>
      </w:pPr>
    </w:p>
    <w:p>
      <w:pPr>
        <w:spacing w:after="0" w:line="2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760"/>
          </w:cols>
          <w:pgMar w:left="900" w:top="631" w:right="239" w:bottom="1440" w:gutter="0" w:footer="0" w:header="0"/>
        </w:sectPr>
      </w:pPr>
    </w:p>
    <w:bookmarkStart w:id="181" w:name="page182"/>
    <w:bookmarkEnd w:id="181"/>
    <w:p>
      <w:pPr>
        <w:jc w:val="both"/>
        <w:ind w:left="4"/>
        <w:spacing w:after="0" w:line="285" w:lineRule="auto"/>
        <w:rPr>
          <w:sz w:val="20"/>
          <w:szCs w:val="20"/>
          <w:color w:val="auto"/>
        </w:rPr>
      </w:pPr>
      <w:r>
        <w:rPr>
          <w:rFonts w:ascii="Arial" w:cs="Arial" w:eastAsia="Arial" w:hAnsi="Arial"/>
          <w:sz w:val="19"/>
          <w:szCs w:val="19"/>
          <w:color w:val="auto"/>
        </w:rPr>
        <w:t>by such Bonds during any Interest Mode to be in effect (assuming no subsequent District Order or notice from the Remarketing Agent designating a different Interest Mode) during the term of such Liquidity Facility, for up to at least the sum of (A) the greatest number of days for which interest on such Bonds may accrue before the Trustee makes a drawing under the Liquidity Facility to provide payment of such interest and (B) the greatest number of days which may transpire after a draw or claim under the Liquidity Facility to pay interest on such Bonds prior to the reinstatement of such amount;</w:t>
      </w:r>
    </w:p>
    <w:p>
      <w:pPr>
        <w:spacing w:after="0" w:line="4" w:lineRule="exact"/>
        <w:rPr>
          <w:sz w:val="20"/>
          <w:szCs w:val="20"/>
          <w:color w:val="auto"/>
        </w:rPr>
      </w:pPr>
    </w:p>
    <w:p>
      <w:pPr>
        <w:jc w:val="both"/>
        <w:ind w:left="4" w:hanging="4"/>
        <w:spacing w:after="0" w:line="262" w:lineRule="auto"/>
        <w:tabs>
          <w:tab w:leader="none" w:pos="313" w:val="left"/>
        </w:tabs>
        <w:numPr>
          <w:ilvl w:val="0"/>
          <w:numId w:val="86"/>
        </w:numPr>
        <w:rPr>
          <w:rFonts w:ascii="Arial" w:cs="Arial" w:eastAsia="Arial" w:hAnsi="Arial"/>
          <w:sz w:val="21"/>
          <w:szCs w:val="21"/>
          <w:color w:val="auto"/>
        </w:rPr>
      </w:pPr>
      <w:r>
        <w:rPr>
          <w:rFonts w:ascii="Arial" w:cs="Arial" w:eastAsia="Arial" w:hAnsi="Arial"/>
          <w:sz w:val="21"/>
          <w:szCs w:val="21"/>
          <w:color w:val="auto"/>
        </w:rPr>
        <w:t>which has a term which is not less than 364 days; and (3) which may be a bond purchase agreement, letter of credit, line of credit, policy of insurance, surety bond, acceptance, or guarantee or other comparable instrument; provided that, in no event shall the Standby Bond Purchase Agreement be considered a Liquidity Facility.</w:t>
      </w:r>
    </w:p>
    <w:p>
      <w:pPr>
        <w:spacing w:after="0" w:line="17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Facility Termination Date</w:t>
      </w:r>
      <w:r>
        <w:rPr>
          <w:rFonts w:ascii="Arial" w:cs="Arial" w:eastAsia="Arial" w:hAnsi="Arial"/>
          <w:sz w:val="22"/>
          <w:szCs w:val="22"/>
          <w:color w:val="auto"/>
        </w:rPr>
        <w:t>” means the date a Liquidity Facility terminates pursuant to the terms of the Liquidity Facility.</w:t>
      </w:r>
    </w:p>
    <w:p>
      <w:pPr>
        <w:spacing w:after="0" w:line="175" w:lineRule="exact"/>
        <w:rPr>
          <w:sz w:val="20"/>
          <w:szCs w:val="20"/>
          <w:color w:val="auto"/>
        </w:rPr>
      </w:pPr>
    </w:p>
    <w:p>
      <w:pPr>
        <w:jc w:val="both"/>
        <w:ind w:left="4"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Tender</w:t>
      </w:r>
      <w:r>
        <w:rPr>
          <w:rFonts w:ascii="Arial" w:cs="Arial" w:eastAsia="Arial" w:hAnsi="Arial"/>
          <w:sz w:val="22"/>
          <w:szCs w:val="22"/>
          <w:color w:val="auto"/>
        </w:rPr>
        <w:t xml:space="preserve">” means a tender for purchase or deemed tender for purchase of Initial Bonds pursuant to Paragraph 4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purchase of Daily Rate Bonds pursuant to Paragraph 5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hereto, the form of Daily Rate Bond; purchase of Commercial Paper Rate Bonds pursuant to Paragraph 5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or purchase of Weekly Rate Bonds pursuant to Paragraph 5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92"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w:t>
      </w:r>
      <w:r>
        <w:rPr>
          <w:rFonts w:ascii="Arial" w:cs="Arial" w:eastAsia="Arial" w:hAnsi="Arial"/>
          <w:sz w:val="22"/>
          <w:szCs w:val="22"/>
          <w:color w:val="auto"/>
        </w:rPr>
        <w:t>” means, when used with respect to any Bond, the date on which the principal of such Bond becomes due and payable as therein or herein provided, whether at the Stated Maturity thereof or by declaration of acceleration, call for redemption or otherwise, but does not include payment of the portion of the Purchase Price corresponding to principal of such Bond with proceeds of draws under a Liquidity Facility.</w:t>
      </w:r>
    </w:p>
    <w:p>
      <w:pPr>
        <w:spacing w:after="0" w:line="188"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u w:val="single" w:color="auto"/>
          <w:color w:val="auto"/>
        </w:rPr>
        <w:t>“Maximum Rate</w:t>
      </w:r>
      <w:r>
        <w:rPr>
          <w:rFonts w:ascii="Arial" w:cs="Arial" w:eastAsia="Arial" w:hAnsi="Arial"/>
          <w:sz w:val="22"/>
          <w:szCs w:val="22"/>
          <w:color w:val="auto"/>
        </w:rPr>
        <w:t>” means, as of any date, the lesser of (i) the Highest Lawful Rate or (ii) an interest rate which as of such date would produce a “net effective interest rate” computed in accordance with Chapter 1204, Texas Government Code, as amended, of 15% per annum.</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Multi-Modal Bonds</w:t>
      </w:r>
      <w:r>
        <w:rPr>
          <w:rFonts w:ascii="Arial" w:cs="Arial" w:eastAsia="Arial" w:hAnsi="Arial"/>
          <w:sz w:val="22"/>
          <w:szCs w:val="22"/>
          <w:color w:val="auto"/>
        </w:rPr>
        <w:t>” means any Bonds in an Interest Mode other than the Initial Rate.</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Property</w:t>
      </w:r>
      <w:r>
        <w:rPr>
          <w:rFonts w:ascii="Arial" w:cs="Arial" w:eastAsia="Arial" w:hAnsi="Arial"/>
          <w:sz w:val="22"/>
          <w:szCs w:val="22"/>
          <w:color w:val="auto"/>
        </w:rPr>
        <w:t>” has the meaning ascribed to it in the Facilities Lease.</w:t>
      </w:r>
    </w:p>
    <w:p>
      <w:pPr>
        <w:spacing w:after="0" w:line="220" w:lineRule="exact"/>
        <w:rPr>
          <w:sz w:val="20"/>
          <w:szCs w:val="20"/>
          <w:color w:val="auto"/>
        </w:rPr>
      </w:pPr>
    </w:p>
    <w:p>
      <w:pPr>
        <w:jc w:val="both"/>
        <w:ind w:left="4"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Officer’s Certificate</w:t>
      </w:r>
      <w:r>
        <w:rPr>
          <w:rFonts w:ascii="Arial" w:cs="Arial" w:eastAsia="Arial" w:hAnsi="Arial"/>
          <w:sz w:val="19"/>
          <w:szCs w:val="19"/>
          <w:color w:val="auto"/>
        </w:rPr>
        <w:t>” of any specified Person means a certificate signed by an Authorized Officer or any other officer designated by the District to execute an Officer’s Certificate, as evidenced by a certificate delivered to the Trustee.</w:t>
      </w:r>
    </w:p>
    <w:p>
      <w:pPr>
        <w:spacing w:after="0" w:line="10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shall mean an opinion from an attorney or firm of attorneys with experience in the matters to be covered in the opinion.</w:t>
      </w:r>
    </w:p>
    <w:p>
      <w:pPr>
        <w:spacing w:after="0" w:line="200" w:lineRule="exact"/>
        <w:rPr>
          <w:sz w:val="20"/>
          <w:szCs w:val="20"/>
          <w:color w:val="auto"/>
        </w:rPr>
      </w:pPr>
    </w:p>
    <w:p>
      <w:pPr>
        <w:spacing w:after="0" w:line="212"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764"/>
          </w:cols>
          <w:pgMar w:left="896" w:top="631" w:right="239" w:bottom="1440" w:gutter="0" w:footer="0" w:header="0"/>
        </w:sectPr>
      </w:pPr>
    </w:p>
    <w:bookmarkStart w:id="182" w:name="page183"/>
    <w:bookmarkEnd w:id="182"/>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Tender</w:t>
      </w:r>
      <w:r>
        <w:rPr>
          <w:rFonts w:ascii="Arial" w:cs="Arial" w:eastAsia="Arial" w:hAnsi="Arial"/>
          <w:sz w:val="22"/>
          <w:szCs w:val="22"/>
          <w:color w:val="auto"/>
        </w:rPr>
        <w:t xml:space="preserve">” means a tender for purchase or deemed tender for purchase of Daily Rate Bonds pursuant to Paragraph 7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or for purchase of Weekly Rate Bonds pursuant to Paragraph 7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w:t>
      </w:r>
      <w:r>
        <w:rPr>
          <w:rFonts w:ascii="Arial" w:cs="Arial" w:eastAsia="Arial" w:hAnsi="Arial"/>
          <w:sz w:val="22"/>
          <w:szCs w:val="22"/>
          <w:color w:val="auto"/>
        </w:rPr>
        <w:t>” means, when used with respect to any Bonds and as of the date of determination, all Bonds theretofore authenticated and delivered under this Indenture, except:</w:t>
      </w:r>
    </w:p>
    <w:p>
      <w:pPr>
        <w:spacing w:after="0" w:line="175" w:lineRule="exact"/>
        <w:rPr>
          <w:sz w:val="20"/>
          <w:szCs w:val="20"/>
          <w:color w:val="auto"/>
        </w:rPr>
      </w:pPr>
    </w:p>
    <w:p>
      <w:pPr>
        <w:ind w:left="2320" w:hanging="379"/>
        <w:spacing w:after="0"/>
        <w:tabs>
          <w:tab w:leader="none" w:pos="23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Bonds theretofore canceled by the Trustee or delivered to the Trustee for cancellation;</w:t>
      </w:r>
    </w:p>
    <w:p>
      <w:pPr>
        <w:spacing w:after="0" w:line="233" w:lineRule="exact"/>
        <w:rPr>
          <w:rFonts w:ascii="Arial" w:cs="Arial" w:eastAsia="Arial" w:hAnsi="Arial"/>
          <w:sz w:val="22"/>
          <w:szCs w:val="22"/>
          <w:color w:val="auto"/>
        </w:rPr>
      </w:pPr>
    </w:p>
    <w:p>
      <w:pPr>
        <w:jc w:val="both"/>
        <w:ind w:firstLine="1941"/>
        <w:spacing w:after="0" w:line="251" w:lineRule="auto"/>
        <w:tabs>
          <w:tab w:leader="none" w:pos="2443" w:val="left"/>
        </w:tabs>
        <w:numPr>
          <w:ilvl w:val="0"/>
          <w:numId w:val="87"/>
        </w:numPr>
        <w:rPr>
          <w:rFonts w:ascii="Arial" w:cs="Arial" w:eastAsia="Arial" w:hAnsi="Arial"/>
          <w:sz w:val="22"/>
          <w:szCs w:val="22"/>
          <w:color w:val="auto"/>
        </w:rPr>
      </w:pPr>
      <w:r>
        <w:rPr>
          <w:rFonts w:ascii="Arial" w:cs="Arial" w:eastAsia="Arial" w:hAnsi="Arial"/>
          <w:sz w:val="22"/>
          <w:szCs w:val="22"/>
          <w:color w:val="auto"/>
        </w:rPr>
        <w:t>Bonds for whose payment or redemption money (or Eligible Securities to the extent permitted by Section 10.02 of this Indenture) in the necessary amount has been theretofore deposited with the Trustee or any paying agent for such Bonds in trust for the Holders of such Bonds pursuant to this Indenture; provided, however, that if such Bonds are to be redeemed, notice of such redemption has been duly given pursuant to this Indenture or irrevocable provision therefor satisfactory to the Trustee has been made;</w:t>
      </w:r>
    </w:p>
    <w:p>
      <w:pPr>
        <w:spacing w:after="0" w:line="189" w:lineRule="exact"/>
        <w:rPr>
          <w:rFonts w:ascii="Arial" w:cs="Arial" w:eastAsia="Arial" w:hAnsi="Arial"/>
          <w:sz w:val="22"/>
          <w:szCs w:val="22"/>
          <w:color w:val="auto"/>
        </w:rPr>
      </w:pPr>
    </w:p>
    <w:p>
      <w:pPr>
        <w:ind w:firstLine="1941"/>
        <w:spacing w:after="0" w:line="276" w:lineRule="auto"/>
        <w:tabs>
          <w:tab w:leader="none" w:pos="26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Bonds upon transfer of or in exchange for or in lieu of which other Bonds have been authenticated and delivered pursuant to this Indenture;</w:t>
      </w:r>
    </w:p>
    <w:p>
      <w:pPr>
        <w:spacing w:after="0" w:line="160" w:lineRule="exact"/>
        <w:rPr>
          <w:rFonts w:ascii="Arial" w:cs="Arial" w:eastAsia="Arial" w:hAnsi="Arial"/>
          <w:sz w:val="22"/>
          <w:szCs w:val="22"/>
          <w:color w:val="auto"/>
        </w:rPr>
      </w:pPr>
    </w:p>
    <w:p>
      <w:pPr>
        <w:ind w:left="2540" w:hanging="599"/>
        <w:spacing w:after="0"/>
        <w:tabs>
          <w:tab w:leader="none" w:pos="2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Bonds alleged to have been destroyed, lost, or stolen which have been paid as provided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2.06 hereof; and</w:t>
      </w:r>
    </w:p>
    <w:p>
      <w:pPr>
        <w:spacing w:after="0" w:line="215" w:lineRule="exact"/>
        <w:rPr>
          <w:rFonts w:ascii="Arial" w:cs="Arial" w:eastAsia="Arial" w:hAnsi="Arial"/>
          <w:sz w:val="19"/>
          <w:szCs w:val="19"/>
          <w:color w:val="auto"/>
        </w:rPr>
      </w:pPr>
    </w:p>
    <w:p>
      <w:pPr>
        <w:ind w:left="2380" w:hanging="439"/>
        <w:spacing w:after="0"/>
        <w:tabs>
          <w:tab w:leader="none" w:pos="2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Untendered Bonds;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provided, however, that in determining whether the Holders of the requisite principal amount of Outstanding Bonds have given any request, demand, authorization, direction, notice, consent or waiver hereunder, Bonds owned of record or beneficially by the District, the Company, Jefferson Holdings, FTAI or any affiliate thereof or any other obligor upon the Bonds or a Bond or such other obligor shall be disregarded and deemed not to be Outstanding, except that, in determining whether the Trustee shall be protected in relying upon any such request, demand, authorization, direction, notice, consent or waiver, only Bonds that a Responsible Officer knows to be so owned shall be so disregarded. Bonds so owned that have been pledged in good faith may be regarded as Outstanding if the pledgee establishes to the satisfaction of the Trustee the pledgee’s right so to act with respect to such Bonds and that the pledgee is not the District or any other obligor upon the Bonds or a Bond or such other obligor.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Participants</w:t>
      </w:r>
      <w:r>
        <w:rPr>
          <w:rFonts w:ascii="Arial" w:cs="Arial" w:eastAsia="Arial" w:hAnsi="Arial"/>
          <w:sz w:val="22"/>
          <w:szCs w:val="22"/>
          <w:color w:val="auto"/>
        </w:rPr>
        <w:t>” has the meaning ascribed thereto in Section 2.14 of this Indenture.</w:t>
      </w: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760"/>
          </w:cols>
          <w:pgMar w:left="900" w:top="632" w:right="239" w:bottom="1440" w:gutter="0" w:footer="0" w:header="0"/>
        </w:sectPr>
      </w:pPr>
    </w:p>
    <w:bookmarkStart w:id="183" w:name="page184"/>
    <w:bookmarkEnd w:id="183"/>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initially, the Trustee, and any other Person authorized by the District to pay the principal of (and premium, if any) or interest on any Bonds on behalf of the District.</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or government or any agency or political subdivision thereof.</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Place of Payment</w:t>
      </w:r>
      <w:r>
        <w:rPr>
          <w:rFonts w:ascii="Arial" w:cs="Arial" w:eastAsia="Arial" w:hAnsi="Arial"/>
          <w:sz w:val="22"/>
          <w:szCs w:val="22"/>
          <w:color w:val="auto"/>
        </w:rPr>
        <w:t>” for the Bonds means a city or any political subdivision thereof designated as such in the Bonds, or such other place as shall be designated by the Paying Agent.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Revenues</w:t>
      </w:r>
      <w:r>
        <w:rPr>
          <w:rFonts w:ascii="Arial" w:cs="Arial" w:eastAsia="Arial" w:hAnsi="Arial"/>
          <w:sz w:val="19"/>
          <w:szCs w:val="19"/>
          <w:color w:val="auto"/>
        </w:rPr>
        <w:t>” means (i) the Facilities Lease Rent and (ii) any additional Rent, revenues, income or receipts received by the District from the Bond Financed Property, including (by way of example and not of limitation) any proceeds of insurance or condemnation awards (subject to the application thereof as provided in the Ground Lease or the Facilities Lease), or proceeds of any re-letting pledged by the District, or proceeds from the sale of any Bond Financed Property, but excluding any other amounts payable to the District under the Facilities Lease or the Ground Lease.</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w:t>
      </w:r>
      <w:r>
        <w:rPr>
          <w:rFonts w:ascii="Arial" w:cs="Arial" w:eastAsia="Arial" w:hAnsi="Arial"/>
          <w:sz w:val="22"/>
          <w:szCs w:val="22"/>
          <w:color w:val="auto"/>
        </w:rPr>
        <w:t>” means (i) the construction of certain facilities for the transport, loading, unloading and storage of petroleum projects by the Company on behalf of the District pursuant to the Facilities Lease and (ii) the District’s reimbursement to the Company for certain improvements constructed by the Company on behalf of the District under the Ground Lease, in both cases on land owned by the District, all such facilities and improvements constituting Bond Financed Property as set forth in Exhibits B and C of the Facilities Lease.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Costs</w:t>
      </w:r>
      <w:r>
        <w:rPr>
          <w:rFonts w:ascii="Arial" w:cs="Arial" w:eastAsia="Arial" w:hAnsi="Arial"/>
          <w:sz w:val="22"/>
          <w:szCs w:val="22"/>
          <w:color w:val="auto"/>
        </w:rPr>
        <w:t>” means (i) the costs of the Project; (ii) the payment of capitalized interest on a portion of the Series 2016 Bonds; and (iii) Costs of Issuance of the Series 2016 Bonds.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Fund</w:t>
      </w:r>
      <w:r>
        <w:rPr>
          <w:rFonts w:ascii="Arial" w:cs="Arial" w:eastAsia="Arial" w:hAnsi="Arial"/>
          <w:sz w:val="22"/>
          <w:szCs w:val="22"/>
          <w:color w:val="auto"/>
        </w:rPr>
        <w:t>” means the special trust fund created in Section 4.06 of this Indenture.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Date</w:t>
      </w:r>
      <w:r>
        <w:rPr>
          <w:rFonts w:ascii="Arial" w:cs="Arial" w:eastAsia="Arial" w:hAnsi="Arial"/>
          <w:sz w:val="22"/>
          <w:szCs w:val="22"/>
          <w:color w:val="auto"/>
        </w:rPr>
        <w:t xml:space="preserve">” has, respectively, the meanings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Fund</w:t>
      </w:r>
      <w:r>
        <w:rPr>
          <w:rFonts w:ascii="Arial" w:cs="Arial" w:eastAsia="Arial" w:hAnsi="Arial"/>
          <w:sz w:val="22"/>
          <w:szCs w:val="22"/>
          <w:color w:val="auto"/>
        </w:rPr>
        <w:t>” means the special fund described in Section 2.17 of this Indenture.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respectively, the meanings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Institutional Buyers</w:t>
      </w:r>
      <w:r>
        <w:rPr>
          <w:rFonts w:ascii="Arial" w:cs="Arial" w:eastAsia="Arial" w:hAnsi="Arial"/>
          <w:sz w:val="22"/>
          <w:szCs w:val="22"/>
          <w:color w:val="auto"/>
        </w:rPr>
        <w:t>” has the meaning given thereto in Rule 144A under the Securities Act.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Service</w:t>
      </w:r>
      <w:r>
        <w:rPr>
          <w:rFonts w:ascii="Arial" w:cs="Arial" w:eastAsia="Arial" w:hAnsi="Arial"/>
          <w:sz w:val="22"/>
          <w:szCs w:val="22"/>
          <w:color w:val="auto"/>
        </w:rPr>
        <w:t>” means each nationally recognized securities rating service.</w:t>
      </w: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0760"/>
          </w:cols>
          <w:pgMar w:left="900" w:top="631" w:right="239" w:bottom="1440" w:gutter="0" w:footer="0" w:header="0"/>
        </w:sectPr>
      </w:pPr>
    </w:p>
    <w:bookmarkStart w:id="184" w:name="page185"/>
    <w:bookmarkEnd w:id="184"/>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Rebate Fund</w:t>
      </w:r>
      <w:r>
        <w:rPr>
          <w:rFonts w:ascii="Arial" w:cs="Arial" w:eastAsia="Arial" w:hAnsi="Arial"/>
          <w:sz w:val="22"/>
          <w:szCs w:val="22"/>
          <w:color w:val="auto"/>
        </w:rPr>
        <w:t>” means the special trust fund created in Section 4.05 of this Indenture.</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Regular Record Date</w:t>
      </w:r>
      <w:r>
        <w:rPr>
          <w:rFonts w:ascii="Arial" w:cs="Arial" w:eastAsia="Arial" w:hAnsi="Arial"/>
          <w:sz w:val="21"/>
          <w:szCs w:val="21"/>
          <w:color w:val="auto"/>
        </w:rPr>
        <w:t>” means, with respect to Daily Rate Bonds, Commercial Paper Rate Bonds, Weekly Rate Bonds and Initial Bonds, the close of business for the Trustee on the Business Day preceding any Interest Payment Date; and with respect to Fixed Rate Bonds, the close of business for the Trustee on the fifteenth day of the calendar month preceding any Interest Payment Date, regardless of whether such day is a Business Day.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Regulations</w:t>
      </w:r>
      <w:r>
        <w:rPr>
          <w:rFonts w:ascii="Arial" w:cs="Arial" w:eastAsia="Arial" w:hAnsi="Arial"/>
          <w:sz w:val="22"/>
          <w:szCs w:val="22"/>
          <w:color w:val="auto"/>
        </w:rPr>
        <w:t>” means the applicable proposed, temporary or final Income Tax Regulations promulgated under the Code, as such regulations may be amended or supplemented from time to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w:t>
      </w:r>
      <w:r>
        <w:rPr>
          <w:rFonts w:ascii="Arial" w:cs="Arial" w:eastAsia="Arial" w:hAnsi="Arial"/>
          <w:sz w:val="22"/>
          <w:szCs w:val="22"/>
          <w:color w:val="auto"/>
        </w:rPr>
        <w:t>” means a Related Person defined in Section 147(a)(2) of the Code.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Remarketing Account</w:t>
      </w:r>
      <w:r>
        <w:rPr>
          <w:rFonts w:ascii="Arial" w:cs="Arial" w:eastAsia="Arial" w:hAnsi="Arial"/>
          <w:sz w:val="22"/>
          <w:szCs w:val="22"/>
          <w:color w:val="auto"/>
        </w:rPr>
        <w:t>” means that special fund established by the Tender Agent pursuant to Section 2.17 of this Indenture.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Remarketing Agent</w:t>
      </w:r>
      <w:r>
        <w:rPr>
          <w:rFonts w:ascii="Arial" w:cs="Arial" w:eastAsia="Arial" w:hAnsi="Arial"/>
          <w:sz w:val="22"/>
          <w:szCs w:val="22"/>
          <w:color w:val="auto"/>
        </w:rPr>
        <w:t>” means the Person or Persons acting as Remarketing Agent for any of the Bonds pursuant to Section 8.14 hereof, who shall initially be Oppenheimer &amp; Co. Inc.</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Remarketing Agreement</w:t>
      </w:r>
      <w:r>
        <w:rPr>
          <w:rFonts w:ascii="Arial" w:cs="Arial" w:eastAsia="Arial" w:hAnsi="Arial"/>
          <w:sz w:val="19"/>
          <w:szCs w:val="19"/>
          <w:color w:val="auto"/>
        </w:rPr>
        <w:t>” means any remarketing agreement, as amended or supplemented from time to time, between the District and a Remarketing Agent, and any analogous agreement with a substitute Remarketing Agent.</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w:t>
      </w:r>
      <w:r>
        <w:rPr>
          <w:rFonts w:ascii="Arial" w:cs="Arial" w:eastAsia="Arial" w:hAnsi="Arial"/>
          <w:sz w:val="22"/>
          <w:szCs w:val="22"/>
          <w:color w:val="auto"/>
        </w:rPr>
        <w:t>” has the meaning ascribed to it in the Facilities Lease.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Representation Letter</w:t>
      </w:r>
      <w:r>
        <w:rPr>
          <w:rFonts w:ascii="Arial" w:cs="Arial" w:eastAsia="Arial" w:hAnsi="Arial"/>
          <w:sz w:val="22"/>
          <w:szCs w:val="22"/>
          <w:color w:val="auto"/>
        </w:rPr>
        <w:t>” has the meaning ascribed thereto in Section 2.14 of this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Requisition</w:t>
      </w:r>
      <w:r>
        <w:rPr>
          <w:rFonts w:ascii="Arial" w:cs="Arial" w:eastAsia="Arial" w:hAnsi="Arial"/>
          <w:sz w:val="22"/>
          <w:szCs w:val="22"/>
          <w:color w:val="auto"/>
        </w:rPr>
        <w:t xml:space="preserve">” means the Requisition required to be delivered pursuant to Section 4.06(c) hereof, the form of which is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Fund</w:t>
      </w:r>
      <w:r>
        <w:rPr>
          <w:rFonts w:ascii="Arial" w:cs="Arial" w:eastAsia="Arial" w:hAnsi="Arial"/>
          <w:sz w:val="22"/>
          <w:szCs w:val="22"/>
          <w:color w:val="auto"/>
        </w:rPr>
        <w:t>” means the special trust fund created in Section 4.11 of this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when used with respect to the Trustee, the officer in the corporate trust department of the Trustee having direct responsibility for administration of this Indenture.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2016 Bonds</w:t>
      </w:r>
      <w:r>
        <w:rPr>
          <w:rFonts w:ascii="Arial" w:cs="Arial" w:eastAsia="Arial" w:hAnsi="Arial"/>
          <w:sz w:val="22"/>
          <w:szCs w:val="22"/>
          <w:color w:val="auto"/>
        </w:rPr>
        <w:t>” means the Dock and Wharf Facility Revenue Bonds, Series 2016 (Jefferson Energy Companies Project) issued by the District.</w:t>
      </w:r>
    </w:p>
    <w:p>
      <w:pPr>
        <w:spacing w:after="0" w:line="200" w:lineRule="exact"/>
        <w:rPr>
          <w:sz w:val="20"/>
          <w:szCs w:val="20"/>
          <w:color w:val="auto"/>
        </w:rPr>
      </w:pPr>
    </w:p>
    <w:p>
      <w:pPr>
        <w:spacing w:after="0" w:line="2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760"/>
          </w:cols>
          <w:pgMar w:left="900" w:top="631" w:right="239" w:bottom="1440" w:gutter="0" w:footer="0" w:header="0"/>
        </w:sectPr>
      </w:pPr>
    </w:p>
    <w:bookmarkStart w:id="185" w:name="page186"/>
    <w:bookmarkEnd w:id="185"/>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SIFMA Index</w:t>
      </w:r>
      <w:r>
        <w:rPr>
          <w:rFonts w:ascii="Arial" w:cs="Arial" w:eastAsia="Arial" w:hAnsi="Arial"/>
          <w:sz w:val="22"/>
          <w:szCs w:val="22"/>
          <w:color w:val="auto"/>
        </w:rPr>
        <w:t>” means the per annum rate equal to the Securities Industry and Financial Markets Association Municipal Swap Index in effect on the applicable date; provided, however, that if the Securities Industry and Financial Markets Association Municipal Swap Index shall become unavailable, the SIFMA Index shall be deemed to be the S&amp;P Weekly Index, and provided further that if the S&amp;P Weekly Index shall become unavailable, the SIFMA Index shall be a comparable index selected by the Remarketing Agent.</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SNDA</w:t>
      </w:r>
      <w:r>
        <w:rPr>
          <w:rFonts w:ascii="Arial" w:cs="Arial" w:eastAsia="Arial" w:hAnsi="Arial"/>
          <w:sz w:val="22"/>
          <w:szCs w:val="22"/>
          <w:color w:val="auto"/>
        </w:rPr>
        <w:t>” means that certain Subordination, Nondisturbance and Attornment Agreement, dated as of February 1, 2016, by and among the District, the Trustee and the Company.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 Weekly Index</w:t>
      </w:r>
      <w:r>
        <w:rPr>
          <w:rFonts w:ascii="Arial" w:cs="Arial" w:eastAsia="Arial" w:hAnsi="Arial"/>
          <w:sz w:val="22"/>
          <w:szCs w:val="22"/>
          <w:color w:val="auto"/>
        </w:rPr>
        <w:t>” means the Standard &amp; Poor’s Weekly High Grade Index maintained by Standard &amp; Poor’s Securities Evaluations Inc., as published on the date which is one Business Day immediately preceding the date for which the S&amp;P Weekly Index is required by this Indenture to be used as a substitute for the Securities Industry and Financial Markets Association Municipal Swap Index.</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Standby Bond Purchase Agreement</w:t>
      </w:r>
      <w:r>
        <w:rPr>
          <w:rFonts w:ascii="Arial" w:cs="Arial" w:eastAsia="Arial" w:hAnsi="Arial"/>
          <w:sz w:val="21"/>
          <w:szCs w:val="21"/>
          <w:color w:val="auto"/>
        </w:rPr>
        <w:t>” means that certain Standby Bond Purchase Agreement, dated as of February 1, 2016, by and among the District, the Company, Jefferson Holdings and the Trustee and pursuant to which (i) in the event all of the Series 2016 Bonds are not repurchased from proceeds of a remarketing or redeemed, or defeased to a date, on or prior to the First Initial Bonds Remarketing Date, Jefferson Holdings and the Company shall be obligated to purchase the Series 2016 Bonds on the First Initial Bonds Remarketing Date at the Purchase Price for Initial Bonds and (ii) Jefferson Holdings shall guarantee the payment of all Rent and all principal of, premium, if any, and interest on the Series 2016 Bonds payable prior to repurchase of the Series 2016 Bonds from proceeds of a remarketing or redemption of the Series 2016 Bonds or defeasance of the Series 2016 Bonds to a date, in each case, on or prior to the First Initial Bonds Remarketing Date.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Standby Rate</w:t>
      </w:r>
      <w:r>
        <w:rPr>
          <w:rFonts w:ascii="Arial" w:cs="Arial" w:eastAsia="Arial" w:hAnsi="Arial"/>
          <w:sz w:val="22"/>
          <w:szCs w:val="22"/>
          <w:color w:val="auto"/>
        </w:rPr>
        <w:t xml:space="preserve">” has the meaning ascribed thereto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w:t>
      </w:r>
      <w:r>
        <w:rPr>
          <w:rFonts w:ascii="Arial" w:cs="Arial" w:eastAsia="Arial" w:hAnsi="Arial"/>
          <w:sz w:val="22"/>
          <w:szCs w:val="22"/>
          <w:color w:val="auto"/>
        </w:rPr>
        <w:t>” means the State of Texas.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Interest</w:t>
      </w:r>
      <w:r>
        <w:rPr>
          <w:rFonts w:ascii="Arial" w:cs="Arial" w:eastAsia="Arial" w:hAnsi="Arial"/>
          <w:sz w:val="22"/>
          <w:szCs w:val="22"/>
          <w:color w:val="auto"/>
        </w:rPr>
        <w:t xml:space="preserve">” has, respectively, the meanings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form of Initial Bond;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form of Daily Rate Bond;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form of Commercial Paper Rate Bond;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when used with respect to any Bond or any installment of interest thereon, the date specified in such Bond as the fixed date on which the principal of such Bond or such installment of interest is due and payable.</w:t>
      </w:r>
    </w:p>
    <w:p>
      <w:pPr>
        <w:spacing w:after="0" w:line="18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Substantial User</w:t>
      </w:r>
      <w:r>
        <w:rPr>
          <w:rFonts w:ascii="Arial" w:cs="Arial" w:eastAsia="Arial" w:hAnsi="Arial"/>
          <w:sz w:val="22"/>
          <w:szCs w:val="22"/>
          <w:color w:val="auto"/>
        </w:rPr>
        <w:t>” means a party who is a substantial user (or a Related Person of such Substantial User) of the Bond Financed Property under Section 147 of the Code, including, but not limited to, the Company, FTAI and Jefferson Holdings; provided, however,</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0760"/>
          </w:cols>
          <w:pgMar w:left="900" w:top="631" w:right="239" w:bottom="1440" w:gutter="0" w:footer="0" w:header="0"/>
        </w:sectPr>
      </w:pPr>
    </w:p>
    <w:bookmarkStart w:id="186" w:name="page187"/>
    <w:bookmarkEnd w:id="186"/>
    <w:p>
      <w:pPr>
        <w:spacing w:after="0" w:line="14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that if FTAI or Jefferson Holdings delivers to the District an opinion of Bond Counsel that FTAI or Jefferson Holdings, as applicable, no longer qualifies as a Substantial User, then such party will not be considered a Substantial User for purposes of this Indenture.</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Certificate</w:t>
      </w:r>
      <w:r>
        <w:rPr>
          <w:rFonts w:ascii="Arial" w:cs="Arial" w:eastAsia="Arial" w:hAnsi="Arial"/>
          <w:sz w:val="22"/>
          <w:szCs w:val="22"/>
          <w:color w:val="auto"/>
        </w:rPr>
        <w:t>” means the certificate executed by the District and the Company setting forth the reasonable expectations and agreements of the District and the Company regarding future events that are material for purposes of Section 148 of the Code pertaining to arbitrage and certain other matters.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Opinion</w:t>
      </w:r>
      <w:r>
        <w:rPr>
          <w:rFonts w:ascii="Arial" w:cs="Arial" w:eastAsia="Arial" w:hAnsi="Arial"/>
          <w:sz w:val="22"/>
          <w:szCs w:val="22"/>
          <w:color w:val="auto"/>
        </w:rPr>
        <w:t>” has the meaning set forth in Section 9.03 hereof.</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Tender Agent</w:t>
      </w:r>
      <w:r>
        <w:rPr>
          <w:rFonts w:ascii="Arial" w:cs="Arial" w:eastAsia="Arial" w:hAnsi="Arial"/>
          <w:sz w:val="22"/>
          <w:szCs w:val="22"/>
          <w:color w:val="auto"/>
        </w:rPr>
        <w:t>” means the Person designated pursuant to Section 8.13 hereof to perform the duties of such set forth in this Indenture, initially The Bank of New York Mellon Trust Company, National Association.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Estate</w:t>
      </w:r>
      <w:r>
        <w:rPr>
          <w:rFonts w:ascii="Arial" w:cs="Arial" w:eastAsia="Arial" w:hAnsi="Arial"/>
          <w:sz w:val="22"/>
          <w:szCs w:val="22"/>
          <w:color w:val="auto"/>
        </w:rPr>
        <w:t>” has the meaning given it in the Granting Clauses of this Indenture.</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means The Bank of New York Mellon Trust Company, National Association, a national banking association, with a corporate trust office in Houston, Texas, serving as Trustee pursuant to this Indenture, or any successor thereto selected pursuant to the provisions of this Indenture.</w:t>
      </w:r>
    </w:p>
    <w:p>
      <w:pPr>
        <w:spacing w:after="0" w:line="186"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Underwriters</w:t>
      </w:r>
      <w:r>
        <w:rPr>
          <w:rFonts w:ascii="Arial" w:cs="Arial" w:eastAsia="Arial" w:hAnsi="Arial"/>
          <w:sz w:val="22"/>
          <w:szCs w:val="22"/>
          <w:color w:val="auto"/>
        </w:rPr>
        <w:t>” means collectively, Oppenheimer &amp; Co. Inc., Stifel, Nicolaus &amp; Company, Incorporated and Morgan Stanley &amp; Co LLC.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Untendered Bonds</w:t>
      </w:r>
      <w:r>
        <w:rPr>
          <w:rFonts w:ascii="Arial" w:cs="Arial" w:eastAsia="Arial" w:hAnsi="Arial"/>
          <w:sz w:val="22"/>
          <w:szCs w:val="22"/>
          <w:color w:val="auto"/>
        </w:rPr>
        <w:t>” has the meaning given it in Section 2.17(i) of this Indenture.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Weekly Rate</w:t>
      </w:r>
      <w:r>
        <w:rPr>
          <w:rFonts w:ascii="Arial" w:cs="Arial" w:eastAsia="Arial" w:hAnsi="Arial"/>
          <w:sz w:val="22"/>
          <w:szCs w:val="22"/>
          <w:color w:val="auto"/>
        </w:rPr>
        <w:t xml:space="preserve">” has the meaning given it in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the form of Weekly Rate Bond.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Weekly Rate Bond</w:t>
      </w:r>
      <w:r>
        <w:rPr>
          <w:rFonts w:ascii="Arial" w:cs="Arial" w:eastAsia="Arial" w:hAnsi="Arial"/>
          <w:sz w:val="22"/>
          <w:szCs w:val="22"/>
          <w:color w:val="auto"/>
        </w:rPr>
        <w:t>” means any Bond bearing interest at the Weekly Rate.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Weekly Rate Period</w:t>
      </w:r>
      <w:r>
        <w:rPr>
          <w:rFonts w:ascii="Arial" w:cs="Arial" w:eastAsia="Arial" w:hAnsi="Arial"/>
          <w:sz w:val="19"/>
          <w:szCs w:val="19"/>
          <w:color w:val="auto"/>
        </w:rPr>
        <w:t>” means, with respect to any Bond, any period during which it bears interest at the Weekly</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Rate.</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Effect of Headings and Table of Contents</w:t>
      </w:r>
      <w:r>
        <w:rPr>
          <w:rFonts w:ascii="Arial" w:cs="Arial" w:eastAsia="Arial" w:hAnsi="Arial"/>
          <w:sz w:val="22"/>
          <w:szCs w:val="22"/>
          <w:color w:val="auto"/>
        </w:rPr>
        <w:t>. The Article and Section headings herein and the Table of Contents are for convenience only and shall not affect the construction hereof.</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Form of Documents Delivered to Trustee</w:t>
      </w:r>
      <w:r>
        <w:rPr>
          <w:rFonts w:ascii="Arial" w:cs="Arial" w:eastAsia="Arial" w:hAnsi="Arial"/>
          <w:sz w:val="22"/>
          <w:szCs w:val="22"/>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9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certificate or opinion of any officer of a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a specified Person stating that the information with respect to such factual matters is in the possession of such Person, unless such counsel knows, or in the exercise of reasonable care should know, that the certificate or opinion or representations with respect to such matters are erroneous.</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Acts of Bondholders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2" w:lineRule="auto"/>
        <w:tabs>
          <w:tab w:leader="none" w:pos="1095"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Bondholders may be embodied in and evidenced by one or more instruments of substantially similar tenor signed by such Bondholders in person or by their agent duly appointed in writing; and, except as herein otherwise expressly provided, such action shall become effective when such instrument or instruments are delivered to the Trustee and, where it is hereby expressly required, to the District. Such instrument or instruments (and the action embodied therein and evidenced thereby) are herein sometimes referred to as the “act” of the Bondholders signing such instrument or instruments. Proof of execution of any such instrument or of a writing appointing any such agent shall be sufficient for any purpose of this Indenture and (subject to Section 8.01) conclusive in favor of the Trustee and the District, if made in the manner provided in this Section.</w:t>
      </w:r>
    </w:p>
    <w:p>
      <w:pPr>
        <w:spacing w:after="0" w:line="155" w:lineRule="exact"/>
        <w:rPr>
          <w:rFonts w:ascii="Arial" w:cs="Arial" w:eastAsia="Arial" w:hAnsi="Arial"/>
          <w:sz w:val="19"/>
          <w:szCs w:val="19"/>
          <w:color w:val="auto"/>
        </w:rPr>
      </w:pPr>
    </w:p>
    <w:p>
      <w:pPr>
        <w:jc w:val="both"/>
        <w:ind w:right="20" w:firstLine="656"/>
        <w:spacing w:after="0" w:line="320" w:lineRule="auto"/>
        <w:tabs>
          <w:tab w:leader="none" w:pos="10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w:t>
      </w:r>
    </w:p>
    <w:p>
      <w:pPr>
        <w:sectPr>
          <w:pgSz w:w="11900" w:h="16980" w:orient="portrait"/>
          <w:cols w:equalWidth="0" w:num="1">
            <w:col w:w="11420"/>
          </w:cols>
          <w:pgMar w:left="240" w:top="631" w:right="239" w:bottom="0" w:gutter="0" w:footer="0" w:header="0"/>
        </w:sectPr>
      </w:pPr>
    </w:p>
    <w:bookmarkStart w:id="187" w:name="page188"/>
    <w:bookmarkEnd w:id="187"/>
    <w:p>
      <w:pPr>
        <w:jc w:val="both"/>
        <w:spacing w:after="0" w:line="250" w:lineRule="auto"/>
        <w:rPr>
          <w:sz w:val="20"/>
          <w:szCs w:val="20"/>
          <w:color w:val="auto"/>
        </w:rPr>
      </w:pPr>
      <w:r>
        <w:rPr>
          <w:rFonts w:ascii="Arial" w:cs="Arial" w:eastAsia="Arial" w:hAnsi="Arial"/>
          <w:sz w:val="22"/>
          <w:szCs w:val="22"/>
          <w:color w:val="auto"/>
        </w:rPr>
        <w:t>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8"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ownership of Bonds shall be proved by the Bond Register.</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48"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request, demand, authorization, direction, notice, consent, waiver or other action by any Bondholder shall bind every holder of any Bond issued upon the transfer thereof or in exchange therefor or in lieu thereof, in respect of anything done or suffered to be done by the Trustee or the District in reliance thereon, whether or not notation of such action is made upon such Bond.</w:t>
      </w:r>
    </w:p>
    <w:p>
      <w:pPr>
        <w:spacing w:after="0" w:line="185" w:lineRule="exact"/>
        <w:rPr>
          <w:rFonts w:ascii="Arial" w:cs="Arial" w:eastAsia="Arial" w:hAnsi="Arial"/>
          <w:sz w:val="22"/>
          <w:szCs w:val="22"/>
          <w:color w:val="auto"/>
        </w:rPr>
      </w:pPr>
    </w:p>
    <w:p>
      <w:pPr>
        <w:jc w:val="both"/>
        <w:ind w:firstLine="656"/>
        <w:spacing w:after="0" w:line="266" w:lineRule="auto"/>
        <w:tabs>
          <w:tab w:leader="none" w:pos="1176" w:val="left"/>
        </w:tabs>
        <w:numPr>
          <w:ilvl w:val="0"/>
          <w:numId w:val="89"/>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any right of demand, authorization, direction, consent, waiver or other similar action granted herein or therein to Holders of Bonds which are secured by a Credit Facility (other than in connection with an Optional Tender, or rights as a result of an Event of Default under Section 7.01(2) hereof) shall be exercised by the Credit Enhancer of such Credit Facility so long as such Credit Facility is in effect with respect to such Bonds and such Credit Enhancer is not in default thereunder, to the exclusion of the Bondholders.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Notices, etc., to Trustee and District</w:t>
      </w:r>
      <w:r>
        <w:rPr>
          <w:rFonts w:ascii="Arial" w:cs="Arial" w:eastAsia="Arial" w:hAnsi="Arial"/>
          <w:sz w:val="22"/>
          <w:szCs w:val="22"/>
          <w:color w:val="auto"/>
        </w:rPr>
        <w:t>. Any request, demand, authorization, direction, notice, consent, waiver or act of Bondholders or other document provided or permitted by this Indenture to be made upon, given or furnished to, or filed with,</w:t>
      </w:r>
    </w:p>
    <w:p>
      <w:pPr>
        <w:spacing w:after="0" w:line="177" w:lineRule="exact"/>
        <w:rPr>
          <w:sz w:val="20"/>
          <w:szCs w:val="20"/>
          <w:color w:val="auto"/>
        </w:rPr>
      </w:pPr>
    </w:p>
    <w:p>
      <w:pPr>
        <w:jc w:val="both"/>
        <w:ind w:left="660" w:firstLine="645"/>
        <w:spacing w:after="0" w:line="251" w:lineRule="auto"/>
        <w:tabs>
          <w:tab w:leader="none" w:pos="180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Trustee by any Bondholder or by any specified Person shall be sufficient for every purpose hereunder if made, given, furnished or filed in writing to or with and actually received by a Responsible Officer of the Trustee at its corporate trust office located at 601 Travis Street, Floor 16, Houston, Texas 77002, Attention: Corporate Trust Department, or at any other address previously furnished in writing to the Bondholders and the other parties to the Bond Documents by the Trustee;</w:t>
      </w:r>
    </w:p>
    <w:p>
      <w:pPr>
        <w:spacing w:after="0" w:line="189" w:lineRule="exact"/>
        <w:rPr>
          <w:rFonts w:ascii="Arial" w:cs="Arial" w:eastAsia="Arial" w:hAnsi="Arial"/>
          <w:sz w:val="22"/>
          <w:szCs w:val="22"/>
          <w:color w:val="auto"/>
        </w:rPr>
      </w:pPr>
    </w:p>
    <w:p>
      <w:pPr>
        <w:jc w:val="both"/>
        <w:ind w:left="660" w:firstLine="645"/>
        <w:spacing w:after="0" w:line="254" w:lineRule="auto"/>
        <w:tabs>
          <w:tab w:leader="none" w:pos="1767"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District by any Bondholder or by any specified Person shall be sufficient for every purpose hereunder if in writing and mailed, first-class postage prepaid, to the District addressed to it at 1225 Main Street, Beaumont, Texas 77704, Attention: Port Director and Chief Executive Officer, or at any other address previously furnished in writing to the Trustee and the Company by the District;</w:t>
      </w:r>
    </w:p>
    <w:p>
      <w:pPr>
        <w:spacing w:after="0" w:line="185" w:lineRule="exact"/>
        <w:rPr>
          <w:rFonts w:ascii="Arial" w:cs="Arial" w:eastAsia="Arial" w:hAnsi="Arial"/>
          <w:sz w:val="22"/>
          <w:szCs w:val="22"/>
          <w:color w:val="auto"/>
        </w:rPr>
      </w:pPr>
    </w:p>
    <w:p>
      <w:pPr>
        <w:jc w:val="both"/>
        <w:ind w:left="660" w:firstLine="645"/>
        <w:spacing w:after="0" w:line="254" w:lineRule="auto"/>
        <w:tabs>
          <w:tab w:leader="none" w:pos="1767"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by any Bondholder or by any specified Person shall be sufficient for every purpose hereunder if in writing and mailed, first-class postage prepaid, to the Company addressed to it at 9595 Six Pines Drive, Suite 6370, The Woodlands, TX 77380, Attention: Chief Financial Officer, or at any other address previously furnished in writing to the Trustee and the District by the Company;</w:t>
      </w:r>
    </w:p>
    <w:p>
      <w:pPr>
        <w:spacing w:after="0" w:line="185" w:lineRule="exact"/>
        <w:rPr>
          <w:rFonts w:ascii="Arial" w:cs="Arial" w:eastAsia="Arial" w:hAnsi="Arial"/>
          <w:sz w:val="22"/>
          <w:szCs w:val="22"/>
          <w:color w:val="auto"/>
        </w:rPr>
      </w:pPr>
    </w:p>
    <w:p>
      <w:pPr>
        <w:jc w:val="both"/>
        <w:ind w:left="660" w:firstLine="645"/>
        <w:spacing w:after="0" w:line="260" w:lineRule="auto"/>
        <w:tabs>
          <w:tab w:leader="none" w:pos="180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Tender Agent shall be sufficient for every purpose hereunder if in writing and mailed, first-class postage prepaid, to the Tender Agent, addressed to it at the address specified in paragraph (1) above in this Section or at such other address previously furnished in writing to the Trustee by the Tender Agent; or</w:t>
      </w:r>
    </w:p>
    <w:p>
      <w:pPr>
        <w:spacing w:after="0" w:line="177" w:lineRule="exact"/>
        <w:rPr>
          <w:rFonts w:ascii="Arial" w:cs="Arial" w:eastAsia="Arial" w:hAnsi="Arial"/>
          <w:sz w:val="22"/>
          <w:szCs w:val="22"/>
          <w:color w:val="auto"/>
        </w:rPr>
      </w:pPr>
    </w:p>
    <w:p>
      <w:pPr>
        <w:jc w:val="both"/>
        <w:ind w:left="660" w:firstLine="645"/>
        <w:spacing w:after="0" w:line="282" w:lineRule="auto"/>
        <w:tabs>
          <w:tab w:leader="none" w:pos="1848"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Remarketing Agent shall be sufficient for every purpose hereunder if in writing and mailed, first-class postage prepaid, to the Remarketing Agent, addressed to it at Oppenheimer &amp; Co. Inc., 100 NE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Avenue, Suite 500, Fort Lauderdale, FL 33301, or at such other address previously furnished in writing to the Trustee by the Remarketing Agent.</w:t>
      </w:r>
    </w:p>
    <w:p>
      <w:pPr>
        <w:spacing w:after="0" w:line="1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Trustee shall have the right to accept and act upon instructions, including funds transfer instructions (“</w:t>
      </w:r>
      <w:r>
        <w:rPr>
          <w:rFonts w:ascii="Arial" w:cs="Arial" w:eastAsia="Arial" w:hAnsi="Arial"/>
          <w:sz w:val="19"/>
          <w:szCs w:val="19"/>
          <w:u w:val="single" w:color="auto"/>
          <w:color w:val="auto"/>
        </w:rPr>
        <w:t>Instructions</w:t>
      </w:r>
      <w:r>
        <w:rPr>
          <w:rFonts w:ascii="Arial" w:cs="Arial" w:eastAsia="Arial" w:hAnsi="Arial"/>
          <w:sz w:val="19"/>
          <w:szCs w:val="19"/>
          <w:color w:val="auto"/>
        </w:rPr>
        <w:t>”) given pursuant to this Indenture and the other Bond Documents and delivered using Electronic Means; provided, however, that the District shall provide to the Trustee an incumbency certificate listing officers with the authority to provide such Instructions (“</w:t>
      </w:r>
      <w:r>
        <w:rPr>
          <w:rFonts w:ascii="Arial" w:cs="Arial" w:eastAsia="Arial" w:hAnsi="Arial"/>
          <w:sz w:val="19"/>
          <w:szCs w:val="19"/>
          <w:u w:val="single" w:color="auto"/>
          <w:color w:val="auto"/>
        </w:rPr>
        <w:t>Authorized Officers</w:t>
      </w:r>
      <w:r>
        <w:rPr>
          <w:rFonts w:ascii="Arial" w:cs="Arial" w:eastAsia="Arial" w:hAnsi="Arial"/>
          <w:sz w:val="19"/>
          <w:szCs w:val="19"/>
          <w:color w:val="auto"/>
        </w:rPr>
        <w:t>”), and containing specimen signatures of such Authorized Officers, which incumbency certificate shall be amended by the District whenever a person is to be added or deleted from the listing. If the District elects to give the Trustee Instructions using Electronic Means, the Trustee’s understanding of such Instructions shall be deemed controlling. The District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District shall be responsible for ensuring that only Authorized Officers transmit such Instructions to the Trustee and that the District and all Authorized Officers are solely responsible to safeguard the use and confidentiality of applicable user and authorization codes, passwords and/or authentication keys upon receipt by the District. The Trustee shall not be liable for any losses, costs or expenses arising directly or indirectly from the Trustee’s reliance upon and compliance with such Instructions notwithstanding such directions conflict or are inconsistent with a subsequent written instruction. The District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District; (iii) that the security procedures (if any) to be followed in connection with its transmission of</w:t>
      </w:r>
    </w:p>
    <w:p>
      <w:pPr>
        <w:sectPr>
          <w:pgSz w:w="11900" w:h="16838" w:orient="portrait"/>
          <w:cols w:equalWidth="0" w:num="1">
            <w:col w:w="11420"/>
          </w:cols>
          <w:pgMar w:left="240" w:top="132" w:right="239" w:bottom="0" w:gutter="0" w:footer="0" w:header="0"/>
        </w:sectPr>
      </w:pPr>
    </w:p>
    <w:bookmarkStart w:id="188" w:name="page189"/>
    <w:bookmarkEnd w:id="188"/>
    <w:p>
      <w:pPr>
        <w:jc w:val="both"/>
        <w:spacing w:after="0" w:line="287" w:lineRule="auto"/>
        <w:rPr>
          <w:sz w:val="20"/>
          <w:szCs w:val="20"/>
          <w:color w:val="auto"/>
        </w:rPr>
      </w:pPr>
      <w:r>
        <w:rPr>
          <w:rFonts w:ascii="Arial" w:cs="Arial" w:eastAsia="Arial" w:hAnsi="Arial"/>
          <w:sz w:val="21"/>
          <w:szCs w:val="21"/>
          <w:color w:val="auto"/>
        </w:rPr>
        <w:t>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Notices to Bondholders; Waiver</w:t>
      </w:r>
      <w:r>
        <w:rPr>
          <w:rFonts w:ascii="Arial" w:cs="Arial" w:eastAsia="Arial" w:hAnsi="Arial"/>
          <w:sz w:val="21"/>
          <w:szCs w:val="21"/>
          <w:color w:val="auto"/>
        </w:rPr>
        <w:t>. Where this Indenture provides for notice to Bondholders of any event, such notice shall be sufficiently given (unless otherwise herein expressly provided) if in writing and given in accordance with the policies and procedures of the Depository or mailed, first-class postage prepaid, to each Bondholder affected by such event, at his address as it appears on the Bond Register, not later than the latest date, and not earlier than the earliest date, prescribed for the first giving of such notice. In any case where notice to Bondholders is given by mail, neither the failure to mail such notice, nor any default in any notice so mailed to any particular Bondholder, shall affect the sufficiency of such notice with respect to other Bondholders. Where this Indenture provides for notice in any manner, such notice may be waived in writing by the Person entitled to receive such notice, either before or after the event, and such waiver shall be the equivalent of such notice. Waivers of notice by Holders of Bonds shall be filed with the Trustee, but such filing shall not be a condition precedent to the validity of any action taken in reliance upon such waiver.</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in this Indenture by the District and the Trustee shall bind their respective successors and assigns, whether so expressed or not.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Separability Clause</w:t>
      </w:r>
      <w:r>
        <w:rPr>
          <w:rFonts w:ascii="Arial" w:cs="Arial" w:eastAsia="Arial" w:hAnsi="Arial"/>
          <w:sz w:val="22"/>
          <w:szCs w:val="22"/>
          <w:color w:val="auto"/>
        </w:rPr>
        <w:t>. In case any provision in this Indenture or in the Bonds or any application thereof shall be invalid, illegal or unenforceable, the validity, legality and enforceability of the remaining provisions and applications shall not in any way be affected or impaired thereby.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132" w:right="239" w:bottom="1440" w:gutter="0" w:footer="0" w:header="0"/>
        </w:sectPr>
      </w:pPr>
    </w:p>
    <w:bookmarkStart w:id="189" w:name="page190"/>
    <w:bookmarkEnd w:id="189"/>
    <w:p>
      <w:pPr>
        <w:jc w:val="both"/>
        <w:ind w:firstLine="648"/>
        <w:spacing w:after="0" w:line="254"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Benefits of Indenture</w:t>
      </w:r>
      <w:r>
        <w:rPr>
          <w:rFonts w:ascii="Arial" w:cs="Arial" w:eastAsia="Arial" w:hAnsi="Arial"/>
          <w:sz w:val="22"/>
          <w:szCs w:val="22"/>
          <w:color w:val="auto"/>
        </w:rPr>
        <w:t>. Nothing in this Indenture or in the Bonds, express or implied, shall give to any Person, other than the parties hereto, their successors hereunder, any separate trustee or co-trustee appointed hereunder, the Credit Enhancer, the Liquidity Bank, and the Holders of Bonds, any benefit or any legal or equitable right, remedy or claim under this Indenture.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Indenture shall be governed, in all respects including validity, interpretation and effect by, and shall be enforceable in accordance with, the laws of the State.</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Directors, Officers, Employees, and Agents Exempt from Personal Liability</w:t>
      </w:r>
      <w:r>
        <w:rPr>
          <w:rFonts w:ascii="Arial" w:cs="Arial" w:eastAsia="Arial" w:hAnsi="Arial"/>
          <w:sz w:val="19"/>
          <w:szCs w:val="19"/>
          <w:color w:val="auto"/>
        </w:rPr>
        <w:t>. No recourse under or upon any obligation, covenant, or agreement contained in this Indenture, or in any Bond, or for any claim based thereon or otherwise in respect thereof, shall be had against any incorporator, or against any past, present, or future director, officer, or employee, as such, of the District or the Trustee, or of any successor corporation, either directly or through the District or the Trustee, whether by virtue of any constitution or statute or rule of law, or by the enforcement of any assessment, judgment, or penalty, or otherwise; it being expressly understood that this Indenture and the Bonds are solely corporate obligations, and that no such personal liability whatever shall attach to, or is or shall be incurred by, the incorporators, directors, officers, or employees, as such, of the District, the Trustee, or any other successor corporation, or any of them, because of the creation of indebtedness hereby authorized, or under or by reason of the obligations, covenants, or agreements contained in this Indenture or the Bonds or implied therefrom, and that any and all such personal liability either at common law or equity or by constitution or statute, of, and any and all such rights and claims against, every such incorporator, director, officer, or employee, as such, are hereby expressly waived and released as a condition of, and in consideration for, the execution of this Indenture and the issuance of the Bonds.</w:t>
      </w:r>
    </w:p>
    <w:p>
      <w:pPr>
        <w:spacing w:after="0" w:line="16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Recitals Incorporated</w:t>
      </w:r>
      <w:r>
        <w:rPr>
          <w:rFonts w:ascii="Arial" w:cs="Arial" w:eastAsia="Arial" w:hAnsi="Arial"/>
          <w:sz w:val="19"/>
          <w:szCs w:val="19"/>
          <w:color w:val="auto"/>
        </w:rPr>
        <w:t>. The recitals hereof are incorporated herein and made a part hereof.</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References to the Liquidity Bank and Credit Enhancer</w:t>
      </w:r>
      <w:r>
        <w:rPr>
          <w:rFonts w:ascii="Arial" w:cs="Arial" w:eastAsia="Arial" w:hAnsi="Arial"/>
          <w:sz w:val="19"/>
          <w:szCs w:val="19"/>
          <w:color w:val="auto"/>
        </w:rPr>
        <w:t>. Any provision hereof requiring any consent, approval, or similar action of the Liquidity Bank or Credit Enhancer shall be of no force and effect during any period during which (i) no Liquidity Facility or Credit Facility, as the case may be, is in effect with respect to the Bonds, (ii) the Liquidity Bank or Credit Enhancer is in default of its obligation to make payments under the Liquidity Facility or Credit Facility, as the case may be, or (iii) the Liquidity Bank or the Credit Enhancer, as applicable, shall (1) apply for or consent to the appointment of a receiver, trustee, liquidator, or custodian or the like of the Liquidity Bank or Credit Enhancer of some or all of the Liquidity Bank’s or Credit Enhancer’s property, or (2) admit in writing the inability of the Liquidity Bank or Credit Enhancer to pay the debts of the Liquidity Bank or Credit Enhancer, as the case may be, generally as they become due, or (3) make a general assignment for the benefit of creditors, or (4) be adjudicated as bankrupt or insolvent, or (5) commence a voluntary case under the Bankruptcy Code or file a voluntary petition or answer seeking reorganization, an arrangement with creditors or an order for relief or seeking to take advantage of any insolvency law. Upon the termination of a Liquidity Facility and/or a Credit Facility and the payment of all amounts payable to the Liquidity Bank and/or the Credit Enhancer, as applicable, under any reimbursement agreement and the documents executed in connection therewith, as evidenced by a certificate from the Liquidity Bank and/or the Credit Enhancer, as the case may be, any references to the Liquidity Bank and/or the Credit Enhancer herein shall be ineffective.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631" w:right="239" w:bottom="1440" w:gutter="0" w:footer="0" w:header="0"/>
        </w:sectPr>
      </w:pPr>
    </w:p>
    <w:bookmarkStart w:id="190" w:name="page191"/>
    <w:bookmarkEnd w:id="190"/>
    <w:p>
      <w:pPr>
        <w:ind w:left="51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AUTHORIZATION AND TERMS OF BONDS;</w:t>
      </w:r>
    </w:p>
    <w:p>
      <w:pPr>
        <w:spacing w:after="0" w:line="28"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ISSUANCE AND FORM OF BONDS; ADDITIONAL BONDS</w:t>
      </w:r>
    </w:p>
    <w:p>
      <w:pPr>
        <w:spacing w:after="0" w:line="20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Authorization of Series 2016 Bonds; Additional Bonds; Security for the Bonds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1" w:lineRule="auto"/>
        <w:tabs>
          <w:tab w:leader="none" w:pos="1095"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Series 2016 Bonds are hereby authorized to be issued in the aggregate principal amount of $144,200,000, for the purposes of providing funds for the payment of Project Costs. In addition to the Series 2016 Bonds, the District may, in its discretion, issue Additional Bonds hereunder solely for the purpose of financing improvements to the Project or for refunding Outstanding Bonds, and related financing costs and expenses, in accordance with the provisions of Section 2.23 hereunder. The maximum principal amount of Bonds issued hereunder shall not exceed $300,000,000. The Series 2016 Bonds shall be issued initially, and delivered to the original purchasers thereof, as Initial Bonds and shall initially bear interest at the Initial Rate determined in accordance with Section 2.08(h) hereof and as set forth in the Approval Certificate. From the date of issuance thereof until the First Initial Bonds Remarketing Date, no Substantial User shall own the Bonds.</w:t>
      </w:r>
    </w:p>
    <w:p>
      <w:pPr>
        <w:spacing w:after="0" w:line="181" w:lineRule="exact"/>
        <w:rPr>
          <w:rFonts w:ascii="Arial" w:cs="Arial" w:eastAsia="Arial" w:hAnsi="Arial"/>
          <w:sz w:val="21"/>
          <w:szCs w:val="21"/>
          <w:color w:val="auto"/>
        </w:rPr>
      </w:pPr>
    </w:p>
    <w:p>
      <w:pPr>
        <w:jc w:val="both"/>
        <w:ind w:firstLine="656"/>
        <w:spacing w:after="0" w:line="300" w:lineRule="auto"/>
        <w:tabs>
          <w:tab w:leader="none" w:pos="110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Initial Bonds (except the First Bond, which shall be numbered T-I-1) shall be numbered separately from I-1 upwards. Daily Rate Bonds shall be numbered separately from DR-1 upwards. Any Bonds that have been converted to a Weekly Rate shall be numbered separately from WR-1 upward. Any Bonds that have been converted to Commercial Paper Rate Bonds shall be numbered from CR-1 upwards. Any Bonds that have been converted to Fixed Rate Bonds shall be numbered separately from FR-1 upwards. The Bonds shall be issued only in fully registered form in Authorized Denominations.</w:t>
      </w:r>
    </w:p>
    <w:p>
      <w:pPr>
        <w:spacing w:after="0" w:line="147" w:lineRule="exact"/>
        <w:rPr>
          <w:rFonts w:ascii="Arial" w:cs="Arial" w:eastAsia="Arial" w:hAnsi="Arial"/>
          <w:sz w:val="19"/>
          <w:szCs w:val="19"/>
          <w:color w:val="auto"/>
        </w:rPr>
      </w:pPr>
    </w:p>
    <w:p>
      <w:pPr>
        <w:jc w:val="both"/>
        <w:ind w:firstLine="656"/>
        <w:spacing w:after="0" w:line="297" w:lineRule="auto"/>
        <w:tabs>
          <w:tab w:leader="none" w:pos="114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Bonds are not, and shall never in any event become, general obligations of the District but are special limited obligations payable by the District solely from the Pledged Revenues (except to the extent paid out of moneys attributable to the proceeds derived from the sale of the Bonds or income from the temporary investment thereof), which amounts, together with any other security provided herein, are hereby specifically assigned and pledged to such purposes in the manner and to the extent provided herein. The Bonds and the interest thereon shall never constitute a debt, indebtedness, or a pledge of the faith and credit or taxing power of the District, the State or any political corporation, subdivision, or agency of the State.</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Terms of Bonds</w:t>
      </w:r>
      <w:r>
        <w:rPr>
          <w:rFonts w:ascii="Arial" w:cs="Arial" w:eastAsia="Arial" w:hAnsi="Arial"/>
          <w:sz w:val="19"/>
          <w:szCs w:val="19"/>
          <w:color w:val="auto"/>
        </w:rPr>
        <w:t xml:space="preserve">. The Series 2016 Bonds shall be dated as provided in the Approval Certificate and shall mature as provided in the Approval Certificate, but not later than February 1, 2036. The Bonds shall bear interest from their Issue Date, at the rates and payable on the Interest Payment Dates provided in the Approval Certificate and in the applicable form of Bonds set forth on </w:t>
      </w:r>
      <w:r>
        <w:rPr>
          <w:rFonts w:ascii="Arial" w:cs="Arial" w:eastAsia="Arial" w:hAnsi="Arial"/>
          <w:sz w:val="19"/>
          <w:szCs w:val="19"/>
          <w:u w:val="single" w:color="auto"/>
          <w:color w:val="auto"/>
        </w:rPr>
        <w:t>Exhibits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hereto until payment of the principal or redemption price thereof shall have been made or duly provided for on or prior to the Maturity. The Bonds shall be subject to redemption, optional tender, mandatory tender and conversion as provided in the Approval Certificate and in the applicable form of Bonds set forth on </w:t>
      </w:r>
      <w:r>
        <w:rPr>
          <w:rFonts w:ascii="Arial" w:cs="Arial" w:eastAsia="Arial" w:hAnsi="Arial"/>
          <w:sz w:val="19"/>
          <w:szCs w:val="19"/>
          <w:u w:val="single" w:color="auto"/>
          <w:color w:val="auto"/>
        </w:rPr>
        <w:t>Exhibits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hereto. There shall be no more than 35 initial Beneficial Owners of the Initial Bonds.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625" w:right="239" w:bottom="1440" w:gutter="0" w:footer="0" w:header="0"/>
        </w:sectPr>
      </w:pPr>
    </w:p>
    <w:bookmarkStart w:id="191" w:name="page192"/>
    <w:bookmarkEnd w:id="191"/>
    <w:p>
      <w:pPr>
        <w:ind w:left="660"/>
        <w:spacing w:after="0"/>
        <w:tabs>
          <w:tab w:leader="none" w:pos="19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Execution, Authentication and Delivery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10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Bonds shall be executed on behalf of the District by its President or one of its Vice Presidents. Its corporate seal may but need not be impressed or reproduced thereon and attested to by its Secretary or one of its Assistant Secretaries. The signature of any of these officers on the Bonds may be manual or facsimile. Bonds bearing the manual or facsimile signatures of individuals who were at any time the proper officers of the District shall bind the District, notwithstanding that such individuals or any of them have ceased to hold such offices prior to the authentication and delivery of such Bonds or did not hold such offices at the date of such Bonds.</w:t>
      </w:r>
    </w:p>
    <w:p>
      <w:pPr>
        <w:spacing w:after="0" w:line="188" w:lineRule="exact"/>
        <w:rPr>
          <w:rFonts w:ascii="Arial" w:cs="Arial" w:eastAsia="Arial" w:hAnsi="Arial"/>
          <w:sz w:val="22"/>
          <w:szCs w:val="22"/>
          <w:color w:val="auto"/>
        </w:rPr>
      </w:pPr>
    </w:p>
    <w:p>
      <w:pPr>
        <w:jc w:val="both"/>
        <w:ind w:firstLine="656"/>
        <w:spacing w:after="0" w:line="251" w:lineRule="auto"/>
        <w:tabs>
          <w:tab w:leader="none" w:pos="122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Initial Bonds issued hereunder and initially delivered to the original purchasers (the “</w:t>
      </w:r>
      <w:r>
        <w:rPr>
          <w:rFonts w:ascii="Arial" w:cs="Arial" w:eastAsia="Arial" w:hAnsi="Arial"/>
          <w:sz w:val="22"/>
          <w:szCs w:val="22"/>
          <w:u w:val="single" w:color="auto"/>
          <w:color w:val="auto"/>
        </w:rPr>
        <w:t>First Bond</w:t>
      </w:r>
      <w:r>
        <w:rPr>
          <w:rFonts w:ascii="Arial" w:cs="Arial" w:eastAsia="Arial" w:hAnsi="Arial"/>
          <w:sz w:val="22"/>
          <w:szCs w:val="22"/>
          <w:color w:val="auto"/>
        </w:rPr>
        <w:t>”) shall be registered by the Comptroller of Public Accounts of the State of Texas or by one of his deputies. Such First Bond shall be registered in the name of Cede &amp; Co. and be deemed to be temporary bonds as contemplated by Section 2.13 hereof. On the Issue Date, the Trustee is hereby authorized and directed to exchange such First Bond for definitive Initial Bonds authenticated by the Trustee and registered in the name of Cede &amp; Co.</w:t>
      </w:r>
    </w:p>
    <w:p>
      <w:pPr>
        <w:spacing w:after="0" w:line="189" w:lineRule="exact"/>
        <w:rPr>
          <w:rFonts w:ascii="Arial" w:cs="Arial" w:eastAsia="Arial" w:hAnsi="Arial"/>
          <w:sz w:val="22"/>
          <w:szCs w:val="22"/>
          <w:color w:val="auto"/>
        </w:rPr>
      </w:pPr>
    </w:p>
    <w:p>
      <w:pPr>
        <w:jc w:val="both"/>
        <w:ind w:firstLine="656"/>
        <w:spacing w:after="0" w:line="264" w:lineRule="auto"/>
        <w:tabs>
          <w:tab w:leader="none" w:pos="1122" w:val="left"/>
        </w:tabs>
        <w:numPr>
          <w:ilvl w:val="0"/>
          <w:numId w:val="92"/>
        </w:numPr>
        <w:rPr>
          <w:rFonts w:ascii="Arial" w:cs="Arial" w:eastAsia="Arial" w:hAnsi="Arial"/>
          <w:sz w:val="21"/>
          <w:szCs w:val="21"/>
          <w:color w:val="auto"/>
        </w:rPr>
      </w:pPr>
      <w:r>
        <w:rPr>
          <w:rFonts w:ascii="Arial" w:cs="Arial" w:eastAsia="Arial" w:hAnsi="Arial"/>
          <w:sz w:val="21"/>
          <w:szCs w:val="21"/>
          <w:color w:val="auto"/>
        </w:rPr>
        <w:t>At any time and from time to time after the execution and delivery of this Indenture, the District may deliver Bonds executed by the District to the Authenticating Agent; the Authenticating Agent shall authenticate such Bonds; and the Bond Registrar shall register and deliver such Bonds as in this Indenture provided and not otherwise. Upon conversion of the Interest Mode of the Initial Bonds to a Daily Rate, Weekly Rate, Commercial Paper Rate or Fixed Rate, the Bond Registrar shall exchange Daily Rate Bonds, Weekly Rate Bonds, Commercial Paper Rate Bonds or Fixed Rate Bonds, as appropriate, for such Initial Bonds presented to it, all in accordance with the provisions of Section 2.05 hereof.</w:t>
      </w:r>
    </w:p>
    <w:p>
      <w:pPr>
        <w:spacing w:after="0" w:line="175" w:lineRule="exact"/>
        <w:rPr>
          <w:rFonts w:ascii="Arial" w:cs="Arial" w:eastAsia="Arial" w:hAnsi="Arial"/>
          <w:sz w:val="21"/>
          <w:szCs w:val="21"/>
          <w:color w:val="auto"/>
        </w:rPr>
      </w:pPr>
    </w:p>
    <w:p>
      <w:pPr>
        <w:ind w:right="20" w:firstLine="656"/>
        <w:spacing w:after="0" w:line="276" w:lineRule="auto"/>
        <w:tabs>
          <w:tab w:leader="none" w:pos="1121"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Prior to the initial delivery by the Trustee (in its capacity as Bond Registrar) of the Series 2016 Bonds, there shall be delivered to the Trustee:</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written Order of the District directed to the Trustee instructing the Trustee to authenticate the Initial Bonds in specific principal amounts and to deliver the Initial Bonds to the purchasers thereof or upon their order upon receipt of a sum specified in such written order;</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Board Resolution of the District authorizing the issuance, execution and delivery of the Bonds;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executed counterparts of each of the Bond Documents and the Capital Call Agreement;</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35"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 Opinion of Counsel to each party to a Bond Document (except the Remarketing Agreement) and to the Capital Call Agreement to the effect that each such Bond Document and the Capital Call Agreement has been duly authorized, executed and delivered by that party and constitutes a valid and binding obligation of that party subject to customary exceptions;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631" w:right="239" w:bottom="1440" w:gutter="0" w:footer="0" w:header="0"/>
        </w:sectPr>
      </w:pPr>
    </w:p>
    <w:bookmarkStart w:id="192" w:name="page193"/>
    <w:bookmarkEnd w:id="192"/>
    <w:p>
      <w:pPr>
        <w:jc w:val="both"/>
        <w:ind w:left="660" w:firstLine="645"/>
        <w:spacing w:after="0" w:line="260" w:lineRule="auto"/>
        <w:tabs>
          <w:tab w:leader="none" w:pos="1781"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opinion of Counsel to the Company, required pursuant to the bond purchase agreement for the Series 2016 Bonds, between the District and the representative of the Underwriters, in form and substance reasonably satisfactory to Bond Counsel and the Underwriters;</w:t>
      </w:r>
    </w:p>
    <w:p>
      <w:pPr>
        <w:spacing w:after="0" w:line="177" w:lineRule="exact"/>
        <w:rPr>
          <w:rFonts w:ascii="Arial" w:cs="Arial" w:eastAsia="Arial" w:hAnsi="Arial"/>
          <w:sz w:val="22"/>
          <w:szCs w:val="22"/>
          <w:color w:val="auto"/>
        </w:rPr>
      </w:pPr>
    </w:p>
    <w:p>
      <w:pPr>
        <w:jc w:val="both"/>
        <w:ind w:left="660" w:firstLine="645"/>
        <w:spacing w:after="0" w:line="254" w:lineRule="auto"/>
        <w:tabs>
          <w:tab w:leader="none" w:pos="1781" w:val="left"/>
        </w:tabs>
        <w:numPr>
          <w:ilvl w:val="0"/>
          <w:numId w:val="93"/>
        </w:numPr>
        <w:rPr>
          <w:rFonts w:ascii="Arial" w:cs="Arial" w:eastAsia="Arial" w:hAnsi="Arial"/>
          <w:sz w:val="22"/>
          <w:szCs w:val="22"/>
          <w:color w:val="auto"/>
        </w:rPr>
      </w:pPr>
      <w:r>
        <w:rPr>
          <w:rFonts w:ascii="Arial" w:cs="Arial" w:eastAsia="Arial" w:hAnsi="Arial"/>
          <w:sz w:val="22"/>
          <w:szCs w:val="22"/>
          <w:color w:val="auto"/>
        </w:rPr>
        <w:t>a certificate executed by the Company certifying that (a) there then exists no event of default under the Bond Documents or (b) the execution and delivery of the Bond Documents to which the Company is a party will not conflict with or constitute a material breach under any outstanding loan agreement, indenture, bond, note, agreement or other instrument by which the Company is bound;</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opinion of Bond Counsel in form and substance satisfactory to the Underwriters;</w:t>
      </w:r>
    </w:p>
    <w:p>
      <w:pPr>
        <w:spacing w:after="0" w:line="233" w:lineRule="exact"/>
        <w:rPr>
          <w:rFonts w:ascii="Arial" w:cs="Arial" w:eastAsia="Arial" w:hAnsi="Arial"/>
          <w:sz w:val="22"/>
          <w:szCs w:val="22"/>
          <w:color w:val="auto"/>
        </w:rPr>
      </w:pPr>
    </w:p>
    <w:p>
      <w:pPr>
        <w:ind w:left="660" w:firstLine="645"/>
        <w:spacing w:after="0" w:line="276" w:lineRule="auto"/>
        <w:tabs>
          <w:tab w:leader="none" w:pos="175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approval of the Bonds by the Attorney General of Texas as evidenced by his approving opinion thereof and initial registration of the Bonds by the Comptroller of Public Accounts of the State of Texas;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executed Investor Letter from each Beneficial Owner of Bonds; and</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executed copies of the Company Leasehold Deed of Trust and the SNDA.</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Form of Bonds</w:t>
      </w:r>
      <w:r>
        <w:rPr>
          <w:rFonts w:ascii="Arial" w:cs="Arial" w:eastAsia="Arial" w:hAnsi="Arial"/>
          <w:sz w:val="19"/>
          <w:szCs w:val="19"/>
          <w:color w:val="auto"/>
        </w:rPr>
        <w:t xml:space="preserve">. Initial Bonds and any Bonds issued in exchange or replacement therefor shall be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Indenture; Daily Rate Bonds and any Bonds issued in exchange or replacement therefor shall be substantially in the form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Indenture; Commercial Paper Rate Bonds and any Bonds issued in exchange or replacement therefor shall be substantially in the form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this Indenture; Fixed Rate Bonds and any Bonds issued in exchange or replacement therefor shall be substantially in the form set forth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to this Indenture; and Weekly Rate Bonds and any Bonds issued in exchange or replacement therefor shall be substantially in the form set forth in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to this Indenture;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regulatory body, or as may, consistently herewith, be determined by the officers executing such Bonds, as evidenced by their signing of the Bonds. Any portion of the text of any Bonds may be set forth on the reverse thereof, with an appropriate reference thereto on the face of the Bonds. The certificate of authentication shall be as set forth in the appropriate form of Initial Bond, Daily Rate Bond, Commercial Paper Rate Bond, Fixed Rate Bond or Weekly Rate Bond. Except for the Initial Bond initially delivered to the original purchasers thereof on the Issue Date, which shall be valid if registered by the Comptroller of Public Accounts of the State of Texas or one of his deputies, no Bonds (other than temporary Initial Bonds issued pursuant to Section 2.13 hereof) shall be entitled to any benefit under this Indenture or be valid or obligatory for any purpose, unless there appears on or attached to such Bonds a certificate of authentication substantially in the form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executed by the Trustee by its manual signature, and such certificate upon any Bond shall be conclusive evidence, and the only evidence, that such Bond has been duly authenticated and delivered hereunder.</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Registration, Transfer, Transfer Restrictions and Exchange</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0" w:lineRule="auto"/>
        <w:tabs>
          <w:tab w:leader="none" w:pos="1109"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District shall cause to be kept at a corporate trust office or the principal payment office of the Bond Registrar or Bond Registrars for the Bonds, a register or registers (sometimes herein referred to as the “</w:t>
      </w:r>
      <w:r>
        <w:rPr>
          <w:rFonts w:ascii="Arial" w:cs="Arial" w:eastAsia="Arial" w:hAnsi="Arial"/>
          <w:sz w:val="19"/>
          <w:szCs w:val="19"/>
          <w:u w:val="single" w:color="auto"/>
          <w:color w:val="auto"/>
        </w:rPr>
        <w:t>Bond Register</w:t>
      </w:r>
      <w:r>
        <w:rPr>
          <w:rFonts w:ascii="Arial" w:cs="Arial" w:eastAsia="Arial" w:hAnsi="Arial"/>
          <w:sz w:val="19"/>
          <w:szCs w:val="19"/>
          <w:color w:val="auto"/>
        </w:rPr>
        <w:t>”) in which, subject to such reasonable regulations as it may prescribe, the District shall provide for the registration of Bonds and of transfers of Bonds. The Trustee is hereby appointed as Bond Registrar for the purpose of registering Bonds and transfers of Bonds as herein provided, and it shall keep the Bond Register with respect to the Bonds at its payment office in Houston, Texas.</w:t>
      </w:r>
    </w:p>
    <w:p>
      <w:pPr>
        <w:spacing w:after="0" w:line="147" w:lineRule="exact"/>
        <w:rPr>
          <w:rFonts w:ascii="Arial" w:cs="Arial" w:eastAsia="Arial" w:hAnsi="Arial"/>
          <w:sz w:val="19"/>
          <w:szCs w:val="19"/>
          <w:color w:val="auto"/>
        </w:rPr>
      </w:pPr>
    </w:p>
    <w:p>
      <w:pPr>
        <w:jc w:val="both"/>
        <w:ind w:firstLine="656"/>
        <w:spacing w:after="0" w:line="254" w:lineRule="auto"/>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Upon surrender for transfer of any Bond, at the office or agency of the District in a Place of Payment, the District shall execute, the Authenticating Agent shall authenticate, and the Bond Registrar shall register and deliver, in the name of the designated transferee, one or more new Bonds of any Authorized Denomination, of a like aggregate principal amount, maturity and interest rate.</w:t>
      </w:r>
    </w:p>
    <w:p>
      <w:pPr>
        <w:spacing w:after="0" w:line="185" w:lineRule="exact"/>
        <w:rPr>
          <w:rFonts w:ascii="Arial" w:cs="Arial" w:eastAsia="Arial" w:hAnsi="Arial"/>
          <w:sz w:val="22"/>
          <w:szCs w:val="22"/>
          <w:color w:val="auto"/>
        </w:rPr>
      </w:pPr>
    </w:p>
    <w:p>
      <w:pPr>
        <w:jc w:val="both"/>
        <w:ind w:right="20" w:firstLine="656"/>
        <w:spacing w:after="0" w:line="260" w:lineRule="auto"/>
        <w:tabs>
          <w:tab w:leader="none" w:pos="1203"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Bonds may not be reoffered, resold, pledged or otherwise transferred except to a person who the transferor reasonably believes is (i) a Qualified Institutional Buyer and (ii) prior to the First Initial Bonds Remarketing Date, not a Substantial User, in accordance with all applicable U.S. and state securities laws.</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At the option of the Holder, Bonds may be exchanged for Bonds of any Authorized Denomination, of a like aggregate principal amount, Stated Maturity and interest rate, upon the surrender of the Bonds to be exchanged at such office or agency. Whenever any Bonds are so surrendered for exchange, the District shall execute, and the Bond Registrar shall authenticate and deliver, the Bonds that the Bondholder making the exchange is entitled to receive, provided Bonds in one Interest Mode may be exchanged only for Bonds in the same Interest Mode.</w:t>
      </w:r>
    </w:p>
    <w:p>
      <w:pPr>
        <w:spacing w:after="0" w:line="189" w:lineRule="exact"/>
        <w:rPr>
          <w:rFonts w:ascii="Arial" w:cs="Arial" w:eastAsia="Arial" w:hAnsi="Arial"/>
          <w:sz w:val="22"/>
          <w:szCs w:val="22"/>
          <w:color w:val="auto"/>
        </w:rPr>
      </w:pPr>
    </w:p>
    <w:p>
      <w:pPr>
        <w:ind w:firstLine="656"/>
        <w:spacing w:after="0" w:line="358" w:lineRule="auto"/>
        <w:tabs>
          <w:tab w:leader="none" w:pos="1095"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Bonds issued upon any transfer or exchange of Bonds shall be the valid obligations of the District, evidencing the same debt, and entitled to the same benefits under this Indenture, as the Bonds surrendered upon such transfer or exchange.</w:t>
      </w:r>
    </w:p>
    <w:p>
      <w:pPr>
        <w:sectPr>
          <w:pgSz w:w="11900" w:h="16838" w:orient="portrait"/>
          <w:cols w:equalWidth="0" w:num="1">
            <w:col w:w="11420"/>
          </w:cols>
          <w:pgMar w:left="240" w:top="631" w:right="239" w:bottom="0" w:gutter="0" w:footer="0" w:header="0"/>
        </w:sectPr>
      </w:pPr>
    </w:p>
    <w:bookmarkStart w:id="193" w:name="page194"/>
    <w:bookmarkEnd w:id="193"/>
    <w:p>
      <w:pPr>
        <w:jc w:val="both"/>
        <w:ind w:firstLine="656"/>
        <w:spacing w:after="0" w:line="260" w:lineRule="auto"/>
        <w:tabs>
          <w:tab w:leader="none" w:pos="1206" w:val="left"/>
        </w:tabs>
        <w:numPr>
          <w:ilvl w:val="0"/>
          <w:numId w:val="95"/>
        </w:numPr>
        <w:rPr>
          <w:rFonts w:ascii="Arial" w:cs="Arial" w:eastAsia="Arial" w:hAnsi="Arial"/>
          <w:sz w:val="22"/>
          <w:szCs w:val="22"/>
          <w:color w:val="auto"/>
        </w:rPr>
      </w:pPr>
      <w:r>
        <w:rPr>
          <w:rFonts w:ascii="Arial" w:cs="Arial" w:eastAsia="Arial" w:hAnsi="Arial"/>
          <w:sz w:val="22"/>
          <w:szCs w:val="22"/>
          <w:color w:val="auto"/>
        </w:rPr>
        <w:t>Every Bond presented or surrendered for transfer or exchange shall (if so required by the District or the Bond Registrar) be duly endorsed, or be accompanied by a written instrument of transfer in form satisfactory to the District and the Bond Registrar duly executed by the Holder thereof or his attorney duly authorized in writing.</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 service charge shall be made for any transfer or exchange of Bonds, but the District and the Bond Registrar may require payment of a sum sufficient to cover any tax or other governmental charge that may be imposed in connection with any transfer or exchange of Bonds, other than exchanges expressly provided in this Indenture to be made without expense or without charge to Holders.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District and the Bond Registrar shall not be required (1) to issue, transfer or exchange any Bonds during a period beginning at the opening of business 15 days before the day of mailing of a notice of redemption of Bonds selected for redemption under Section 3.04 hereof and ending at the close of business on the day of such mailing or (2) to transfer or exchange any Bond selected for redemption in whole or in part; provided, however, the ability of Bondholders to tender Bonds for purchase on the Purchase Date shall remain unaffected.</w:t>
      </w:r>
    </w:p>
    <w:p>
      <w:pPr>
        <w:spacing w:after="0" w:line="1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Mutilated, Destroyed, Lost and Stolen Bonds</w:t>
      </w:r>
      <w:r>
        <w:rPr>
          <w:rFonts w:ascii="Arial" w:cs="Arial" w:eastAsia="Arial" w:hAnsi="Arial"/>
          <w:sz w:val="21"/>
          <w:szCs w:val="21"/>
          <w:color w:val="auto"/>
        </w:rPr>
        <w:t>. If (a) any mutilated Bond is surrendered to the Bond Registrar, or the Bond Registrar receives evidence to its satisfaction of the destruction, loss or theft of any Bond, and (b) there is delivered to the Bond Registrar such security or indemnity as may be required by it to save each of the District and the Bond Registrar harmless, then, in the absence of notice to the District or the Bond Registrar that such Bond has been acquired by a bona fide purchaser, the District shall execute and, upon its request, the Bond Registrar shall authenticate and deliver in exchange for or in lieu of any such mutilated, destroyed, lost or stolen Bond, a new Bond of like tenor, series, Interest Mode and principal amount, bearing a number not contemporaneously outstanding.</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case any such mutilated, destroyed, lost or stolen Bond has become or is about to become due and payable, the District in its discretion may, instead of issuing a new Bond, pay such Bond.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Upon the issuance of any new Bond under this Section, the District and the Bond Registrar may require the payment by the Holder of a sum sufficient to cover any tax or other governmental charge that may be imposed in relation thereto and any other expenses (including the fees and expenses of the Bond Registrar) connected therewith.</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Every new Bond issued pursuant to this Section in lieu of any mutilated, destroyed, lost or stolen Bond shall constitute an original additional contractual obligation of the District, whether or not the mutilated, destroyed, lost or stolen Bond shall be at any time enforceable by anyone, and shall be entitled to all the benefits and security of this Indenture equally and proportionately with any and all other Bonds duly issued hereunder.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Bonds.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32" w:right="239" w:bottom="1440" w:gutter="0" w:footer="0" w:header="0"/>
        </w:sectPr>
      </w:pPr>
    </w:p>
    <w:bookmarkStart w:id="194" w:name="page195"/>
    <w:bookmarkEnd w:id="194"/>
    <w:p>
      <w:pPr>
        <w:ind w:left="4"/>
        <w:spacing w:after="0"/>
        <w:tabs>
          <w:tab w:leader="none" w:pos="1243"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Payment of Interest on Bonds; Interest Rights Preserved</w:t>
      </w:r>
      <w:r>
        <w:rPr>
          <w:rFonts w:ascii="Arial" w:cs="Arial" w:eastAsia="Arial" w:hAnsi="Arial"/>
          <w:sz w:val="19"/>
          <w:szCs w:val="19"/>
          <w:color w:val="auto"/>
        </w:rPr>
        <w:t>.</w:t>
      </w:r>
    </w:p>
    <w:p>
      <w:pPr>
        <w:spacing w:after="0" w:line="233" w:lineRule="exact"/>
        <w:rPr>
          <w:sz w:val="20"/>
          <w:szCs w:val="20"/>
          <w:color w:val="auto"/>
        </w:rPr>
      </w:pPr>
    </w:p>
    <w:p>
      <w:pPr>
        <w:ind w:left="-656" w:firstLine="656"/>
        <w:spacing w:after="0" w:line="358" w:lineRule="auto"/>
        <w:tabs>
          <w:tab w:leader="none" w:pos="412"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Interest on any Bond that is payable, and is punctually paid or duly provided for, on any Interest Payment Date shall be paid to the Person in whose name that Bond is registered at the close of business on the Regular Record Date for such interest.</w:t>
      </w:r>
    </w:p>
    <w:p>
      <w:pPr>
        <w:spacing w:after="0" w:line="90" w:lineRule="exact"/>
        <w:rPr>
          <w:rFonts w:ascii="Arial" w:cs="Arial" w:eastAsia="Arial" w:hAnsi="Arial"/>
          <w:sz w:val="19"/>
          <w:szCs w:val="19"/>
          <w:color w:val="auto"/>
        </w:rPr>
      </w:pPr>
    </w:p>
    <w:p>
      <w:pPr>
        <w:jc w:val="both"/>
        <w:ind w:left="-656" w:firstLine="656"/>
        <w:spacing w:after="0" w:line="286" w:lineRule="auto"/>
        <w:tabs>
          <w:tab w:leader="none" w:pos="424"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interest on any Bond that is payable, but is not punctually paid or duly provided for, on any Interest Payment Date (herein called “</w:t>
      </w:r>
      <w:r>
        <w:rPr>
          <w:rFonts w:ascii="Arial" w:cs="Arial" w:eastAsia="Arial" w:hAnsi="Arial"/>
          <w:sz w:val="19"/>
          <w:szCs w:val="19"/>
          <w:u w:val="single" w:color="auto"/>
          <w:color w:val="auto"/>
        </w:rPr>
        <w:t>Defaulted Interest</w:t>
      </w:r>
      <w:r>
        <w:rPr>
          <w:rFonts w:ascii="Arial" w:cs="Arial" w:eastAsia="Arial" w:hAnsi="Arial"/>
          <w:sz w:val="19"/>
          <w:szCs w:val="19"/>
          <w:color w:val="auto"/>
        </w:rPr>
        <w:t>”) shall forthwith cease to be payable to the Holder thereof on the relevant Regular Record Date by virtue of having been such Holder; and such Defaulted Interest shall be paid by the District (but only from the sources provided herein) to the Persons in whose names the Bonds are registered at the close of business on a special record date (“</w:t>
      </w:r>
      <w:r>
        <w:rPr>
          <w:rFonts w:ascii="Arial" w:cs="Arial" w:eastAsia="Arial" w:hAnsi="Arial"/>
          <w:sz w:val="19"/>
          <w:szCs w:val="19"/>
          <w:u w:val="single" w:color="auto"/>
          <w:color w:val="auto"/>
        </w:rPr>
        <w:t>Special 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for the payment of such Defaulted Interest, which shall be fixed in the following manner. The Trustee shall, at the direction of the District, determine the amount of Defaulted Interest proposed to be paid on each Bond and the date of the proposed payment, and at the same time the District shall deposit (but only from the sources provided herein)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Persons entitled to such Defaulted Interest. Thereupon the Trustee shall fix a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District of such Special Record Date and, in the name and at the expense of the District, shall cause notice of the date and amount of the proposed payment of such Defaulted Interest and the Special Record Date therefor to be mailed, first class postage prepaid, to each Bondholder at his address as it appears in the Bond Register, not less than 10 days prior to such Special Record Date. Notice of the proposed payment of such Defaulted Interest and the Special Record Date therefor having been mailed as aforesaid, such Defaulted Interest shall be paid to the Persons in whose names the Bonds are registered on such Special Record Date.</w:t>
      </w:r>
    </w:p>
    <w:p>
      <w:pPr>
        <w:spacing w:after="0" w:line="165" w:lineRule="exact"/>
        <w:rPr>
          <w:rFonts w:ascii="Arial" w:cs="Arial" w:eastAsia="Arial" w:hAnsi="Arial"/>
          <w:sz w:val="19"/>
          <w:szCs w:val="19"/>
          <w:color w:val="auto"/>
        </w:rPr>
      </w:pPr>
    </w:p>
    <w:p>
      <w:pPr>
        <w:ind w:left="-656" w:firstLine="656"/>
        <w:spacing w:after="0" w:line="276" w:lineRule="auto"/>
        <w:tabs>
          <w:tab w:leader="none" w:pos="533" w:val="left"/>
        </w:tabs>
        <w:numPr>
          <w:ilvl w:val="0"/>
          <w:numId w:val="96"/>
        </w:numPr>
        <w:rPr>
          <w:rFonts w:ascii="Arial" w:cs="Arial" w:eastAsia="Arial" w:hAnsi="Arial"/>
          <w:sz w:val="22"/>
          <w:szCs w:val="22"/>
          <w:color w:val="auto"/>
        </w:rPr>
      </w:pPr>
      <w:r>
        <w:rPr>
          <w:rFonts w:ascii="Arial" w:cs="Arial" w:eastAsia="Arial" w:hAnsi="Arial"/>
          <w:sz w:val="22"/>
          <w:szCs w:val="22"/>
          <w:color w:val="auto"/>
        </w:rPr>
        <w:t>Liquidity Bank Differential shall be paid to the Person in whose name such Bond was registered on the date the Liquidity Bank Differential became due.</w:t>
      </w:r>
    </w:p>
    <w:p>
      <w:pPr>
        <w:spacing w:after="0" w:line="160" w:lineRule="exact"/>
        <w:rPr>
          <w:rFonts w:ascii="Arial" w:cs="Arial" w:eastAsia="Arial" w:hAnsi="Arial"/>
          <w:sz w:val="22"/>
          <w:szCs w:val="22"/>
          <w:color w:val="auto"/>
        </w:rPr>
      </w:pPr>
    </w:p>
    <w:p>
      <w:pPr>
        <w:jc w:val="both"/>
        <w:ind w:left="-656" w:firstLine="656"/>
        <w:spacing w:after="0" w:line="260" w:lineRule="auto"/>
        <w:tabs>
          <w:tab w:leader="none" w:pos="4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Subject to the foregoing provisions of this Section, each Bond delivered under this Indenture upon transfer of or in exchange for or in lieu of any other Bond shall carry the rights to interest accrued and unpaid, and to accrue, that were carried by such other Bonds.</w:t>
      </w:r>
    </w:p>
    <w:p>
      <w:pPr>
        <w:spacing w:after="0" w:line="177" w:lineRule="exact"/>
        <w:rPr>
          <w:sz w:val="20"/>
          <w:szCs w:val="20"/>
          <w:color w:val="auto"/>
        </w:rPr>
      </w:pPr>
    </w:p>
    <w:p>
      <w:pPr>
        <w:ind w:left="4"/>
        <w:spacing w:after="0"/>
        <w:tabs>
          <w:tab w:leader="none" w:pos="1243"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Determination of Interest Rate on the Bonds</w:t>
      </w:r>
      <w:r>
        <w:rPr>
          <w:rFonts w:ascii="Arial" w:cs="Arial" w:eastAsia="Arial" w:hAnsi="Arial"/>
          <w:sz w:val="19"/>
          <w:szCs w:val="19"/>
          <w:color w:val="auto"/>
        </w:rPr>
        <w:t>.</w:t>
      </w:r>
    </w:p>
    <w:p>
      <w:pPr>
        <w:spacing w:after="0" w:line="233" w:lineRule="exact"/>
        <w:rPr>
          <w:sz w:val="20"/>
          <w:szCs w:val="20"/>
          <w:color w:val="auto"/>
        </w:rPr>
      </w:pPr>
    </w:p>
    <w:p>
      <w:pPr>
        <w:jc w:val="both"/>
        <w:ind w:left="-656" w:firstLine="656"/>
        <w:spacing w:after="0" w:line="297" w:lineRule="auto"/>
        <w:tabs>
          <w:tab w:leader="none" w:pos="42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Bonds shall bear interest as provided herein from and including the date of issuance and delivery to the initial purchaser thereof to but excluding the date of payment in full of the Bonds (computed on the basis of a 360-day, 365-day or 366-day, as the case may be, year for actual number of days elapsed during any period in which the Bonds bear interest at a Daily Rate, Commercial Paper Rate or Weekly Rate, respectively; and a 360-day year of twelve 30-day months during any period in which the Bonds bear interest at a Fixed Rate or the Initial Rate). The interest rate on the Bonds will be determined as provided in this Section; provided, however, that the rate in effect shall not exceed the Maximum Rate.</w:t>
      </w:r>
    </w:p>
    <w:p>
      <w:pPr>
        <w:spacing w:after="0" w:line="146" w:lineRule="exact"/>
        <w:rPr>
          <w:rFonts w:ascii="Arial" w:cs="Arial" w:eastAsia="Arial" w:hAnsi="Arial"/>
          <w:sz w:val="19"/>
          <w:szCs w:val="19"/>
          <w:color w:val="auto"/>
        </w:rPr>
      </w:pPr>
    </w:p>
    <w:p>
      <w:pPr>
        <w:jc w:val="both"/>
        <w:ind w:left="-656" w:firstLine="656"/>
        <w:spacing w:after="0" w:line="289" w:lineRule="auto"/>
        <w:tabs>
          <w:tab w:leader="none" w:pos="49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Daily Rate</w:t>
      </w:r>
      <w:r>
        <w:rPr>
          <w:rFonts w:ascii="Arial" w:cs="Arial" w:eastAsia="Arial" w:hAnsi="Arial"/>
          <w:sz w:val="19"/>
          <w:szCs w:val="19"/>
          <w:color w:val="auto"/>
        </w:rPr>
        <w:t>. A Bond will bear interest at the Daily Rate, beginning on the Conversion Date with respect to the prior Interest Mode, established by the Remarketing Agent on or prior to such Conversion Date. Thereafter, while the Bonds are in a Daily Rate Period, at or before 10:00 a.m., New York, New York time, on each Business Day during such Daily Rate Period, the Remarketing Agent shall determine the minimum rate per annum which would permit the remarketing at par of the Bonds on such Business Day. The lesser of the rate so determined or the Maximum Rate shall be the Daily Rate for such Business Day and for each succeeding day which is not a Business Day. If for any reason the Remarketing Agent does not determine a Daily Rate or the Daily Rate determined by the Remarketing Agent is invalid or unenforceable, the Daily Rate thereafter will be the lesser of: (i) 110% of the SIFMA Index or (ii) the Maximum Rate, until the Remarketing Agent again determines a valid and enforceable Daily Rate. Upon setting each Daily Rate, the Remarketing Agent will give prompt electronic notice thereof to the District and the Trustee. Each determination of the Daily Rate shall be conclusive and binding upon the District, the Trustee, the Tender Agent, the Credit Enhancer, if any, the Liquidity Bank, if any, and the Bondholders.</w:t>
      </w:r>
    </w:p>
    <w:p>
      <w:pPr>
        <w:spacing w:after="0" w:line="158" w:lineRule="exact"/>
        <w:rPr>
          <w:rFonts w:ascii="Arial" w:cs="Arial" w:eastAsia="Arial" w:hAnsi="Arial"/>
          <w:sz w:val="19"/>
          <w:szCs w:val="19"/>
          <w:color w:val="auto"/>
        </w:rPr>
      </w:pPr>
    </w:p>
    <w:p>
      <w:pPr>
        <w:jc w:val="both"/>
        <w:ind w:left="-656" w:firstLine="656"/>
        <w:spacing w:after="0" w:line="259" w:lineRule="auto"/>
        <w:tabs>
          <w:tab w:leader="none" w:pos="43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Commercial Paper Rate</w:t>
      </w:r>
      <w:r>
        <w:rPr>
          <w:rFonts w:ascii="Arial" w:cs="Arial" w:eastAsia="Arial" w:hAnsi="Arial"/>
          <w:sz w:val="21"/>
          <w:szCs w:val="21"/>
          <w:color w:val="auto"/>
        </w:rPr>
        <w:t>. A Bond will bear interest at the Commercial Paper Rate following the Conversion Date with respect to the prior Interest Mode, and each such Bond will bear interest at the Commercial Paper Rate applicable to it during each Commercial Paper Rate Period applicable to it. The Remarketing Agent will set the Commercial Paper Rate Period and the related Commercial Paper Rate for each Commercial Paper Rate Bond not earlier than five Business Days prior to the first day of the Commercial Paper Rate Period for each such Bond and not later than 12:00 p.m., New York, New York time, on the first day of each Commercial Paper Rate Period for such Commercial Paper Rate Bond. The Commercial Paper Rate applicable to each Commercial Paper Rate Bond will be the rate determined by the Remarketing Agent to be the lesser of the Maximum Rate or the lowest interest rate that would be necessary for the Remarketing Agent to remarket such Commercial Paper Rate Bond on the first day of the applicable Commercial Paper Rate Period at a price of par. On any given date, the Commercial Paper Rates in effect for various Commercial Paper Rate Bonds may be different; the Commercial Paper Rate established by the Remarketing Agent for Commercial Paper Rate Bonds having Commercial Paper Rate Periods beginning and ending at the same times are not required to be identical.</w:t>
      </w:r>
    </w:p>
    <w:p>
      <w:pPr>
        <w:sectPr>
          <w:pgSz w:w="11900" w:h="16838" w:orient="portrait"/>
          <w:cols w:equalWidth="0" w:num="1">
            <w:col w:w="10764"/>
          </w:cols>
          <w:pgMar w:left="896" w:top="631" w:right="239" w:bottom="0" w:gutter="0" w:footer="0" w:header="0"/>
        </w:sectPr>
      </w:pPr>
    </w:p>
    <w:bookmarkStart w:id="195" w:name="page196"/>
    <w:bookmarkEnd w:id="195"/>
    <w:p>
      <w:pPr>
        <w:jc w:val="both"/>
        <w:ind w:firstLine="656"/>
        <w:spacing w:after="0" w:line="290" w:lineRule="auto"/>
        <w:tabs>
          <w:tab w:leader="none" w:pos="108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Commercial Paper Rate Periods</w:t>
      </w:r>
      <w:r>
        <w:rPr>
          <w:rFonts w:ascii="Arial" w:cs="Arial" w:eastAsia="Arial" w:hAnsi="Arial"/>
          <w:sz w:val="19"/>
          <w:szCs w:val="19"/>
          <w:color w:val="auto"/>
        </w:rPr>
        <w:t>. The Remarketing Agent shall select the Commercial Paper Rate Period or Periods for each Bond on a Business Day not earlier than five Business Days prior to the first day of such period or periods with respect to such Bond and not later than 12:00 p.m., New York, New York time on the first day of such period or periods. Each such period shall be a period of not less than one nor more than 270 days determined by the Remarketing Agent with the intention of yielding the lowest overall interest expense on such Bonds sold at a price of par over such Commercial Paper Rate Period, taking into account (i) all other Commercial Paper Rate Periods for all of the Bonds, (ii) general economic and market conditions relevant to the Bonds and (iii) such other facts, circumstances and conditions as the Remarketing Agent determines to be relevant; provided, however, that for so long as any Bond is registered in the name of Cede &amp; Co. as nominee of DTC, the Remarketing Agent shall only select a Commercial Paper Rate Period consistent with the eligible periods established from time to time by DTC. The last day of each Commercial Paper Rate Period shall be a day immediately preceding a Business Day.</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If the Interest Mode is being converted from a Commercial Paper Rate to a Daily Rate, Fixed Rate or Weekly Rate, the Remarketing Agent shall determine Commercial Paper Rate Periods in such manner that, as soon as possible, all Commercial Paper Rate Periods with respect to the affected Bonds shall end on the same date. The Remarketing Agent, promptly upon the determination of the last day of such Commercial Paper Rate Periods prior to conversion to a new Interest Mode, shall give written notice of such last day and such Conversion Date to the District, the Tender Agent and the Trustee. The day next succeeding the last day of all such Commercial Rate Periods shall be the effective date of the Daily Rate Period, Fixed Rate Period, or Weekly Rate Period, as appropriate, with respect to the affected Bonds.</w:t>
      </w:r>
    </w:p>
    <w:p>
      <w:pPr>
        <w:spacing w:after="0" w:line="181" w:lineRule="exact"/>
        <w:rPr>
          <w:sz w:val="20"/>
          <w:szCs w:val="20"/>
          <w:color w:val="auto"/>
        </w:rPr>
      </w:pPr>
    </w:p>
    <w:p>
      <w:pPr>
        <w:jc w:val="both"/>
        <w:ind w:firstLine="656"/>
        <w:spacing w:after="0" w:line="294" w:lineRule="auto"/>
        <w:tabs>
          <w:tab w:leader="none" w:pos="1257"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Notice of Commercial Paper Rates and Commercial Paper Rate Periods</w:t>
      </w:r>
      <w:r>
        <w:rPr>
          <w:rFonts w:ascii="Arial" w:cs="Arial" w:eastAsia="Arial" w:hAnsi="Arial"/>
          <w:sz w:val="19"/>
          <w:szCs w:val="19"/>
          <w:color w:val="auto"/>
        </w:rPr>
        <w:t>. Prior to or on the first day of each Commercial Paper Rate Period, the Remarketing Agent shall give written notice to the District, the Tender Agent and the Trustee of the principal amount of Bonds for which such period was established, the Commercial Paper Rate established for such period, and the duration of such Commercial Paper Rate Period. Each determination of the Commercial Paper Rate and the Commercial Paper Rate Period shall be conclusive and binding upon the District, the Trustee, the Tender Agent, the Credit Enhancer, if any, the Liquidity Bank, if any, and the Bondholders, and the Tender Agent and the Trustee may each conclusively rely on the correctness (and compliance with the applicable requirements hereof) of any of the foregoing so indicated to it.</w:t>
      </w:r>
    </w:p>
    <w:p>
      <w:pPr>
        <w:spacing w:after="0" w:line="152" w:lineRule="exact"/>
        <w:rPr>
          <w:rFonts w:ascii="Arial" w:cs="Arial" w:eastAsia="Arial" w:hAnsi="Arial"/>
          <w:sz w:val="19"/>
          <w:szCs w:val="19"/>
          <w:color w:val="auto"/>
        </w:rPr>
      </w:pPr>
    </w:p>
    <w:p>
      <w:pPr>
        <w:jc w:val="both"/>
        <w:ind w:firstLine="656"/>
        <w:spacing w:after="0" w:line="292" w:lineRule="auto"/>
        <w:tabs>
          <w:tab w:leader="none" w:pos="115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Fixed Rate</w:t>
      </w:r>
      <w:r>
        <w:rPr>
          <w:rFonts w:ascii="Arial" w:cs="Arial" w:eastAsia="Arial" w:hAnsi="Arial"/>
          <w:sz w:val="19"/>
          <w:szCs w:val="19"/>
          <w:color w:val="auto"/>
        </w:rPr>
        <w:t>. A Bond shall bear interest at the Fixed Rate following the Conversion Date with respect to the prior Interest Mode, and each such Bond will bear interest at the Fixed Rate to the date of payment in full of such Bond. The Remarketing Agent will determine the Fixed Rate applicable to each Fixed Rate Bond on or before the second preceding Business Day prior to such Conversion Date, which shall be the rate that if borne by such Bond would, in the judgment of the Remarketing Agent having due regard for prevailing market conditions for securities which are comparable to such Bond, enable the Remarketing Agent to sell such Bond at a price of par on such Conversion Date. The Remarketing Agent shall give written notice to the District and the Trustee of the Fixed Rate. The determination of the Fixed Rate shall be conclusive and binding upon the District, the Trustee, the Tender Agent, the Credit Enhancer, if any, the Liquidity Bank, if any, and the Bondholders.</w:t>
      </w:r>
    </w:p>
    <w:p>
      <w:pPr>
        <w:spacing w:after="0" w:line="155" w:lineRule="exact"/>
        <w:rPr>
          <w:rFonts w:ascii="Arial" w:cs="Arial" w:eastAsia="Arial" w:hAnsi="Arial"/>
          <w:sz w:val="19"/>
          <w:szCs w:val="19"/>
          <w:color w:val="auto"/>
        </w:rPr>
      </w:pPr>
    </w:p>
    <w:p>
      <w:pPr>
        <w:jc w:val="both"/>
        <w:ind w:firstLine="656"/>
        <w:spacing w:after="0" w:line="290" w:lineRule="auto"/>
        <w:tabs>
          <w:tab w:leader="none" w:pos="112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Weekly Rate</w:t>
      </w:r>
      <w:r>
        <w:rPr>
          <w:rFonts w:ascii="Arial" w:cs="Arial" w:eastAsia="Arial" w:hAnsi="Arial"/>
          <w:sz w:val="19"/>
          <w:szCs w:val="19"/>
          <w:color w:val="auto"/>
        </w:rPr>
        <w:t>. Weekly Rate Bonds shall bear interest payable at the lesser of the Maximum Rate or the minimum rate per annum which would permit the remarketing at par of the Weekly Rate Bonds on the Thursday such rate becomes effective in accordance with this paragraph. On or before 5:00 p.m., New York, New York time, on each Wednesday, the Remarketing Agent shall determine the Weekly Rate effective on the Thursday following such Wednesday, and such Weekly Rate shall continue in effect until the next Weekly Rate is effective. In the event that a Wednesday is not a Business Day, then the Weekly Rate will be determined as described above on the Business Day immediately preceding that Wednesday to be effective on the following Thursday. Upon setting each Weekly Rate, the Remarketing Agent shall give prompt electronic notice thereof to the District and the Trustee. If for any reason the Remarketing Agent does not determine a Weekly Rate as described above or the Weekly Rate determined by the Remarketing Agent is invalid or unenforceable, the Weekly Rate thereafter will be the lesser of: (i) 110% of the SIFMA Index or (ii) the Maximum Rate, until the Remarketing Agent again determines a valid and enforceable Weekly Rate.</w:t>
      </w:r>
    </w:p>
    <w:p>
      <w:pPr>
        <w:spacing w:after="0" w:line="155" w:lineRule="exact"/>
        <w:rPr>
          <w:rFonts w:ascii="Arial" w:cs="Arial" w:eastAsia="Arial" w:hAnsi="Arial"/>
          <w:sz w:val="19"/>
          <w:szCs w:val="19"/>
          <w:color w:val="auto"/>
        </w:rPr>
      </w:pPr>
    </w:p>
    <w:p>
      <w:pPr>
        <w:jc w:val="both"/>
        <w:ind w:firstLine="656"/>
        <w:spacing w:after="0" w:line="260" w:lineRule="auto"/>
        <w:tabs>
          <w:tab w:leader="none" w:pos="1094"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Initial Rate</w:t>
      </w:r>
      <w:r>
        <w:rPr>
          <w:rFonts w:ascii="Arial" w:cs="Arial" w:eastAsia="Arial" w:hAnsi="Arial"/>
          <w:sz w:val="21"/>
          <w:szCs w:val="21"/>
          <w:color w:val="auto"/>
        </w:rPr>
        <w:t>. The interest rate for the Initial Bonds shall be the rate set forth in the Approval Certificate and in the First Bond, from the Issue Date through the day immediately preceding the First Initial Bonds Remarketing Date. The first Initial Rate Period shall extend from the Issue Date to (but not including) the First Initial Bonds Remarketing Date. Not less than sixty (60) days prior to any Initial Bonds Remarketing Date, the District, after consultation with the Company and the Remarketing Agent, shall designate (i) the aggregate principal amount of then Outstanding Initial Bonds that shall be remarketed as Initial Bonds on such Initial Bonds Remarketing Date, (ii) the aggregate principal amount of Initial Bonds to be converted to another Interest Mode on such Initial Bonds Remarketing Date and (iii) the Interest Mode or Interest Modes to which such Multi-Modal Bonds shall convert; provided, however, that no Initial Bonds shall be remarketed as Bonds bearing interest at a different Initial Rate as described in Section 2.17(d) hereof or in another Interest Mode unless all Initial Bonds then Outstanding have been repurchased at the Purchase Price.</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On or prior to one Business Day prior to any Initial Bonds Remarketing Date, if any Initial Bonds are to be remarketed as Initial Bonds, the District shall, in consultation with the Remarketing Agent and the Company, determine the next Initial Bonds Remarketing Date, the date (if any) at which such remarketed Initial Bonds shall become subject to optional redemption in accordance with the terms of this Indenture and any premium associated with such optional redemption; provided, however, that no Initial Bonds shall be remarketed as Initial Bonds on any Initial Bonds Remarketing Date unless all Initial Bonds are repurchased at a price equal to the Purchase Price and there shall be delivered to the Trustee (i) an amendment to the Standby Bond Purchase</w:t>
      </w:r>
    </w:p>
    <w:p>
      <w:pPr>
        <w:sectPr>
          <w:pgSz w:w="11900" w:h="16838" w:orient="portrait"/>
          <w:cols w:equalWidth="0" w:num="1">
            <w:col w:w="11420"/>
          </w:cols>
          <w:pgMar w:left="240" w:top="240" w:right="239" w:bottom="0" w:gutter="0" w:footer="0" w:header="0"/>
        </w:sectPr>
      </w:pPr>
    </w:p>
    <w:bookmarkStart w:id="196" w:name="page197"/>
    <w:bookmarkEnd w:id="196"/>
    <w:p>
      <w:pPr>
        <w:jc w:val="both"/>
        <w:spacing w:after="0" w:line="285" w:lineRule="auto"/>
        <w:rPr>
          <w:sz w:val="20"/>
          <w:szCs w:val="20"/>
          <w:color w:val="auto"/>
        </w:rPr>
      </w:pPr>
      <w:r>
        <w:rPr>
          <w:rFonts w:ascii="Arial" w:cs="Arial" w:eastAsia="Arial" w:hAnsi="Arial"/>
          <w:sz w:val="19"/>
          <w:szCs w:val="19"/>
          <w:color w:val="auto"/>
        </w:rPr>
        <w:t>Agreement pursuant to which (A) the Company and Jefferson Holdings shall agree to pay the Purchase Price of Initial Bonds tendered (or deemed tendered) on the following Initial Bonds Remarketing Date in the event any of such Initial Bonds have not been repurchased from proceeds of a remarketing or redeemed, or defeased to a date, on or prior to such following Initial Bonds Remarketing Date; and (B) Jefferson Holdings shall guarantee the payment of all Rent and all principal of, premium, if any, and interest on the Initial Bonds payable prior to repurchase of the Initial Bonds from proceeds of a remarketing or redemption of the Initial Bonds or defeasance of the Initial Bonds to a date, in each case, on or prior to the ensuing Initial Bonds Remarketing Date;</w:t>
      </w:r>
    </w:p>
    <w:p>
      <w:pPr>
        <w:spacing w:after="0" w:line="1" w:lineRule="exact"/>
        <w:rPr>
          <w:sz w:val="20"/>
          <w:szCs w:val="20"/>
          <w:color w:val="auto"/>
        </w:rPr>
      </w:pPr>
    </w:p>
    <w:p>
      <w:pPr>
        <w:jc w:val="both"/>
        <w:ind w:firstLine="8"/>
        <w:spacing w:after="0" w:line="283" w:lineRule="auto"/>
        <w:tabs>
          <w:tab w:leader="none" w:pos="34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 amendment to the Capital Call Agreement, pursuant to which FTAI shall agree (A) to provide funds sufficient to permit Jefferson Holdings to satisfy its obligations under the Standby Bond Purchase Agreement, as amended in connection with the foregoing; (B) to maintain on a consolidated basis “Total equity,” as reflected in FTAI’s quarterly and annual reports filed with the SEC (or the equivalent thereof as reported by any successor to or assign of FTAI in accordance with the Capital Call Agreement), that is not less than two times the aggregate principal of and interest payable on or before the ensuing Initial Bonds Remarketing Date on the Initial Bonds; provided that FTAI may satisfy any deficiency between such “Total equity” and the amount that is two times the aggregate principal of and interest payable on or before the ensuing Initial Bonds Remarketing Date on the Initial Bonds as provided for in the Capital Call Agreement; (C) to maintain on a consolidated basis an aggregate book value of Aviation Assets that is not less than (1) the aggregate principal of and interest payable on or before the ensuing Initial Bonds Remarketing Date on the Initial Bonds, less (2) any cash held in the Reserve Fund on the date of determination; (D) not to, and cause its subsidiaries that hold any Aviation Assets (collectively, the “Aviation Subsidiaries”) not to, incur any liens securing indebtedness for borrowed money or capital leases on any asset of the Aviation Subsidiaries, other than certain liens permissible pursuant to the Capital Call Agreement; and (E) in the event that FTAI and its Aviation Subsidiaries are not in compliance with the covenants described above, and such noncompliance continues for two consecutive quarter-end dates as reflected in FTAI’s quarterly and annual reports filed with the SEC (or, with respect to clause (D) above, such noncompliance continues for a period of not less than 90 days), FTAI will contribute to Jefferson Holdings an amount in cash equal to (1) the then-applicable Available Commitment, which amount will be held in the Reserve Fund, less (2) any cash held in the Reserve Fund on the date of determination (prior to any required contribution made pursuant to clause (1) above); and (iii) an amendment to the Facilities Lease providing for Facilities Lease Rent sufficient to furnish the payment of principal of and interest on the Initial Bonds (but not the Purchase Price therefor) as the same shall respectively be due and payable until all Initial Bonds have been repurchased from proceeds of a remarketing or redeemed, or defeased to a date on or prior to such following Initial Bonds Remarketing Date. Notice of the interest rate assigned to the Initial Bonds for the ensuing Initial Rate Period, the next Initial Bonds Remarketing Date, the optional redemption date (if any) and the premium associated therewith shall be delivered in writing by the Remarketing Agent to the District, the Company, Jefferson Holdings, the Trustee and the Tender Agent not later than one Business Day prior to such Initial Bonds Remarketing Date.</w:t>
      </w:r>
    </w:p>
    <w:p>
      <w:pPr>
        <w:spacing w:after="0" w:line="173" w:lineRule="exact"/>
        <w:rPr>
          <w:rFonts w:ascii="Arial" w:cs="Arial" w:eastAsia="Arial" w:hAnsi="Arial"/>
          <w:sz w:val="19"/>
          <w:szCs w:val="19"/>
          <w:color w:val="auto"/>
        </w:rPr>
      </w:pPr>
    </w:p>
    <w:p>
      <w:pPr>
        <w:jc w:val="both"/>
        <w:ind w:firstLine="656"/>
        <w:spacing w:after="0" w:line="260" w:lineRule="auto"/>
        <w:tabs>
          <w:tab w:leader="none" w:pos="110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No Liability</w:t>
      </w:r>
      <w:r>
        <w:rPr>
          <w:rFonts w:ascii="Arial" w:cs="Arial" w:eastAsia="Arial" w:hAnsi="Arial"/>
          <w:sz w:val="22"/>
          <w:szCs w:val="22"/>
          <w:color w:val="auto"/>
        </w:rPr>
        <w:t>. In determining the interest rates that the Bonds shall bear as provided in this Section, the Remarketing Agent shall have no liability to the District, the Company, Jefferson Holdings, the Tender Agent, the Trustee or any Holder, except for its negligence or willful misconduct.</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Persons Deemed Owners</w:t>
      </w:r>
      <w:r>
        <w:rPr>
          <w:rFonts w:ascii="Arial" w:cs="Arial" w:eastAsia="Arial" w:hAnsi="Arial"/>
          <w:sz w:val="19"/>
          <w:szCs w:val="19"/>
          <w:color w:val="auto"/>
        </w:rPr>
        <w:t>. The District, the Trustee, the Authenticating Agent, the Bond Registrar, the Tender Agent, the Credit Enhancer, if any, the Liquidity Bank, if any, and any of their respective agents shall treat the Person in whose name any Bond is registered on the Regular Record Date as the owner of such Bond for the purpose of receiving payment of principal of (and premium, if any) and (subject to Section 2.07) interest on such Bond and on any other date for all other purposes whatsoever whether or not such Bond be overdue, and except as otherwise provided in this Indenture, neither the District, the Trustee, nor any agent of the District or the Trustee shall be affected by notice to the contrary.</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Cancellation</w:t>
      </w:r>
      <w:r>
        <w:rPr>
          <w:rFonts w:ascii="Arial" w:cs="Arial" w:eastAsia="Arial" w:hAnsi="Arial"/>
          <w:sz w:val="19"/>
          <w:szCs w:val="19"/>
          <w:color w:val="auto"/>
        </w:rPr>
        <w:t>. All Bonds surrendered for payment, redemption, transfer or exchange shall, if delivered to any Person other than the Bond Registrar, be delivered to the Bond Registrar and, if not already canceled, shall be promptly canceled by it. The District or the Company may at any time deliver to the Bond Registrar for cancellation any Bonds previously authenticated and delivered hereunder that the District or the Company may have acquired in any lawful manner whatsoever, and all Bonds so delivered shall be promptly canceled by the Bond Registrar. No Bonds shall be authenticated in lieu of or in exchange for any Bonds canceled as provided in this Section, except as expressly permitted by this Indenture. All canceled Bonds held by the Bond Registrar shall be maintained or disposed of according to the retention policies of the Bond Registrar in effect from time to time.</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Subrogation</w:t>
      </w:r>
      <w:r>
        <w:rPr>
          <w:rFonts w:ascii="Arial" w:cs="Arial" w:eastAsia="Arial" w:hAnsi="Arial"/>
          <w:sz w:val="22"/>
          <w:szCs w:val="22"/>
          <w:color w:val="auto"/>
        </w:rPr>
        <w:t>. Whenever the Trustee or any Paying Agent shall make any payment to any Holder of the Bonds with funds drawn under a Credit Facility, the Credit Enhancer paying such draw and its assigns shall thereafter, to the extent of the amount so paid, be subrogated to the rights thereon of the Holders thereof to whom such payment was made, and such payment shall not be deemed paid by the District and such Bonds shall be deemed Outstanding for all purposes of this Indenture, to the extent of such payment, and shall not be cancelled and the Credit Enhancer shall be entitled to the registration of such Bonds evidencing such obligation.</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Conversion of Daily Rate Bonds, Commercial Paper Rate Bonds, Weekly Rate Bonds and Initial Bonds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0" w:lineRule="auto"/>
        <w:tabs>
          <w:tab w:leader="none" w:pos="10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of the Daily Rate Bonds, Weekly Rate Bonds or Commercial Paper Rate Bonds may be converted to bear interest at any other Interest Mode (other than the Initial Rate) at the option of the District by written notice to the Trustee, the Remarketing Agent and the Tender Agent at least forty-five (45) days prior to the proposed Conversion Date; provided that no such Bond shall be converted to another Interest Mode (other than to a Fixed Rate) unless a Liquidity Facility or a Credit Facility is in place that enables the Bonds to be assigned an investment-grade credit rating by a Rating Service upon conversion to such Interest Mode. At</w:t>
      </w:r>
    </w:p>
    <w:p>
      <w:pPr>
        <w:sectPr>
          <w:pgSz w:w="11900" w:h="16838" w:orient="portrait"/>
          <w:cols w:equalWidth="0" w:num="1">
            <w:col w:w="11420"/>
          </w:cols>
          <w:pgMar w:left="240" w:top="132" w:right="239" w:bottom="0" w:gutter="0" w:footer="0" w:header="0"/>
        </w:sectPr>
      </w:pPr>
    </w:p>
    <w:bookmarkStart w:id="197" w:name="page198"/>
    <w:bookmarkEnd w:id="197"/>
    <w:p>
      <w:pPr>
        <w:ind w:right="20"/>
        <w:spacing w:after="0" w:line="343" w:lineRule="auto"/>
        <w:rPr>
          <w:sz w:val="20"/>
          <w:szCs w:val="20"/>
          <w:color w:val="auto"/>
        </w:rPr>
      </w:pPr>
      <w:r>
        <w:rPr>
          <w:rFonts w:ascii="Arial" w:cs="Arial" w:eastAsia="Arial" w:hAnsi="Arial"/>
          <w:sz w:val="19"/>
          <w:szCs w:val="19"/>
          <w:color w:val="auto"/>
        </w:rPr>
        <w:t>least thirty (30) days prior to the Conversion Date, the Trustee shall notify the Bondholders, by first-class mail or overnight delivery, of the proposed Conversion Date and that their Bonds shall be subject to mandatory tender on such Conversion Date.</w:t>
      </w:r>
    </w:p>
    <w:p>
      <w:pPr>
        <w:spacing w:after="0" w:line="105" w:lineRule="exact"/>
        <w:rPr>
          <w:sz w:val="20"/>
          <w:szCs w:val="20"/>
          <w:color w:val="auto"/>
        </w:rPr>
      </w:pPr>
    </w:p>
    <w:p>
      <w:pPr>
        <w:jc w:val="both"/>
        <w:ind w:firstLine="656"/>
        <w:spacing w:after="0" w:line="264" w:lineRule="auto"/>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On any Initial Bonds Remarketing Date, unless the Initial Bonds are purchased pursuant to the Standby Bond Purchase Agreement, or the Initial Bonds are being redeemed on such date by the District, the District shall either (i) cause the Initial Bonds to be remarketed as Initial Bonds or (ii) cause the Initial Bonds to be converted to bear interest at any other Interest Mode, in accordance with Section 2.08(h) hereof; provided that no such Initial Bond shall be converted to another Interest Mode (other than to a Fixed Rate) unless a Liquidity Facility or a Credit Facility is in place that enables the Bonds to be assigned an investment-grade credit rating by a Rating Service upon conversion to such Interest Mode.</w:t>
      </w:r>
    </w:p>
    <w:p>
      <w:pPr>
        <w:spacing w:after="0" w:line="175" w:lineRule="exact"/>
        <w:rPr>
          <w:rFonts w:ascii="Arial" w:cs="Arial" w:eastAsia="Arial" w:hAnsi="Arial"/>
          <w:sz w:val="21"/>
          <w:szCs w:val="21"/>
          <w:color w:val="auto"/>
        </w:rPr>
      </w:pPr>
    </w:p>
    <w:p>
      <w:pPr>
        <w:jc w:val="both"/>
        <w:ind w:firstLine="656"/>
        <w:spacing w:after="0" w:line="254" w:lineRule="auto"/>
        <w:tabs>
          <w:tab w:leader="none" w:pos="108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Multi-Modal Bonds that have been converted to a different Interest Mode shall bear interest at the Weekly Rate, Daily Rate, Commercial Paper Rate or Fixed Rate therefor, as appropriate, from the Conversion Date with respect to the prior Interest Mode and shall mature on the Stated Maturity of the Bonds (subject to redemption or acceleration pursuant to the terms of this Indenture).</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conversion of Multi-Modal Bonds shall become effective on the Conversion Date with respect to the prior Interest Mode, provided that (i) the Trustee shall not have received a District Order that the conversion be revoked; (ii) the Trustee, the District, the Credit Enhancer, if any, and the Liquidity Bank, if any, shall have received an Opinion of Bond Counsel, dated such Conversion Date; (iii) the Weekly Rate or Rates, the Daily Rate or Rates, the Commercial Paper Rate or Rates, or the Fixed Rate or Rates have been determined as set forth in Section 2.08 hereof; and (iv) the Bonds to be converted are purchased or remarketed pursuant to an agreement between the District and a nationally recognized financial institution or dealer (which may be the Remarketing Agent). If a conversion does not become effective, the Daily Rate Bonds, the Weekly Rate Bonds, the Commercial Paper Rate Bonds or the Initial Bonds proposed to be converted shall remain in their Interest Mode, provided that (i) Bonds shall remain in the Daily Rate, the Weekly Rate, or the Commercial Paper Rate only if a Liquidity Facility or a Credit Facility remains in place that enables the Bonds to maintain an investment-grade credit rating by a Rating Service after the date that such conversion was to become effective, and (ii) Initial Bonds shall remain in the Initial Rate only to the extent that the conditions specified in Section 2.08(h) hereof for the remarketing of Initial Bonds as Initial Bonds on any Initial Bonds Remarketing Date have been met.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32" w:right="239" w:bottom="1440" w:gutter="0" w:footer="0" w:header="0"/>
        </w:sectPr>
      </w:pPr>
    </w:p>
    <w:bookmarkStart w:id="198" w:name="page199"/>
    <w:bookmarkEnd w:id="198"/>
    <w:p>
      <w:pPr>
        <w:spacing w:after="0" w:line="3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Once the Bonds are converted to Fixed Rate Bonds, they shall not be subject to further conversions.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Temporary Initial Bonds</w:t>
      </w:r>
      <w:r>
        <w:rPr>
          <w:rFonts w:ascii="Arial" w:cs="Arial" w:eastAsia="Arial" w:hAnsi="Arial"/>
          <w:sz w:val="21"/>
          <w:szCs w:val="21"/>
          <w:color w:val="auto"/>
        </w:rPr>
        <w:t>. Pending the preparation of definitive Bonds, the District may execute, and, upon written direction of the District, the Bond Registrar shall deliver, temporary Bonds that are printed, lithographed, typewritten, mimeographed or otherwise produced, in any denomination, substantially of the tenor of the definitive Bonds in lieu of which they are issued and with such appropriate insertions, omissions, substitutions and other variations as the officers executing such Bonds may determine, as evidenced by their execution of such Bonds.</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temporary Bonds are issued, the District will cause definitive Bonds to be prepared without unreasonable delay. After the preparation of definitive Bonds, the temporary Bonds shall be exchangeable for definitive Bonds upon surrender of the temporary Bonds at the office or agency of the District in a Place of Payment, without charge to the Holder. Upon surrender for cancellation of any one or more temporary Bonds, the District shall execute and the Bond Registrar shall authenticate and deliver in exchange therefor a like principal amount of definitive Bonds of Authorized Denominations. Until so exchanged, temporary Bonds that have attached to them an executed registration certificate of the Comptroller of Public Accounts of the State of Texas in the form set forth in the applicable form of Bond shall in all respects be entitled to the same benefits under this Indenture as definitive Bonds.</w:t>
      </w:r>
    </w:p>
    <w:p>
      <w:pPr>
        <w:spacing w:after="0" w:line="15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Book Entry System</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32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Bonds may and initially shall be registered under a Book Entry System maintained by a Depository. Notwithstanding any inconsistent provisions in this Indenture to the contrary, the provisions of this Section 2.14 shall govern at any time the Bonds are issued and Outstanding in Book Entry Form.</w:t>
      </w:r>
    </w:p>
    <w:p>
      <w:pPr>
        <w:spacing w:after="0" w:line="177" w:lineRule="exact"/>
        <w:rPr>
          <w:rFonts w:ascii="Arial" w:cs="Arial" w:eastAsia="Arial" w:hAnsi="Arial"/>
          <w:sz w:val="22"/>
          <w:szCs w:val="22"/>
          <w:color w:val="auto"/>
        </w:rPr>
      </w:pPr>
    </w:p>
    <w:p>
      <w:pPr>
        <w:jc w:val="both"/>
        <w:ind w:firstLine="656"/>
        <w:spacing w:after="0" w:line="258" w:lineRule="auto"/>
        <w:tabs>
          <w:tab w:leader="none" w:pos="122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Under the Book Entry System, the Bonds shall be issued in the form of a separate, single, fully registered and immobilized bond certificate representing the aggregate principal amount of the Bonds or shall be issued in several certificates, each not exceeding $100,000,000 denominations if required by the Depository. Except as provided herein, the ownership of such Bonds shall be registered in the Bond Register in the name of Cede &amp; Co., as nominee of The Depository Trust Company, which will serve as initial Depository for the Bonds. Ownership of beneficial interests in the Bonds shall be shown by book entry on the records maintained and operated by the Depository and its participants and indirect participants (such participants and indirect participants being collectively referred to as the “</w:t>
      </w:r>
      <w:r>
        <w:rPr>
          <w:rFonts w:ascii="Arial" w:cs="Arial" w:eastAsia="Arial" w:hAnsi="Arial"/>
          <w:sz w:val="21"/>
          <w:szCs w:val="21"/>
          <w:u w:val="single" w:color="auto"/>
          <w:color w:val="auto"/>
        </w:rPr>
        <w:t>Participants</w:t>
      </w:r>
      <w:r>
        <w:rPr>
          <w:rFonts w:ascii="Arial" w:cs="Arial" w:eastAsia="Arial" w:hAnsi="Arial"/>
          <w:sz w:val="21"/>
          <w:szCs w:val="21"/>
          <w:color w:val="auto"/>
        </w:rPr>
        <w:t>”), and transfers of ownership of beneficial interests shall be made only by the Depository and its Participants by book entry, and the District and the Trustee shall have no responsibility therefor. The Depository will be required to maintain records of the positions of Participants in the Bonds, and the Participants and persons acting through Participants will be required to maintain records of the purchasers of beneficial interests in the Bonds (the “</w:t>
      </w:r>
      <w:r>
        <w:rPr>
          <w:rFonts w:ascii="Arial" w:cs="Arial" w:eastAsia="Arial" w:hAnsi="Arial"/>
          <w:sz w:val="21"/>
          <w:szCs w:val="21"/>
          <w:u w:val="single" w:color="auto"/>
          <w:color w:val="auto"/>
        </w:rPr>
        <w:t>Beneficial Owners</w:t>
      </w:r>
      <w:r>
        <w:rPr>
          <w:rFonts w:ascii="Arial" w:cs="Arial" w:eastAsia="Arial" w:hAnsi="Arial"/>
          <w:sz w:val="21"/>
          <w:szCs w:val="21"/>
          <w:color w:val="auto"/>
        </w:rPr>
        <w:t>”). Except as provided in subsections (i) and (p) of this Section 2.14, the Bonds shall not be transferable or exchangeable, except for transfer to another Depository or to another nominee of a Depository, or if required in connection with record keeping purposes.</w:t>
      </w:r>
    </w:p>
    <w:p>
      <w:pPr>
        <w:spacing w:after="0" w:line="190" w:lineRule="exact"/>
        <w:rPr>
          <w:rFonts w:ascii="Arial" w:cs="Arial" w:eastAsia="Arial" w:hAnsi="Arial"/>
          <w:sz w:val="21"/>
          <w:szCs w:val="21"/>
          <w:color w:val="auto"/>
        </w:rPr>
      </w:pPr>
    </w:p>
    <w:p>
      <w:pPr>
        <w:jc w:val="both"/>
        <w:ind w:firstLine="656"/>
        <w:spacing w:after="0" w:line="290" w:lineRule="auto"/>
        <w:tabs>
          <w:tab w:leader="none" w:pos="117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With respect to Bonds registered in the Bond Register in the name of the Depository or its nominee, none of the District, the Company, Jefferson Holdings, the Credit Enhancer, if any, the Liquidity Bank, if any, the Tender Agent or the Trustee shall have any responsibility or obligation to any Participant or to any Beneficial Owner for whom a Participant acquires an interest in the Bonds. NONE OF THE DISTRICT, THE COMPANY, JEFFERSON HOLDINGS, THE CREDIT ENHANCER, IF ANY,</w:t>
      </w:r>
    </w:p>
    <w:p>
      <w:pPr>
        <w:spacing w:after="0" w:line="1"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2"/>
          <w:szCs w:val="22"/>
          <w:color w:val="auto"/>
        </w:rPr>
        <w:t>THE LIQUIDITY BANK, IF ANY, THE TENDER AGENT OR THE TRUSTEE WILL HAVE ANY RESPONSIBILITY OR OBLIGATION TO THE PARTICIPANTS OR THE BENEFICIAL OWNERS OF THE BONDS WITH RESPECT TO (i) THE ACCURACY OF ANY RECORDS MAINTAINED BY THE DEPOSITORY OR ANY PARTICIPANT; (ii) THE PAYMENT BY THE DEPOSITORY OR ANY PARTICIPANT OF ANY AMOUNT DUE TO ANY BENEFICIAL OWNER IN RESPECT OF THE PRINCIPAL AMOUNT OF, OR INTEREST, AND PREMIUM, IF ANY, ON OR REDEMPTION PRICE OR PURCHASE PRICE OF THE BONDS; (iii) THE DELIVERY BY THE DEPOSITORY OR ANY PARTICIPANT OF ANY NOTICE TO ANY BENEFICIAL OWNER THAT IS REQUIRED OR PERMITTED TO BE GIVEN TO HOLDERS UNDER THE TERMS OF THIS INDENTURE; (iv) THE SELECTION OF THE BENEFICIAL OWNERS TO RECEIVE PAYMENT IN THE EVENT OF ANY PARTIAL REDEMPTION OF THE BONDS; OR (v) ANY CONSENT GIVEN OR OTHER ACTION TAKEN BY THE DEPOSITORY AS OWNER OF THE BONDS. NONE OF THE DISTRICT, THE COMPANY, JEFFERSON HOLDINGS, THE TENDER AGENT OR THE TRUSTEE HAS ANY DIRECT OBLIGATION OR RESPONSIBILITY TO PARTICIPANTS OR BENEFICIAL OWNERS.</w:t>
      </w:r>
    </w:p>
    <w:p>
      <w:pPr>
        <w:spacing w:after="0" w:line="203" w:lineRule="exact"/>
        <w:rPr>
          <w:rFonts w:ascii="Arial" w:cs="Arial" w:eastAsia="Arial" w:hAnsi="Arial"/>
          <w:sz w:val="19"/>
          <w:szCs w:val="19"/>
          <w:color w:val="auto"/>
        </w:rPr>
      </w:pPr>
    </w:p>
    <w:p>
      <w:pPr>
        <w:jc w:val="both"/>
        <w:ind w:firstLine="656"/>
        <w:spacing w:after="0" w:line="290" w:lineRule="auto"/>
        <w:tabs>
          <w:tab w:leader="none" w:pos="113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So long as the Bonds or any portions thereof are registered in the name of a Depository or any nominee thereof, all payments of principal of (premium, if any) or interest on the Bonds and Purchase Price or redemption price of such Bonds shall be made only to or upon the order of such Depository on the dates and at the times provided for such payment under this Indenture and at the address indicated for such Depository in the Bond Register kept by the Bond Registrar by transfer of immediately available funds; provided that the Trustee or Tender Agent has received sufficient funds from the sources described in this Indenture to make such payment. Each such payment to the Depository or its nominee shall be valid and effective to fully satisfy and discharge all liability of the District or the Trustee or the Tender Agent with respect to the principal of (premium, if any) or interest on the Bonds, and Purchase Price or redemption price with respect to the Bonds so registered to the extent of the sum or sums so paid. In the event of payment of the Purchase Price of the Bonds or in the event of the redemption of less than all of the Bonds Outstanding of any Stated Maturity, the Trustee or the Tender Agent shall not require surrender by the Depository or its</w:t>
      </w:r>
    </w:p>
    <w:p>
      <w:pPr>
        <w:sectPr>
          <w:pgSz w:w="11900" w:h="16869" w:orient="portrait"/>
          <w:cols w:equalWidth="0" w:num="1">
            <w:col w:w="11420"/>
          </w:cols>
          <w:pgMar w:left="240" w:top="631" w:right="239" w:bottom="0" w:gutter="0" w:footer="0" w:header="0"/>
        </w:sectPr>
      </w:pPr>
    </w:p>
    <w:bookmarkStart w:id="199" w:name="page200"/>
    <w:bookmarkEnd w:id="199"/>
    <w:p>
      <w:pPr>
        <w:jc w:val="both"/>
        <w:spacing w:after="0" w:line="260" w:lineRule="auto"/>
        <w:rPr>
          <w:sz w:val="20"/>
          <w:szCs w:val="20"/>
          <w:color w:val="auto"/>
        </w:rPr>
      </w:pPr>
      <w:r>
        <w:rPr>
          <w:rFonts w:ascii="Arial" w:cs="Arial" w:eastAsia="Arial" w:hAnsi="Arial"/>
          <w:sz w:val="21"/>
          <w:szCs w:val="21"/>
          <w:color w:val="auto"/>
        </w:rPr>
        <w:t>nominee of the Bonds so purchased or redeemed, and the Depository may retain such Bonds. In the event of partial purchase or redemption of the Bonds, the Depository shall make an appropriate notation on the Bonds as to the amount of such partial redemption; provided that the Depository shall deliver to the Trustee, upon request, a written confirmation of such partial redemption and thereafter the records maintained by the Trustee shall be conclusive as to the amount of the Bonds of such Stated Maturity which have been redeemed or purchased. None of the District, the Company, Jefferson Holdings, the Credit Enhancer, if any, the Liquidity Bank, if any, the Tender Agent or the Trustee shall be liable for the failure of the Depository to properly indicate on the Bonds the payment of such principal or redemption price.</w:t>
      </w:r>
    </w:p>
    <w:p>
      <w:pPr>
        <w:spacing w:after="0" w:line="181" w:lineRule="exact"/>
        <w:rPr>
          <w:sz w:val="20"/>
          <w:szCs w:val="20"/>
          <w:color w:val="auto"/>
        </w:rPr>
      </w:pPr>
    </w:p>
    <w:p>
      <w:pPr>
        <w:jc w:val="both"/>
        <w:ind w:firstLine="656"/>
        <w:spacing w:after="0" w:line="260" w:lineRule="auto"/>
        <w:tabs>
          <w:tab w:leader="none" w:pos="117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All transfers of beneficial ownership interests in the Bonds when issued in Book Entry Form shall be effected by procedures promulgated by the Depository with its Participants for recording and transferring the ownership of beneficial interest in each of such Bonds.</w:t>
      </w:r>
    </w:p>
    <w:p>
      <w:pPr>
        <w:spacing w:after="0" w:line="177" w:lineRule="exact"/>
        <w:rPr>
          <w:rFonts w:ascii="Arial" w:cs="Arial" w:eastAsia="Arial" w:hAnsi="Arial"/>
          <w:sz w:val="22"/>
          <w:szCs w:val="22"/>
          <w:color w:val="auto"/>
        </w:rPr>
      </w:pPr>
    </w:p>
    <w:p>
      <w:pPr>
        <w:jc w:val="both"/>
        <w:ind w:firstLine="656"/>
        <w:spacing w:after="0" w:line="248" w:lineRule="auto"/>
        <w:tabs>
          <w:tab w:leader="none" w:pos="119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District, the Company, the Credit Enhancer, if any, the Liquidity Bank, if any, the Tender Agent, the Bond Registrar, and the Trustee and any of their respective agents may treat the Depository (or its nominee) as the sole and exclusive Bondholder of the Bonds registered in its name for the purposes of payment of the principal of (premium, if any) or interest on the Bonds or Purchase Price or redemption price with respect to the Bonds, selecting the Bonds or portions thereof to be redeemed or purchased, giving any notice permitted or required to be given to Bondholders under this Indenture, registering the transfer of Bonds, obtaining any consent or other action to be taken by Bondholders and for all other purposes whatsoever; and the District, the Company, the Credit Enhancer, if any, the Liquidity Bank, if any, the Tender Agent and the Trustee shall not be affected by any notice to the contrary.</w:t>
      </w:r>
    </w:p>
    <w:p>
      <w:pPr>
        <w:spacing w:after="0" w:line="191" w:lineRule="exact"/>
        <w:rPr>
          <w:rFonts w:ascii="Arial" w:cs="Arial" w:eastAsia="Arial" w:hAnsi="Arial"/>
          <w:sz w:val="22"/>
          <w:szCs w:val="22"/>
          <w:color w:val="auto"/>
        </w:rPr>
      </w:pPr>
    </w:p>
    <w:p>
      <w:pPr>
        <w:jc w:val="both"/>
        <w:ind w:firstLine="656"/>
        <w:spacing w:after="0" w:line="292" w:lineRule="auto"/>
        <w:tabs>
          <w:tab w:leader="none" w:pos="117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So long as the Bonds are registered in the name of the Depository or any nominee thereof, all notices required or permitted to be given to the Holders of such Bonds under this Indenture shall be given to the Depository in accordance with the policies and procedures of the Depository. In connection with any notice or other communication to be provided to Holders pursuant to this Indenture by the District, the Company, the Tender Agent or the Trustee with respect to any consent or other action to be taken by Holders, the Depository shall consider the date of receipt of notice requesting such consent or other action as the record date for such consent or other action, provided that the District, the Tender Agent or the Trustee may establish a special record date for such consent or other action. The District, the Tender Agent or the Trustee shall give the Depository notice of such special record date not less than 15 calendar days in advance of such special record date to the extent possible.</w:t>
      </w:r>
    </w:p>
    <w:p>
      <w:pPr>
        <w:spacing w:after="0" w:line="155" w:lineRule="exact"/>
        <w:rPr>
          <w:rFonts w:ascii="Arial" w:cs="Arial" w:eastAsia="Arial" w:hAnsi="Arial"/>
          <w:sz w:val="19"/>
          <w:szCs w:val="19"/>
          <w:color w:val="auto"/>
        </w:rPr>
      </w:pPr>
    </w:p>
    <w:p>
      <w:pPr>
        <w:ind w:firstLine="656"/>
        <w:spacing w:after="0" w:line="276" w:lineRule="auto"/>
        <w:tabs>
          <w:tab w:leader="none" w:pos="110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successor Trustee or Tender Agent, in its written acceptance of its duties under this Indenture, shall agree to take any actions necessary from time to time to comply with the requirements of such Depository.</w:t>
      </w:r>
    </w:p>
    <w:p>
      <w:pPr>
        <w:spacing w:after="0" w:line="160" w:lineRule="exact"/>
        <w:rPr>
          <w:rFonts w:ascii="Arial" w:cs="Arial" w:eastAsia="Arial" w:hAnsi="Arial"/>
          <w:sz w:val="22"/>
          <w:szCs w:val="22"/>
          <w:color w:val="auto"/>
        </w:rPr>
      </w:pPr>
    </w:p>
    <w:p>
      <w:pPr>
        <w:jc w:val="both"/>
        <w:ind w:firstLine="656"/>
        <w:spacing w:after="0" w:line="286" w:lineRule="auto"/>
        <w:tabs>
          <w:tab w:leader="none" w:pos="108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Depository may determine to discontinue providing its services with respect to the Bonds at any time by giving reasonable written notice to the Trustee and the District and discharging its responsibilities with respect thereto under applicable law. Under such circumstance (if there is not a successor Depository), Bond certificates will be delivered as described elsewhere in Article II of this Indenture. Upon receipt of such notice from the Depository, the Trustee shall provide a copy of the notice to the District. The District, in its sole discretion, and without the consent of any other Person, may terminate the services of the Depository with respect to the Bonds if the District determines that: (i) the Depository is unable to discharge its responsibilities with respect to the Bonds; or (ii) a continuation of the requirement that all of the Bonds be registered in the Bond Register in the name of the nominee of the Depository is not in the best interest of the Beneficial Owners. In the event that no substitute Depository is found by the District or restricted registration is no longer in effect, Bond certificates will be delivered as described in Article II of this Indenture. Upon the termination of the services of the Depository with respect to the Bonds pursuant to this Section 2.14(i), after which no successor Depository willing to undertake the functions of the Depository hereunder can be found that, in the opinion of the District, is willing and able to undertake such functions upon reasonable and customary terms, the Bonds shall no longer be restricted to being registered in the Bond Register in the name of the nominee of the Depository, but may be registered in the name or names and in such maturities and principal amounts as the Depository shall designate in writing to the Bond Registrar in accordance with the provisions elsewhere in Article II of this Indenture, but without any liability on the part of the District or the Bond Registrar for the accuracy of such designation. Upon the termination of the services of the Depository with respect to the Bonds for any reason and the appointment of a successor Depository, all references in this Indenture to the Depository shall refer to such successor Depository. Whenever the Depository requests the District and the Trustee to do so, the District and the Trustee shall cooperate with the Depository in taking appropriate action after reasonable notice to arrange for another Depository to maintain custody of certificates evidencing the Bonds.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51" w:lineRule="auto"/>
        <w:tabs>
          <w:tab w:leader="none" w:pos="107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Daily Rate Bonds, Commercial Paper Rate Bonds, Weekly Rate Bonds and Initial Bonds, the Paying Agent shall notify the Depository of interest payable on the Interest Payment Date as provided in the policies and procedures of the Depository or any letter of representation (the “</w:t>
      </w:r>
      <w:r>
        <w:rPr>
          <w:rFonts w:ascii="Arial" w:cs="Arial" w:eastAsia="Arial" w:hAnsi="Arial"/>
          <w:sz w:val="22"/>
          <w:szCs w:val="22"/>
          <w:u w:val="single" w:color="auto"/>
          <w:color w:val="auto"/>
        </w:rPr>
        <w:t>Representation Letter</w:t>
      </w:r>
      <w:r>
        <w:rPr>
          <w:rFonts w:ascii="Arial" w:cs="Arial" w:eastAsia="Arial" w:hAnsi="Arial"/>
          <w:sz w:val="22"/>
          <w:szCs w:val="22"/>
          <w:color w:val="auto"/>
        </w:rPr>
        <w:t>”) entered into among the District, the Trustee and the Remarketing Agent addressed to the Depository with respect to the Daily Rate Bonds, Commercial Paper Rate Bonds, Weekly Rate Bonds and Initial Bonds.</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notices regarding the determination of the Daily Rate, the Commercial Paper Rate, the Weekly Rate or the Initial Rate shall also be sent by the Remarketing Agent to the Depository in accordance with the policies and procedures of the Depository, including the provisions of the Representation Letter.</w:t>
      </w:r>
    </w:p>
    <w:p>
      <w:pPr>
        <w:sectPr>
          <w:pgSz w:w="11900" w:h="16838" w:orient="portrait"/>
          <w:cols w:equalWidth="0" w:num="1">
            <w:col w:w="11420"/>
          </w:cols>
          <w:pgMar w:left="240" w:top="132" w:right="239" w:bottom="126" w:gutter="0" w:footer="0" w:header="0"/>
        </w:sectPr>
      </w:pPr>
    </w:p>
    <w:bookmarkStart w:id="200" w:name="page201"/>
    <w:bookmarkEnd w:id="200"/>
    <w:p>
      <w:pPr>
        <w:ind w:firstLine="656"/>
        <w:spacing w:after="0" w:line="276" w:lineRule="auto"/>
        <w:tabs>
          <w:tab w:leader="none" w:pos="104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notices regarding a conversion to a different Interest Mode shall also be sent to the Depository in accordance with the policies and procedures of the Depository, including the provisions of the Representation Letter.</w:t>
      </w:r>
    </w:p>
    <w:p>
      <w:pPr>
        <w:spacing w:after="0" w:line="160" w:lineRule="exact"/>
        <w:rPr>
          <w:rFonts w:ascii="Arial" w:cs="Arial" w:eastAsia="Arial" w:hAnsi="Arial"/>
          <w:sz w:val="22"/>
          <w:szCs w:val="22"/>
          <w:color w:val="auto"/>
        </w:rPr>
      </w:pPr>
    </w:p>
    <w:p>
      <w:pPr>
        <w:ind w:firstLine="656"/>
        <w:spacing w:after="0" w:line="276" w:lineRule="auto"/>
        <w:tabs>
          <w:tab w:leader="none" w:pos="11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Tenders and all deliveries of Daily Rate Bonds, Commercial Paper Rate Bonds, Weekly Rate Bonds and Initial Bonds shall be made pursuant to the Depository’s deliver order procedures, as are in effect from time to time.</w:t>
      </w:r>
    </w:p>
    <w:p>
      <w:pPr>
        <w:spacing w:after="0" w:line="160" w:lineRule="exact"/>
        <w:rPr>
          <w:rFonts w:ascii="Arial" w:cs="Arial" w:eastAsia="Arial" w:hAnsi="Arial"/>
          <w:sz w:val="22"/>
          <w:szCs w:val="22"/>
          <w:color w:val="auto"/>
        </w:rPr>
      </w:pPr>
    </w:p>
    <w:p>
      <w:pPr>
        <w:jc w:val="both"/>
        <w:ind w:firstLine="656"/>
        <w:spacing w:after="0" w:line="294" w:lineRule="auto"/>
        <w:tabs>
          <w:tab w:leader="none" w:pos="109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Upon remarketing of Daily Rate Bonds, Commercial Paper Rate Bonds, Weekly Rate Bonds or Initial Bonds, payment of the Purchase Price thereof shall be made to the Depository, and no surrender of Daily Rate Bonds, Commercial Paper Rate Bonds, Initial Bonds or Weekly Rate Bonds is required. Such sales shall be made through the Participants (which may include the Remarketing Agent) to the new Beneficial Owners of such Daily Rate Bonds, Commercial Paper Rate Bonds, Weekly Rate Bonds or Initial Bonds, as applicable, and the Participants shall transmit payment to Beneficial Owners whose Bonds were purchased pursuant to a remarketing. None of the District, the Trustee, Jefferson Holdings, the Credit Enhancer, if any, the Liquidity Bank, if any, the Tender Agent or the Remarketing Agent are responsible for transfer of payment to the Participants or Beneficial Owners.</w:t>
      </w:r>
    </w:p>
    <w:p>
      <w:pPr>
        <w:spacing w:after="0" w:line="152" w:lineRule="exact"/>
        <w:rPr>
          <w:rFonts w:ascii="Arial" w:cs="Arial" w:eastAsia="Arial" w:hAnsi="Arial"/>
          <w:sz w:val="19"/>
          <w:szCs w:val="19"/>
          <w:color w:val="auto"/>
        </w:rPr>
      </w:pPr>
    </w:p>
    <w:p>
      <w:pPr>
        <w:ind w:firstLine="656"/>
        <w:spacing w:after="0" w:line="276" w:lineRule="auto"/>
        <w:tabs>
          <w:tab w:leader="none" w:pos="12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So long as any Bonds are registered in the name of the nominee of the Depository, a legend prescribed by the Depository to that effect may but need not be printed on such Bond certificate.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4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Bonds that are Liquidity Bank Bonds, at the request of the Liquidity Bank, shall be withdrawn from the Book Entry System, registered by the Bond Registrar in the name of the Liquidity Bank and delivered in certificated form to or at the direction of the Liquidity Bank.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32" w:right="239" w:bottom="1440" w:gutter="0" w:footer="0" w:header="0"/>
        </w:sectPr>
      </w:pPr>
    </w:p>
    <w:bookmarkStart w:id="201" w:name="page202"/>
    <w:bookmarkEnd w:id="201"/>
    <w:p>
      <w:pPr>
        <w:ind w:left="652"/>
        <w:spacing w:after="0"/>
        <w:tabs>
          <w:tab w:leader="none" w:pos="1892"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21"/>
          <w:szCs w:val="21"/>
          <w:u w:val="single" w:color="auto"/>
          <w:color w:val="auto"/>
        </w:rPr>
        <w:t>Liquidity Facility</w:t>
      </w:r>
      <w:r>
        <w:rPr>
          <w:rFonts w:ascii="Arial" w:cs="Arial" w:eastAsia="Arial" w:hAnsi="Arial"/>
          <w:sz w:val="21"/>
          <w:szCs w:val="21"/>
          <w:color w:val="auto"/>
        </w:rPr>
        <w:t>.</w:t>
      </w:r>
    </w:p>
    <w:p>
      <w:pPr>
        <w:spacing w:after="0" w:line="233" w:lineRule="exact"/>
        <w:rPr>
          <w:sz w:val="20"/>
          <w:szCs w:val="20"/>
          <w:color w:val="auto"/>
        </w:rPr>
      </w:pPr>
    </w:p>
    <w:p>
      <w:pPr>
        <w:jc w:val="both"/>
        <w:ind w:left="-8" w:firstLine="656"/>
        <w:spacing w:after="0" w:line="264" w:lineRule="auto"/>
        <w:tabs>
          <w:tab w:leader="none" w:pos="1155" w:val="left"/>
        </w:tabs>
        <w:numPr>
          <w:ilvl w:val="1"/>
          <w:numId w:val="106"/>
        </w:numPr>
        <w:rPr>
          <w:rFonts w:ascii="Arial" w:cs="Arial" w:eastAsia="Arial" w:hAnsi="Arial"/>
          <w:sz w:val="21"/>
          <w:szCs w:val="21"/>
          <w:color w:val="auto"/>
        </w:rPr>
      </w:pPr>
      <w:r>
        <w:rPr>
          <w:rFonts w:ascii="Arial" w:cs="Arial" w:eastAsia="Arial" w:hAnsi="Arial"/>
          <w:sz w:val="21"/>
          <w:szCs w:val="21"/>
          <w:color w:val="auto"/>
        </w:rPr>
        <w:t>No Daily Rate Bonds, Commercial Paper Rate Bonds or Weekly Rate Bonds shall be delivered unless a Liquidity Facility complying with the terms hereof shall be delivered to the Trustee. The Trustee (if the beneficiary of the Liquidity Facility, otherwise the Tender Agent) shall draw on the Liquidity Facility pursuant to the terms thereof and this Indenture for the purpose of paying the Purchase Price of Daily Rate Bonds, Commercial Paper Rate Bonds or Weekly Rate Bonds that are tendered or deemed tendered for purchase pursuant to a Mandatory Tender, or in the case of Daily Rate Bonds or Weekly Rate Bonds, an Optional Tender, if in each case such Bonds are not remarketed.</w:t>
      </w:r>
    </w:p>
    <w:p>
      <w:pPr>
        <w:spacing w:after="0" w:line="175" w:lineRule="exact"/>
        <w:rPr>
          <w:rFonts w:ascii="Arial" w:cs="Arial" w:eastAsia="Arial" w:hAnsi="Arial"/>
          <w:sz w:val="21"/>
          <w:szCs w:val="21"/>
          <w:color w:val="auto"/>
        </w:rPr>
      </w:pPr>
    </w:p>
    <w:p>
      <w:pPr>
        <w:jc w:val="both"/>
        <w:ind w:left="-8" w:firstLine="656"/>
        <w:spacing w:after="0" w:line="293" w:lineRule="auto"/>
        <w:tabs>
          <w:tab w:leader="none" w:pos="116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Trustee shall release and return the Liquidity Facility (which secures the Purchase Price of any Bonds) to the Liquidity Bank to an address specified by the Liquidity Bank (1) when there are no such Outstanding Bonds (determined without regard to Section 10.02 hereof); or (2) when the Liquidity Facility has expired or been terminated in accordance with its terms; or</w:t>
      </w:r>
    </w:p>
    <w:p>
      <w:pPr>
        <w:spacing w:after="0" w:line="1" w:lineRule="exact"/>
        <w:rPr>
          <w:rFonts w:ascii="Arial" w:cs="Arial" w:eastAsia="Arial" w:hAnsi="Arial"/>
          <w:sz w:val="19"/>
          <w:szCs w:val="19"/>
          <w:color w:val="auto"/>
        </w:rPr>
      </w:pPr>
    </w:p>
    <w:p>
      <w:pPr>
        <w:jc w:val="both"/>
        <w:ind w:left="-8" w:firstLine="8"/>
        <w:spacing w:after="0" w:line="256" w:lineRule="auto"/>
        <w:tabs>
          <w:tab w:leader="none" w:pos="31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when a successor Trustee has been appointed and qualified pursuant to Article VIII hereof, and a new Liquidity Facility has been issued to such successor Trustee; or (4) when the maximum aggregate credit available under the Liquidity Facility is reduced pursuant to the terms thereof and the Liquidity Bank has issued a new Liquidity Facility to the Trustee in the stated amount of the maximum aggregate credit available under the Liquidity Facility as so reduced but otherwise identical to the Liquidity Facility to be released; or (5) when there is in effect an alternate Liquidity Facility satisfactory to the Trustee if the Trustee shall have written notice from each Rating Service maintaining a short-term credit rating with respect to the Bonds at such time that such release will not result in a reduction or withdrawal of its short-term credit rating then assigned to the Daily Rate Bonds, Commercial Paper Rate Bonds or Weekly Rate Bonds secured by such Liquidity Facility; or (6) on the Conversion Date when all such Bonds are converted to Fixed Rate Bonds.</w:t>
      </w:r>
    </w:p>
    <w:p>
      <w:pPr>
        <w:spacing w:after="0" w:line="189" w:lineRule="exact"/>
        <w:rPr>
          <w:sz w:val="20"/>
          <w:szCs w:val="20"/>
          <w:color w:val="auto"/>
        </w:rPr>
      </w:pPr>
    </w:p>
    <w:p>
      <w:pPr>
        <w:ind w:left="652"/>
        <w:spacing w:after="0"/>
        <w:tabs>
          <w:tab w:leader="none" w:pos="1892"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Acceptance of a Liquidity Facility</w:t>
      </w:r>
      <w:r>
        <w:rPr>
          <w:rFonts w:ascii="Arial" w:cs="Arial" w:eastAsia="Arial" w:hAnsi="Arial"/>
          <w:sz w:val="19"/>
          <w:szCs w:val="19"/>
          <w:color w:val="auto"/>
        </w:rPr>
        <w:t>.</w:t>
      </w:r>
    </w:p>
    <w:p>
      <w:pPr>
        <w:spacing w:after="0" w:line="233" w:lineRule="exact"/>
        <w:rPr>
          <w:sz w:val="20"/>
          <w:szCs w:val="20"/>
          <w:color w:val="auto"/>
        </w:rPr>
      </w:pPr>
    </w:p>
    <w:p>
      <w:pPr>
        <w:jc w:val="both"/>
        <w:ind w:left="-8" w:firstLine="656"/>
        <w:spacing w:after="0" w:line="288" w:lineRule="auto"/>
        <w:tabs>
          <w:tab w:leader="none" w:pos="114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Trustee shall accept a Liquidity Facility, including a Liquidity Facility in substitution for the Liquidity Facility then in effect or an extension or amendment thereof, only upon receipt of an Opinion of Bond Counsel stating that (1) such Liquidity Facility, or extension or amendment, satisfies the conditions of this Section; (2) such Liquidity Facility, or extension or amendment, constitutes a valid, and binding obligation of the obligor thereon and is enforceable in accordance with its terms (except to the extent that the enforceability thereof may be limited by bankruptcy, insolvency, reorganization, moratorium, or other laws for the relief of debtors other than the District or the Company and by general principles of equity which permit the exercise of judicial discretion); (3) such Liquidity Facility, or extension or amendment, is not subject to registration under the Securities Act of 1933, as amended, or that such registration requirements have been complied with; and (4) the acceptance of such Liquidity Facility will not adversely affect the exclusion from gross income for federal income tax purposes of interest on any Bond; provided, however, that to the extent remarketing proceeds are not available, the Trustee shall draw on the existing Liquidity Facility in connection with any mandatory tender required by the proposed acceptance of an alternate Liquidity Facility and shall not release or surrender the existing Liquidity Facility until the existing Liquidity Bank has honored such draw. The Trustee shall not be required to accept any such alternate Liquidity Facility which materially adversely affects the rights, duties, and immunities of the Trustee or its agents hereunder.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8" w:firstLine="656"/>
        <w:spacing w:after="0" w:line="294" w:lineRule="auto"/>
        <w:tabs>
          <w:tab w:leader="none" w:pos="109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Trustee shall receive notice from the District at least forty-five (45) days prior to the proposed substitution of any existing Liquidity Facility. Following receipt of such notice of an alternate Liquidity Facility, the Trustee shall send written notice to the Holders of the Daily Rate Bonds, Commercial Paper Rate Bonds or Weekly Rate Bonds that such substitution shall occur on a specified date without a Mandatory Tender if each Rating Service maintaining a short-term credit rating with respect to the Bonds at such time has notified the Trustee that the substitution will not result in a reduction or withdrawal of its short-term credit rating then assigned to the Daily Rate Bonds, Commercial Paper Rate Bonds or Weekly Rate Bonds. Notices shall be sent by facsimile, first-class mail or overnight delivery, at least 10 Business Days prior to the proposed date of substitution.</w:t>
      </w:r>
    </w:p>
    <w:p>
      <w:pPr>
        <w:spacing w:after="0" w:line="152" w:lineRule="exact"/>
        <w:rPr>
          <w:sz w:val="20"/>
          <w:szCs w:val="20"/>
          <w:color w:val="auto"/>
        </w:rPr>
      </w:pPr>
    </w:p>
    <w:p>
      <w:pPr>
        <w:ind w:left="652"/>
        <w:spacing w:after="0"/>
        <w:tabs>
          <w:tab w:leader="none" w:pos="1892"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8"/>
          <w:szCs w:val="18"/>
          <w:u w:val="single" w:color="auto"/>
          <w:color w:val="auto"/>
        </w:rPr>
        <w:t>Purchase Fund</w:t>
      </w:r>
      <w:r>
        <w:rPr>
          <w:rFonts w:ascii="Arial" w:cs="Arial" w:eastAsia="Arial" w:hAnsi="Arial"/>
          <w:sz w:val="18"/>
          <w:szCs w:val="18"/>
          <w:color w:val="auto"/>
        </w:rPr>
        <w:t>.</w:t>
      </w:r>
    </w:p>
    <w:p>
      <w:pPr>
        <w:spacing w:after="0" w:line="233" w:lineRule="exact"/>
        <w:rPr>
          <w:sz w:val="20"/>
          <w:szCs w:val="20"/>
          <w:color w:val="auto"/>
        </w:rPr>
      </w:pPr>
    </w:p>
    <w:p>
      <w:pPr>
        <w:jc w:val="both"/>
        <w:ind w:left="-8" w:firstLine="656"/>
        <w:spacing w:after="0" w:line="288" w:lineRule="auto"/>
        <w:tabs>
          <w:tab w:leader="none" w:pos="114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While Initial Bonds, Daily Rate Bonds, Weekly Rate Bonds or Commercial Paper Rate Bonds are Outstanding, the Tender Agent shall establish a special fund to be designated the “Port of Beaumont Navigation District of Jefferson County, Texas Dock and Wharf Facility Revenue Bonds, Series 2016 (Jefferson Energy Companies Project) Purchase Fund” (the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Fund</w:t>
      </w:r>
      <w:r>
        <w:rPr>
          <w:rFonts w:ascii="Arial" w:cs="Arial" w:eastAsia="Arial" w:hAnsi="Arial"/>
          <w:sz w:val="19"/>
          <w:szCs w:val="19"/>
          <w:color w:val="auto"/>
        </w:rPr>
        <w:t>”) and for the account of the Persons described in subsection (c) of this Section until all Initial Bonds, Daily Rate Bonds, Commercial Paper Rate Bonds or Weekly Rate Bonds Outstanding and not yet due have been converted to bear interest at the Fixed Rate. The money deposited to the Purchase Fund shall be held in trust solely for the benefit of the respective Persons which shall have so delivered such money until the Initial Bonds, Daily Rate Bonds, Commercial Paper Rate Bonds or Weekly Rate Bonds purchased with such money are delivered to such Persons. The Bonds delivered for purchase hereunder shall be held in trust solely for the benefit of the respective Bondholders which have so delivered such Initial Bonds, Daily Rate Bonds, Commercial Paper Rate Bonds or Weekly Rate Bonds until money representing the Purchase Price of such Bonds has been delivered to or for the account of or to the order of such Bondholders and, thereafter, in the case of Liquidity Bank Bonds, for the benefit of the Liquidity Bank until disposed of pursuant to the instructions thereof. The Purchase Fund shall contain the following accounts: the Remarketing Account; the</w:t>
      </w:r>
    </w:p>
    <w:p>
      <w:pPr>
        <w:sectPr>
          <w:pgSz w:w="11900" w:h="16838" w:orient="portrait"/>
          <w:cols w:equalWidth="0" w:num="1">
            <w:col w:w="11412"/>
          </w:cols>
          <w:pgMar w:left="248" w:top="631" w:right="239" w:bottom="112" w:gutter="0" w:footer="0" w:header="0"/>
        </w:sectPr>
      </w:pPr>
    </w:p>
    <w:bookmarkStart w:id="202" w:name="page203"/>
    <w:bookmarkEnd w:id="202"/>
    <w:p>
      <w:pPr>
        <w:jc w:val="center"/>
        <w:spacing w:after="0"/>
        <w:rPr>
          <w:sz w:val="20"/>
          <w:szCs w:val="20"/>
          <w:color w:val="auto"/>
        </w:rPr>
      </w:pPr>
      <w:r>
        <w:rPr>
          <w:rFonts w:ascii="Arial" w:cs="Arial" w:eastAsia="Arial" w:hAnsi="Arial"/>
          <w:sz w:val="15"/>
          <w:szCs w:val="15"/>
          <w:color w:val="auto"/>
        </w:rPr>
        <w:t>Page 24</w:t>
      </w:r>
    </w:p>
    <w:p>
      <w:pPr>
        <w:sectPr>
          <w:pgSz w:w="11900" w:h="16838" w:orient="portrait"/>
          <w:cols w:equalWidth="0" w:num="1">
            <w:col w:w="9019"/>
          </w:cols>
          <w:pgMar w:left="1440" w:top="369" w:right="1440" w:bottom="1440" w:gutter="0" w:footer="0" w:header="0"/>
        </w:sectPr>
      </w:pPr>
    </w:p>
    <w:bookmarkStart w:id="203" w:name="page204"/>
    <w:bookmarkEnd w:id="203"/>
    <w:p>
      <w:pPr>
        <w:jc w:val="both"/>
        <w:spacing w:after="0" w:line="288" w:lineRule="auto"/>
        <w:rPr>
          <w:sz w:val="20"/>
          <w:szCs w:val="20"/>
          <w:color w:val="auto"/>
        </w:rPr>
      </w:pPr>
      <w:r>
        <w:rPr>
          <w:rFonts w:ascii="Arial" w:cs="Arial" w:eastAsia="Arial" w:hAnsi="Arial"/>
          <w:sz w:val="19"/>
          <w:szCs w:val="19"/>
          <w:color w:val="auto"/>
        </w:rPr>
        <w:t>Initial Bonds Standby Bond Purchase Account; and the Liquidity Account, and each subaccount or account within the Purchase Fund shall be segregated from any other funds in the Purchase Fund and the deposits into such subaccounts or accounts and the monies in such subaccounts or accounts shall be used solely as described below. The Trustee shall deposit into the Remarketing Account proceeds of the remarketing of Initial Bonds, Daily Rate Bonds, Commercial Paper Rate Bonds or Weekly Rate Bonds (other than amounts remitted by the Company, Jefferson Holdings or any affiliates pursuant to the Standby Bond Purchase Agreement). Any amounts remitted by the Company, Jefferson Holdings or any affiliate and directed toward the purchase of Outstanding Bonds, other than pursuant to the Standby Bond Purchase Agreement, shall be considered remarketing proceeds and shall be deposited into the Remarketing Account. The Trustee shall deposit into the Liquidity Account the proceeds of draws made on a Liquidity Facility to pay the Purchase Price of Daily Rate Bonds, Weekly Rate Bonds and Commercial Paper Bonds. The Trustee shall deposit into the Initial Bonds Standby Bond Purchase Account amounts received from the Company, Jefferson Holdings or any affiliate or otherwise deposited with the Trustee pursuant to the Standby Bond Purchase Agreement.</w:t>
      </w:r>
    </w:p>
    <w:p>
      <w:pPr>
        <w:spacing w:after="0" w:line="155" w:lineRule="exact"/>
        <w:rPr>
          <w:sz w:val="20"/>
          <w:szCs w:val="20"/>
          <w:color w:val="auto"/>
        </w:rPr>
      </w:pPr>
    </w:p>
    <w:p>
      <w:pPr>
        <w:jc w:val="both"/>
        <w:ind w:firstLine="656"/>
        <w:spacing w:after="0" w:line="260" w:lineRule="auto"/>
        <w:tabs>
          <w:tab w:leader="none" w:pos="109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Trustee shall, or shall cause the Tender Agent to, deposit to the credit of the Purchase Fund promptly upon receipt all amounts received by it for the purchase of Initial Bonds, Daily Rate Bonds, Commercial Paper Rate Bonds or Weekly Rate Bonds.</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4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Tender Agent shall apply immediately available funds in the Purchase Fund on each Purchase Date to pay the Purchase Price of Initial Bonds, Daily Rate Bonds, Commercial Paper Rate Bonds or Weekly Rate Bonds properly tendered for purchase, from the following sources and in the following order of priority:</w:t>
      </w:r>
    </w:p>
    <w:p>
      <w:pPr>
        <w:spacing w:after="0" w:line="177" w:lineRule="exact"/>
        <w:rPr>
          <w:rFonts w:ascii="Arial" w:cs="Arial" w:eastAsia="Arial" w:hAnsi="Arial"/>
          <w:sz w:val="22"/>
          <w:szCs w:val="22"/>
          <w:color w:val="auto"/>
        </w:rPr>
      </w:pPr>
    </w:p>
    <w:p>
      <w:pPr>
        <w:jc w:val="both"/>
        <w:ind w:left="660" w:firstLine="1941"/>
        <w:spacing w:after="0" w:line="320" w:lineRule="auto"/>
        <w:tabs>
          <w:tab w:leader="none" w:pos="301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first, from the Remarketing Account of the Purchase Fund from immediately available proceeds of the remarketing of such Initial Bonds, Daily Rate Bonds, Commercial Paper Rate Bonds or Weekly Rate Bonds deposited to the Remarketing Account by 12:00 noon, New York, New York time, on the Purchase Date; and</w:t>
      </w:r>
    </w:p>
    <w:p>
      <w:pPr>
        <w:spacing w:after="0" w:line="125" w:lineRule="exact"/>
        <w:rPr>
          <w:rFonts w:ascii="Arial" w:cs="Arial" w:eastAsia="Arial" w:hAnsi="Arial"/>
          <w:sz w:val="19"/>
          <w:szCs w:val="19"/>
          <w:color w:val="auto"/>
        </w:rPr>
      </w:pPr>
    </w:p>
    <w:p>
      <w:pPr>
        <w:jc w:val="both"/>
        <w:ind w:left="660" w:firstLine="1941"/>
        <w:spacing w:after="0" w:line="262" w:lineRule="auto"/>
        <w:tabs>
          <w:tab w:leader="none" w:pos="3184" w:val="left"/>
        </w:tabs>
        <w:numPr>
          <w:ilvl w:val="1"/>
          <w:numId w:val="110"/>
        </w:numPr>
        <w:rPr>
          <w:rFonts w:ascii="Arial" w:cs="Arial" w:eastAsia="Arial" w:hAnsi="Arial"/>
          <w:sz w:val="21"/>
          <w:szCs w:val="21"/>
          <w:color w:val="auto"/>
        </w:rPr>
      </w:pPr>
      <w:r>
        <w:rPr>
          <w:rFonts w:ascii="Arial" w:cs="Arial" w:eastAsia="Arial" w:hAnsi="Arial"/>
          <w:sz w:val="21"/>
          <w:szCs w:val="21"/>
          <w:color w:val="auto"/>
        </w:rPr>
        <w:t>second, (A) with respect to Daily Rate Bonds, Weekly Rate Bonds and Commercial Paper Bonds, from the Liquidity Account of the Purchase Fund if the Liquidity Facility obligates the Liquidity Bank to provide funds for the purchase of such Daily Rate Bonds, Commercial Paper Rate Bonds or Weekly Rate Bonds (but not the Initial Bonds) tendered or deemed tendered pursuant to the provisions of the Daily Rate Bonds, Commercial Paper Rate Bonds or Weekly Rate Bonds, and (B) with respect to Initial Bonds, from amounts on deposit in the Initial Bonds Standby Bond Purchase Account transferred from the Company or Jefferson Holdings or otherwise deposited with the Trustee pursuant to the Standby Bond Purchase Agreement.</w:t>
      </w:r>
    </w:p>
    <w:p>
      <w:pPr>
        <w:spacing w:after="0" w:line="174" w:lineRule="exact"/>
        <w:rPr>
          <w:rFonts w:ascii="Arial" w:cs="Arial" w:eastAsia="Arial" w:hAnsi="Arial"/>
          <w:sz w:val="21"/>
          <w:szCs w:val="21"/>
          <w:color w:val="auto"/>
        </w:rPr>
      </w:pPr>
    </w:p>
    <w:p>
      <w:pPr>
        <w:ind w:firstLine="656"/>
        <w:spacing w:after="0" w:line="282" w:lineRule="auto"/>
        <w:tabs>
          <w:tab w:leader="none" w:pos="1377" w:val="left"/>
        </w:tabs>
        <w:numPr>
          <w:ilvl w:val="0"/>
          <w:numId w:val="110"/>
        </w:numPr>
        <w:rPr>
          <w:rFonts w:ascii="Arial" w:cs="Arial" w:eastAsia="Arial" w:hAnsi="Arial"/>
          <w:sz w:val="22"/>
          <w:szCs w:val="22"/>
          <w:color w:val="auto"/>
        </w:rPr>
      </w:pPr>
      <w:r>
        <w:rPr>
          <w:rFonts w:ascii="Arial" w:cs="Arial" w:eastAsia="Arial" w:hAnsi="Arial"/>
          <w:sz w:val="22"/>
          <w:szCs w:val="22"/>
          <w:b w:val="1"/>
          <w:bCs w:val="1"/>
          <w:color w:val="auto"/>
        </w:rPr>
        <w:t>ANYTHING TO THE CONTRARY HEREIN NOTWITHSTANDING, THE PROVISIONS OF THE FOLLOWING THREE PARAGRAPHS SHALL APPLY TO INITIAL BONDS: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631" w:right="239" w:bottom="1440" w:gutter="0" w:footer="0" w:header="0"/>
        </w:sectPr>
      </w:pPr>
    </w:p>
    <w:bookmarkStart w:id="204" w:name="page205"/>
    <w:bookmarkEnd w:id="204"/>
    <w:p>
      <w:pPr>
        <w:jc w:val="both"/>
        <w:ind w:left="-540" w:firstLine="1941"/>
        <w:spacing w:after="0" w:line="261" w:lineRule="auto"/>
        <w:tabs>
          <w:tab w:leader="none" w:pos="187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Not later than 30 days prior to any Initial Bonds Remarketing Date, the Trustee shall provide notice to Initial Bondholders stating the Initial Bonds Remarketing Date and that the Initial Bonds will be subject to mandatory tender for purchase at the Purchase Price on such date. Not later than 15 days prior to any Initial Bonds Remarketing Date, the Trustee shall provide notice to the District, the Company, Jefferson Holdings and FTAI stating (A) the Initial Bonds Remarketing Date, (B) the Purchase Price scheduled for payment on such Initial Bonds Remarketing Date with respect to all Initial Bonds that are Outstanding at the time of such notice and (C) that, unless the Trustee notifies otherwise on the Initial Bonds Remarketing Date, such amount must be remitted to the Trustee by no later than 2:00 p.m., New York, New York, time on that day.</w:t>
      </w:r>
    </w:p>
    <w:p>
      <w:pPr>
        <w:spacing w:after="0" w:line="181" w:lineRule="exact"/>
        <w:rPr>
          <w:rFonts w:ascii="Arial" w:cs="Arial" w:eastAsia="Arial" w:hAnsi="Arial"/>
          <w:sz w:val="21"/>
          <w:szCs w:val="21"/>
          <w:color w:val="auto"/>
        </w:rPr>
      </w:pPr>
    </w:p>
    <w:p>
      <w:pPr>
        <w:jc w:val="both"/>
        <w:ind w:left="-540" w:firstLine="1941"/>
        <w:spacing w:after="0" w:line="287" w:lineRule="auto"/>
        <w:tabs>
          <w:tab w:leader="none" w:pos="193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Prior to 12:00 noon, New York, New York time, on the Initial Bonds Remarketing Date, the Trustee shall (1) calculate the following amount (the “</w:t>
      </w:r>
      <w:r>
        <w:rPr>
          <w:rFonts w:ascii="Arial" w:cs="Arial" w:eastAsia="Arial" w:hAnsi="Arial"/>
          <w:sz w:val="19"/>
          <w:szCs w:val="19"/>
          <w:u w:val="single" w:color="auto"/>
          <w:color w:val="auto"/>
        </w:rPr>
        <w:t>Initial Bonds Purchase Price Shortfall</w:t>
      </w:r>
      <w:r>
        <w:rPr>
          <w:rFonts w:ascii="Arial" w:cs="Arial" w:eastAsia="Arial" w:hAnsi="Arial"/>
          <w:sz w:val="19"/>
          <w:szCs w:val="19"/>
          <w:color w:val="auto"/>
        </w:rPr>
        <w:t>”): (A) the Purchase Price scheduled for payment on such Initial Bonds Remarketing Date with respect to all Outstanding Initial Bonds, less (B) the amount deposited by 11:00 a.m., New York, New York time, to the Remarketing Account of the Purchase Fund from proceeds of the remarketing of such Initial Bonds; (2) provide notification via Electronic Means to the District, the Company, Jefferson Holdings and FTAI of the Initial Bonds Purchase Price Shortfall, even if such amount shall be equal to zero; (3) transfer any monies deposited in the Reserve Fund into the Initial Bonds Standby Bond Purchase Account; and (4) request that monies in the amount of the Initial Bonds Purchase Price Shortfall less any monies transferred into the Initial Bonds Standby Bond Purchase Account pursuant to clause (3) above (if such amount shall be greater than zero) be remitted to the Trustee by the Company, Jefferson Holdings and FTAI by no later than 2:00 p.m., New York, New York time, on that day. Moneys deposited with the Trustee in accordance with the foregoing sentence shall be deposited to the Initial Bonds Standby Bond Purchase Account. In the event the Trustee has not received the Purchase Price of all Outstanding Initial Bonds from remarketing proceeds and any funds provided pursuant to the Standby Bond Purchase Agreement, the Trustee shall promptly return remarketing proceeds to the respective Persons that delivered such money.</w:t>
      </w:r>
    </w:p>
    <w:p>
      <w:pPr>
        <w:spacing w:after="0" w:line="164" w:lineRule="exact"/>
        <w:rPr>
          <w:rFonts w:ascii="Arial" w:cs="Arial" w:eastAsia="Arial" w:hAnsi="Arial"/>
          <w:sz w:val="19"/>
          <w:szCs w:val="19"/>
          <w:color w:val="auto"/>
        </w:rPr>
      </w:pPr>
    </w:p>
    <w:p>
      <w:pPr>
        <w:jc w:val="both"/>
        <w:ind w:left="-540" w:firstLine="1941"/>
        <w:spacing w:after="0" w:line="292" w:lineRule="auto"/>
        <w:tabs>
          <w:tab w:leader="none" w:pos="197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Initial Bonds purchased with monies from the Initial Bonds Standby Bond Purchase Account shall be delivered to the Tender Agent and shall be held in the name of the Company or Jefferson Holdings, as directed by the Company and Jefferson Holdings, pending future remarketing or cancellation thereof and, while so held, shall accrue interest at the Standby Rate. No such Bonds may be transferred unless the Remarketing Agent shall have given written notice to the District, the Company, Jefferson Holdings, the Trustee and the Tender Agent that such Initial Bonds have been remarketed at a price equal to the principal amount thereof. Such written notice shall also specify the Interest Mode or Interest Modes applicable to such remarketed Bonds and, with respect to any such remarketed Bonds that have been remarketed as Initial Bonds, the interest rate assigned to the Initial</w:t>
      </w:r>
    </w:p>
    <w:p>
      <w:pPr>
        <w:spacing w:after="0" w:line="39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0220"/>
          </w:cols>
          <w:pgMar w:left="1440" w:top="631" w:right="239" w:bottom="1440" w:gutter="0" w:footer="0" w:header="0"/>
        </w:sectPr>
      </w:pPr>
    </w:p>
    <w:bookmarkStart w:id="205" w:name="page206"/>
    <w:bookmarkEnd w:id="205"/>
    <w:p>
      <w:pPr>
        <w:jc w:val="both"/>
        <w:ind w:left="660"/>
        <w:spacing w:after="0" w:line="248" w:lineRule="auto"/>
        <w:rPr>
          <w:sz w:val="20"/>
          <w:szCs w:val="20"/>
          <w:color w:val="auto"/>
        </w:rPr>
      </w:pPr>
      <w:r>
        <w:rPr>
          <w:rFonts w:ascii="Arial" w:cs="Arial" w:eastAsia="Arial" w:hAnsi="Arial"/>
          <w:sz w:val="22"/>
          <w:szCs w:val="22"/>
          <w:color w:val="auto"/>
        </w:rPr>
        <w:t>Bonds for the ensuing Initial Rate Period, the next Initial Bonds Remarketing Date, the date (if any) at which such remarketed Initial Bonds shall become subject to optional redemption in accordance with the terms of this Indenture and any premium associated with such optional redemption. Such remarketed Initial Bonds shall be registered and delivered in accordance with Section 2.19 hereof. At any time prior to such remarketing, any such Initial Bond may be presented by the Company to the Trustee for cancellation.</w:t>
      </w:r>
    </w:p>
    <w:p>
      <w:pPr>
        <w:spacing w:after="0" w:line="192" w:lineRule="exact"/>
        <w:rPr>
          <w:sz w:val="20"/>
          <w:szCs w:val="20"/>
          <w:color w:val="auto"/>
        </w:rPr>
      </w:pPr>
    </w:p>
    <w:p>
      <w:pPr>
        <w:jc w:val="both"/>
        <w:ind w:firstLine="656"/>
        <w:spacing w:after="0" w:line="300" w:lineRule="auto"/>
        <w:tabs>
          <w:tab w:leader="none" w:pos="106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On each Purchase Date, for Bonds secured by a Liquidity Facility, the Trustee shall draw on, and deliver all documents required by, the Liquidity Facility at the time specified therein for the payment of the Purchase Price for all Daily Rate Bonds, Commercial Paper Rate Bonds or Weekly Rate Bonds, except Liquidity Bank Bonds or Bonds registered in the name of the Company or the District, required to be purchased on such Purchase Date and which have not been remarketed by 11:30 a.m., New York, New York time on such Purchase Date to receive proceeds of such drawing by 2:00 p.m. New York, New York time.</w:t>
      </w:r>
    </w:p>
    <w:p>
      <w:pPr>
        <w:spacing w:after="0" w:line="147" w:lineRule="exact"/>
        <w:rPr>
          <w:rFonts w:ascii="Arial" w:cs="Arial" w:eastAsia="Arial" w:hAnsi="Arial"/>
          <w:sz w:val="19"/>
          <w:szCs w:val="19"/>
          <w:color w:val="auto"/>
        </w:rPr>
      </w:pPr>
    </w:p>
    <w:p>
      <w:pPr>
        <w:jc w:val="both"/>
        <w:ind w:firstLine="656"/>
        <w:spacing w:after="0" w:line="290" w:lineRule="auto"/>
        <w:tabs>
          <w:tab w:leader="none" w:pos="107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Amounts received by the Tender Agent after 11:00 a.m., New York, New York time, in payment of the Purchase Price of tendered Initial Bonds, Daily Rate Bonds, Commercial Paper Rate Bonds or Weekly Rate Bonds sold pursuant to the Remarketing Agreement shall be promptly returned to the Person remitting the same or, if permitted or required by the Liquidity Facility, disbursed to the Liquidity Bank to the extent of funds drawn or claimed and received by the Trustee or the Tender Agent under the Liquidity Facility prior to such disbursal in payment of the Purchase Price of Liquidity Bank Bonds. If, at 5:00 p.m. New York, New York time on any Purchase Date with respect to Daily Rate Bonds, Commercial Paper Rate Bonds or Weekly Rate Bonds, any balance remains in the Purchase Fund, such excess shall be promptly disbursed, first, to the Liquidity Bank or the Credit Enhancer to the extent of any unpaid obligation under the Liquidity Facility or the Credit Facility, as applicable, and thereafter, to the District to the extent of any remaining balance. If, at 5:00 p.m. New York, New York time on any Purchase Date with respect to Initial Bonds, any balance remains in the Purchase Fund in excess of the unpaid Purchase Price of Initial Bonds, such excess shall be promptly disbursed to the District.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56"/>
        <w:spacing w:after="0" w:line="320" w:lineRule="auto"/>
        <w:tabs>
          <w:tab w:leader="none" w:pos="109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carrying out their respective responsibilities under this Section, the Trustee and the Tender Agent shall act on behalf and for the account and benefit of the Bondholders other than the District, Jefferson Holdings and the Company and not on behalf of, for the account or benefit of, or subject to the control of, the District, Jefferson Holdings or the Company.</w:t>
      </w:r>
    </w:p>
    <w:p>
      <w:pPr>
        <w:spacing w:after="0" w:line="125" w:lineRule="exact"/>
        <w:rPr>
          <w:rFonts w:ascii="Arial" w:cs="Arial" w:eastAsia="Arial" w:hAnsi="Arial"/>
          <w:sz w:val="19"/>
          <w:szCs w:val="19"/>
          <w:color w:val="auto"/>
        </w:rPr>
      </w:pPr>
    </w:p>
    <w:p>
      <w:pPr>
        <w:jc w:val="both"/>
        <w:ind w:firstLine="656"/>
        <w:spacing w:after="0" w:line="260" w:lineRule="auto"/>
        <w:tabs>
          <w:tab w:leader="none" w:pos="10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and so long as there is a Liquidity Facility or a Credit Facility in effect, the Trustee or Tender Agent shall not release any Liquidity Bank Bond until it has received written notice that the amounts under the Liquidity Facility have been reinstated to cover such Liquidity Bank Bond.</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04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Bond (or portion thereof) for which notice of tender thereof on any Purchase Date is given in accordance with the provisions hereof, but which is not tendered for purchase by 12:00 noon, New York, New York time, on such Purchase Date (such Bonds or portions herein referred to as “</w:t>
      </w:r>
      <w:r>
        <w:rPr>
          <w:rFonts w:ascii="Arial" w:cs="Arial" w:eastAsia="Arial" w:hAnsi="Arial"/>
          <w:sz w:val="21"/>
          <w:szCs w:val="21"/>
          <w:u w:val="single" w:color="auto"/>
          <w:color w:val="auto"/>
        </w:rPr>
        <w:t>Untendered Bonds</w:t>
      </w:r>
      <w:r>
        <w:rPr>
          <w:rFonts w:ascii="Arial" w:cs="Arial" w:eastAsia="Arial" w:hAnsi="Arial"/>
          <w:sz w:val="21"/>
          <w:szCs w:val="21"/>
          <w:color w:val="auto"/>
        </w:rPr>
        <w:t>”) shall, upon deposit in the Purchase Fund of an amount sufficient to pay the Purchase Price of such Bond on such Purchase Date, be deemed to have been tendered and sold on such Purchase Date to the Person specified in Section 2.19 hereof, and thereafter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631" w:right="239" w:bottom="1440" w:gutter="0" w:footer="0" w:header="0"/>
        </w:sectPr>
      </w:pPr>
    </w:p>
    <w:bookmarkStart w:id="206" w:name="page207"/>
    <w:bookmarkEnd w:id="206"/>
    <w:p>
      <w:pPr>
        <w:jc w:val="both"/>
        <w:spacing w:after="0" w:line="247" w:lineRule="auto"/>
        <w:rPr>
          <w:sz w:val="20"/>
          <w:szCs w:val="20"/>
          <w:color w:val="auto"/>
        </w:rPr>
      </w:pPr>
      <w:r>
        <w:rPr>
          <w:rFonts w:ascii="Arial" w:cs="Arial" w:eastAsia="Arial" w:hAnsi="Arial"/>
          <w:sz w:val="22"/>
          <w:szCs w:val="22"/>
          <w:color w:val="auto"/>
        </w:rPr>
        <w:t>the Holder of such Untendered Bond thereof shall not be entitled to any payment (including any interest accrued subsequent to such Purchase Date) in respect thereof other than the Purchase Price for such Bond, and such Untendered Bond (except any Bond issued in lieu thereof pursuant to this paragraph) shall no longer be entitled to the benefit of this Indenture, except for the purpose of payment of the Purchase Price therefor; and (B) the District shall execute, and the Trustee shall authenticate and deliver, in the name of the Person specified in Section 2.19 hereof, one or more new Bonds of any Authorized Denomination of a like aggregate principal amount.</w:t>
      </w:r>
    </w:p>
    <w:p>
      <w:pPr>
        <w:spacing w:after="0" w:line="19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Application of Funds for Purchase Price of Daily Rate Bonds, Commercial Paper Rate Bonds or Weekly Rate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Bonds</w:t>
      </w:r>
      <w:r>
        <w:rPr>
          <w:rFonts w:ascii="Arial" w:cs="Arial" w:eastAsia="Arial" w:hAnsi="Arial"/>
          <w:sz w:val="22"/>
          <w:szCs w:val="22"/>
          <w:color w:val="auto"/>
        </w:rPr>
        <w:t>.</w:t>
      </w:r>
    </w:p>
    <w:p>
      <w:pPr>
        <w:spacing w:after="0" w:line="215" w:lineRule="exact"/>
        <w:rPr>
          <w:sz w:val="20"/>
          <w:szCs w:val="20"/>
          <w:color w:val="auto"/>
        </w:rPr>
      </w:pPr>
    </w:p>
    <w:p>
      <w:pPr>
        <w:jc w:val="both"/>
        <w:ind w:firstLine="656"/>
        <w:spacing w:after="0" w:line="289" w:lineRule="auto"/>
        <w:tabs>
          <w:tab w:leader="none" w:pos="108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Remarketing Agent shall notify the District, the Trustee, the Tender Agent, and the Liquidity Bank by 11:30 a.m., New York, New York time, on each date on which Daily Rate Bonds, Commercial Paper Rate Bonds or Weekly Rate Bonds are required to be purchased pursuant to an Optional Tender or a Mandatory Tender, and shall notify the District, the Trustee, and the Tender Agent of: (i) the aggregate principal amount of Bonds that are so required to be purchased; (ii) the aggregate principal amount of tendered Bonds that the Remarketing Agent has remarketed (and whether or not to the District) for settlement on such day; and (iii) if the amount described in clause (i) above exceeds the amounts described in clause (ii), (excluding Initial Bonds not remarketed) the amount, if any, which the Trustee will draw under the Liquidity Facility and the Liquidity Bank shall provide pursuant to the Liquidity Facility needed to purchase so that 100% of the Purchase Price of all Bonds tendered for purchase on such date shall have been paid. The Remarketing Agent shall remarket all Bonds at par and shall not remarket Bonds to the District or any guarantor of the Bonds or any affiliates thereof if such purchase would cause such Bonds to be no longer Outstanding, it being the intent hereof that any Bond purchased by the District or any affiliate shall not considered paid or discharged.</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At or prior to 12:30 p.m., New York, New York time on the Purchase Date, the Trustee shall draw on the Liquidity Facility to the extent necessary to purchase tendered or deemed tendered and unremarketed Daily Rate Bonds, Commercial Paper Rate Bonds or Weekly Rate Bonds and shall, simultaneously with each such drawing, send by electronic notice a copy of the drawing certificate to the District and the Tender Agent.</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on any date there is an insufficient amount on deposit in the Purchase Fund to pay the Purchase Price of all Daily Rate Bonds, Commercial Paper Rate Bonds or Weekly Rate Bonds, as applicable, by 2:30 p.m., New York, New York time, the Tender Agent shall promptly give telephonic notice to the District and the Remarketing Agent of the amount of the deficiency. The Tender Agent shall promptly notify the Trustee of any failure by the Liquidity Provider to pay the Purchase Price on any Daily Rate Bonds, Commercial Paper Rate Bonds or Weekly Rate Bonds tendered for purchase on any day. The Trustee shall notify the District in a timely manner of the amounts required to be remitted, and the District shall remit or cause to be remitted to the Tender Agent the amount described in Section 2.18(a)(iii) above to the Tender Agent by 3:00 p.m., New York, New York time.</w:t>
      </w:r>
    </w:p>
    <w:p>
      <w:pPr>
        <w:spacing w:after="0" w:line="151" w:lineRule="exact"/>
        <w:rPr>
          <w:sz w:val="20"/>
          <w:szCs w:val="20"/>
          <w:color w:val="auto"/>
        </w:rPr>
      </w:pPr>
    </w:p>
    <w:p>
      <w:pPr>
        <w:ind w:firstLine="656"/>
        <w:spacing w:after="0" w:line="276" w:lineRule="auto"/>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Persons who have tendered their Daily Rate Bonds, Commercial Paper Rate Bonds or Weekly Rate Bonds for purchase or who are deemed to have tendered their Daily Rate Bonds,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631" w:right="239" w:bottom="1440" w:gutter="0" w:footer="0" w:header="0"/>
        </w:sectPr>
      </w:pPr>
    </w:p>
    <w:bookmarkStart w:id="207" w:name="page208"/>
    <w:bookmarkEnd w:id="207"/>
    <w:p>
      <w:pPr>
        <w:spacing w:after="0" w:line="263" w:lineRule="auto"/>
        <w:rPr>
          <w:sz w:val="20"/>
          <w:szCs w:val="20"/>
          <w:color w:val="auto"/>
        </w:rPr>
      </w:pPr>
      <w:r>
        <w:rPr>
          <w:rFonts w:ascii="Arial" w:cs="Arial" w:eastAsia="Arial" w:hAnsi="Arial"/>
          <w:sz w:val="22"/>
          <w:szCs w:val="22"/>
          <w:color w:val="auto"/>
        </w:rPr>
        <w:t>Commercial Paper Rate Bonds or Weekly Rate Bonds for purchase shall be paid the Purchase Price therefor from the following sources in the following order of priority:</w:t>
      </w:r>
    </w:p>
    <w:p>
      <w:pPr>
        <w:spacing w:after="0" w:line="175" w:lineRule="exact"/>
        <w:rPr>
          <w:sz w:val="20"/>
          <w:szCs w:val="20"/>
          <w:color w:val="auto"/>
        </w:rPr>
      </w:pPr>
    </w:p>
    <w:p>
      <w:pPr>
        <w:ind w:left="660" w:right="20" w:firstLine="1941"/>
        <w:spacing w:after="0" w:line="276" w:lineRule="auto"/>
        <w:tabs>
          <w:tab w:leader="none" w:pos="3043" w:val="left"/>
        </w:tabs>
        <w:numPr>
          <w:ilvl w:val="1"/>
          <w:numId w:val="115"/>
        </w:numPr>
        <w:rPr>
          <w:rFonts w:ascii="Arial" w:cs="Arial" w:eastAsia="Arial" w:hAnsi="Arial"/>
          <w:sz w:val="22"/>
          <w:szCs w:val="22"/>
          <w:color w:val="auto"/>
        </w:rPr>
      </w:pPr>
      <w:r>
        <w:rPr>
          <w:rFonts w:ascii="Arial" w:cs="Arial" w:eastAsia="Arial" w:hAnsi="Arial"/>
          <w:sz w:val="22"/>
          <w:szCs w:val="22"/>
          <w:color w:val="auto"/>
        </w:rPr>
        <w:t>first, from the Remarketing Account of the Purchase Fund from remarketing of such Bonds on deposit in the Remarketing Account of the Purchase Fund; and</w:t>
      </w:r>
    </w:p>
    <w:p>
      <w:pPr>
        <w:spacing w:after="0" w:line="160" w:lineRule="exact"/>
        <w:rPr>
          <w:rFonts w:ascii="Arial" w:cs="Arial" w:eastAsia="Arial" w:hAnsi="Arial"/>
          <w:sz w:val="22"/>
          <w:szCs w:val="22"/>
          <w:color w:val="auto"/>
        </w:rPr>
      </w:pPr>
    </w:p>
    <w:p>
      <w:pPr>
        <w:ind w:left="3120" w:hanging="519"/>
        <w:spacing w:after="0"/>
        <w:tabs>
          <w:tab w:leader="none" w:pos="312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second, from funds drawn under the Liquidity Facility on deposit in the Liquidity Account of</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Purchase Fund.</w:t>
      </w:r>
    </w:p>
    <w:p>
      <w:pPr>
        <w:spacing w:after="0" w:line="215" w:lineRule="exact"/>
        <w:rPr>
          <w:rFonts w:ascii="Arial" w:cs="Arial" w:eastAsia="Arial" w:hAnsi="Arial"/>
          <w:sz w:val="19"/>
          <w:szCs w:val="19"/>
          <w:color w:val="auto"/>
        </w:rPr>
      </w:pPr>
    </w:p>
    <w:p>
      <w:pPr>
        <w:jc w:val="both"/>
        <w:ind w:firstLine="656"/>
        <w:spacing w:after="0" w:line="262" w:lineRule="auto"/>
        <w:tabs>
          <w:tab w:leader="none" w:pos="106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Amounts received by the Tender Agent until 2:30 p.m., New York, New York time, in payment of the Purchase Price of tendered Bonds sold pursuant to the Remarketing Agreement shall be applied solely in payment of Purchase Price in accordance with the order of priority set forth in Section 2.18(b). If, at 5:00 p.m., New York, New York time, on any Purchase Date, any balance remains in the Purchase Fund in excess of any unsatisfied purchase obligation with respect to Bonds that have been tendered or deemed tendered, such excess shall be promptly disbursed to the Liquidity Bank to the extent the amount drawn on the Liquidity Facility exceeds the cost of Bonds purchased under the Liquidity Facility, and thereafter any funds in the Remarketing Account may be disbursed to the District.</w:t>
      </w:r>
    </w:p>
    <w:p>
      <w:pPr>
        <w:spacing w:after="0" w:line="180" w:lineRule="exact"/>
        <w:rPr>
          <w:rFonts w:ascii="Arial" w:cs="Arial" w:eastAsia="Arial" w:hAnsi="Arial"/>
          <w:sz w:val="21"/>
          <w:szCs w:val="21"/>
          <w:color w:val="auto"/>
        </w:rPr>
      </w:pPr>
    </w:p>
    <w:p>
      <w:pPr>
        <w:jc w:val="both"/>
        <w:ind w:firstLine="656"/>
        <w:spacing w:after="0" w:line="258" w:lineRule="auto"/>
        <w:tabs>
          <w:tab w:leader="none" w:pos="121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Any Daily Rate Bonds, Commercial Paper Rate Bonds or Weekly Rate Bonds (or portion thereof) for which an Optional Tender has been exercised, or which is subject to Mandatory Tender, on any Purchase Date in accordance with the provisions hereof and thereof, but which is an Untendered Bond shall, upon deposit in the Purchase Fund of an amount sufficient to pay the Purchase Price of such Bond on such Purchase Date, be deemed to have been tendered and sold for the Purchase Price on such Purchase Date, regardless of whether (i) in the case of a Mandatory Tender, the Holder thereof shall have received the notices described in paragraph 4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form of Daily Rate Bond; paragraph 4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the form of Commercial Paper Rate Bond; or paragraph 4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hereto, the form of Weekly Rate Bond, or (ii) in connection with a Conversion Date, such Daily Rate Bonds, Commercial Paper Rate Bonds or Weekly Rate Bonds actually convert to a new Interest Mode, and thereafter the holder of such Untendered Bond shall not be entitled to any payment (including any interest accrued subsequent to such Purchase Date) in respect thereof other than the Purchase Price for such Untendered Bond, and such Untendered Bond shall no longer be entitled to the benefit of this Indenture or the Liquidity Facility, except for the purpose of payment of the Purchase Price therefor. Untendered Bonds must be surrendered to the Tender Agent for payment of the Purchase Price due thereon.</w:t>
      </w:r>
    </w:p>
    <w:p>
      <w:pPr>
        <w:spacing w:after="0" w:line="1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Delivery of Bonds Tendered for Purchase</w:t>
      </w:r>
      <w:r>
        <w:rPr>
          <w:rFonts w:ascii="Arial" w:cs="Arial" w:eastAsia="Arial" w:hAnsi="Arial"/>
          <w:sz w:val="19"/>
          <w:szCs w:val="19"/>
          <w:color w:val="auto"/>
        </w:rPr>
        <w:t>. Daily Rate Bonds, Commercial Paper Rate Bonds or Weekly Rate Bonds purchased with money in the Remarketing Account of the Purchase Fund as described in Section 2.18(b)(i) hereof or Initial Bonds purchased with money in the Remarketing Account of the Purchase Fund as described in Section 2.17(c)(i) hereof shall be delivered by the Tender Agent, to or upon the order of the purchasers thereof. Daily Rate Bonds, Commercial Paper Rate Bonds or Weekly Rate Bonds purchased with money in the Liquidity Account of the Purchase Fund as described in Section 2.17(c)(ii) or 2.18(b)(ii) hereof shall be delivered by the Tender Agent to the Trustee to be held for the Liquidity Bank, or upon the order of the Liquidity Bank, to the Liquidity Bank, and shall not be released until the Trustee has received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632" w:right="239" w:bottom="1440" w:gutter="0" w:footer="0" w:header="0"/>
        </w:sectPr>
      </w:pPr>
    </w:p>
    <w:bookmarkStart w:id="208" w:name="page209"/>
    <w:bookmarkEnd w:id="208"/>
    <w:p>
      <w:pPr>
        <w:jc w:val="both"/>
        <w:spacing w:after="0" w:line="259" w:lineRule="auto"/>
        <w:rPr>
          <w:sz w:val="20"/>
          <w:szCs w:val="20"/>
          <w:color w:val="auto"/>
        </w:rPr>
      </w:pPr>
      <w:r>
        <w:rPr>
          <w:rFonts w:ascii="Arial" w:cs="Arial" w:eastAsia="Arial" w:hAnsi="Arial"/>
          <w:sz w:val="21"/>
          <w:szCs w:val="21"/>
          <w:color w:val="auto"/>
        </w:rPr>
        <w:t>written notice from the Liquidity Bank that the amount available under the Liquidity Facility has been reinstated to cover such Liquidity Bank Bond. Initial Bonds purchased with money in the Initial Bonds Standby Bond Purchase Account as described in Section 2.17(c)(ii) hereof shall be delivered to the Tender Agent and shall be held in the name of the Company pending future remarketing or cancellation thereof. Notwithstanding the foregoing, any Initial Bonds, Daily Rate Bonds, Commercial Paper Rate Bonds or Weekly Rate Bonds so purchased after the selection thereof by the Trustee for redemption (except for Bonds purchased by the Liquidity Bank) shall be delivered to the Trustee for payment of the redemption price and cancellation on the redemption date. Initial Bonds, Daily Rate Bonds, Commercial Paper Rate Bonds or Weekly Rate Bonds delivered as provided in this Section shall be registered in the manner directed by the recipient thereof by the Bond Registrar upon receipt of registration information with respect thereto from the Remarketing Agent.</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2.20 </w:t>
      </w:r>
      <w:r>
        <w:rPr>
          <w:rFonts w:ascii="Arial" w:cs="Arial" w:eastAsia="Arial" w:hAnsi="Arial"/>
          <w:sz w:val="21"/>
          <w:szCs w:val="21"/>
          <w:u w:val="single" w:color="auto"/>
          <w:color w:val="auto"/>
        </w:rPr>
        <w:t>Delivery of Proceeds of Sale of Bonds Tendered for Purchase</w:t>
      </w:r>
      <w:r>
        <w:rPr>
          <w:rFonts w:ascii="Arial" w:cs="Arial" w:eastAsia="Arial" w:hAnsi="Arial"/>
          <w:sz w:val="21"/>
          <w:szCs w:val="21"/>
          <w:color w:val="auto"/>
        </w:rPr>
        <w:t>. Except in the case of the sale of any Daily Rate Bonds, Commercial Paper Rate Bonds or Weekly Rate Bonds owned by the Liquidity Bank, the proceeds of the sale of any Daily Rate Bonds, Commercial Paper Rate Bonds or Weekly Rate Bonds delivered to the Tender Agent, to the extent not required to pay the Purchase Price thereof, shall be paid by the Tender Agent to or upon the order of the District. In the case of Bonds owned by the Liquidity Bank, the proceeds of the sale of such Daily Rate Bonds, Commercial Paper Rate Bonds or Weekly Rate Bonds shall be paid by the Tender Agent to or upon the order of the Liquidity Bank.</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9"/>
          <w:szCs w:val="19"/>
          <w:u w:val="single" w:color="auto"/>
          <w:color w:val="auto"/>
        </w:rPr>
        <w:t>Credit Facility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12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 Daily Rate Bonds, Commercial Paper Rate Bonds or Weekly Rate Bonds shall be executed and delivered unless there is delivered a Credit Facility to the Trustee complying with the provisions of this Indenture. No Credit Facility shall be delivered to or accepted by the Trustee until all Initial Bonds have been repurchased from proceeds of a remarketing or redeemed, or defeased to a date, on or before the next Initial Bonds Remarketing Date.</w:t>
      </w:r>
    </w:p>
    <w:p>
      <w:pPr>
        <w:spacing w:after="0" w:line="185" w:lineRule="exact"/>
        <w:rPr>
          <w:rFonts w:ascii="Arial" w:cs="Arial" w:eastAsia="Arial" w:hAnsi="Arial"/>
          <w:sz w:val="22"/>
          <w:szCs w:val="22"/>
          <w:color w:val="auto"/>
        </w:rPr>
      </w:pPr>
    </w:p>
    <w:p>
      <w:pPr>
        <w:jc w:val="both"/>
        <w:ind w:firstLine="656"/>
        <w:spacing w:after="0" w:line="289" w:lineRule="auto"/>
        <w:tabs>
          <w:tab w:leader="none" w:pos="117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Trustee shall (unless otherwise directed by Credit Enhancer) direct the Tender Agent to release and return the Credit Facility to the Credit Enhancer: (1) when there are no Outstanding Daily Rate Bonds, Commercial Paper Rate Bonds or Weekly Rate Bonds, or the Indenture has been released in accordance with the provisions of Article X hereof; (2) when the Credit Facility has expired or been terminated in accordance with its terms; (3) when a successor Trustee has been appointed and qualified pursuant to Article VIII hereof, and a new Credit Facility has been issued to a successor Trustee; (4) when the maximum aggregate credit available under the Credit Facility is reduced pursuant to the terms thereof and the Credit Enhancer has issued a new Credit Facility to the Trustee in the stated amount of the maximum aggregate credit available as so reduced but otherwise identical to the Credit Facility to be released; (5) when there is in effect an alternate Credit Facility satisfactory to the Trustee in accordance with Section 2.22; or (6) on the Conversion Date when all of the Bonds are converted to Fixed Rate Bonds; provided, however, that in the case of the conditions specified in clauses (4) and (5) above, that the District shall have provided to the Trustee on the proposed date of release an Officer’s Certificate to the effect that all obligations owing to the Credit Enhancer arising out of or relating to the Credit Facility have been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631" w:right="239" w:bottom="1440" w:gutter="0" w:footer="0" w:header="0"/>
        </w:sectPr>
      </w:pPr>
    </w:p>
    <w:bookmarkStart w:id="209" w:name="page210"/>
    <w:bookmarkEnd w:id="209"/>
    <w:p>
      <w:pPr>
        <w:jc w:val="both"/>
        <w:spacing w:after="0" w:line="294" w:lineRule="auto"/>
        <w:rPr>
          <w:sz w:val="20"/>
          <w:szCs w:val="20"/>
          <w:color w:val="auto"/>
        </w:rPr>
      </w:pPr>
      <w:r>
        <w:rPr>
          <w:rFonts w:ascii="Arial" w:cs="Arial" w:eastAsia="Arial" w:hAnsi="Arial"/>
          <w:sz w:val="19"/>
          <w:szCs w:val="19"/>
          <w:color w:val="auto"/>
        </w:rPr>
        <w:t>paid or provided for to the satisfaction of the Credit Enhancer; provided further, that in the case of the conditions specified in clauses (4) and (5) above, that, if the Credit Enhancer and the Liquidity Bank are the same Person, no release of the Credit Facility shall be effected by the Trustee unless at the same time the Liquidity Facility shall be released to such Person, except with the written consent of such Person, and further provided that if the Bonds are not remarketed, on that day, payment of the Purchase Price of the Bonds has been made through a drawing on the Liquidity Facility. A Credit Facility may be extended from time to time pursuant to the terms thereof without the need for any notice to the Bondholders.</w:t>
      </w:r>
    </w:p>
    <w:p>
      <w:pPr>
        <w:spacing w:after="0" w:line="150" w:lineRule="exact"/>
        <w:rPr>
          <w:sz w:val="20"/>
          <w:szCs w:val="20"/>
          <w:color w:val="auto"/>
        </w:rPr>
      </w:pPr>
    </w:p>
    <w:p>
      <w:pPr>
        <w:jc w:val="both"/>
        <w:ind w:firstLine="656"/>
        <w:spacing w:after="0" w:line="294" w:lineRule="auto"/>
        <w:tabs>
          <w:tab w:leader="none" w:pos="109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Other than in the case of termination of the Credit Facility as a result of an Event of Default under Section 7.01(5), at least 10 Business Days prior to the Credit Facility Termination Date, the Trustee shall send notice by facsimile, first-class mail or overnight delivery, to each Holder of a Daily Rate Bond, a Commercial Paper Rate Bond or a Weekly Rate Bond stating the Credit Facility Termination Date and that after such date the Credit Enhancer shall not be obligated to pay the principal or interest on the Daily Rate Bonds, Commercial Paper Rate Bonds or Weekly Rate Bonds and that all Registered Holders which have not tendered their Bonds for purchase before the Credit Facility Termination Date will be deemed to have tendered such Daily Rate Bonds, Commercial Paper Rate Bonds or Weekly Rate Bonds for purchase on such date.</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Alternate Credit Facility</w:t>
      </w:r>
      <w:r>
        <w:rPr>
          <w:rFonts w:ascii="Arial" w:cs="Arial" w:eastAsia="Arial" w:hAnsi="Arial"/>
          <w:sz w:val="19"/>
          <w:szCs w:val="19"/>
          <w:color w:val="auto"/>
        </w:rPr>
        <w:t>. The Trustee shall accept an alternate Credit Facility in substitution for any Credit Facility then in effect or to confirm the Credit Facility then in effect, or an extension or amendment thereof, only upon: (a) receipt of an Opinion of Bond Counsel, (b) a certificate from the Credit Enhancer to the effect that there are then and will be at the close of business on the date of release and return pursuant to Section 2.21 hereof no obligations owed by the Company to the Credit Enhancer arising out of or relating to the Credit Facility, and (c) receipt of an Opinion of Counsel that (1) such alternate Credit Facility, or extension or amendment, satisfies the conditions of this Section (2) such alternate Credit Facility, or extension or amendments, constitutes a valid, and binding obligation of the obligor thereon and is enforceable in accordance with its terms (except to the extent that the enforceability thereof may be limited by bankruptcy, insolvency, reorganization, moratorium, or other laws for the relief of debtors other than the District or the Company and by general principles of equity which permit the exercise of judicial discretion), (3) such alternate Credit Facility, extension or amendment is not subject to registration under the Securities Act of 1933, as amended, or that such registration requirements have been complied with, and (4) the substitution of such alternate Credit Facility for the Credit Facility then in effect will not adversely affect the exclusion from gross income for federal income tax purposes of interest on any Bond. The Trustee shall not be required to accept any such alternate Credit Facility, extension or amendment which materially adversely affects the rights, duties, or immunities of the Trustee, its agents, or the Tender Agent hereunder. To the extent the Remarketing Agent fails to remarket Bonds pursuant to the Remarketing Agreement, the Trustee shall draw on the existing Credit Facility in connection with any required mandatory tender arising as a result of the proposed acceptance of an alternate Credit Facility and shall not release or surrender the existing Credit Facility until the existing Credit Enhancer has honored such drawing.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632" w:right="239" w:bottom="1440" w:gutter="0" w:footer="0" w:header="0"/>
        </w:sectPr>
      </w:pPr>
    </w:p>
    <w:bookmarkStart w:id="210" w:name="page211"/>
    <w:bookmarkEnd w:id="210"/>
    <w:p>
      <w:pPr>
        <w:jc w:val="both"/>
        <w:ind w:firstLine="648"/>
        <w:spacing w:after="0" w:line="253" w:lineRule="auto"/>
        <w:rPr>
          <w:sz w:val="20"/>
          <w:szCs w:val="20"/>
          <w:color w:val="auto"/>
        </w:rPr>
      </w:pPr>
      <w:r>
        <w:rPr>
          <w:rFonts w:ascii="Arial" w:cs="Arial" w:eastAsia="Arial" w:hAnsi="Arial"/>
          <w:sz w:val="22"/>
          <w:szCs w:val="22"/>
          <w:color w:val="auto"/>
        </w:rPr>
        <w:t>The Trustee shall receive notice from the District at least 35 days prior to the proposed substitution of an alternate Credit Facility and the Trustee shall give written notice to the Bondholders of such substitution at least 10 Business Days prior to the substitution date.</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2.23 </w:t>
      </w:r>
      <w:r>
        <w:rPr>
          <w:rFonts w:ascii="Arial" w:cs="Arial" w:eastAsia="Arial" w:hAnsi="Arial"/>
          <w:sz w:val="21"/>
          <w:szCs w:val="21"/>
          <w:u w:val="single" w:color="auto"/>
          <w:color w:val="auto"/>
        </w:rPr>
        <w:t>Additional Bonds</w:t>
      </w:r>
      <w:r>
        <w:rPr>
          <w:rFonts w:ascii="Arial" w:cs="Arial" w:eastAsia="Arial" w:hAnsi="Arial"/>
          <w:sz w:val="21"/>
          <w:szCs w:val="21"/>
          <w:color w:val="auto"/>
        </w:rPr>
        <w:t>. In addition to the Series 2016 Bonds, the District, solely while all of the Outstanding Bonds are Initial Bonds, may in its discretion, issue Additional Bonds solely for the purpose of financing improvements to, or upgrading, refurbishing or completing, the Project or refunding Outstanding Bonds, and related financing costs and expenses. Such Additional Bonds will bear interest at the interest rate determined on or about the date of issuance thereof. No such Additional Bonds shall be issued unless such Additional Bonds are issued as Initial Bonds and:</w:t>
      </w:r>
    </w:p>
    <w:p>
      <w:pPr>
        <w:spacing w:after="0" w:line="174" w:lineRule="exact"/>
        <w:rPr>
          <w:sz w:val="20"/>
          <w:szCs w:val="20"/>
          <w:color w:val="auto"/>
        </w:rPr>
      </w:pPr>
    </w:p>
    <w:p>
      <w:pPr>
        <w:ind w:firstLine="656"/>
        <w:spacing w:after="0" w:line="276" w:lineRule="auto"/>
        <w:tabs>
          <w:tab w:leader="none" w:pos="112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the opinion of Bond Counsel, the issuance of the Additional Bonds shall not adversely affect the exemption from income taxation under Section 103 of the Internal Revenue Code of the Outstanding Bonds.</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7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under the Bond Documents, or (with or without the giving of notice or lapse of time or both) will result from the issuance of such Additional Bonds, and the District shall deliver to the Trustee a certificate to such effect.</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0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any Bonds other than the Additional Bonds will remain Outstanding after the issue date of such Additional Bonds, the District and the Trustee shall have received written confirmation from each Rating Service then rating the Bonds, if any, that the issuance of such Additional Bonds shall not result in a downgrade or withdrawal of the rating then in effect with respect to the Initial Bonds.</w:t>
      </w:r>
    </w:p>
    <w:p>
      <w:pPr>
        <w:spacing w:after="0" w:line="185" w:lineRule="exact"/>
        <w:rPr>
          <w:rFonts w:ascii="Arial" w:cs="Arial" w:eastAsia="Arial" w:hAnsi="Arial"/>
          <w:sz w:val="22"/>
          <w:szCs w:val="22"/>
          <w:color w:val="auto"/>
        </w:rPr>
      </w:pPr>
    </w:p>
    <w:p>
      <w:pPr>
        <w:jc w:val="both"/>
        <w:ind w:firstLine="656"/>
        <w:spacing w:after="0" w:line="287" w:lineRule="auto"/>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There is delivered to the Trustee (i) an amendment to the Standby Bond Purchase Agreement pursuant to which (A) the Company and Jefferson Holdings shall agree to pay the Purchase Price of all Outstanding Bonds, including such Additional Bonds, tendered (or deemed tendered) on the following Initial Bonds Remarketing Date in the event any of such Outstanding Bonds have not been repurchased from proceeds of a remarketing or redeemed, or defeased to a date on or prior to such following Initial Bonds Remarketing Date; and (B) Jefferson Holdings shall guarantee the payment of all Rent and all principal of, premium, if any, and interest on all Outstanding Bonds, including such Additional Bonds, payable prior to repurchase of such Outstanding Bonds from proceeds of a remarketing or redemption of such Outstanding Bonds or defeasance of such Outstanding Bonds to a date, in each case, on or prior to the ensuing Initial Bonds Remarketing Date; (ii) an amendment to the Capital Call Agreement, pursuant to which FTAI shall agree (A) to provide funds sufficient to permit Jefferson Holdings to satisfy its obligations under the Standby Bond Purchase Agreement, as amended in connection with the foregoing; (B) to maintain on a consolidated basis “Total equity,” as reflected in FTAI’s quarterly and annual reports filed with the SEC (or the equivalent thereof as reported by any successor to or assign of FTAI in accordance with the Capital Call Agreement), that is not less than two times the aggregate principal of and interest payable on or before the ensuing Initial Bonds Remarketing Date on all Outstanding Bonds, including such Additional Bonds; provided that FTAI may satisfy any deficiency between such “Total equity” and the amount that is two times the aggregate principal of and interest payable 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631" w:right="239" w:bottom="1440" w:gutter="0" w:footer="0" w:header="0"/>
        </w:sectPr>
      </w:pPr>
    </w:p>
    <w:bookmarkStart w:id="211" w:name="page212"/>
    <w:bookmarkEnd w:id="211"/>
    <w:p>
      <w:pPr>
        <w:jc w:val="both"/>
        <w:spacing w:after="0" w:line="286" w:lineRule="auto"/>
        <w:rPr>
          <w:sz w:val="20"/>
          <w:szCs w:val="20"/>
          <w:color w:val="auto"/>
        </w:rPr>
      </w:pPr>
      <w:r>
        <w:rPr>
          <w:rFonts w:ascii="Arial" w:cs="Arial" w:eastAsia="Arial" w:hAnsi="Arial"/>
          <w:sz w:val="19"/>
          <w:szCs w:val="19"/>
          <w:color w:val="auto"/>
        </w:rPr>
        <w:t>or before the ensuing Initial Bonds Remarketing Date on all Outstanding Bonds, including such Additional Bonds, as provided for in the Capital Call Agreement; (C) to maintain on a consolidated basis an aggregate book value of Aviation Assets that is not less than (1) the aggregate principal of and interest payable on or before the ensuing Initial Bonds Remarketing Date on all Outstanding Bonds, including such Additional Bonds, less (2) any cash held in the Reserve Fund on the date of determination; (D) not to, and cause the Aviation Subsidiaries not to, incur any liens securing indebtedness for borrowed money or capital leases on any assets of the Aviation Subsidiaries, other than certain liens permissible pursuant to the Capital Call Agreement; and (E) in the event that FTAI and its Aviation Subsidiaries are not in compliance with the covenants described above, and such noncompliance continues for two consecutive quarter-end dates as reflected in FTAI’s quarterly and annual reports filed with the SEC or the equivalent thereof as reported by any successor to or assign of FTAI (or, with respect to clause (D) above, such noncompliance continues for a period of not less than 90 days), FTAI will contribute to Jefferson Holdings an amount in cash equal to (1) the then-applicable Available Commitment, which amount will be held in the Reserve Fund, less (2) any cash held in the Reserve Fund on the date of determination (prior to any required contribution made pursuant to clause (1) above); and (iii) an amendment to the Facilities Lease providing for Facilities Lease Rent sufficient to furnish the payment of principal of and interest on all Outstanding Bonds, including such Additional Bonds (but not the Purchase Price therefor), as the same shall respectively be due and payable until all such Outstanding Bonds have been repurchased from proceeds of a remarketing or redeemed, or defeased to a date on or prior to such following Initial Bonds Remarketing Date.</w:t>
      </w:r>
    </w:p>
    <w:p>
      <w:pPr>
        <w:spacing w:after="0" w:line="200" w:lineRule="exact"/>
        <w:rPr>
          <w:sz w:val="20"/>
          <w:szCs w:val="20"/>
          <w:color w:val="auto"/>
        </w:rPr>
      </w:pPr>
    </w:p>
    <w:p>
      <w:pPr>
        <w:spacing w:after="0" w:line="216" w:lineRule="exact"/>
        <w:rPr>
          <w:sz w:val="20"/>
          <w:szCs w:val="20"/>
          <w:color w:val="auto"/>
        </w:rPr>
      </w:pPr>
    </w:p>
    <w:p>
      <w:pPr>
        <w:jc w:val="both"/>
        <w:ind w:firstLine="656"/>
        <w:spacing w:after="0" w:line="320" w:lineRule="auto"/>
        <w:tabs>
          <w:tab w:leader="none" w:pos="108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Additional Bonds of each such series shall be authenticated by the Trustee and/or registered by the Comptroller of Public Accounts of the State and, upon payment to the Trustee of the proceeds of said sale of Additional Bonds, they shall be delivered by the Trustee to the purchasers thereof, but only upon there being filed with the Trustee the following items:</w:t>
      </w:r>
    </w:p>
    <w:p>
      <w:pPr>
        <w:spacing w:after="0" w:line="125" w:lineRule="exact"/>
        <w:rPr>
          <w:rFonts w:ascii="Arial" w:cs="Arial" w:eastAsia="Arial" w:hAnsi="Arial"/>
          <w:sz w:val="19"/>
          <w:szCs w:val="19"/>
          <w:color w:val="auto"/>
        </w:rPr>
      </w:pPr>
    </w:p>
    <w:p>
      <w:pPr>
        <w:jc w:val="both"/>
        <w:ind w:left="660" w:firstLine="1941"/>
        <w:spacing w:after="0" w:line="260" w:lineRule="auto"/>
        <w:tabs>
          <w:tab w:leader="none" w:pos="312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An opinion of Bond Counsel that, among other things, the Additional Bonds are valid and binding obligations of the District and, if interest thereon is intended to be excluded from federal income tax, that interest thereon is excluded from federal income tax.</w:t>
      </w:r>
    </w:p>
    <w:p>
      <w:pPr>
        <w:spacing w:after="0" w:line="177" w:lineRule="exact"/>
        <w:rPr>
          <w:rFonts w:ascii="Arial" w:cs="Arial" w:eastAsia="Arial" w:hAnsi="Arial"/>
          <w:sz w:val="22"/>
          <w:szCs w:val="22"/>
          <w:color w:val="auto"/>
        </w:rPr>
      </w:pPr>
    </w:p>
    <w:p>
      <w:pPr>
        <w:ind w:left="3060" w:hanging="459"/>
        <w:spacing w:after="0"/>
        <w:tabs>
          <w:tab w:leader="none" w:pos="30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 Supplemental Indenture setting forth the terms of the Additional Bonds, which may be issued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 any Interest Rate Mode.</w:t>
      </w:r>
    </w:p>
    <w:p>
      <w:pPr>
        <w:spacing w:after="0" w:line="215" w:lineRule="exact"/>
        <w:rPr>
          <w:rFonts w:ascii="Arial" w:cs="Arial" w:eastAsia="Arial" w:hAnsi="Arial"/>
          <w:sz w:val="19"/>
          <w:szCs w:val="19"/>
          <w:color w:val="auto"/>
        </w:rPr>
      </w:pPr>
    </w:p>
    <w:p>
      <w:pPr>
        <w:jc w:val="both"/>
        <w:ind w:left="660" w:firstLine="1941"/>
        <w:spacing w:after="0" w:line="264" w:lineRule="auto"/>
        <w:tabs>
          <w:tab w:leader="none" w:pos="3122" w:val="left"/>
        </w:tabs>
        <w:numPr>
          <w:ilvl w:val="1"/>
          <w:numId w:val="120"/>
        </w:numPr>
        <w:rPr>
          <w:rFonts w:ascii="Arial" w:cs="Arial" w:eastAsia="Arial" w:hAnsi="Arial"/>
          <w:sz w:val="21"/>
          <w:szCs w:val="21"/>
          <w:color w:val="auto"/>
        </w:rPr>
      </w:pPr>
      <w:r>
        <w:rPr>
          <w:rFonts w:ascii="Arial" w:cs="Arial" w:eastAsia="Arial" w:hAnsi="Arial"/>
          <w:sz w:val="21"/>
          <w:szCs w:val="21"/>
          <w:color w:val="auto"/>
        </w:rPr>
        <w:t>a copy, duly certified by the Secretary of the District, of the resolution adopted on behalf of the District authorizing (A) the execution and delivery of an indenture supplemental to this Indenture authorizing such Additional Bonds, (B) the execution and delivery of an amendment to the Facilities Lease reflecting the additional amounts required under the Facilities Lease, (C) the execution and delivery of the amendments to the Standby Bond Purchase Agreement and Capital Call Agreement described in Section 2.23(d) hereof, and (D) if the purpose of the Additional Bonds includes refunding, the payment and redemption of the Bonds to be refunded;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631" w:right="239" w:bottom="1440" w:gutter="0" w:footer="0" w:header="0"/>
        </w:sectPr>
      </w:pPr>
    </w:p>
    <w:bookmarkStart w:id="212" w:name="page213"/>
    <w:bookmarkEnd w:id="212"/>
    <w:p>
      <w:pPr>
        <w:ind w:left="2544" w:hanging="599"/>
        <w:spacing w:after="0"/>
        <w:tabs>
          <w:tab w:leader="none" w:pos="2544" w:val="left"/>
        </w:tabs>
        <w:numPr>
          <w:ilvl w:val="1"/>
          <w:numId w:val="121"/>
        </w:numPr>
        <w:rPr>
          <w:rFonts w:ascii="Arial" w:cs="Arial" w:eastAsia="Arial" w:hAnsi="Arial"/>
          <w:sz w:val="21"/>
          <w:szCs w:val="21"/>
          <w:color w:val="auto"/>
        </w:rPr>
      </w:pPr>
      <w:r>
        <w:rPr>
          <w:rFonts w:ascii="Arial" w:cs="Arial" w:eastAsia="Arial" w:hAnsi="Arial"/>
          <w:sz w:val="21"/>
          <w:szCs w:val="21"/>
          <w:color w:val="auto"/>
        </w:rPr>
        <w:t>if the purpose of the Additional Bonds includes refunding, certification by the District that</w:t>
      </w:r>
    </w:p>
    <w:p>
      <w:pPr>
        <w:spacing w:after="0" w:line="33" w:lineRule="exact"/>
        <w:rPr>
          <w:rFonts w:ascii="Arial" w:cs="Arial" w:eastAsia="Arial" w:hAnsi="Arial"/>
          <w:sz w:val="21"/>
          <w:szCs w:val="21"/>
          <w:color w:val="auto"/>
        </w:rPr>
      </w:pPr>
    </w:p>
    <w:p>
      <w:pPr>
        <w:ind w:left="364" w:hanging="364"/>
        <w:spacing w:after="0"/>
        <w:tabs>
          <w:tab w:leader="none" w:pos="36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notice of redemption of the Bonds to be refunded has been duly given or that provision has been made therefor, and</w:t>
      </w:r>
    </w:p>
    <w:p>
      <w:pPr>
        <w:spacing w:after="0" w:line="51" w:lineRule="exact"/>
        <w:rPr>
          <w:rFonts w:ascii="Arial" w:cs="Arial" w:eastAsia="Arial" w:hAnsi="Arial"/>
          <w:sz w:val="19"/>
          <w:szCs w:val="19"/>
          <w:color w:val="auto"/>
        </w:rPr>
      </w:pPr>
    </w:p>
    <w:p>
      <w:pPr>
        <w:jc w:val="both"/>
        <w:ind w:left="4" w:hanging="4"/>
        <w:spacing w:after="0" w:line="245" w:lineRule="auto"/>
        <w:tabs>
          <w:tab w:leader="none" w:pos="37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proceeds of the issue plus any other amounts stated to be available for the purpose will be sufficient to pay the principal or redemption price of such Bonds at maturity or on the redemption date plus interest accrued to such date or dates, together with all other costs and expenses related to the refunding;</w:t>
      </w:r>
    </w:p>
    <w:p>
      <w:pPr>
        <w:spacing w:after="0" w:line="193" w:lineRule="exact"/>
        <w:rPr>
          <w:rFonts w:ascii="Arial" w:cs="Arial" w:eastAsia="Arial" w:hAnsi="Arial"/>
          <w:sz w:val="22"/>
          <w:szCs w:val="22"/>
          <w:color w:val="auto"/>
        </w:rPr>
      </w:pPr>
    </w:p>
    <w:p>
      <w:pPr>
        <w:jc w:val="both"/>
        <w:ind w:left="4" w:firstLine="1941"/>
        <w:spacing w:after="0" w:line="300" w:lineRule="auto"/>
        <w:tabs>
          <w:tab w:leader="none" w:pos="239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originally executed counterparts of (A) an indenture supplemental to this Indenture setting forth the date or dates of the Additional Bonds, the rate or rates of interest on the Additional Bonds, the time or times of payment of the interest thereon and the principal thereof, the redemption provisions with respect thereto, and other details with respect to the Additional Bonds, (B) any amendment to the Facilities Lease relating to such Additional Bonds and (C) any amendment to the Standby Bond Purchase Agreement relating to such Additional Bonds;</w:t>
      </w:r>
    </w:p>
    <w:p>
      <w:pPr>
        <w:spacing w:after="0" w:line="147" w:lineRule="exact"/>
        <w:rPr>
          <w:rFonts w:ascii="Arial" w:cs="Arial" w:eastAsia="Arial" w:hAnsi="Arial"/>
          <w:sz w:val="19"/>
          <w:szCs w:val="19"/>
          <w:color w:val="auto"/>
        </w:rPr>
      </w:pPr>
    </w:p>
    <w:p>
      <w:pPr>
        <w:jc w:val="both"/>
        <w:ind w:left="4" w:firstLine="1941"/>
        <w:spacing w:after="0" w:line="260" w:lineRule="auto"/>
        <w:tabs>
          <w:tab w:leader="none" w:pos="245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 opinion of counsel addressed to the Trustee stating that the supplemental indenture complies with Article IX of this Indenture, and that all conditions precedent to the execution and delivery of such documents have been met;</w:t>
      </w:r>
    </w:p>
    <w:p>
      <w:pPr>
        <w:spacing w:after="0" w:line="177" w:lineRule="exact"/>
        <w:rPr>
          <w:rFonts w:ascii="Arial" w:cs="Arial" w:eastAsia="Arial" w:hAnsi="Arial"/>
          <w:sz w:val="22"/>
          <w:szCs w:val="22"/>
          <w:color w:val="auto"/>
        </w:rPr>
      </w:pPr>
    </w:p>
    <w:p>
      <w:pPr>
        <w:jc w:val="both"/>
        <w:ind w:left="4" w:firstLine="1941"/>
        <w:spacing w:after="0" w:line="250" w:lineRule="auto"/>
        <w:tabs>
          <w:tab w:leader="none" w:pos="250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such customary opinions of counsel and officer’s certificates as are reasonably requested by the Trustee or counsel to the underwriter for the Additional Bonds, including, but not limited to, with respect to the existence and good standing of the District and the Company, the authorization, validity, and enforceability of such supplemental indenture, the Additional Bonds, any amendment to the Facilities Lease and any amendment to the Standby Bond Purchase Agreement, and other matters regarding the execution and delivery of such documents and the issuance of such Additional Bonds;</w:t>
      </w:r>
    </w:p>
    <w:p>
      <w:pPr>
        <w:spacing w:after="0" w:line="188" w:lineRule="exact"/>
        <w:rPr>
          <w:rFonts w:ascii="Arial" w:cs="Arial" w:eastAsia="Arial" w:hAnsi="Arial"/>
          <w:sz w:val="22"/>
          <w:szCs w:val="22"/>
          <w:color w:val="auto"/>
        </w:rPr>
      </w:pPr>
    </w:p>
    <w:p>
      <w:pPr>
        <w:jc w:val="both"/>
        <w:ind w:left="4" w:firstLine="1941"/>
        <w:spacing w:after="0" w:line="260" w:lineRule="auto"/>
        <w:tabs>
          <w:tab w:leader="none" w:pos="2642"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 opinion of Bond Counsel addressed to the District and the Trustee to the effect that the issuance of the proposed Additional Bonds will not cause the interest on Outstanding Bonds to be includable in the gross income of the owners thereof for purposes of federal income taxation;</w:t>
      </w:r>
    </w:p>
    <w:p>
      <w:pPr>
        <w:spacing w:after="0" w:line="177" w:lineRule="exact"/>
        <w:rPr>
          <w:rFonts w:ascii="Arial" w:cs="Arial" w:eastAsia="Arial" w:hAnsi="Arial"/>
          <w:sz w:val="22"/>
          <w:szCs w:val="22"/>
          <w:color w:val="auto"/>
        </w:rPr>
      </w:pPr>
    </w:p>
    <w:p>
      <w:pPr>
        <w:jc w:val="both"/>
        <w:ind w:left="4" w:firstLine="1941"/>
        <w:spacing w:after="0" w:line="254" w:lineRule="auto"/>
        <w:tabs>
          <w:tab w:leader="none" w:pos="257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written order to the Trustee by the District to authenticate, if necessary, and deliver the Additional Bonds to the purchasers therein identified, upon payment to the Trustee for the account of the District of the sum specified in such written order. Such written order shall direct the Trustee as to the disposition of the proceeds of such Additional Bonds; and</w:t>
      </w:r>
    </w:p>
    <w:p>
      <w:pPr>
        <w:spacing w:after="0" w:line="185" w:lineRule="exact"/>
        <w:rPr>
          <w:rFonts w:ascii="Arial" w:cs="Arial" w:eastAsia="Arial" w:hAnsi="Arial"/>
          <w:sz w:val="22"/>
          <w:szCs w:val="22"/>
          <w:color w:val="auto"/>
        </w:rPr>
      </w:pPr>
    </w:p>
    <w:p>
      <w:pPr>
        <w:ind w:left="2384" w:hanging="439"/>
        <w:spacing w:after="0"/>
        <w:tabs>
          <w:tab w:leader="none" w:pos="238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such other documents and/or agreements as may reasonably be requested by the Trustee or Bond</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Counsel.</w:t>
      </w:r>
    </w:p>
    <w:p>
      <w:pPr>
        <w:spacing w:after="0" w:line="200" w:lineRule="exact"/>
        <w:rPr>
          <w:sz w:val="20"/>
          <w:szCs w:val="20"/>
          <w:color w:val="auto"/>
        </w:rPr>
      </w:pPr>
    </w:p>
    <w:p>
      <w:pPr>
        <w:spacing w:after="0" w:line="252"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0764"/>
          </w:cols>
          <w:pgMar w:left="896" w:top="632" w:right="239" w:bottom="1440" w:gutter="0" w:footer="0" w:header="0"/>
        </w:sectPr>
      </w:pPr>
    </w:p>
    <w:bookmarkStart w:id="213" w:name="page214"/>
    <w:bookmarkEnd w:id="213"/>
    <w:p>
      <w:pPr>
        <w:jc w:val="both"/>
        <w:ind w:firstLine="656"/>
        <w:spacing w:after="0" w:line="260" w:lineRule="auto"/>
        <w:tabs>
          <w:tab w:leader="none" w:pos="105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Interest on such Additional Bonds shall be payable only on February 1 and/or August 1 of each year, and the principal thereof shall neither be due nor subject to mandatory redemption or mandatory purchase on a date other than the Initial Bonds Remarketing Date for the Initial Bonds then Outstanding.</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20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series of Additional Bonds issued pursuant to this Section shall be issued and secured under this Indenture equally and ratably with respect to all Bonds then Outstanding, by the Trust Estate in accordance with the terms hereof. Each series of Additional Bonds shall be approved by the Texas Attorney General to the extent required by applicable State law at the time of the issuance thereof.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OF BONDS</w:t>
      </w:r>
    </w:p>
    <w:p>
      <w:pPr>
        <w:spacing w:after="0" w:line="22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Redemption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6" w:lineRule="auto"/>
        <w:tabs>
          <w:tab w:leader="none" w:pos="1163"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The Initial Bonds shall be subject to redemption as set forth in the Approval Certificate. The Daily Rate Bonds shall be subject to redemption as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form of Daily Rate Bond. The Commercial Paper Rate Bonds shall be subject to redemption as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form of Commercial Paper Rate Bond. The Fixed Rate Bonds shall be subject to redemption as set forth in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the form of Fixed Rate Bond. The Weekly Rate Bonds shall be subject to redemption as set forth in </w:t>
      </w:r>
      <w:r>
        <w:rPr>
          <w:rFonts w:ascii="Arial" w:cs="Arial" w:eastAsia="Arial" w:hAnsi="Arial"/>
          <w:sz w:val="21"/>
          <w:szCs w:val="21"/>
          <w:u w:val="single" w:color="auto"/>
          <w:color w:val="auto"/>
        </w:rPr>
        <w:t>Exhibit E</w:t>
      </w:r>
      <w:r>
        <w:rPr>
          <w:rFonts w:ascii="Arial" w:cs="Arial" w:eastAsia="Arial" w:hAnsi="Arial"/>
          <w:sz w:val="21"/>
          <w:szCs w:val="21"/>
          <w:color w:val="auto"/>
        </w:rPr>
        <w:t>, the form of Weekly Rate Bond.</w:t>
      </w:r>
    </w:p>
    <w:p>
      <w:pPr>
        <w:spacing w:after="0" w:line="174" w:lineRule="exact"/>
        <w:rPr>
          <w:rFonts w:ascii="Arial" w:cs="Arial" w:eastAsia="Arial" w:hAnsi="Arial"/>
          <w:sz w:val="21"/>
          <w:szCs w:val="21"/>
          <w:color w:val="auto"/>
        </w:rPr>
      </w:pPr>
    </w:p>
    <w:p>
      <w:pPr>
        <w:jc w:val="both"/>
        <w:ind w:firstLine="656"/>
        <w:spacing w:after="0" w:line="290" w:lineRule="auto"/>
        <w:tabs>
          <w:tab w:leader="none" w:pos="108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Conditional Notice of Redemption</w:t>
      </w:r>
      <w:r>
        <w:rPr>
          <w:rFonts w:ascii="Arial" w:cs="Arial" w:eastAsia="Arial" w:hAnsi="Arial"/>
          <w:sz w:val="19"/>
          <w:szCs w:val="19"/>
          <w:color w:val="auto"/>
        </w:rPr>
        <w:t>. In the case of the election by the District to redeem Bonds, the District reserves the right to give notice of its election or direction to redeem Bonds conditioned upon the occurrence of subsequent events, including, but not limited to, the availability of funds on deposit for such redemption on the redemption date. In such a case, the notice of redemption shall state the condition or conditions of such redemption. If the condition or conditions are not fulfilled, the District shall promptly give the Trustee notice thereof (in a timely manner to permit the Trustee to give notice to the Depository in a timely manner in accordance with the rules and regulations of the Depository), and the Trustee shall give prompt notice of any such rescission of a conditional notice of redemption to the affected Holders of the Bonds. Any Bonds subject to conditional redemption whose redemption has been rescinded shall remain Outstanding, and the rescission of such redemption shall not constitute an Event of Default. Further, in the case of a conditional redemption, the failure of the District to make monies and or authorized securities available in part or in whole on or before the redemption date shall not constitute an Event of Default.</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Election to Redeem; Notice to Trustee</w:t>
      </w:r>
      <w:r>
        <w:rPr>
          <w:rFonts w:ascii="Arial" w:cs="Arial" w:eastAsia="Arial" w:hAnsi="Arial"/>
          <w:sz w:val="22"/>
          <w:szCs w:val="22"/>
          <w:color w:val="auto"/>
        </w:rPr>
        <w:t>. The District shall have the right to redeem Bonds that are subject to redemption, upon written notice to the Trustee provided not less than five (5) days prior to the date the Trustee is required to provide notice to Bondholders of such redemption.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Selection of Bonds to be Redeemed</w:t>
      </w:r>
      <w:r>
        <w:rPr>
          <w:rFonts w:ascii="Arial" w:cs="Arial" w:eastAsia="Arial" w:hAnsi="Arial"/>
          <w:sz w:val="22"/>
          <w:szCs w:val="22"/>
          <w:color w:val="auto"/>
        </w:rPr>
        <w:t>. If less than all of the Bonds of a particular Stated Maturity are to be redeemed, the particular Bonds to be redeemed shall be selected prior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631" w:right="239" w:bottom="1440" w:gutter="0" w:footer="0" w:header="0"/>
        </w:sectPr>
      </w:pPr>
    </w:p>
    <w:bookmarkStart w:id="214" w:name="page215"/>
    <w:bookmarkEnd w:id="214"/>
    <w:p>
      <w:pPr>
        <w:jc w:val="both"/>
        <w:spacing w:after="0" w:line="261" w:lineRule="auto"/>
        <w:rPr>
          <w:sz w:val="20"/>
          <w:szCs w:val="20"/>
          <w:color w:val="auto"/>
        </w:rPr>
      </w:pPr>
      <w:r>
        <w:rPr>
          <w:rFonts w:ascii="Arial" w:cs="Arial" w:eastAsia="Arial" w:hAnsi="Arial"/>
          <w:sz w:val="21"/>
          <w:szCs w:val="21"/>
          <w:color w:val="auto"/>
        </w:rPr>
        <w:t>the redemption date by the District from the Outstanding Bonds of such Stated Maturity not previously called for redemption. The District may select Bonds for redemption of portions (equal to an Authorized Denomination) of the principal of Bonds of a denomination larger than the minimum Authorized Denomination. In any case, Liquidity Bank Bonds shall be redeemed prior to other Multi-Modal Bonds. If the District does not otherwise give written advice to the Trustee regarding means of the selection of Bonds, selection of the Bonds for redemption will be made by the Trustee by lot or by such method as the Trustee shall determine and which is in accordance with the procedures of the Depository.</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all purposes of this Indenture, unless the context otherwise requires, all provisions relating to the redemption of Bonds shall relate, in the case of any Bond redeemed or to be redeemed only in part, to the portion of the principal of such Bond that has been or is to be redeemed.</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Notice of Redemption</w:t>
      </w:r>
      <w:r>
        <w:rPr>
          <w:rFonts w:ascii="Arial" w:cs="Arial" w:eastAsia="Arial" w:hAnsi="Arial"/>
          <w:sz w:val="19"/>
          <w:szCs w:val="19"/>
          <w:color w:val="auto"/>
        </w:rPr>
        <w:t>. Notice of redemption will be sent by electronic transmission (for Bonds held in book-entry form) or by first-class mail, postage prepaid, of not less than fifteen (15) days in case of Bonds in an Interest Mode other than the Fixed Rate or the Initial Rate, and not less than thirty (30) days in the case of Bonds bearing interest at a Fixed Rate or an Initial Rate, prior to the redemption date (provided, however, that notice of redemption is not necessary for any Bonds subject to mandatory tender on such redemption date), to each Holder of Bonds to be redeemed, in accordance with the procedures of the Depository or at such Holder’s address appearing in the Bond Register. In addition, if Bonds are not in book entry, notice of redemption shall be sent by overnight delivery service contemporaneously with such mailing to two or more information services of national recognition that disseminate redemption information with respect to municipal bonds.</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All notices of redemption shall state: (1) the redemption date; (2) the redemption price; (3) the identification, including complete official name and series designation of the Bonds and the CUSIP number (and in the case of partial redemption, the respective principal amounts) and maturity dates of the Bonds to be redeemed; (4) that on the redemption date, the redemption price having been deposited with the Trustee, each of the Bonds to be redeemed will become due and payable and that interest thereon shall cease to accrue from and after said date; (5) the name and address of the Trustee and any Paying Agent for such Bonds, including the telephone number of a contact person and the place where such Bonds are to be surrendered for payment of the redemption price; and (6) each condition to such redemption and, if applicable, that, in the District’s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Notice of redemption of Bonds to be redeemed shall be given by the Trustee in the name of the District and at the expense of the Company. Any failure to give a notice of redemption of any Bond (or any defect therein) shall not affect the proceedings for redemption of any other Bonds.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no notice of redemption shall be required with respect to any Bond tendered or deemed tendered for purchase on the redemption date which is redeemed in lieu of purchase.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631" w:right="239" w:bottom="1440" w:gutter="0" w:footer="0" w:header="0"/>
        </w:sectPr>
      </w:pPr>
    </w:p>
    <w:bookmarkStart w:id="215" w:name="page216"/>
    <w:bookmarkEnd w:id="215"/>
    <w:p>
      <w:pPr>
        <w:jc w:val="both"/>
        <w:ind w:firstLine="648"/>
        <w:spacing w:after="0" w:line="307"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 Subject to the condition described in Section 3.04(6), on or prior to any redemption date, the District shall deposit with the Trustee or with a Paying Agent an amount of money sufficient to pay the redemption price (which shall, in all cases, be from Pledged Revenues or from the refinancing of such Bonds) or if being purchased pursuant to Section 3.08 hereof, the purchase price, of all the Bonds which are to be redeemed or purchased on such date.</w:t>
      </w:r>
    </w:p>
    <w:p>
      <w:pPr>
        <w:spacing w:after="0" w:line="1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Bonds Payable on Redemption Date</w:t>
      </w:r>
      <w:r>
        <w:rPr>
          <w:rFonts w:ascii="Arial" w:cs="Arial" w:eastAsia="Arial" w:hAnsi="Arial"/>
          <w:sz w:val="21"/>
          <w:szCs w:val="21"/>
          <w:color w:val="auto"/>
        </w:rPr>
        <w:t>. Subject to Section 3.08 hereof, notice of redemption having been given as aforesaid, and the deposit described in Section 3.05 having been made, and all conditions to such redemption having been fulfilled, the Bonds so to be redeemed shall, on the redemption date, become due and payable at the redemption price therein specified, and from and after such date such Bonds shall cease to bear interest. Upon surrender of any such Bond for redemption in accordance with said notice, such Bond shall be paid by the District at the redemption price. Installments of interest whose Stated Maturity is on or prior to the redemption date shall be payable to the Holders of such Bonds registered as such on the relevant Record Dates according to their terms.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any Bond called for redemption shall not be so paid upon surrender thereof for redemption, the principal shall, until paid, bear interest from the redemption date at the rate borne by the Bond.</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Bonds Redeemed in Part</w:t>
      </w:r>
      <w:r>
        <w:rPr>
          <w:rFonts w:ascii="Arial" w:cs="Arial" w:eastAsia="Arial" w:hAnsi="Arial"/>
          <w:sz w:val="19"/>
          <w:szCs w:val="19"/>
          <w:color w:val="auto"/>
        </w:rPr>
        <w:t>. Any Bond which is to be redeemed only in part shall be surrendered at a Place of Payment (with, if the District or the Trustee so requires, due endorsement by, or a written instrument of transfer in form satisfactory to the District and the Trustee duly executed by, the Holder thereof or his attorney duly authorized in writing) and the District shall execute and the Trustee shall authenticate and deliver to the Holder of such Bond without service charge, a new Bond or Bonds of the same interest rate and Stated Maturity and of any Authorized Denomination as requested by such Holder in aggregate principal amount equal to and in exchange for the unredeemed portion of the principal of the Bond so surrendered.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FUNDS AND INVESTMENTS</w:t>
      </w:r>
    </w:p>
    <w:p>
      <w:pPr>
        <w:spacing w:after="0" w:line="2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Establishment of Funds</w:t>
      </w:r>
      <w:r>
        <w:rPr>
          <w:rFonts w:ascii="Arial" w:cs="Arial" w:eastAsia="Arial" w:hAnsi="Arial"/>
          <w:sz w:val="21"/>
          <w:szCs w:val="21"/>
          <w:color w:val="auto"/>
        </w:rPr>
        <w:t>. The District hereby establishes with the Trustee the Credit Facility Fund, the Debt Service Fund, the Project Fund, the Costs of Issuance Fund, the Purchase Fund, the Closing Fund and the Rebate Fund, and the Trustee shall establish and hold the Reserve Fund for the benefit of Jefferson Holdings (such Funds collectively, the “</w:t>
      </w:r>
      <w:r>
        <w:rPr>
          <w:rFonts w:ascii="Arial" w:cs="Arial" w:eastAsia="Arial" w:hAnsi="Arial"/>
          <w:sz w:val="21"/>
          <w:szCs w:val="21"/>
          <w:u w:val="single" w:color="auto"/>
          <w:color w:val="auto"/>
        </w:rPr>
        <w:t>Funds</w:t>
      </w:r>
      <w:r>
        <w:rPr>
          <w:rFonts w:ascii="Arial" w:cs="Arial" w:eastAsia="Arial" w:hAnsi="Arial"/>
          <w:sz w:val="21"/>
          <w:szCs w:val="21"/>
          <w:color w:val="auto"/>
        </w:rPr>
        <w:t>”). The District reserves the right to establish additional trust funds or accounts from time to time.</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Costs of Issuance Fund</w:t>
      </w:r>
      <w:r>
        <w:rPr>
          <w:rFonts w:ascii="Arial" w:cs="Arial" w:eastAsia="Arial" w:hAnsi="Arial"/>
          <w:sz w:val="19"/>
          <w:szCs w:val="19"/>
          <w:color w:val="auto"/>
        </w:rPr>
        <w:t>. There is hereby created by the District and established with the Trustee the special fund of the District designated its “Dock and Wharf Facility Revenue Bonds, Series 2016 (Jefferson Energy Companies Project) Costs of Issuance Fund” (herein referred to as the “</w:t>
      </w:r>
      <w:r>
        <w:rPr>
          <w:rFonts w:ascii="Arial" w:cs="Arial" w:eastAsia="Arial" w:hAnsi="Arial"/>
          <w:sz w:val="19"/>
          <w:szCs w:val="19"/>
          <w:u w:val="single" w:color="auto"/>
          <w:color w:val="auto"/>
        </w:rPr>
        <w:t>Costs of Issuance Fund</w:t>
      </w:r>
      <w:r>
        <w:rPr>
          <w:rFonts w:ascii="Arial" w:cs="Arial" w:eastAsia="Arial" w:hAnsi="Arial"/>
          <w:sz w:val="19"/>
          <w:szCs w:val="19"/>
          <w:color w:val="auto"/>
        </w:rPr>
        <w:t>”). On the date of issuance of the Series 2016 Bonds, the Trustee shall (i) transfer the amount set forth in the Approval Certificate from the Closing Fund to the Costs of Issuance Fund and</w:t>
      </w:r>
    </w:p>
    <w:p>
      <w:pPr>
        <w:spacing w:after="0" w:line="2" w:lineRule="exact"/>
        <w:rPr>
          <w:sz w:val="20"/>
          <w:szCs w:val="20"/>
          <w:color w:val="auto"/>
        </w:rPr>
      </w:pPr>
    </w:p>
    <w:p>
      <w:pPr>
        <w:ind w:firstLine="8"/>
        <w:spacing w:after="0" w:line="246" w:lineRule="auto"/>
        <w:tabs>
          <w:tab w:leader="none" w:pos="35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deposit into the Costs of Issuance Fund the amount set forth in the Approval Certificate from pre-paid rent due under the Facilities Lease, if any. Moneys deposited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631" w:right="239" w:bottom="1440" w:gutter="0" w:footer="0" w:header="0"/>
        </w:sectPr>
      </w:pPr>
    </w:p>
    <w:bookmarkStart w:id="216" w:name="page217"/>
    <w:bookmarkEnd w:id="216"/>
    <w:p>
      <w:pPr>
        <w:jc w:val="both"/>
        <w:spacing w:after="0" w:line="246" w:lineRule="auto"/>
        <w:rPr>
          <w:sz w:val="20"/>
          <w:szCs w:val="20"/>
          <w:color w:val="auto"/>
        </w:rPr>
      </w:pPr>
      <w:r>
        <w:rPr>
          <w:rFonts w:ascii="Arial" w:cs="Arial" w:eastAsia="Arial" w:hAnsi="Arial"/>
          <w:sz w:val="22"/>
          <w:szCs w:val="22"/>
          <w:color w:val="auto"/>
        </w:rPr>
        <w:t>in the Costs of Issuance Fund shall be used and withdrawn by the Trustee to pay the Costs of Issuance of the Series 2016 Bonds upon District Order (which may be in the form of an executed closing memorandum accompanied by a Requisition Certificate) stating the Person to whom payment is to be made, the amount to be paid, the purpose for which the obligation was incurred and that such payment is a proper charge against said fund. On the one hundred eightieth (180th) day following the initial issuance of the Series 2016 Bonds, or upon an earlier District Order in which the District certifies that all Costs of Issuance of the Series 2016 Bonds have been paid, amounts, if any, remaining in the Costs of Issuance Fund shall be transferred to the Project Fund, and the Costs of Issuance Fund shall be closed.</w:t>
      </w:r>
    </w:p>
    <w:p>
      <w:pPr>
        <w:spacing w:after="0" w:line="19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Credit Facility Fund</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10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There is hereby created by the District and established with the Trustee the special fund of the District designated its “Dock and Wharf Facility Revenue Bonds, Series 2016 (Jefferson Energy Companies Project) Credit Facility Fund” (herein referred to as the “</w:t>
      </w:r>
      <w:r>
        <w:rPr>
          <w:rFonts w:ascii="Arial" w:cs="Arial" w:eastAsia="Arial" w:hAnsi="Arial"/>
          <w:sz w:val="22"/>
          <w:szCs w:val="22"/>
          <w:u w:val="single" w:color="auto"/>
          <w:color w:val="auto"/>
        </w:rPr>
        <w:t>Credit Facility Fund</w:t>
      </w:r>
      <w:r>
        <w:rPr>
          <w:rFonts w:ascii="Arial" w:cs="Arial" w:eastAsia="Arial" w:hAnsi="Arial"/>
          <w:sz w:val="22"/>
          <w:szCs w:val="22"/>
          <w:color w:val="auto"/>
        </w:rPr>
        <w:t>”), which the Trustee shall maintain at all times while a Credit Facility is in effect hereunder. The money deposited to the Credit Facility Fund, together with all investments thereof and investment income therefrom, shall be held in trust and applied solely as provided in this Section. The Credit Facility Fund shall contain a Bond Account and a Credit Enhancer Account.</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13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Trustee shall deposit to the credit of the Bond Account of the Credit Facility Fund immediately upon receipt all amounts drawn or claimed under the Credit Facility pursuant to this Section. No other funds shall be deposited to the Bond Account of the Credit Facility Fund.</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12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Trustee shall apply the money in the Bond Account of the Credit Facility Fund or shall direct the application of any money otherwise required to be deposited thereto to set aside or deposit in trust with the Paying Agents on each Maturity of Bonds secured by such Credit Facility, if any, upon redemption or acceleration of such Bonds and on each Interest Payment Date, for such Bonds while a Credit Facility is in effect hereunder, an amount sufficient to pay the principal of (and if so provided by the Credit Facility, premium, if any) and interest on such Bonds then due.</w:t>
      </w:r>
    </w:p>
    <w:p>
      <w:pPr>
        <w:spacing w:after="0" w:line="174" w:lineRule="exact"/>
        <w:rPr>
          <w:rFonts w:ascii="Arial" w:cs="Arial" w:eastAsia="Arial" w:hAnsi="Arial"/>
          <w:sz w:val="21"/>
          <w:szCs w:val="21"/>
          <w:color w:val="auto"/>
        </w:rPr>
      </w:pPr>
    </w:p>
    <w:p>
      <w:pPr>
        <w:jc w:val="both"/>
        <w:ind w:firstLine="656"/>
        <w:spacing w:after="0" w:line="300" w:lineRule="auto"/>
        <w:tabs>
          <w:tab w:leader="none" w:pos="116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Trustee shall present all documents required by a Credit Facility at the time specified therein to draw or claim funds available thereunder for deposit in the Bond Account, to provide sufficient monies to pay to the Holders of the Bonds secured by such Credit Facility the principal of (and if so provided by the Credit Facility, premium, if any) and interest on such Bonds when due on each Maturity of the Bonds and each Interest Payment Date, but only in respect of such Bonds which are not (i) Liquidity Bank Bonds or (ii) registered in the name of the District or the Company or any Person that is an affiliate of the Company.</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08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making draws or claims for payment under the Credit Facility, the Trustee shall act on behalf of and for the account and benefit of the Bondholders other than the District and the System and not on behalf, for the account or benefit, or subject to the control of the District or the System.</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u w:val="single" w:color="auto"/>
          <w:color w:val="auto"/>
        </w:rPr>
        <w:t>Debt Service Fund</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10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There is hereby created by the District and established with the Trustee the special fund of the District designated its “Dock and Wharf Facility Revenue Bonds, Series 2016 (Jefferson Energy Companies Project) Debt Service Fund” (herein referred to as the “</w:t>
      </w:r>
      <w:r>
        <w:rPr>
          <w:rFonts w:ascii="Arial" w:cs="Arial" w:eastAsia="Arial" w:hAnsi="Arial"/>
          <w:sz w:val="22"/>
          <w:szCs w:val="22"/>
          <w:u w:val="single" w:color="auto"/>
          <w:color w:val="auto"/>
        </w:rPr>
        <w:t>Debt Service Fund</w:t>
      </w:r>
      <w:r>
        <w:rPr>
          <w:rFonts w:ascii="Arial" w:cs="Arial" w:eastAsia="Arial" w:hAnsi="Arial"/>
          <w:sz w:val="22"/>
          <w:szCs w:val="22"/>
          <w:color w:val="auto"/>
        </w:rPr>
        <w:t>”). The Debt Service Fund shall contain a Principal Account and an Interest Account. The Interest Account shall contain a Bond Proceeds Subaccount and a Prepaid Rent Subaccount. The money deposited to the Debt Service Fund, together with all investments thereof and investment income therefrom, shall be held in trust and applied solely as provided in this Section.</w:t>
      </w:r>
    </w:p>
    <w:p>
      <w:pPr>
        <w:spacing w:after="0" w:line="188" w:lineRule="exact"/>
        <w:rPr>
          <w:rFonts w:ascii="Arial" w:cs="Arial" w:eastAsia="Arial" w:hAnsi="Arial"/>
          <w:sz w:val="22"/>
          <w:szCs w:val="22"/>
          <w:color w:val="auto"/>
        </w:rPr>
      </w:pPr>
    </w:p>
    <w:p>
      <w:pPr>
        <w:jc w:val="both"/>
        <w:ind w:firstLine="656"/>
        <w:spacing w:after="0" w:line="251" w:lineRule="auto"/>
        <w:tabs>
          <w:tab w:leader="none" w:pos="113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On the date of issuance of the Series 2016 Bonds, the Trustee shall (i) transfer the amount set forth in the Approval Certificate from the Closing Fund to the Bond Proceeds Subaccount of the Interest Account of the Debt Service Fund and (ii) deposit into the Prepaid Rent Subaccount of the Interest Account of the Debt Service Fund the amount set forth in the Approval Certificate from pre-paid Facilities Lease Rent due under the Facilities Lease for the payment of interest to accrue from and after the Issue Date to, but not including, March 7, 2018.</w:t>
      </w:r>
    </w:p>
    <w:p>
      <w:pPr>
        <w:spacing w:after="0" w:line="189" w:lineRule="exact"/>
        <w:rPr>
          <w:rFonts w:ascii="Arial" w:cs="Arial" w:eastAsia="Arial" w:hAnsi="Arial"/>
          <w:sz w:val="22"/>
          <w:szCs w:val="22"/>
          <w:color w:val="auto"/>
        </w:rPr>
      </w:pPr>
    </w:p>
    <w:p>
      <w:pPr>
        <w:jc w:val="both"/>
        <w:ind w:firstLine="656"/>
        <w:spacing w:after="0" w:line="266" w:lineRule="auto"/>
        <w:tabs>
          <w:tab w:leader="none" w:pos="114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addition to the deposits required pursuant to Section 4.04(b) hereof, the Trustee shall deposit to the credit of the Debt Service Fund, immediately upon receipt, (1) Rent due and payable by the Company pursuant to the Facilities Lease not paid by the Credit Enhancer and (2) any other amounts delivered to the Trustee specifically for deposit thereto. Facilities Lease Rent shall be deposited to the Principal Account to the extent paid in respect of principal of the Bonds due or to become due and to the Interest Account to the extent paid in respect of interest on the Bonds due or to become due.</w:t>
      </w:r>
    </w:p>
    <w:p>
      <w:pPr>
        <w:spacing w:after="0" w:line="174" w:lineRule="exact"/>
        <w:rPr>
          <w:rFonts w:ascii="Arial" w:cs="Arial" w:eastAsia="Arial" w:hAnsi="Arial"/>
          <w:sz w:val="21"/>
          <w:szCs w:val="21"/>
          <w:color w:val="auto"/>
        </w:rPr>
      </w:pPr>
    </w:p>
    <w:p>
      <w:pPr>
        <w:ind w:firstLine="656"/>
        <w:spacing w:after="0" w:line="276" w:lineRule="auto"/>
        <w:tabs>
          <w:tab w:leader="none" w:pos="110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amounts in the Principal Account of the Debt Service Fund shall be used and withdrawn by the Trustee solely for the purpose of paying the maturing principal (but not the Purchase Price) of the Bonds.</w:t>
      </w:r>
    </w:p>
    <w:p>
      <w:pPr>
        <w:spacing w:after="0" w:line="160" w:lineRule="exact"/>
        <w:rPr>
          <w:rFonts w:ascii="Arial" w:cs="Arial" w:eastAsia="Arial" w:hAnsi="Arial"/>
          <w:sz w:val="22"/>
          <w:szCs w:val="22"/>
          <w:color w:val="auto"/>
        </w:rPr>
      </w:pPr>
    </w:p>
    <w:p>
      <w:pPr>
        <w:jc w:val="both"/>
        <w:ind w:firstLine="656"/>
        <w:spacing w:after="0" w:line="358" w:lineRule="auto"/>
        <w:tabs>
          <w:tab w:leader="none" w:pos="106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amounts in the Interest Account of the Debt Service Fund shall be used and withdrawn by the Trustee solely for the purpose of paying interest on the Bonds as it shall become due and payable, without further direction from the District, in the</w:t>
      </w:r>
    </w:p>
    <w:p>
      <w:pPr>
        <w:sectPr>
          <w:pgSz w:w="11900" w:h="16838" w:orient="portrait"/>
          <w:cols w:equalWidth="0" w:num="1">
            <w:col w:w="11420"/>
          </w:cols>
          <w:pgMar w:left="240" w:top="631" w:right="239" w:bottom="0" w:gutter="0" w:footer="0" w:header="0"/>
        </w:sectPr>
      </w:pPr>
    </w:p>
    <w:bookmarkStart w:id="217" w:name="page218"/>
    <w:bookmarkEnd w:id="217"/>
    <w:p>
      <w:pPr>
        <w:jc w:val="both"/>
        <w:spacing w:after="0" w:line="248" w:lineRule="auto"/>
        <w:rPr>
          <w:sz w:val="20"/>
          <w:szCs w:val="20"/>
          <w:color w:val="auto"/>
        </w:rPr>
      </w:pPr>
      <w:r>
        <w:rPr>
          <w:rFonts w:ascii="Arial" w:cs="Arial" w:eastAsia="Arial" w:hAnsi="Arial"/>
          <w:sz w:val="22"/>
          <w:szCs w:val="22"/>
          <w:color w:val="auto"/>
        </w:rPr>
        <w:t>amounts and from the applicable Subaccount as set forth on Schedule I hereto. In the event that funds remain on deposit in the Bond Proceeds Subaccount on the First Initial Bonds Remarketing Date, the principal amount of the Bonds remarketed or purchased pursuant to the Standby Bond Purchase Agreement, as applicable, shall be reduced by the amount on deposit in the Bond Proceeds Subaccount, and Bonds in such amount shall be redeemed with such balance at a price equal to the Purchase Price and cancelled.</w:t>
      </w:r>
    </w:p>
    <w:p>
      <w:pPr>
        <w:spacing w:after="0" w:line="192" w:lineRule="exact"/>
        <w:rPr>
          <w:sz w:val="20"/>
          <w:szCs w:val="20"/>
          <w:color w:val="auto"/>
        </w:rPr>
      </w:pPr>
    </w:p>
    <w:p>
      <w:pPr>
        <w:jc w:val="both"/>
        <w:ind w:firstLine="656"/>
        <w:spacing w:after="0" w:line="251" w:lineRule="auto"/>
        <w:tabs>
          <w:tab w:leader="none" w:pos="109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on any day on which any payment of principal of (premium, if any) and interest on the Multi-Modal Bonds shall become due, there is an insufficient amount on deposit in the Debt Service Fund to pay such amounts due by 10:00 a.m., New York, New York time, the Trustee shall promptly give telephonic notice to the District, the Company, the Credit Enhancer, if any, and the Tender Agent of the amount of the deficiency, and the Trustee is hereby directed to make a drawing on the Credit Facility, if any, for such amount.</w:t>
      </w:r>
    </w:p>
    <w:p>
      <w:pPr>
        <w:spacing w:after="0" w:line="189" w:lineRule="exact"/>
        <w:rPr>
          <w:rFonts w:ascii="Arial" w:cs="Arial" w:eastAsia="Arial" w:hAnsi="Arial"/>
          <w:sz w:val="22"/>
          <w:szCs w:val="22"/>
          <w:color w:val="auto"/>
        </w:rPr>
      </w:pPr>
    </w:p>
    <w:p>
      <w:pPr>
        <w:jc w:val="both"/>
        <w:ind w:firstLine="656"/>
        <w:spacing w:after="0" w:line="266" w:lineRule="auto"/>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by 10:00 a.m., New York, New York time fourteen (14) days prior to any day on which any payment of principal of, premium, if any, and interest on Initial Bonds shall become due, there is an insufficient amount on deposit in the Debt Service Fund to pay such amounts due, the Trustee shall provide notification via Electronic Means to the District, the Company, Jefferson Holdings and FTAI of the amount of the deficiency, and shall demand payment of such amount by Jefferson Holdings in accordance with Section 2.04 of the Standby Bond Purchase Agreement.</w:t>
      </w:r>
    </w:p>
    <w:p>
      <w:pPr>
        <w:spacing w:after="0" w:line="17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8"/>
          <w:szCs w:val="18"/>
          <w:u w:val="single" w:color="auto"/>
          <w:color w:val="auto"/>
        </w:rPr>
        <w:t>Rebate Fund</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132" w:right="239" w:bottom="1440" w:gutter="0" w:footer="0" w:header="0"/>
        </w:sectPr>
      </w:pPr>
    </w:p>
    <w:bookmarkStart w:id="218" w:name="page219"/>
    <w:bookmarkEnd w:id="218"/>
    <w:p>
      <w:pPr>
        <w:jc w:val="both"/>
        <w:ind w:firstLine="656"/>
        <w:spacing w:after="0" w:line="251" w:lineRule="auto"/>
        <w:tabs>
          <w:tab w:leader="none" w:pos="106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There is hereby created by the District and established with the Trustee the special fund of the District designated as its “Dock and Wharf Facility Revenue Bonds, Series 2016 (Jefferson Energy Companies Project) Rebate Fund” (herein referred to as the “</w:t>
      </w:r>
      <w:r>
        <w:rPr>
          <w:rFonts w:ascii="Arial" w:cs="Arial" w:eastAsia="Arial" w:hAnsi="Arial"/>
          <w:sz w:val="22"/>
          <w:szCs w:val="22"/>
          <w:u w:val="single" w:color="auto"/>
          <w:color w:val="auto"/>
        </w:rPr>
        <w:t>Rebate Fund</w:t>
      </w:r>
      <w:r>
        <w:rPr>
          <w:rFonts w:ascii="Arial" w:cs="Arial" w:eastAsia="Arial" w:hAnsi="Arial"/>
          <w:sz w:val="22"/>
          <w:szCs w:val="22"/>
          <w:color w:val="auto"/>
        </w:rPr>
        <w:t>”). The money deposited to the Rebate Fund, together with all investments thereof and investment income therefrom shall be held in trust and applied solely as provided in this Section. The District shall calculate, or cause to be calculated, the rebate calculations required under the Code.</w:t>
      </w:r>
    </w:p>
    <w:p>
      <w:pPr>
        <w:spacing w:after="0" w:line="189" w:lineRule="exact"/>
        <w:rPr>
          <w:rFonts w:ascii="Arial" w:cs="Arial" w:eastAsia="Arial" w:hAnsi="Arial"/>
          <w:sz w:val="22"/>
          <w:szCs w:val="22"/>
          <w:color w:val="auto"/>
        </w:rPr>
      </w:pPr>
    </w:p>
    <w:p>
      <w:pPr>
        <w:ind w:firstLine="656"/>
        <w:spacing w:after="0" w:line="276" w:lineRule="auto"/>
        <w:tabs>
          <w:tab w:leader="none" w:pos="117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Trustee shall deposit or transfer to the credit of the Rebate Fund each amount delivered to the Trustee by the District for deposit thereto.</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 Within five days after each receipt or transfer of funds to the Rebate Fund (and in any event within 60 days after each computation date), the Trustee shall, upon written direction from the District, withdraw from the Rebate Fund and pay such amounts to the United States of America (at the address provided by the District).</w:t>
      </w:r>
    </w:p>
    <w:p>
      <w:pPr>
        <w:spacing w:after="0" w:line="177" w:lineRule="exact"/>
        <w:rPr>
          <w:rFonts w:ascii="Arial" w:cs="Arial" w:eastAsia="Arial" w:hAnsi="Arial"/>
          <w:sz w:val="22"/>
          <w:szCs w:val="22"/>
          <w:color w:val="auto"/>
        </w:rPr>
      </w:pPr>
    </w:p>
    <w:p>
      <w:pPr>
        <w:jc w:val="both"/>
        <w:ind w:left="660" w:firstLine="1941"/>
        <w:spacing w:after="0" w:line="254" w:lineRule="auto"/>
        <w:tabs>
          <w:tab w:leader="none" w:pos="3143"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All payments to the United States of America pursuant to this Section shall be made by the Trustee for the account and in the name of the District and shall be paid by draft posted by registered United States Mail (return receipt requested), addressed as directed by the District and accompanied by such documents as shall be provided by the District and directed by the District, upon the advice of Bond Counsel.</w:t>
      </w:r>
    </w:p>
    <w:p>
      <w:pPr>
        <w:spacing w:after="0" w:line="185" w:lineRule="exact"/>
        <w:rPr>
          <w:rFonts w:ascii="Arial" w:cs="Arial" w:eastAsia="Arial" w:hAnsi="Arial"/>
          <w:sz w:val="22"/>
          <w:szCs w:val="22"/>
          <w:color w:val="auto"/>
        </w:rPr>
      </w:pPr>
    </w:p>
    <w:p>
      <w:pPr>
        <w:jc w:val="both"/>
        <w:ind w:firstLine="656"/>
        <w:spacing w:after="0" w:line="270" w:lineRule="auto"/>
        <w:tabs>
          <w:tab w:leader="none" w:pos="113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Trustee shall preserve copies of all statements, forms and explanations received from the District in accordance with this Section and all records maintained by it of transactions in the Rebate Fund, the Credit Facility Fund, the Debt Service Fund and the Project Fund for six (6) years following the final maturity of the Bonds and, if requested, shall deliver copies thereof to the District and the Company within 60 days following the retirement of all of the Bonds.</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17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Trustee may conclusively rely on the instructions of the District with regard to any actions to be taken by it pursuant to this Section and shall have no liability for any consequences of any failure of the District to supply accurate or sufficient instructions.</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13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at any time during the term of this Indenture the District or the Trustee desires to take any action which would otherwise be prohibited by the terms of this Section, such Person shall be permitted to take such action if it shall first obtain and provide to the other Persons named herein an opinion of Bond Counsel to the effect that such action shall not adversely affect the exclusion of interest on the Bonds from gross income of the Holders thereof for federal income tax purposes and shall be in compliance with the laws of the State and the terms of this Indenture.</w:t>
      </w:r>
    </w:p>
    <w:p>
      <w:pPr>
        <w:spacing w:after="0" w:line="19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u w:val="single" w:color="auto"/>
          <w:color w:val="auto"/>
        </w:rPr>
        <w:t>Project Fund</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10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There is hereby created by the District and established with the Trustee the special fund of the District designated its “Dock and Wharf Facility Revenue Bonds, Series 2016 (Jefferson Energy Companies Project) Project Fund” (herein referred to as the “</w:t>
      </w:r>
      <w:r>
        <w:rPr>
          <w:rFonts w:ascii="Arial" w:cs="Arial" w:eastAsia="Arial" w:hAnsi="Arial"/>
          <w:sz w:val="22"/>
          <w:szCs w:val="22"/>
          <w:u w:val="single" w:color="auto"/>
          <w:color w:val="auto"/>
        </w:rPr>
        <w:t>Project Fund</w:t>
      </w:r>
      <w:r>
        <w:rPr>
          <w:rFonts w:ascii="Arial" w:cs="Arial" w:eastAsia="Arial" w:hAnsi="Arial"/>
          <w:sz w:val="22"/>
          <w:szCs w:val="22"/>
          <w:color w:val="auto"/>
        </w:rPr>
        <w:t>”). The money deposited in the Project Fund, including all money therein and all investments thereof, shall be held in trust and applied solely as provided in this Section.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631" w:right="239" w:bottom="1440" w:gutter="0" w:footer="0" w:header="0"/>
        </w:sectPr>
      </w:pPr>
    </w:p>
    <w:bookmarkStart w:id="219" w:name="page220"/>
    <w:bookmarkEnd w:id="219"/>
    <w:p>
      <w:pPr>
        <w:ind w:right="20" w:firstLine="656"/>
        <w:spacing w:after="0" w:line="276" w:lineRule="auto"/>
        <w:tabs>
          <w:tab w:leader="none" w:pos="117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On the date of issuance of the Series 2016 Bonds, the Trustee shall transfer the amount set forth in the Approval Certificate from the Closing Fund to the Project Fund.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6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Trustee shall disburse amounts in the Project Fund to pay or reimburse the Company for Project Costs within three Business Days following receipt of and in accordance with a Requisition in substantially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to this Indenture approved and executed by the District.</w:t>
      </w:r>
    </w:p>
    <w:p>
      <w:pPr>
        <w:spacing w:after="0" w:line="177" w:lineRule="exact"/>
        <w:rPr>
          <w:rFonts w:ascii="Arial" w:cs="Arial" w:eastAsia="Arial" w:hAnsi="Arial"/>
          <w:sz w:val="22"/>
          <w:szCs w:val="22"/>
          <w:color w:val="auto"/>
        </w:rPr>
      </w:pPr>
    </w:p>
    <w:p>
      <w:pPr>
        <w:ind w:firstLine="656"/>
        <w:spacing w:after="0" w:line="276" w:lineRule="auto"/>
        <w:tabs>
          <w:tab w:leader="none" w:pos="109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District shall not request disbursement by the Trustee of proceeds received from the sale of the Series 2016 Bonds for any New Property unless:</w:t>
      </w:r>
    </w:p>
    <w:p>
      <w:pPr>
        <w:spacing w:after="0" w:line="160" w:lineRule="exact"/>
        <w:rPr>
          <w:rFonts w:ascii="Arial" w:cs="Arial" w:eastAsia="Arial" w:hAnsi="Arial"/>
          <w:sz w:val="22"/>
          <w:szCs w:val="22"/>
          <w:color w:val="auto"/>
        </w:rPr>
      </w:pPr>
    </w:p>
    <w:p>
      <w:pPr>
        <w:jc w:val="both"/>
        <w:ind w:left="660" w:firstLine="645"/>
        <w:spacing w:after="0" w:line="307" w:lineRule="auto"/>
        <w:tabs>
          <w:tab w:leader="none" w:pos="174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 guaranteed maximum price construction contract with respect to the New Property covered by such disbursal shall have been executed (including a contractor completion guaranty with a contractor of good reputation and ability) and such contract shall provide for draws against milestones approved by the District in its sole discretion. Such construction contract will be collaterally assigned to the Trustee pursuant to the Company Leasehold Deed of Trust.</w:t>
      </w:r>
    </w:p>
    <w:p>
      <w:pPr>
        <w:spacing w:after="0" w:line="138" w:lineRule="exact"/>
        <w:rPr>
          <w:rFonts w:ascii="Arial" w:cs="Arial" w:eastAsia="Arial" w:hAnsi="Arial"/>
          <w:sz w:val="19"/>
          <w:szCs w:val="19"/>
          <w:color w:val="auto"/>
        </w:rPr>
      </w:pPr>
    </w:p>
    <w:p>
      <w:pPr>
        <w:jc w:val="both"/>
        <w:ind w:left="660" w:firstLine="645"/>
        <w:spacing w:after="0" w:line="286" w:lineRule="auto"/>
        <w:tabs>
          <w:tab w:leader="none" w:pos="175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capital budget for the construction of the New Property is in balance and will remain in balance after such disbursement – in other words, after disbursement of any requested amount, the sum of all disbursements made for New Property shall not exceed the total of the construction costs set forth in the capital budget for all such New Property for which disbursements have been made, and the Company shall have certified in writing to the District that the Company expects that the construction of all New Property will be completed for the balance of the proceeds received from the sale of the Series 2016 Bonds together with its funds on hand or available from committed sources. The District may refuse to approve any disbursement request for New Property if the capital budget is or will not be in balance, unless the Company either (i) pays Project Costs from sources other than the proceeds received from the sale of the Series 2016 Bonds in an amount sufficient to bring the capital budget for the construction of the New Property back in balance (and provides paid receipts or releases to the District as evidence of such payment) or (ii) revises the capital budget for the construction of the New Property in a manner that brings the capital budget for the construction of the New Property back in balance, which may include revising the scope and/or features of the New Property, and such revised budget is approved by the District in its sole discretion. If the revisions to the capital budget would reduce the scope, features, amount or type of New Property to be constructed, then when any such reduction is submitted to the District for approval, it shall be accompanied by a certification from a senior officer of the Company that such reduction will not result in a reduction of the projected operating income from the Project that would materially impair the Company’s ability to pay its operating expenses, including without limitation rent under the Ground Lease and Rent pursuant to the Facilities Lease or adversely affect the tax-exempt status of interest on the Bonds.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631" w:right="239" w:bottom="1440" w:gutter="0" w:footer="0" w:header="0"/>
        </w:sectPr>
      </w:pPr>
    </w:p>
    <w:bookmarkStart w:id="220" w:name="page221"/>
    <w:bookmarkEnd w:id="220"/>
    <w:p>
      <w:pPr>
        <w:ind w:left="660" w:firstLine="645"/>
        <w:spacing w:after="0" w:line="358" w:lineRule="auto"/>
        <w:tabs>
          <w:tab w:leader="none" w:pos="17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disbursement request shall have been approved by an independent construction monitor engaged and paid for by the Company, and approved by the District in its sole discretion in accordance with the Facilities Lease.</w:t>
      </w:r>
    </w:p>
    <w:p>
      <w:pPr>
        <w:spacing w:after="0" w:line="90" w:lineRule="exact"/>
        <w:rPr>
          <w:rFonts w:ascii="Arial" w:cs="Arial" w:eastAsia="Arial" w:hAnsi="Arial"/>
          <w:sz w:val="19"/>
          <w:szCs w:val="19"/>
          <w:color w:val="auto"/>
        </w:rPr>
      </w:pPr>
    </w:p>
    <w:p>
      <w:pPr>
        <w:jc w:val="both"/>
        <w:ind w:firstLine="656"/>
        <w:spacing w:after="0" w:line="291" w:lineRule="auto"/>
        <w:tabs>
          <w:tab w:leader="none" w:pos="109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When the Project shall have been completed, there shall be delivered to the Trustee a certificate of the District stating the fact and date of such completion and stating that all of the costs thereof have been determined and paid (or that all of such costs have been paid less specified claims that are subject to dispute and for which a retention in the Project Fund is to be maintained in the full amount of such claims until such dispute is resolved). Upon the receipt of such certificate, the Trustee shall, as directed by said certificate, transfer any remaining balance in the Project Fund, except with respect to the foregoing retention for claims (which shall be transferred to the Debt Service Fund upon the resolution of such dispute pertaining thereto as certified by the District to the Trustee), as designated on said certificate to the Debt Service Fund, which shall be used only to pay principal on the Series 2016 Bonds. Upon such transfer, the Project Fund shall be closed. Monies in the Project Fund shall be transferred to the Debt Service Fund upon the occurrence of an Event of Default resulting in an acceleration of the Bonds.</w:t>
      </w:r>
    </w:p>
    <w:p>
      <w:pPr>
        <w:spacing w:after="0" w:line="15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Closing Fund</w:t>
      </w:r>
      <w:r>
        <w:rPr>
          <w:rFonts w:ascii="Arial" w:cs="Arial" w:eastAsia="Arial" w:hAnsi="Arial"/>
          <w:sz w:val="19"/>
          <w:szCs w:val="19"/>
          <w:color w:val="auto"/>
        </w:rPr>
        <w:t>. There is hereby created by the District and established with the Trustee the special fund of the District designated its “Dock and Wharf Facility Revenue Bonds, Series 2016 (Jefferson Energy Companies Project) Closing Fund” (herein referred to as the “</w:t>
      </w:r>
      <w:r>
        <w:rPr>
          <w:rFonts w:ascii="Arial" w:cs="Arial" w:eastAsia="Arial" w:hAnsi="Arial"/>
          <w:sz w:val="19"/>
          <w:szCs w:val="19"/>
          <w:u w:val="single" w:color="auto"/>
          <w:color w:val="auto"/>
        </w:rPr>
        <w:t>Closing Fund</w:t>
      </w:r>
      <w:r>
        <w:rPr>
          <w:rFonts w:ascii="Arial" w:cs="Arial" w:eastAsia="Arial" w:hAnsi="Arial"/>
          <w:sz w:val="19"/>
          <w:szCs w:val="19"/>
          <w:color w:val="auto"/>
        </w:rPr>
        <w:t>”). The proceeds of the sale of the Series 2016 Bonds shall be deposited in the Closing Fund, and moneys therein shall be transferred on the date of issuance of the Series 2016 Bonds as provided in this Article IV.</w:t>
      </w:r>
    </w:p>
    <w:p>
      <w:pPr>
        <w:spacing w:after="0" w:line="13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Investment of Funds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7" w:lineRule="auto"/>
        <w:tabs>
          <w:tab w:leader="none" w:pos="109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Pending disbursement of the amounts on deposit in any Fund and except as may be provided by paragraph (c) below, the Trustee shall promptly invest and reinvest such amounts in the particular Eligible Securities as specified in writing by the District. All such investments shall be credited to the Fund and account from which the money used to acquire such investments shall have come. The District shall direct investments in a matter that (i) all such deposits and investments shall have a market value exclusive of accrued interest at all times at least equal to the amount of money credited to such Funds, and (ii) the money required to be expended from any Fund will be available at the proper time or times.</w:t>
      </w:r>
    </w:p>
    <w:p>
      <w:pPr>
        <w:spacing w:after="0" w:line="146" w:lineRule="exact"/>
        <w:rPr>
          <w:rFonts w:ascii="Arial" w:cs="Arial" w:eastAsia="Arial" w:hAnsi="Arial"/>
          <w:sz w:val="19"/>
          <w:szCs w:val="19"/>
          <w:color w:val="auto"/>
        </w:rPr>
      </w:pPr>
    </w:p>
    <w:p>
      <w:pPr>
        <w:jc w:val="both"/>
        <w:ind w:firstLine="656"/>
        <w:spacing w:after="0" w:line="262" w:lineRule="auto"/>
        <w:tabs>
          <w:tab w:leader="none" w:pos="1094"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All income and profits on investments in any Fund shall be credited to such Fund and to the respective account within such Fund from which such investment was made. All losses on investments shall be charged against the Fund and account to which such investments are credited. The Trustee may make any and all investments through its own bond or securities department or the bond or securities department of any affiliate of the Trustee. As amounts invested are needed for disbursement from any Fund or account, the Trustee shall cause a sufficient amount of the investments credited to that Fund to be redeemed or sold and converted into cash, as directed by the District. In addition, the District shall direct the Trustee to sell investments when necessary to prevent any default in connection with the Bonds.</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Money in the Credit Facility Fund and the Purchase Fund shall remain uninvested.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Trustee and District Relieved From Responsibility</w:t>
      </w:r>
      <w:r>
        <w:rPr>
          <w:rFonts w:ascii="Arial" w:cs="Arial" w:eastAsia="Arial" w:hAnsi="Arial"/>
          <w:sz w:val="22"/>
          <w:szCs w:val="22"/>
          <w:color w:val="auto"/>
        </w:rPr>
        <w:t>. The Trustee shall be fully protected in relying upon any District Request relating to investments and disbursements from any Fund, and shall not be liable for any losses on investments made in accordance with this Indenture or for interest on the Bonds becoming includable in gross income for federal income tax purposes as a result of complying with any such District Request, and shall not be required to ascertain any facts with respect to any such Request. The Trustee may rely on the directions of the District with respect to the suitability and legality of the investments to be made pursuant to such directions.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631" w:right="239" w:bottom="1440" w:gutter="0" w:footer="0" w:header="0"/>
        </w:sectPr>
      </w:pPr>
    </w:p>
    <w:bookmarkStart w:id="221" w:name="page222"/>
    <w:bookmarkEnd w:id="221"/>
    <w:p>
      <w:pPr>
        <w:jc w:val="both"/>
        <w:ind w:firstLine="648"/>
        <w:spacing w:after="0" w:line="251"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Waiver of Trade Confirmations</w:t>
      </w:r>
      <w:r>
        <w:rPr>
          <w:rFonts w:ascii="Arial" w:cs="Arial" w:eastAsia="Arial" w:hAnsi="Arial"/>
          <w:sz w:val="22"/>
          <w:szCs w:val="22"/>
          <w:color w:val="auto"/>
        </w:rPr>
        <w:t>. Although the District recognizes that it may obtain a broker confirmation with respect to the investment of monies in any Fund or account (or a written statement containing comparable information) at no additional cost, the District agrees that confirmations of investments are not required to be issued by the Trustee for any month in which a monthly statement is rendered. No statement need be rendered for any Fund or account for any month if no activity occurred in such Fund or account during such month.</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u w:val="single" w:color="auto"/>
          <w:color w:val="auto"/>
        </w:rPr>
        <w:t>Reserve Fund</w:t>
      </w:r>
      <w:r>
        <w:rPr>
          <w:rFonts w:ascii="Arial" w:cs="Arial" w:eastAsia="Arial" w:hAnsi="Arial"/>
          <w:sz w:val="19"/>
          <w:szCs w:val="19"/>
          <w:color w:val="auto"/>
        </w:rPr>
        <w:t>. There is hereby created by and established with the Trustee a special fund of the Company designated its “Port of Beaumont Navigation District of Jefferson County, Texas Dock and Wharf Facility Revenue Bonds (Jefferson Energy Companies Project) Reserve Fund” (herein referred to as the “Reserve Fund”). The money deposited to the Reserve Fund, including all money therein and all investments thereof, shall be held in trust and applied solely as provided in this Section. The Trustee shall deposit to the credit of the Reserve Fund all amounts received from FTAI, directly or through Jefferson Holdings, for the credit of Jefferson Holdings pursuant to the Capital Call Agreement on account of any failure by FTAI to comply with the covenants described in Section 21 of the Capital Call Agreement for the respective periods of noncompliance applicable to each such covenant described therein. The Trustee shall apply amounts credited to the Reserve Fund to pay principal of, premium, if any, and interest on, or the Purchase Price of, the Bonds when due, to the extent that amounts available for such purpose in all other Funds held by the Trustee hereunder are insufficient to make such payment. When all Initial Bonds have been repurchased on or after, or defeased to a date on or before, the Initial Bonds Remarketing Date or redeemed and cancelled, the Trustee shall remit any funds remaining in the Reserve Fund to or on the order of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OF THE DISTRICT</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Payment of Debt Service; Limited Obligations</w:t>
      </w:r>
      <w:r>
        <w:rPr>
          <w:rFonts w:ascii="Arial" w:cs="Arial" w:eastAsia="Arial" w:hAnsi="Arial"/>
          <w:sz w:val="19"/>
          <w:szCs w:val="19"/>
          <w:color w:val="auto"/>
        </w:rPr>
        <w:t>. The District will duly and punctually pay the principal of (and premium, if any) and interest on the Bonds in accordance with the terms of the Bonds and this Indenture; provided, however, that the Bonds and the other obligations of the District provided for herein shall be special limited obligations of the District and shall be payable by the District solely out of the Trust Estate and the revenues derived therefrom or in connection with and in accordance with the Bond Documents. The Bonds and the other expense reimbursement obligations of the District provided for herein shall never be payable out of any other funds of the District except the Trust Estate and such revenues.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the specified date for any such payment shall be a Saturday, a Sunday or a legal holiday or the equivalent for banking institutions generally (other than a moratorium) at the place where payment thereof is to be made, then such payment may be made on the next succeeding day which is not one of the foregoing days without additional interest and with the same force and effect as if made on the specified date for such payment.</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Money for Bond Payments to be Held in Trust; Appointment of Paying Agents</w:t>
      </w:r>
      <w:r>
        <w:rPr>
          <w:rFonts w:ascii="Arial" w:cs="Arial" w:eastAsia="Arial" w:hAnsi="Arial"/>
          <w:sz w:val="22"/>
          <w:szCs w:val="22"/>
          <w:color w:val="auto"/>
        </w:rPr>
        <w:t>. The District shall appoint a Paying Agent in each Place of Payment for the Bonds. Each such Paying Agent appointed by the District shall be a corporation organized and doing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631" w:right="239" w:bottom="1440" w:gutter="0" w:footer="0" w:header="0"/>
        </w:sectPr>
      </w:pPr>
    </w:p>
    <w:bookmarkStart w:id="222" w:name="page223"/>
    <w:bookmarkEnd w:id="222"/>
    <w:p>
      <w:pPr>
        <w:jc w:val="both"/>
        <w:spacing w:after="0" w:line="258" w:lineRule="auto"/>
        <w:rPr>
          <w:sz w:val="20"/>
          <w:szCs w:val="20"/>
          <w:color w:val="auto"/>
        </w:rPr>
      </w:pPr>
      <w:r>
        <w:rPr>
          <w:rFonts w:ascii="Arial" w:cs="Arial" w:eastAsia="Arial" w:hAnsi="Arial"/>
          <w:sz w:val="21"/>
          <w:szCs w:val="21"/>
          <w:color w:val="auto"/>
        </w:rPr>
        <w:t>under the laws of the United States of America or of any state, authorized under such laws to exercise corporate trust powers, having a combined capital and surplus of at least $10,000,000 and subject to supervision or examination by federal or state authority. The District will, prior to each due date of the principal of (and premium, if any) or interest on any Bonds, deposit or cause to be deposited (but only from the sources provided herein) with a Paying Agent a sum sufficient to pay the principal (and premium, if any) or interest so becoming due, such sum to be held in trust for the benefit of the Holders of such Bonds. Each Paying Agent for the Bonds shall provide the CUSIP number for the Bond with each payment of interest on and the principal or the redemption price of any Bond, specifying the amount paid in respect of each CUSIP number. The Paying Agents shall make payment of interest or the redemption price of any Bond by wire transfer to a bank account located within the United States of Federal Reserve Funds to any Holder of Daily Rate Bonds or Weekly Rate Bonds, or any Holder of $1,000,000 or more in principal amount of Fixed Rate Bonds, or any Holder of Commercial Paper Rate Bonds requesting such payment and providing the necessary information prior to the applicable record date.</w:t>
      </w:r>
    </w:p>
    <w:p>
      <w:pPr>
        <w:spacing w:after="0" w:line="18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District hereby appoints the Trustee as the initial Paying Agent for the Bonds. The Trustee shall accept such appointment by executing this Indenture in such capacity on the signature page hereto.</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District will cause each Paying Agent other than the Trustee to execute and deliver to the Trustee an instrument in which such Paying Agent shall agree with the Trustee, subject to the provisions of this Section, that such Paying Agent will:</w:t>
      </w:r>
    </w:p>
    <w:p>
      <w:pPr>
        <w:spacing w:after="0" w:line="105" w:lineRule="exact"/>
        <w:rPr>
          <w:sz w:val="20"/>
          <w:szCs w:val="20"/>
          <w:color w:val="auto"/>
        </w:rPr>
      </w:pPr>
    </w:p>
    <w:p>
      <w:pPr>
        <w:jc w:val="both"/>
        <w:ind w:left="660" w:firstLine="645"/>
        <w:spacing w:after="0" w:line="260" w:lineRule="auto"/>
        <w:tabs>
          <w:tab w:leader="none" w:pos="176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hold all sums held by it for the payment of principal of (and premium, if any) or interest on Bonds in trust for the benefit of the Persons entitled thereto until such sums shall be paid to such Persons or otherwise disposed of as herein provided;</w:t>
      </w:r>
    </w:p>
    <w:p>
      <w:pPr>
        <w:spacing w:after="0" w:line="177" w:lineRule="exact"/>
        <w:rPr>
          <w:rFonts w:ascii="Arial" w:cs="Arial" w:eastAsia="Arial" w:hAnsi="Arial"/>
          <w:sz w:val="22"/>
          <w:szCs w:val="22"/>
          <w:color w:val="auto"/>
        </w:rPr>
      </w:pPr>
    </w:p>
    <w:p>
      <w:pPr>
        <w:ind w:left="660" w:firstLine="645"/>
        <w:spacing w:after="0" w:line="276" w:lineRule="auto"/>
        <w:tabs>
          <w:tab w:leader="none" w:pos="17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give the Trustee notice of any default by the District (or any other obligor upon the Bonds) in the making of any such payment of principal (and premium, if any) or interest; and</w:t>
      </w:r>
    </w:p>
    <w:p>
      <w:pPr>
        <w:spacing w:after="0" w:line="160" w:lineRule="exact"/>
        <w:rPr>
          <w:rFonts w:ascii="Arial" w:cs="Arial" w:eastAsia="Arial" w:hAnsi="Arial"/>
          <w:sz w:val="22"/>
          <w:szCs w:val="22"/>
          <w:color w:val="auto"/>
        </w:rPr>
      </w:pPr>
    </w:p>
    <w:p>
      <w:pPr>
        <w:ind w:left="660" w:firstLine="645"/>
        <w:spacing w:after="0" w:line="276" w:lineRule="auto"/>
        <w:tabs>
          <w:tab w:leader="none" w:pos="17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at any time during the continuance of any such default, upon the written request of the Trustee, forthwith pay to the Trustee all sums so held in trust by such Paying Agent.</w:t>
      </w:r>
    </w:p>
    <w:p>
      <w:pPr>
        <w:spacing w:after="0" w:line="1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District may at any time, for the purpose of obtaining the satisfaction and discharge of this Indenture or for any other purpose, direct in writing any Paying Agent to pay to the Trustee all sums held in trust by such Paying Agent, such sums to be held by the Trustee upon the same trusts as those upon which such sums were held by such Paying Agent; and, upon such payment by any Paying Agent to the Trustee, such Paying Agent shall be released from all further liability with respect to such money.</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required by law, any money deposited with the Trustee or any Paying Agent in trust for the payment of the principal of (and premium, if any) or interest on any Bond and remaining unclaimed for the later of (i) the first anniversary of the Stated Maturity of the Bond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631" w:right="239" w:bottom="1440" w:gutter="0" w:footer="0" w:header="0"/>
        </w:sectPr>
      </w:pPr>
    </w:p>
    <w:bookmarkStart w:id="223" w:name="page224"/>
    <w:bookmarkEnd w:id="223"/>
    <w:p>
      <w:pPr>
        <w:jc w:val="both"/>
        <w:spacing w:after="0" w:line="290" w:lineRule="auto"/>
        <w:rPr>
          <w:sz w:val="20"/>
          <w:szCs w:val="20"/>
          <w:color w:val="auto"/>
        </w:rPr>
      </w:pPr>
      <w:r>
        <w:rPr>
          <w:rFonts w:ascii="Arial" w:cs="Arial" w:eastAsia="Arial" w:hAnsi="Arial"/>
          <w:sz w:val="19"/>
          <w:szCs w:val="19"/>
          <w:color w:val="auto"/>
        </w:rPr>
        <w:t>or the installment of interest for the payment of which such money is held or (ii) two years after such principal (and premium, if any) or interest has become due and payable shall (subject to the escheat laws of the State) be paid to the District and the Holder of such Bond shall thereafter, to the extent of any legal right or claim, shall look only to the District for payment thereof, and all liability of the Trustee or such Paying Agent with respect to such trust money, and all liability of the District, shall thereupon cease; provided, however, that the Trustee, the District or such Paying Agent, before being required to make any such repayment, may at the expense of the Company cause to be published once, in a newspaper of general circulation, notice that such money remains unclaimed and that, after a date specified therein, which shall not be less than 30 days from the date of such publication, any unclaimed balance of such money then remaining will be repaid to the District.</w:t>
      </w:r>
    </w:p>
    <w:p>
      <w:pPr>
        <w:spacing w:after="0" w:line="15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Instruments of Further Assurance</w:t>
      </w:r>
      <w:r>
        <w:rPr>
          <w:rFonts w:ascii="Arial" w:cs="Arial" w:eastAsia="Arial" w:hAnsi="Arial"/>
          <w:sz w:val="19"/>
          <w:szCs w:val="19"/>
          <w:color w:val="auto"/>
        </w:rPr>
        <w:t>. The District covenants that to the extent of its power to do so, it will do, execute, acknowledge and deliver or cause to be done, executed, acknowledged and delivered, such indentures supplemental hereto and such further acts, instruments and transfers as the Trustee may reasonably require for the better assigning, pledging and confirming unto the Trustee of the Trust Estate assigned and the revenues pledged hereunder all at the expense of the Company.</w:t>
      </w:r>
    </w:p>
    <w:p>
      <w:pPr>
        <w:spacing w:after="0" w:line="13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Maintenance of Rights</w:t>
      </w:r>
      <w:r>
        <w:rPr>
          <w:rFonts w:ascii="Arial" w:cs="Arial" w:eastAsia="Arial" w:hAnsi="Arial"/>
          <w:sz w:val="19"/>
          <w:szCs w:val="19"/>
          <w:color w:val="auto"/>
        </w:rPr>
        <w:t>. The District will use its best efforts to perform and observe all obligations to be performed by it under the Bond Documents. The District will maintain the validity and effectiveness of the Bond Documents and, except as permitted hereby, take no action, and not knowingly omit to take any reasonable action, the taking or omission of which might release any party from its liabilities or obligations under the Bond Documents, or result in the surrender, termination, amendment, or modification of, or impair the validity of, any Bond Document. The District agrees that the Trustee, subject to the conditions thereof, may enforce for and on behalf of the Holders all of the covenants and agreements of the parties to the Bond Documents (other than the Trustee) as set forth in the Bond Documents, whether or not the District is in default hereunder.</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Corporate Existence</w:t>
      </w:r>
      <w:r>
        <w:rPr>
          <w:rFonts w:ascii="Arial" w:cs="Arial" w:eastAsia="Arial" w:hAnsi="Arial"/>
          <w:sz w:val="22"/>
          <w:szCs w:val="22"/>
          <w:color w:val="auto"/>
        </w:rPr>
        <w:t>. Subject to Article VI, the District will do or cause to be done all things necessary to preserve and keep in full force and effect its corporate existence and rights (charter and statutory).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Limitations on Liens, Debt and Disposition of Assets</w:t>
      </w:r>
      <w:r>
        <w:rPr>
          <w:rFonts w:ascii="Arial" w:cs="Arial" w:eastAsia="Arial" w:hAnsi="Arial"/>
          <w:sz w:val="21"/>
          <w:szCs w:val="21"/>
          <w:color w:val="auto"/>
        </w:rPr>
        <w:t>. Except as permitted or contemplated in this Indenture, the District covenants that it will not: (i) create any mortgage, lien, encumbrance, pledge, charge or other exception to title (other than those created by this Indenture) upon or against any Bond Financed Property or any of the properties or assets constituting the Trust Estate, or any revenues derived therefrom or any other funds held by the Trustee for the benefit of the Holders superior to or ranking on parity with the lien created by this Indenture; (ii) sell, lease, transfer, convey or otherwise dispose of all or any part of the Bond Financed Property (except as may be provided in the Facilities Lease) or the Trust Estate or its interest therein except subject to the interests of the Trustee created by this Indenture; (iii) create, incur or assume any debt secured by the Bond Financed Property or the Trust Estate or the District’s interest therein or the revenues pledged herein except in connection with the issuance of Additional Bonds or on a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632" w:right="239" w:bottom="1440" w:gutter="0" w:footer="0" w:header="0"/>
        </w:sectPr>
      </w:pPr>
    </w:p>
    <w:bookmarkStart w:id="224" w:name="page225"/>
    <w:bookmarkEnd w:id="224"/>
    <w:p>
      <w:pPr>
        <w:spacing w:after="0" w:line="263" w:lineRule="auto"/>
        <w:rPr>
          <w:sz w:val="20"/>
          <w:szCs w:val="20"/>
          <w:color w:val="auto"/>
        </w:rPr>
      </w:pPr>
      <w:r>
        <w:rPr>
          <w:rFonts w:ascii="Arial" w:cs="Arial" w:eastAsia="Arial" w:hAnsi="Arial"/>
          <w:sz w:val="22"/>
          <w:szCs w:val="22"/>
          <w:color w:val="auto"/>
        </w:rPr>
        <w:t>subordinate to the liens created hereby; or (iv) knowingly take any other action that will materially impair the lien of this Indenture on the Trust Estate.</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u w:val="single" w:color="auto"/>
          <w:color w:val="auto"/>
        </w:rPr>
        <w:t>Tax Covenants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2" w:lineRule="auto"/>
        <w:tabs>
          <w:tab w:leader="none" w:pos="108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District covenants and agrees that until the final Maturity of the Bonds, it will not knowingly use or direct the use of any money on deposit in any fund or account maintained in connection with the Bonds, whether or not such money was derived from the proceeds of the sale of the Bonds or from any other source, in a manner that would cause the Bonds of any issue to be arbitrage bonds, within the meaning of Section 148 of the Code. In the event the District, upon the advice of Bond Counsel, determines that it is necessary to restrict or limit the yield on the investment of money held by the Trustee pursuant to this Indenture, or to use such money in any certain manner to avoid the Bonds being considered arbitrage bonds, the District shall deliver to the Trustee an Order containing appropriate instructions, in which event the Trustee shall take such action as is necessary to restrict or limit the yield on such investment or to use such money in accordance with such Order.</w:t>
      </w:r>
    </w:p>
    <w:p>
      <w:pPr>
        <w:spacing w:after="0" w:line="155" w:lineRule="exact"/>
        <w:rPr>
          <w:rFonts w:ascii="Arial" w:cs="Arial" w:eastAsia="Arial" w:hAnsi="Arial"/>
          <w:sz w:val="19"/>
          <w:szCs w:val="19"/>
          <w:color w:val="auto"/>
        </w:rPr>
      </w:pPr>
    </w:p>
    <w:p>
      <w:pPr>
        <w:jc w:val="both"/>
        <w:ind w:firstLine="656"/>
        <w:spacing w:after="0" w:line="278" w:lineRule="auto"/>
        <w:tabs>
          <w:tab w:leader="none" w:pos="110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District shall not knowingly use or direct the use of any proceeds of the Bonds or any other funds of the District, directly or indirectly, in any manner, and shall not take or permit to be taken any other action or actions, which would result in any of the Bonds being treated other than as an obligation described in Section 103(a) of the Code.</w:t>
      </w:r>
    </w:p>
    <w:p>
      <w:pPr>
        <w:spacing w:after="0" w:line="160" w:lineRule="exact"/>
        <w:rPr>
          <w:rFonts w:ascii="Arial" w:cs="Arial" w:eastAsia="Arial" w:hAnsi="Arial"/>
          <w:sz w:val="21"/>
          <w:szCs w:val="21"/>
          <w:color w:val="auto"/>
        </w:rPr>
      </w:pPr>
    </w:p>
    <w:p>
      <w:pPr>
        <w:jc w:val="both"/>
        <w:ind w:firstLine="656"/>
        <w:spacing w:after="0" w:line="270" w:lineRule="auto"/>
        <w:tabs>
          <w:tab w:leader="none" w:pos="113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District will not knowingly take any action or omit to take any action, which action or omission will adversely affect the exclusion from gross income for federal income tax purposes of interest on the Bonds, and in the event of such action or omission will promptly, upon receiving knowledge thereof, take all lawful actions, based on advice of Bond Counsel and at the expense of the Company, as may rescind or otherwise negate such action or omission.</w:t>
      </w:r>
    </w:p>
    <w:p>
      <w:pPr>
        <w:spacing w:after="0" w:line="169" w:lineRule="exact"/>
        <w:rPr>
          <w:rFonts w:ascii="Arial" w:cs="Arial" w:eastAsia="Arial" w:hAnsi="Arial"/>
          <w:sz w:val="21"/>
          <w:szCs w:val="21"/>
          <w:color w:val="auto"/>
        </w:rPr>
      </w:pPr>
    </w:p>
    <w:p>
      <w:pPr>
        <w:ind w:firstLine="656"/>
        <w:spacing w:after="0" w:line="276" w:lineRule="auto"/>
        <w:tabs>
          <w:tab w:leader="none" w:pos="110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District will not knowingly take any action which would result in all or any portion of the Bonds being treated as federally guaranteed within the meaning of Section 149(b)(2) of the Code.</w:t>
      </w:r>
    </w:p>
    <w:p>
      <w:pPr>
        <w:spacing w:after="0" w:line="160" w:lineRule="exact"/>
        <w:rPr>
          <w:rFonts w:ascii="Arial" w:cs="Arial" w:eastAsia="Arial" w:hAnsi="Arial"/>
          <w:sz w:val="22"/>
          <w:szCs w:val="22"/>
          <w:color w:val="auto"/>
        </w:rPr>
      </w:pPr>
    </w:p>
    <w:p>
      <w:pPr>
        <w:ind w:firstLine="656"/>
        <w:spacing w:after="0" w:line="358" w:lineRule="auto"/>
        <w:tabs>
          <w:tab w:leader="none" w:pos="110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For purposes of this Section 5.07, the District’s compliance shall be based solely on acts or omissions by the District and no acts or omissions of, or directed by, the Company, the Trustee or any other Persons shall be attributed to the District.</w:t>
      </w:r>
    </w:p>
    <w:p>
      <w:pPr>
        <w:spacing w:after="0" w:line="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All officers, employees and agents of the District are authorized and directed to provide certifications of facts and estimates that are material to the reasonable expectations of the District as of the date of delivery of the Bonds. In complying with the foregoing covenants, the District may rely from time to time upon an opinion of Bond Counsel to the effect that any action by the District or reliance upon any interpretation of the Code or the Regulations contained in such opinion will not cause interest on the Bonds to be includable in gross income for federal income tax purposes under existing law.</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Change in Law</w:t>
      </w:r>
      <w:r>
        <w:rPr>
          <w:rFonts w:ascii="Arial" w:cs="Arial" w:eastAsia="Arial" w:hAnsi="Arial"/>
          <w:sz w:val="22"/>
          <w:szCs w:val="22"/>
          <w:color w:val="auto"/>
        </w:rPr>
        <w:t>. To the extent that published rulings of the IRS, or amendments to the Code or the Regulations modify the covenants of the District or the Trustee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631" w:right="239" w:bottom="1440" w:gutter="0" w:footer="0" w:header="0"/>
        </w:sectPr>
      </w:pPr>
    </w:p>
    <w:bookmarkStart w:id="225" w:name="page226"/>
    <w:bookmarkEnd w:id="225"/>
    <w:p>
      <w:pPr>
        <w:jc w:val="both"/>
        <w:spacing w:after="0" w:line="263" w:lineRule="auto"/>
        <w:rPr>
          <w:sz w:val="20"/>
          <w:szCs w:val="20"/>
          <w:color w:val="auto"/>
        </w:rPr>
      </w:pPr>
      <w:r>
        <w:rPr>
          <w:rFonts w:ascii="Arial" w:cs="Arial" w:eastAsia="Arial" w:hAnsi="Arial"/>
          <w:sz w:val="22"/>
          <w:szCs w:val="22"/>
          <w:color w:val="auto"/>
        </w:rPr>
        <w:t>which are set forth in this Indenture or which are necessary for interest on any issue of the Bonds to be excludable from gross income for federal income tax purposes, the Trustee and the District will comply with such modifications.</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Purchase of Bonds</w:t>
      </w:r>
      <w:r>
        <w:rPr>
          <w:rFonts w:ascii="Arial" w:cs="Arial" w:eastAsia="Arial" w:hAnsi="Arial"/>
          <w:sz w:val="22"/>
          <w:szCs w:val="22"/>
          <w:color w:val="auto"/>
        </w:rPr>
        <w:t>. The District agrees to promptly notify the Credit Enhancer, if any, the Liquidity Bank, if any, the Company, and the Trustee of any purchase or acquisition by the District of any Bonds.</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RESERVED</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REMEDIES OF THE TRUSTEE AND HOLDERS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BONDS IN EVENT OF DEFAULT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“Event of Default,” whenever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5" w:lineRule="exact"/>
        <w:rPr>
          <w:sz w:val="20"/>
          <w:szCs w:val="20"/>
          <w:color w:val="auto"/>
        </w:rPr>
      </w:pPr>
    </w:p>
    <w:p>
      <w:pPr>
        <w:ind w:left="660" w:firstLine="645"/>
        <w:spacing w:after="0" w:line="276" w:lineRule="auto"/>
        <w:tabs>
          <w:tab w:leader="none" w:pos="188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default in the payment of (i) the principal of (and premium, if any) any Bond at its Maturity or (ii) an installment of interest on any Bond at the Stated Maturity for such installment; or</w:t>
      </w:r>
    </w:p>
    <w:p>
      <w:pPr>
        <w:spacing w:after="0" w:line="160" w:lineRule="exact"/>
        <w:rPr>
          <w:rFonts w:ascii="Arial" w:cs="Arial" w:eastAsia="Arial" w:hAnsi="Arial"/>
          <w:sz w:val="22"/>
          <w:szCs w:val="22"/>
          <w:color w:val="auto"/>
        </w:rPr>
      </w:pPr>
    </w:p>
    <w:p>
      <w:pPr>
        <w:ind w:left="660" w:firstLine="645"/>
        <w:spacing w:after="0" w:line="276" w:lineRule="auto"/>
        <w:tabs>
          <w:tab w:leader="none" w:pos="178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default in payment of the Purchase Price of any Initial Bond, Daily Rate Bond, Commercial Paper Rate Bond or Weekly Rate Bond delivered pursuant to an Optional Tender or Mandatory Tender; or</w:t>
      </w:r>
    </w:p>
    <w:p>
      <w:pPr>
        <w:spacing w:after="0" w:line="160" w:lineRule="exact"/>
        <w:rPr>
          <w:rFonts w:ascii="Arial" w:cs="Arial" w:eastAsia="Arial" w:hAnsi="Arial"/>
          <w:sz w:val="22"/>
          <w:szCs w:val="22"/>
          <w:color w:val="auto"/>
        </w:rPr>
      </w:pPr>
    </w:p>
    <w:p>
      <w:pPr>
        <w:jc w:val="both"/>
        <w:ind w:left="660" w:firstLine="645"/>
        <w:spacing w:after="0" w:line="289" w:lineRule="auto"/>
        <w:tabs>
          <w:tab w:leader="none" w:pos="175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agreement on the part of the District contained in this Indenture or the SNDA, by the Company in the Ground Lease, the Facilities Lease, the Company Leasehold Deed of Trust, by the Company or Jefferson Holdings in the Standby Bond Purchase Agreement, or by Jefferson Holdings or FTAI in the Capital Call Agreement (other than a covenant or agreement whose performance or observance is elsewhere in this Section specifically dealt with), in each case after giving effect to any applicable grace, cure or notice period applicable thereunder, and continuance of such default or breach for a period of 30 days after there has been given, by registered or certified mail, to the District and such other defaulting party by the Trustee, or to the District, such other defaulting party and the Trustee by the Holders of at least 30% in principal amount of Bonds then Outstanding a written notice specifying such default or breach and requiring it to be remedied and stating that such notice is a “Notice of Default” hereunder; provided that if such default can be cured by the District or such other defaulting party but cannot be cured within the 30-day curative period described above, it shall not constitute an Event of Default if corrective action is instituted 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631" w:right="239" w:bottom="1440" w:gutter="0" w:footer="0" w:header="0"/>
        </w:sectPr>
      </w:pPr>
    </w:p>
    <w:bookmarkStart w:id="226" w:name="page227"/>
    <w:bookmarkEnd w:id="226"/>
    <w:p>
      <w:pPr>
        <w:ind w:left="660"/>
        <w:spacing w:after="0"/>
        <w:rPr>
          <w:sz w:val="20"/>
          <w:szCs w:val="20"/>
          <w:color w:val="auto"/>
        </w:rPr>
      </w:pPr>
      <w:r>
        <w:rPr>
          <w:rFonts w:ascii="Arial" w:cs="Arial" w:eastAsia="Arial" w:hAnsi="Arial"/>
          <w:sz w:val="19"/>
          <w:szCs w:val="19"/>
          <w:color w:val="auto"/>
        </w:rPr>
        <w:t>the District or such other defaulting party within such 30-day period and diligently pursued until the default is corrected; or</w:t>
      </w:r>
    </w:p>
    <w:p>
      <w:pPr>
        <w:spacing w:after="0" w:line="254" w:lineRule="exact"/>
        <w:rPr>
          <w:sz w:val="20"/>
          <w:szCs w:val="20"/>
          <w:color w:val="auto"/>
        </w:rPr>
      </w:pPr>
    </w:p>
    <w:p>
      <w:pPr>
        <w:ind w:left="1740" w:hanging="435"/>
        <w:spacing w:after="0"/>
        <w:tabs>
          <w:tab w:leader="none" w:pos="17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“Event of Default” by the Company under the Ground Lease or the Facilities Lease; or</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6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receipt by the Trustee of written notice from the Liquidity Bank (a) within five (5) calendar days after a drawing under the Liquidity Facility that the Liquidity Bank has not reinstated the amount drawn under the terms of the Liquidity Facility or (b) stating that an “Event of Default,” as defined in the agreement pursuant to which the Liquidity Facility was issued, has occurred; or</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of the following:</w:t>
      </w:r>
    </w:p>
    <w:p>
      <w:pPr>
        <w:spacing w:after="0" w:line="233" w:lineRule="exact"/>
        <w:rPr>
          <w:rFonts w:ascii="Arial" w:cs="Arial" w:eastAsia="Arial" w:hAnsi="Arial"/>
          <w:sz w:val="22"/>
          <w:szCs w:val="22"/>
          <w:color w:val="auto"/>
        </w:rPr>
      </w:pPr>
    </w:p>
    <w:p>
      <w:pPr>
        <w:jc w:val="both"/>
        <w:ind w:left="1300" w:firstLine="653"/>
        <w:spacing w:after="0" w:line="264" w:lineRule="auto"/>
        <w:tabs>
          <w:tab w:leader="none" w:pos="2442"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 petition is filed by the Company or Jefferson Holdings or the Company or Jefferson Holdings admits to any material allegations with respect to any petition filed against the Company or Jefferson Holdings, under the Bankruptcy Code, or any other law relating to bankruptcy, insolvency, reorganization, or other relief for debtors, or any order for relief is entered against either the Company or Jefferson Holdings in any proceeding under any such law, or either acquiesces to the appointment of a receiver, trustee, custodian or other similar Person with respect to any material portion of its property or business;</w:t>
      </w:r>
    </w:p>
    <w:p>
      <w:pPr>
        <w:spacing w:after="0" w:line="175" w:lineRule="exact"/>
        <w:rPr>
          <w:rFonts w:ascii="Arial" w:cs="Arial" w:eastAsia="Arial" w:hAnsi="Arial"/>
          <w:sz w:val="21"/>
          <w:szCs w:val="21"/>
          <w:color w:val="auto"/>
        </w:rPr>
      </w:pPr>
    </w:p>
    <w:p>
      <w:pPr>
        <w:jc w:val="both"/>
        <w:ind w:left="1300" w:firstLine="653"/>
        <w:spacing w:after="0" w:line="260" w:lineRule="auto"/>
        <w:tabs>
          <w:tab w:leader="none" w:pos="243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 petition is filed against either the Company or Jefferson Holdings under the Bankruptcy Code, or any other law relating to bankruptcy, insolvency, reorganization, or other relief for debtors and such petition is not dismissed within 60 days of the filing of such petition;</w:t>
      </w:r>
    </w:p>
    <w:p>
      <w:pPr>
        <w:spacing w:after="0" w:line="177" w:lineRule="exact"/>
        <w:rPr>
          <w:rFonts w:ascii="Arial" w:cs="Arial" w:eastAsia="Arial" w:hAnsi="Arial"/>
          <w:sz w:val="22"/>
          <w:szCs w:val="22"/>
          <w:color w:val="auto"/>
        </w:rPr>
      </w:pPr>
    </w:p>
    <w:p>
      <w:pPr>
        <w:ind w:left="1300" w:firstLine="653"/>
        <w:spacing w:after="0" w:line="276" w:lineRule="auto"/>
        <w:tabs>
          <w:tab w:leader="none" w:pos="243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 receiver, trustee, custodian, or liquidator of any assets or property of either the Company or Jefferson Holdings is appointed;</w:t>
      </w:r>
    </w:p>
    <w:p>
      <w:pPr>
        <w:spacing w:after="0" w:line="160" w:lineRule="exact"/>
        <w:rPr>
          <w:rFonts w:ascii="Arial" w:cs="Arial" w:eastAsia="Arial" w:hAnsi="Arial"/>
          <w:sz w:val="22"/>
          <w:szCs w:val="22"/>
          <w:color w:val="auto"/>
        </w:rPr>
      </w:pPr>
    </w:p>
    <w:p>
      <w:pPr>
        <w:ind w:left="1300" w:firstLine="653"/>
        <w:spacing w:after="0" w:line="276" w:lineRule="auto"/>
        <w:tabs>
          <w:tab w:leader="none" w:pos="2496" w:val="left"/>
        </w:tabs>
        <w:numPr>
          <w:ilvl w:val="1"/>
          <w:numId w:val="138"/>
        </w:numPr>
        <w:rPr>
          <w:rFonts w:ascii="Arial" w:cs="Arial" w:eastAsia="Arial" w:hAnsi="Arial"/>
          <w:sz w:val="22"/>
          <w:szCs w:val="22"/>
          <w:color w:val="auto"/>
        </w:rPr>
      </w:pPr>
      <w:r>
        <w:rPr>
          <w:rFonts w:ascii="Arial" w:cs="Arial" w:eastAsia="Arial" w:hAnsi="Arial"/>
          <w:sz w:val="22"/>
          <w:szCs w:val="22"/>
          <w:color w:val="auto"/>
        </w:rPr>
        <w:t>either the Company or Jefferson Holdings becomes insolvent, or makes a general assignment for the benefit of creditors, or is generally not paying debts as they become due; or</w:t>
      </w:r>
    </w:p>
    <w:p>
      <w:pPr>
        <w:spacing w:after="0" w:line="160" w:lineRule="exact"/>
        <w:rPr>
          <w:rFonts w:ascii="Arial" w:cs="Arial" w:eastAsia="Arial" w:hAnsi="Arial"/>
          <w:sz w:val="22"/>
          <w:szCs w:val="22"/>
          <w:color w:val="auto"/>
        </w:rPr>
      </w:pPr>
    </w:p>
    <w:p>
      <w:pPr>
        <w:ind w:left="1300" w:firstLine="653"/>
        <w:spacing w:after="0" w:line="358" w:lineRule="auto"/>
        <w:tabs>
          <w:tab w:leader="none" w:pos="247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dissolution or liquidation of either the Company or Jefferson Holdings, or any of its members or managers, taking any action seeking to effect the dissolution or liquidation of the Company or Jefferson Holdings.</w:t>
      </w:r>
    </w:p>
    <w:p>
      <w:pPr>
        <w:spacing w:after="0" w:line="9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any portion of the Rent shall not be paid at the time when due and payable, the Trustee shall promptly notify the District and the Company in writing.</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Acceleration of Maturity In Certain Cases; Rescission and Annulment</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If an Event of Default under Sections 7.01(1), (2), (3), or (4) occurs and is continuing, then and in every such case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631" w:right="239" w:bottom="1440" w:gutter="0" w:footer="0" w:header="0"/>
        </w:sectPr>
      </w:pPr>
    </w:p>
    <w:bookmarkStart w:id="227" w:name="page228"/>
    <w:bookmarkEnd w:id="227"/>
    <w:p>
      <w:pPr>
        <w:jc w:val="both"/>
        <w:ind w:left="660" w:firstLine="1941"/>
        <w:spacing w:after="0" w:line="254" w:lineRule="auto"/>
        <w:tabs>
          <w:tab w:leader="none" w:pos="298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shall, if the Trustee shall have received the written request of the Holders of not less than 30% in principal amount of the Bonds Outstanding and (only if a Credit Facility is then in effect and secures the debt service on all Multi-Modal Bonds Outstanding and the Credit Enhancer is not then in default of its payment obligations thereunder) the written consent of the Credit Enhancer, and</w:t>
      </w:r>
    </w:p>
    <w:p>
      <w:pPr>
        <w:spacing w:after="0" w:line="185" w:lineRule="exact"/>
        <w:rPr>
          <w:rFonts w:ascii="Arial" w:cs="Arial" w:eastAsia="Arial" w:hAnsi="Arial"/>
          <w:sz w:val="22"/>
          <w:szCs w:val="22"/>
          <w:color w:val="auto"/>
        </w:rPr>
      </w:pPr>
    </w:p>
    <w:p>
      <w:pPr>
        <w:jc w:val="both"/>
        <w:ind w:left="660" w:firstLine="1941"/>
        <w:spacing w:after="0" w:line="260" w:lineRule="auto"/>
        <w:tabs>
          <w:tab w:leader="none" w:pos="311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may, subject to the written consent of the Credit Enhancer, if any, and shall, upon the written direction of the Credit Enhancer so long as, in either case, a Credit Facility is then in effect and the Credit Enhancer is not then in default of its payment obligations thereunder,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declare the principal of the Outstanding Bonds to be due and payable immediately, and upon any such declaration such principal together with accrued interest shall become immediately due and payable, and the Trustee shall give written notice to the District, the Company and the Holders of the Bonds that the principal of and accrued interest on the Outstanding Bonds have been declared to be due and payable immediately.</w:t>
      </w:r>
    </w:p>
    <w:p>
      <w:pPr>
        <w:spacing w:after="0" w:line="188" w:lineRule="exact"/>
        <w:rPr>
          <w:sz w:val="20"/>
          <w:szCs w:val="20"/>
          <w:color w:val="auto"/>
        </w:rPr>
      </w:pPr>
    </w:p>
    <w:p>
      <w:pPr>
        <w:jc w:val="both"/>
        <w:ind w:firstLine="656"/>
        <w:spacing w:after="0" w:line="254" w:lineRule="auto"/>
        <w:tabs>
          <w:tab w:leader="none" w:pos="113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If an Event of Default under Section 7.01(6) occurs, the principal of and accrued interest on the Outstanding Bonds shall become due and payable immediately and, upon receipt of knowledge thereof, the Trustee shall give written notice to the District, the Company and the Holders of the Bonds that the principal of and accrued interest on the Outstanding Bonds have become due and payable immediately.</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6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Notwithstanding any other notice requirement provided herein, if an Event of Default described in Section 7.01(5) occurs while a Liquidity Facility is in effect hereunder and the Liquidity Bank is not in default of its respective payment obligations thereunder, the Trustee shall declare the principal of all the Outstanding Bonds to be due and payable immediately by notice in writing to the District, the Company, and Holder of the Bonds, and upon the date of any such declaration, such principal shall become immediately due and payable, all interest on all Outstanding Bonds shall cease to accrue on the date of declaration of acceleration and interest.</w:t>
      </w:r>
    </w:p>
    <w:p>
      <w:pPr>
        <w:spacing w:after="0" w:line="188" w:lineRule="exact"/>
        <w:rPr>
          <w:rFonts w:ascii="Arial" w:cs="Arial" w:eastAsia="Arial" w:hAnsi="Arial"/>
          <w:sz w:val="22"/>
          <w:szCs w:val="22"/>
          <w:color w:val="auto"/>
        </w:rPr>
      </w:pPr>
    </w:p>
    <w:p>
      <w:pPr>
        <w:jc w:val="both"/>
        <w:ind w:firstLine="656"/>
        <w:spacing w:after="0" w:line="254" w:lineRule="auto"/>
        <w:tabs>
          <w:tab w:leader="none" w:pos="110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Whenever the Trustee shall declare the principal of all the Outstanding Bonds to be due and payable immediately, the Trustee shall immediately comply with the requirements of Section 4.03 relating to an immediate drawing under the Credit Facility, without security or indemnity against the costs, expenses, and liabilities which might be incurred by it in connection with such drawing.</w:t>
      </w:r>
    </w:p>
    <w:p>
      <w:pPr>
        <w:spacing w:after="0" w:line="185" w:lineRule="exact"/>
        <w:rPr>
          <w:rFonts w:ascii="Arial" w:cs="Arial" w:eastAsia="Arial" w:hAnsi="Arial"/>
          <w:sz w:val="22"/>
          <w:szCs w:val="22"/>
          <w:color w:val="auto"/>
        </w:rPr>
      </w:pPr>
    </w:p>
    <w:p>
      <w:pPr>
        <w:jc w:val="both"/>
        <w:ind w:firstLine="656"/>
        <w:spacing w:after="0" w:line="300" w:lineRule="auto"/>
        <w:tabs>
          <w:tab w:leader="none" w:pos="108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At any time after such a declaration of acceleration has been made and before a judgment or decree for payment of the money due has been obtained by the Trustee as hereinafter in this Article provided, the Holders of a majority in aggregate principal amount of Bonds Outstanding, by written notice to the District and the Trustee, in the case of any acceleration of maturity of the Bonds may, with the approval of the Credit Enhancer (if a Credit Facility is then in effect and the Credit Enhancer is not then in default of its payment obligations thereunder), direct the Trustee to rescind and annul such declaration and its consequences if:</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631" w:right="239" w:bottom="1440" w:gutter="0" w:footer="0" w:header="0"/>
        </w:sectPr>
      </w:pPr>
    </w:p>
    <w:bookmarkStart w:id="228" w:name="page229"/>
    <w:bookmarkEnd w:id="228"/>
    <w:p>
      <w:pPr>
        <w:ind w:left="1080" w:hanging="435"/>
        <w:spacing w:after="0"/>
        <w:tabs>
          <w:tab w:leader="none" w:pos="10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District has caused to be paid or deposited with the Trustee a sum sufficient to pay</w:t>
      </w:r>
    </w:p>
    <w:p>
      <w:pPr>
        <w:spacing w:after="0" w:line="233" w:lineRule="exact"/>
        <w:rPr>
          <w:rFonts w:ascii="Arial" w:cs="Arial" w:eastAsia="Arial" w:hAnsi="Arial"/>
          <w:sz w:val="22"/>
          <w:szCs w:val="22"/>
          <w:color w:val="auto"/>
        </w:rPr>
      </w:pPr>
    </w:p>
    <w:p>
      <w:pPr>
        <w:ind w:left="1780" w:hanging="487"/>
        <w:spacing w:after="0"/>
        <w:tabs>
          <w:tab w:leader="none" w:pos="17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all overdue installments of interest on all Bonds;</w:t>
      </w:r>
    </w:p>
    <w:p>
      <w:pPr>
        <w:spacing w:after="0" w:line="233" w:lineRule="exact"/>
        <w:rPr>
          <w:rFonts w:ascii="Arial" w:cs="Arial" w:eastAsia="Arial" w:hAnsi="Arial"/>
          <w:sz w:val="22"/>
          <w:szCs w:val="22"/>
          <w:color w:val="auto"/>
        </w:rPr>
      </w:pPr>
    </w:p>
    <w:p>
      <w:pPr>
        <w:ind w:left="640" w:firstLine="653"/>
        <w:spacing w:after="0" w:line="276" w:lineRule="auto"/>
        <w:tabs>
          <w:tab w:leader="none" w:pos="1797"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principal of (and premium, if any, on) any Bonds which have become due otherwise than by such declaration of acceleration and interest thereon at the rate borne by the Bonds; and</w:t>
      </w:r>
    </w:p>
    <w:p>
      <w:pPr>
        <w:spacing w:after="0" w:line="160" w:lineRule="exact"/>
        <w:rPr>
          <w:rFonts w:ascii="Arial" w:cs="Arial" w:eastAsia="Arial" w:hAnsi="Arial"/>
          <w:sz w:val="22"/>
          <w:szCs w:val="22"/>
          <w:color w:val="auto"/>
        </w:rPr>
      </w:pPr>
    </w:p>
    <w:p>
      <w:pPr>
        <w:ind w:left="640" w:firstLine="653"/>
        <w:spacing w:after="0" w:line="276" w:lineRule="auto"/>
        <w:tabs>
          <w:tab w:leader="none" w:pos="191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all sums paid or advanced by the Trustee hereunder and the reasonable compensation, expenses, disbursements and advances of the Trustee, its agents and counsel;</w:t>
      </w:r>
    </w:p>
    <w:p>
      <w:pPr>
        <w:spacing w:after="0" w:line="160" w:lineRule="exact"/>
        <w:rPr>
          <w:rFonts w:ascii="Arial" w:cs="Arial" w:eastAsia="Arial" w:hAnsi="Arial"/>
          <w:sz w:val="22"/>
          <w:szCs w:val="22"/>
          <w:color w:val="auto"/>
        </w:rPr>
      </w:pPr>
    </w:p>
    <w:p>
      <w:pPr>
        <w:ind w:right="20" w:firstLine="645"/>
        <w:spacing w:after="0" w:line="276" w:lineRule="auto"/>
        <w:tabs>
          <w:tab w:leader="none" w:pos="112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all Events of Default, other than the nonpayment of the principal of Bonds which have become due solely by such acceleration, have been cured or waived as provided in Section 7.14;</w:t>
      </w:r>
    </w:p>
    <w:p>
      <w:pPr>
        <w:spacing w:after="0" w:line="160" w:lineRule="exact"/>
        <w:rPr>
          <w:rFonts w:ascii="Arial" w:cs="Arial" w:eastAsia="Arial" w:hAnsi="Arial"/>
          <w:sz w:val="22"/>
          <w:szCs w:val="22"/>
          <w:color w:val="auto"/>
        </w:rPr>
      </w:pPr>
    </w:p>
    <w:p>
      <w:pPr>
        <w:jc w:val="both"/>
        <w:ind w:firstLine="645"/>
        <w:spacing w:after="0" w:line="320" w:lineRule="auto"/>
        <w:tabs>
          <w:tab w:leader="none" w:pos="122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Trustee shall have received a written confirmation from Jefferson Holdings and the Company, if the Standby Bond Purchase Agreement is then in effect, the Credit Enhancer, if any, and the Liquidity Bank, if any, that the Credit Facility, the Liquidity Facility or the Standby Bond Purchase Agreement, as applicable, is in full force and effect; and</w:t>
      </w:r>
    </w:p>
    <w:p>
      <w:pPr>
        <w:spacing w:after="0" w:line="125" w:lineRule="exact"/>
        <w:rPr>
          <w:rFonts w:ascii="Arial" w:cs="Arial" w:eastAsia="Arial" w:hAnsi="Arial"/>
          <w:sz w:val="19"/>
          <w:szCs w:val="19"/>
          <w:color w:val="auto"/>
        </w:rPr>
      </w:pPr>
    </w:p>
    <w:p>
      <w:pPr>
        <w:jc w:val="both"/>
        <w:ind w:firstLine="645"/>
        <w:spacing w:after="0" w:line="300" w:lineRule="auto"/>
        <w:tabs>
          <w:tab w:leader="none" w:pos="117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if a Credit Facility, a Liquidity Facility or the Standby Bond Purchase Agreement shall have been in effect hereunder immediately prior to such declaration, the provider of such Credit Facility, Liquidity Facility or Standby Bond Purchase Agreement, as the case may be, shall have given written notice to the Trustee that the Credit Facility, Liquidity Facility or Standby Bond Purchase Agreement will be in effect on the date such rescission and annulment becomes effective in a stated amount at least equal to the stated amount thereof immediately prior to the occurrence of the Event of Default.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Collection of Indebtedness and Suits for Enforcement by Trustee</w:t>
      </w:r>
      <w:r>
        <w:rPr>
          <w:rFonts w:ascii="Arial" w:cs="Arial" w:eastAsia="Arial" w:hAnsi="Arial"/>
          <w:sz w:val="19"/>
          <w:szCs w:val="19"/>
          <w:color w:val="auto"/>
        </w:rPr>
        <w:t>. The District covenants that if</w:t>
      </w:r>
    </w:p>
    <w:p>
      <w:pPr>
        <w:spacing w:after="0" w:line="233" w:lineRule="exact"/>
        <w:rPr>
          <w:sz w:val="20"/>
          <w:szCs w:val="20"/>
          <w:color w:val="auto"/>
        </w:rPr>
      </w:pPr>
    </w:p>
    <w:p>
      <w:pPr>
        <w:ind w:left="1100" w:hanging="455"/>
        <w:spacing w:after="0"/>
        <w:tabs>
          <w:tab w:leader="none" w:pos="11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default is made in the payment of any installment of interest on any Bond when such interest becomes due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payable, or</w:t>
      </w:r>
    </w:p>
    <w:p>
      <w:pPr>
        <w:spacing w:after="0" w:line="215" w:lineRule="exact"/>
        <w:rPr>
          <w:rFonts w:ascii="Arial" w:cs="Arial" w:eastAsia="Arial" w:hAnsi="Arial"/>
          <w:sz w:val="19"/>
          <w:szCs w:val="19"/>
          <w:color w:val="auto"/>
        </w:rPr>
      </w:pPr>
    </w:p>
    <w:p>
      <w:pPr>
        <w:ind w:right="20" w:firstLine="645"/>
        <w:spacing w:after="0" w:line="276" w:lineRule="auto"/>
        <w:tabs>
          <w:tab w:leader="none" w:pos="117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default is made in the payment of the principal of (or premium, if any, on) any Bond when such principal becomes due and payable, or</w:t>
      </w:r>
    </w:p>
    <w:p>
      <w:pPr>
        <w:spacing w:after="0" w:line="160" w:lineRule="exact"/>
        <w:rPr>
          <w:rFonts w:ascii="Arial" w:cs="Arial" w:eastAsia="Arial" w:hAnsi="Arial"/>
          <w:sz w:val="22"/>
          <w:szCs w:val="22"/>
          <w:color w:val="auto"/>
        </w:rPr>
      </w:pPr>
    </w:p>
    <w:p>
      <w:pPr>
        <w:ind w:left="1080" w:hanging="435"/>
        <w:spacing w:after="0"/>
        <w:tabs>
          <w:tab w:leader="none" w:pos="10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default is made in the payment of the Purchase Price on any Bond when due,</w:t>
      </w:r>
    </w:p>
    <w:p>
      <w:pPr>
        <w:spacing w:after="0" w:line="200" w:lineRule="exact"/>
        <w:rPr>
          <w:sz w:val="20"/>
          <w:szCs w:val="20"/>
          <w:color w:val="auto"/>
        </w:rPr>
      </w:pPr>
    </w:p>
    <w:p>
      <w:pPr>
        <w:spacing w:after="0" w:line="2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0760"/>
          </w:cols>
          <w:pgMar w:left="900" w:top="632" w:right="239" w:bottom="1440" w:gutter="0" w:footer="0" w:header="0"/>
        </w:sectPr>
      </w:pPr>
    </w:p>
    <w:bookmarkStart w:id="229" w:name="page230"/>
    <w:bookmarkEnd w:id="229"/>
    <w:p>
      <w:pPr>
        <w:jc w:val="both"/>
        <w:spacing w:after="0" w:line="263" w:lineRule="auto"/>
        <w:rPr>
          <w:sz w:val="20"/>
          <w:szCs w:val="20"/>
          <w:color w:val="auto"/>
        </w:rPr>
      </w:pPr>
      <w:r>
        <w:rPr>
          <w:rFonts w:ascii="Arial" w:cs="Arial" w:eastAsia="Arial" w:hAnsi="Arial"/>
          <w:sz w:val="21"/>
          <w:szCs w:val="21"/>
          <w:color w:val="auto"/>
        </w:rPr>
        <w:t>the District will, upon demand of the Trustee, pay (but solely from the Trust Estate, the Pledged Revenues and funds received from the Company) to it, for the benefit of the Holders of the Bonds, the whole amount then due and payable on such Bonds for principal (and premium, if any) and interest, with interest upon the overdue principal (and premium, if any); and shall pay to the Trustee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the District fails to pay any of the foregoing amounts forthwith upon demand, the Trustee, in its own name and as trustee of an express trust, may institute a judicial proceeding for the collection of the sums so due and unpaid, and may prosecute such proceeding to judgment or final decree, and may enforce the same against the District or any other obligor upon the Bonds and collect the money adjudged or decreed to be payable in the manner provided by law solely out of the property constituting a part of the Trust Estate pledged to the Bonds.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 Event of Default occurs and is continuing, the Trustee may proceed to protect and enforce its rights and the rights of the Holders of Bonds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Trustee May File Proofs of Claim</w:t>
      </w:r>
      <w:r>
        <w:rPr>
          <w:rFonts w:ascii="Arial" w:cs="Arial" w:eastAsia="Arial" w:hAnsi="Arial"/>
          <w:sz w:val="22"/>
          <w:szCs w:val="22"/>
          <w:color w:val="auto"/>
        </w:rPr>
        <w:t>. In case of the pendency of any receivership, insolvency, liquidation, bankruptcy, reorganization, arrangement, adjustment, composition or other judicial proceeding relative to the District, the Company, Jefferson Holdings or any other obligor upon the Bonds or property of the District, of the Company or of such other obligor or their creditors, the Trustee (irrespective of whether the principal of the Bonds shall then be due and payable as therein expressed or by declaration or otherwise and irrespective of whether the Trustee shall have made any demand, on the District, the Company or such other obligor for the payment of overdue principal or interest) shall be entitled and empowered, by intervention in such proceeding or otherwise,</w:t>
      </w:r>
    </w:p>
    <w:p>
      <w:pPr>
        <w:spacing w:after="0" w:line="196" w:lineRule="exact"/>
        <w:rPr>
          <w:sz w:val="20"/>
          <w:szCs w:val="20"/>
          <w:color w:val="auto"/>
        </w:rPr>
      </w:pPr>
    </w:p>
    <w:p>
      <w:pPr>
        <w:jc w:val="both"/>
        <w:ind w:left="660" w:firstLine="1941"/>
        <w:spacing w:after="0" w:line="307" w:lineRule="auto"/>
        <w:tabs>
          <w:tab w:leader="none" w:pos="30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principal (and premium, if any) and interest owing and unpaid in respect of the Bonds and to file such other papers or documents as may be necessary or advisable in order to have the claims of the Trustee (including any claim for the reasonable compensation, expenses, disbursements and advances of the Trustee, its agents and counsel) and of the Holders of Bonds allowed in such judicial proceeding, and</w:t>
      </w:r>
    </w:p>
    <w:p>
      <w:pPr>
        <w:spacing w:after="0" w:line="138" w:lineRule="exact"/>
        <w:rPr>
          <w:rFonts w:ascii="Arial" w:cs="Arial" w:eastAsia="Arial" w:hAnsi="Arial"/>
          <w:sz w:val="19"/>
          <w:szCs w:val="19"/>
          <w:color w:val="auto"/>
        </w:rPr>
      </w:pPr>
    </w:p>
    <w:p>
      <w:pPr>
        <w:ind w:left="3120" w:hanging="519"/>
        <w:spacing w:after="0"/>
        <w:tabs>
          <w:tab w:leader="none" w:pos="31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collect and receive any money or other property payable or deliverable on any such claims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to distribute the same;</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and any receiver, assignee, trustee, liquidator, sequestrator (or other similar official) in any such judicial proceeding is hereby authorized by each Holder of Bonds to make such payments to the Trustee, and in the event that the Trustee shall consent to the making of such payments directly to the Holders of Bonds, to pay to the Trustee any amount due to it for the reasonable compensation, expenses, disbursements and advances of the Trustee, its agents and counsel, and any other amounts due the Trustee under this Indenture.</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of Bonds any plan of reorganization, arrangement, adjustment or composition affecting the Bonds or the rights of any Holder thereof, or to authorize the Trustee to vote in respect of the claim of any Holder of Bonds in any such proceeding.</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u w:val="single" w:color="auto"/>
          <w:color w:val="auto"/>
        </w:rPr>
        <w:t>Trustee May Enforce Claims Without Possession of Bonds</w:t>
      </w:r>
      <w:r>
        <w:rPr>
          <w:rFonts w:ascii="Arial" w:cs="Arial" w:eastAsia="Arial" w:hAnsi="Arial"/>
          <w:sz w:val="21"/>
          <w:szCs w:val="21"/>
          <w:color w:val="auto"/>
        </w:rPr>
        <w:t>. All rights of action and claims under this Indenture or the Bonds may be prosecuted and enforced by the Trustee without the possession of any of the Bonds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Bonds in respect of which such judgment has been recovered.</w:t>
      </w:r>
    </w:p>
    <w:p>
      <w:pPr>
        <w:sectPr>
          <w:pgSz w:w="11900" w:h="16838" w:orient="portrait"/>
          <w:cols w:equalWidth="0" w:num="1">
            <w:col w:w="11420"/>
          </w:cols>
          <w:pgMar w:left="240" w:top="63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50</w:t>
      </w:r>
    </w:p>
    <w:p>
      <w:pPr>
        <w:sectPr>
          <w:pgSz w:w="11900" w:h="16838" w:orient="portrait"/>
          <w:cols w:equalWidth="0" w:num="1">
            <w:col w:w="11420"/>
          </w:cols>
          <w:pgMar w:left="240" w:top="631" w:right="239" w:bottom="1440" w:gutter="0" w:footer="0" w:header="0"/>
          <w:type w:val="continuous"/>
        </w:sectPr>
      </w:pPr>
    </w:p>
    <w:bookmarkStart w:id="230" w:name="page231"/>
    <w:bookmarkEnd w:id="230"/>
    <w:p>
      <w:pPr>
        <w:jc w:val="both"/>
        <w:ind w:firstLine="648"/>
        <w:spacing w:after="0" w:line="254"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Application of Money Collected</w:t>
      </w:r>
      <w:r>
        <w:rPr>
          <w:rFonts w:ascii="Arial" w:cs="Arial" w:eastAsia="Arial" w:hAnsi="Arial"/>
          <w:sz w:val="22"/>
          <w:szCs w:val="22"/>
          <w:color w:val="auto"/>
        </w:rPr>
        <w:t>. Any money collected by the Trustee pursuant to this Article shall be applied in the following order, at the date or dates fixed by the Trustee and, in case of the distribution of such money on account of principal (or premium, if any) or interest, upon presentation of the Bonds and the notation thereon of the payment if only partially paid and upon surrender thereof if fully paid:</w:t>
      </w:r>
    </w:p>
    <w:p>
      <w:pPr>
        <w:spacing w:after="0" w:line="185"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First, to the payment of the Trustee of any fees or expenses of the Trustee then due and payable;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Second, to the payment of the amounts then due and unpaid upon the Bonds, for interest, in respect of which or for the benefit of which such money has been collected, ratably without preference or priority of any kind, according to the amounts due and payable on such Bonds for interest;</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4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Third, to the payment of the amounts then due and unpaid upon the Bonds, for principal (and premium, if any), in respect of which or for the benefit of which such money has been collected, ratably without preference or priority of any kind, according to the amounts due and payable on such Bonds for principal (and premium, if any); and</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Fourth, to the District, any remaining amounts of money so collected.</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amounts drawn under the Credit Facility or the Liquidity Facility, or money in the Credit Facility Fund or the Liquidity Account of the Purchase Fund, shall be applied in payment of the Holders of the Multi-Modal Bonds secured thereby as provided in the applicable provisions of Articles II and IV of this Indenture.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Section 7.06, the Trustee may assume that no Bonds are registered in the name of the Company, or an affiliate thereof, or such entity is a beneficial holder thereof unless a written notice of such ownership is delivered to a Responsible Officer at the Trustee’s office at the address specified in Section 1.05 of this Indenture.</w:t>
      </w:r>
    </w:p>
    <w:p>
      <w:pPr>
        <w:spacing w:after="0" w:line="18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Limitation on Suits</w:t>
      </w:r>
      <w:r>
        <w:rPr>
          <w:rFonts w:ascii="Arial" w:cs="Arial" w:eastAsia="Arial" w:hAnsi="Arial"/>
          <w:sz w:val="19"/>
          <w:szCs w:val="19"/>
          <w:color w:val="auto"/>
        </w:rPr>
        <w:t>. The Holder of any Bond shall have no right to institute any proceeding, judicial or otherwise, with respect to this Indenture, or for the appointment of a receiver or trustee, or for any other remedy hereunder, unless:</w:t>
      </w:r>
    </w:p>
    <w:p>
      <w:pPr>
        <w:spacing w:after="0" w:line="9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w:t>
      </w:r>
    </w:p>
    <w:p>
      <w:pPr>
        <w:spacing w:after="0" w:line="233" w:lineRule="exact"/>
        <w:rPr>
          <w:rFonts w:ascii="Arial" w:cs="Arial" w:eastAsia="Arial" w:hAnsi="Arial"/>
          <w:sz w:val="22"/>
          <w:szCs w:val="22"/>
          <w:color w:val="auto"/>
        </w:rPr>
      </w:pPr>
    </w:p>
    <w:p>
      <w:pPr>
        <w:ind w:firstLine="656"/>
        <w:spacing w:after="0" w:line="301" w:lineRule="auto"/>
        <w:tabs>
          <w:tab w:leader="none" w:pos="110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Holders of not less than 30% in principal amount of the Outstanding Bonds shall have made written request to the Trustee to institute proceedings in respect of such Event of Default in its own name as Trustee hereunder;</w:t>
      </w:r>
    </w:p>
    <w:p>
      <w:pPr>
        <w:spacing w:after="0" w:line="137" w:lineRule="exact"/>
        <w:rPr>
          <w:rFonts w:ascii="Arial" w:cs="Arial" w:eastAsia="Arial" w:hAnsi="Arial"/>
          <w:sz w:val="21"/>
          <w:szCs w:val="21"/>
          <w:color w:val="auto"/>
        </w:rPr>
      </w:pPr>
    </w:p>
    <w:p>
      <w:pPr>
        <w:ind w:firstLine="656"/>
        <w:spacing w:after="0" w:line="276" w:lineRule="auto"/>
        <w:tabs>
          <w:tab w:leader="none" w:pos="114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such Holder has offered to the satisfaction of the Trustee indemnity against the costs, expenses and liabilities to be incurred in compliance with such request;</w:t>
      </w:r>
    </w:p>
    <w:p>
      <w:pPr>
        <w:spacing w:after="0" w:line="160" w:lineRule="exact"/>
        <w:rPr>
          <w:rFonts w:ascii="Arial" w:cs="Arial" w:eastAsia="Arial" w:hAnsi="Arial"/>
          <w:sz w:val="22"/>
          <w:szCs w:val="22"/>
          <w:color w:val="auto"/>
        </w:rPr>
      </w:pPr>
    </w:p>
    <w:p>
      <w:pPr>
        <w:ind w:right="20" w:firstLine="656"/>
        <w:spacing w:after="0" w:line="276" w:lineRule="auto"/>
        <w:tabs>
          <w:tab w:leader="none" w:pos="112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631" w:right="239" w:bottom="1440" w:gutter="0" w:footer="0" w:header="0"/>
        </w:sectPr>
      </w:pPr>
    </w:p>
    <w:bookmarkStart w:id="231" w:name="page232"/>
    <w:bookmarkEnd w:id="231"/>
    <w:p>
      <w:pPr>
        <w:ind w:right="20" w:firstLine="656"/>
        <w:spacing w:after="0" w:line="276" w:lineRule="auto"/>
        <w:tabs>
          <w:tab w:leader="none" w:pos="114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Holders of a majority in aggregate principal amount of the Outstanding Bonds;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 being understood and intended that no one or more Holders of Bonds shall have any right in any manner whatever by virtue of, or by availing of, any provision of this Indenture to affect, disturb or prejudice the rights of any other Holders of Bonds, or to obtain or to seek to obtain priority or preference over any other Holders, to take any action that would affect the validity of the lien of this Indenture on the Trust Estate, or to enforce any right under this Indenture, except in the manner herein provided and for the equal and ratable benefit of all the Holders of Bonds.</w:t>
      </w:r>
    </w:p>
    <w:p>
      <w:pPr>
        <w:spacing w:after="0" w:line="19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u w:val="single" w:color="auto"/>
          <w:color w:val="auto"/>
        </w:rPr>
        <w:t>Unconditional Right of Holders of Bonds to Receive Principal, Premium and Interest</w:t>
      </w:r>
      <w:r>
        <w:rPr>
          <w:rFonts w:ascii="Arial" w:cs="Arial" w:eastAsia="Arial" w:hAnsi="Arial"/>
          <w:sz w:val="19"/>
          <w:szCs w:val="19"/>
          <w:color w:val="auto"/>
        </w:rPr>
        <w:t>. Notwithstanding any other provision in this Indenture, the Holder of any Bond shall have the right which is absolute and unconditional to receive payment of the principal of (and premium, if any) and interest on such Bond, but solely from the sources provided in this Indenture, on the respective Stated Maturities expressed in such Bond (or, in the case of redemption, on the redemption date) and to institute suit for the enforcement of any such payment, and such rights shall not be impaired without the consent of such Holder.</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Restoration of Rights and Remedies</w:t>
      </w:r>
      <w:r>
        <w:rPr>
          <w:rFonts w:ascii="Arial" w:cs="Arial" w:eastAsia="Arial" w:hAnsi="Arial"/>
          <w:sz w:val="22"/>
          <w:szCs w:val="22"/>
          <w:color w:val="auto"/>
        </w:rPr>
        <w:t>. If the Trustee or any Holder of Bonds has instituted any proceeding to enforce any right or remedy under this Indenture and such proceeding has been discontinued or abandoned for any reason, or has been determined adversely to the Trustee, or such Holder of Bonds, then and in every such case the District, the Trustee and the Holders of Bonds shall, subject to any determination in such proceeding, be restored severally and respectively to their former positions hereunder, and thereafter all rights and remedies of the Trustee, and the Holders of Bonds shall continue as though no such proceeding had been instituted.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631" w:right="239" w:bottom="1440" w:gutter="0" w:footer="0" w:header="0"/>
        </w:sectPr>
      </w:pPr>
    </w:p>
    <w:bookmarkStart w:id="232" w:name="page233"/>
    <w:bookmarkEnd w:id="232"/>
    <w:p>
      <w:pPr>
        <w:spacing w:after="0" w:line="12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Rights and Remedies Cumulative</w:t>
      </w:r>
      <w:r>
        <w:rPr>
          <w:rFonts w:ascii="Arial" w:cs="Arial" w:eastAsia="Arial" w:hAnsi="Arial"/>
          <w:sz w:val="21"/>
          <w:szCs w:val="21"/>
          <w:color w:val="auto"/>
        </w:rPr>
        <w:t>. No right or remedy herein conferred upon or reserved to the Trustee, or the Holders of Bonds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Delay or Omission Not Waiver</w:t>
      </w:r>
      <w:r>
        <w:rPr>
          <w:rFonts w:ascii="Arial" w:cs="Arial" w:eastAsia="Arial" w:hAnsi="Arial"/>
          <w:sz w:val="22"/>
          <w:szCs w:val="22"/>
          <w:color w:val="auto"/>
        </w:rPr>
        <w:t>. No delay or omission of the Trustee, or any Holder of any Bond to exercise any right or remedy accruing upon any Event of Default shall impair any such right or remedy or constitute a waiver of any such Event of Default or an acquiescence therein. Every right and remedy given by this Article or by law to the Trustee, the Credit Enhancer, or the Holders of Bonds may be exercised from time to time, and as often as may be deemed expedient, by the Trustee, or the Holders of Bonds, as the case may be.</w:t>
      </w:r>
    </w:p>
    <w:p>
      <w:pPr>
        <w:spacing w:after="0" w:line="19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9"/>
          <w:szCs w:val="19"/>
          <w:u w:val="single" w:color="auto"/>
          <w:color w:val="auto"/>
        </w:rPr>
        <w:t>Control by Holders of Bonds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3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of the Outstanding Bonds shall have the right to direct the time, method and place of conducting any proceeding for any remedy available to the Trustee or exercising any trust or power conferred on the Trustee, provided that:</w:t>
      </w:r>
    </w:p>
    <w:p>
      <w:pPr>
        <w:spacing w:after="0" w:line="177" w:lineRule="exact"/>
        <w:rPr>
          <w:rFonts w:ascii="Arial" w:cs="Arial" w:eastAsia="Arial" w:hAnsi="Arial"/>
          <w:sz w:val="22"/>
          <w:szCs w:val="22"/>
          <w:color w:val="auto"/>
        </w:rPr>
      </w:pPr>
    </w:p>
    <w:p>
      <w:pPr>
        <w:ind w:left="2980" w:hanging="379"/>
        <w:spacing w:after="0"/>
        <w:tabs>
          <w:tab w:leader="none" w:pos="298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 and</w:t>
      </w:r>
    </w:p>
    <w:p>
      <w:pPr>
        <w:spacing w:after="0" w:line="233" w:lineRule="exact"/>
        <w:rPr>
          <w:rFonts w:ascii="Arial" w:cs="Arial" w:eastAsia="Arial" w:hAnsi="Arial"/>
          <w:sz w:val="22"/>
          <w:szCs w:val="22"/>
          <w:color w:val="auto"/>
        </w:rPr>
      </w:pPr>
    </w:p>
    <w:p>
      <w:pPr>
        <w:ind w:left="3100" w:hanging="499"/>
        <w:spacing w:after="0"/>
        <w:tabs>
          <w:tab w:leader="none" w:pos="31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with such direction.</w:t>
      </w:r>
    </w:p>
    <w:p>
      <w:pPr>
        <w:spacing w:after="0" w:line="21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21"/>
          <w:szCs w:val="21"/>
          <w:u w:val="single" w:color="auto"/>
          <w:color w:val="auto"/>
        </w:rPr>
        <w:t>Waiver of Past Defaults</w:t>
      </w:r>
      <w:r>
        <w:rPr>
          <w:rFonts w:ascii="Arial" w:cs="Arial" w:eastAsia="Arial" w:hAnsi="Arial"/>
          <w:sz w:val="21"/>
          <w:szCs w:val="21"/>
          <w:color w:val="auto"/>
        </w:rPr>
        <w:t>. The Holders of not less than a majority in aggregate principal amount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Outstanding Bonds may waive any past default hereunder and its consequences, except:</w:t>
      </w:r>
    </w:p>
    <w:p>
      <w:pPr>
        <w:spacing w:after="0" w:line="215"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 default in the payment of the principal of (or premium, if any) or interest on or the Purchase Price of any Bond, or</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 Event of Default described in Section 7.01(5), or</w:t>
      </w:r>
    </w:p>
    <w:p>
      <w:pPr>
        <w:spacing w:after="0" w:line="233" w:lineRule="exact"/>
        <w:rPr>
          <w:rFonts w:ascii="Arial" w:cs="Arial" w:eastAsia="Arial" w:hAnsi="Arial"/>
          <w:sz w:val="22"/>
          <w:szCs w:val="22"/>
          <w:color w:val="auto"/>
        </w:rPr>
      </w:pPr>
    </w:p>
    <w:p>
      <w:pPr>
        <w:ind w:firstLine="656"/>
        <w:spacing w:after="0" w:line="276" w:lineRule="auto"/>
        <w:tabs>
          <w:tab w:leader="none" w:pos="109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 default in respect of a covenant or provision hereof which under Article IX cannot be modified or amended without the consent of the Holder of each Outstanding Bond affected.</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agree, and each Holder of any Bond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of Bonds, or group of Holders of Bonds, holding in the aggregate more than 10% in principal amount of the Outstanding Bonds, or to any suit instituted by any Holder of Bonds for the enforcement of the payment of the principal of (or premium, if any) or interest on any Bond on or after the respective Stated Maturities expressed in such Bond (or, in the case of redemption, on or after the redemption date).</w:t>
      </w:r>
    </w:p>
    <w:p>
      <w:pPr>
        <w:spacing w:after="0" w:line="1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u w:val="single" w:color="auto"/>
          <w:color w:val="auto"/>
        </w:rPr>
        <w:t>Waiver of Stay or Extension Laws</w:t>
      </w:r>
      <w:r>
        <w:rPr>
          <w:rFonts w:ascii="Arial" w:cs="Arial" w:eastAsia="Arial" w:hAnsi="Arial"/>
          <w:sz w:val="19"/>
          <w:szCs w:val="19"/>
          <w:color w:val="auto"/>
        </w:rPr>
        <w:t>. The District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District (to the extent that it may lawfully do so) hereby expressly waives all benefit or advantage of any such law, and covenants (to the extent it may lawfully do so) that it will not hinder, delay or impede the execution of any power herein granted to the Trustee, but will suffer and permit the execution of every such power as though no such law had been enacted.</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recourse under or upon any obligation, covenant or agreement contained in this Indenture or any indenture supplemental hereto, or in any Bond or any Bond, or for any claim based thereon or otherwise in respect thereof, shall be had against any incorporator, or against any past, present or future director, officer or employee, as such, of the District or the Trustee or of any successor thereof, either directly or through the District or the Trustee, whether by virtue of any constitution or statute or rule of law, or by the enforcement of any assessment or penalty or otherwise; it being expressly understood that this Indenture and the Bonds are solely corporate obligations, and that no such personal liability whatever shall attach to, or is or shall be incurred by, the incorporators, directors, officers or employees, as such, of the District or the Trustee or any successor thereof, or any of them, because of the creation of indebtedness hereby authorized, or under or by reason of the obligations, covenants or agreements contained in this Indenture or in any of the Bonds or implied therefrom; and that any and all such personal</w:t>
      </w:r>
    </w:p>
    <w:p>
      <w:pPr>
        <w:sectPr>
          <w:pgSz w:w="11900" w:h="16964" w:orient="portrait"/>
          <w:cols w:equalWidth="0" w:num="1">
            <w:col w:w="11420"/>
          </w:cols>
          <w:pgMar w:left="240" w:top="631" w:right="239" w:bottom="0" w:gutter="0" w:footer="0" w:header="0"/>
        </w:sectPr>
      </w:pPr>
    </w:p>
    <w:bookmarkStart w:id="233" w:name="page234"/>
    <w:bookmarkEnd w:id="233"/>
    <w:p>
      <w:pPr>
        <w:jc w:val="both"/>
        <w:spacing w:after="0" w:line="271" w:lineRule="auto"/>
        <w:rPr>
          <w:sz w:val="20"/>
          <w:szCs w:val="20"/>
          <w:color w:val="auto"/>
        </w:rPr>
      </w:pPr>
      <w:r>
        <w:rPr>
          <w:rFonts w:ascii="Arial" w:cs="Arial" w:eastAsia="Arial" w:hAnsi="Arial"/>
          <w:sz w:val="21"/>
          <w:szCs w:val="21"/>
          <w:color w:val="auto"/>
        </w:rPr>
        <w:t>liability, either at common law or in equity or by constitution or statute, of, and any and all such rights and claims against, every such incorporator, director, officer or employee, as such, are hereby expressly waived and released as a condition of, and as a consideration for, the execution of this Indenture and the issue of such Bonds or any of the Bonds.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7.17 </w:t>
      </w:r>
      <w:r>
        <w:rPr>
          <w:rFonts w:ascii="Arial" w:cs="Arial" w:eastAsia="Arial" w:hAnsi="Arial"/>
          <w:sz w:val="21"/>
          <w:szCs w:val="21"/>
          <w:u w:val="single" w:color="auto"/>
          <w:color w:val="auto"/>
        </w:rPr>
        <w:t>Expenses Payable under Indenture</w:t>
      </w:r>
      <w:r>
        <w:rPr>
          <w:rFonts w:ascii="Arial" w:cs="Arial" w:eastAsia="Arial" w:hAnsi="Arial"/>
          <w:sz w:val="21"/>
          <w:szCs w:val="21"/>
          <w:color w:val="auto"/>
        </w:rPr>
        <w:t>. All expenses incurred in carrying out this Indenture shall be payable solely from funds derived by the District from the Company. Anything in this Indenture to the contrary notwithstanding, the performance by the District of all duties and obligations imposed upon it hereby, the exercise by it of all powers granted to it hereunder, the carrying out of all covenants, agreements and promises made by it hereunder, and liability of the District for all warranties and other covenants herein shall be limited solely to the Trust Estate, which includes money and revenues received from Pledged Revenues, and from money attributable to the proceeds of Bonds, or the income from the temporary investment thereof; and the District shall not be required to effectuate any of its duties, obligations, powers or covenants except from, and to the extent of, such money, revenues, proceeds, and payments.</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CONCERNING THE TRUSTEE</w:t>
      </w:r>
    </w:p>
    <w:p>
      <w:pPr>
        <w:spacing w:after="0" w:line="22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Duties and Liabilities of Trustee</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3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 the Trustee undertakes to perform such duties and only such duties as are specifically set forth in this Indenture and no implied covenants or obligations shall be read into this Indenture against the Trustee.</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09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 case any Event of Default (of which the Trustee has actual knowledge or is deemed to have actual knowledge under Section 8.03(h) hereof) has occurred and is continuing, the Trustee shall exercise such of the rights and powers vested in it by this Indenture, and use the same degree of care and skill in their exercise, as a reasonably prudent man would exercise or use under the circumstances in the conduct of his own affairs.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32" w:right="239" w:bottom="1440" w:gutter="0" w:footer="0" w:header="0"/>
        </w:sectPr>
      </w:pPr>
    </w:p>
    <w:bookmarkStart w:id="234" w:name="page235"/>
    <w:bookmarkEnd w:id="234"/>
    <w:p>
      <w:pPr>
        <w:ind w:right="20" w:firstLine="656"/>
        <w:spacing w:after="0" w:line="276" w:lineRule="auto"/>
        <w:tabs>
          <w:tab w:leader="none" w:pos="110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this subsection shall not be construed to limit the effect of subsection (a) of this Section or Section 8.03;</w:t>
      </w:r>
    </w:p>
    <w:p>
      <w:pPr>
        <w:spacing w:after="0" w:line="244" w:lineRule="exact"/>
        <w:rPr>
          <w:rFonts w:ascii="Arial" w:cs="Arial" w:eastAsia="Arial" w:hAnsi="Arial"/>
          <w:sz w:val="21"/>
          <w:szCs w:val="21"/>
          <w:color w:val="auto"/>
        </w:rPr>
      </w:pPr>
    </w:p>
    <w:p>
      <w:pPr>
        <w:ind w:left="660" w:firstLine="645"/>
        <w:spacing w:after="0" w:line="276" w:lineRule="auto"/>
        <w:tabs>
          <w:tab w:leader="none" w:pos="1767"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shall be proved that the Trustee was negligent in ascertaining the pertinent facts;</w:t>
      </w:r>
    </w:p>
    <w:p>
      <w:pPr>
        <w:spacing w:after="0" w:line="160" w:lineRule="exact"/>
        <w:rPr>
          <w:rFonts w:ascii="Arial" w:cs="Arial" w:eastAsia="Arial" w:hAnsi="Arial"/>
          <w:sz w:val="22"/>
          <w:szCs w:val="22"/>
          <w:color w:val="auto"/>
        </w:rPr>
      </w:pPr>
    </w:p>
    <w:p>
      <w:pPr>
        <w:jc w:val="both"/>
        <w:ind w:left="660" w:firstLine="645"/>
        <w:spacing w:after="0" w:line="307" w:lineRule="auto"/>
        <w:tabs>
          <w:tab w:leader="none" w:pos="1821"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or omitted to be taken by it in good faith in accordance with the direction of the Holders of a majority in aggregate principal amount of Bonds then Outstanding relating to the time, method and place of conducting any proceeding for any remedy available to the Trustee, or exercising any trust or power conferred upon the Trustee, under this Indenture or as holder of the Initial Bonds Bond; and</w:t>
      </w:r>
    </w:p>
    <w:p>
      <w:pPr>
        <w:spacing w:after="0" w:line="138" w:lineRule="exact"/>
        <w:rPr>
          <w:rFonts w:ascii="Arial" w:cs="Arial" w:eastAsia="Arial" w:hAnsi="Arial"/>
          <w:sz w:val="19"/>
          <w:szCs w:val="19"/>
          <w:color w:val="auto"/>
        </w:rPr>
      </w:pPr>
    </w:p>
    <w:p>
      <w:pPr>
        <w:jc w:val="both"/>
        <w:ind w:left="660" w:firstLine="645"/>
        <w:spacing w:after="0" w:line="270" w:lineRule="auto"/>
        <w:tabs>
          <w:tab w:leader="none" w:pos="1862" w:val="left"/>
        </w:tabs>
        <w:numPr>
          <w:ilvl w:val="1"/>
          <w:numId w:val="151"/>
        </w:numPr>
        <w:rPr>
          <w:rFonts w:ascii="Arial" w:cs="Arial" w:eastAsia="Arial" w:hAnsi="Arial"/>
          <w:sz w:val="21"/>
          <w:szCs w:val="21"/>
          <w:color w:val="auto"/>
        </w:rPr>
      </w:pPr>
      <w:r>
        <w:rPr>
          <w:rFonts w:ascii="Arial" w:cs="Arial" w:eastAsia="Arial" w:hAnsi="Arial"/>
          <w:sz w:val="21"/>
          <w:szCs w:val="21"/>
          <w:color w:val="auto"/>
        </w:rPr>
        <w:t>no provision of this Indenture shall require the Trustee to expend or risk its funds or otherwise incur any financial liability in the performance of any of its duties hereunder or in the exercise of any of its rights or powers, if it shall have reasonable grounds for believing that the repayment of such funds or adequate indemnity against such risk or liability or the payment of its fees and expenses is not reasonably assured to it.</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0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and the other Bond Documents relating to the conduct or affecting the liability of or affording protection to the Trustee shall be subject to the provisions of this Section and Sections 8.03 and 8.15.</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Notice of Defaults; Notice to Rating Service and Beneficial Owners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20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Within 10 days after the occurrence of any Event of Default hereunder of which the Trustee is deemed to have knowledge hereunder, the Trustee shall transmit by mail to the Credit Enhancer, the Liquidity Bank, and the Remarketing Agent, and within 60 days after such occurrence, to all Holders of Bonds, notice of such default, unless, with respect to notice to the Holders of the Bonds, such default shall have been cured or waived or unless corrective action to cure such default has been instituted and is being pursued such that such default does not constitute an Event of Default; provided, however, that except in the case of a default in the payment of the principal of (or premium, if any) or interest on any Bonds or in the payment of any sinking or purchase fund installment, the Trustee shall be protected in withholding such notice from the Holders of Bonds if and so long as the board of directors, the executive committee or a trust committee of directors and/or Responsible Officers of the Trustee in good faith determine that the withholding of such notice is in the interest of the Holders of Bonds; provided, further, that in the case of any default of the character specified in Section 7.01(3) hereof no such notice to Holders of Bonds shall be given until at least 30 days after the occurrence thereof. For the purpose of this Section, the term “default” means any event which is, or after notice or lapse of time or both would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631" w:right="239" w:bottom="1440" w:gutter="0" w:footer="0" w:header="0"/>
        </w:sectPr>
      </w:pPr>
    </w:p>
    <w:bookmarkStart w:id="235" w:name="page236"/>
    <w:bookmarkEnd w:id="235"/>
    <w:p>
      <w:pPr>
        <w:ind w:left="-20" w:firstLine="656"/>
        <w:spacing w:after="0" w:line="276" w:lineRule="auto"/>
        <w:tabs>
          <w:tab w:leader="none" w:pos="107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Trustee shall mail, first-class postage prepaid, to each Rating Service, if any, providing a rating with respect to the Bonds, notice of any of the following events, whenever:</w:t>
      </w:r>
    </w:p>
    <w:p>
      <w:pPr>
        <w:spacing w:after="0" w:line="160" w:lineRule="exact"/>
        <w:rPr>
          <w:rFonts w:ascii="Arial" w:cs="Arial" w:eastAsia="Arial" w:hAnsi="Arial"/>
          <w:sz w:val="22"/>
          <w:szCs w:val="22"/>
          <w:color w:val="auto"/>
        </w:rPr>
      </w:pPr>
    </w:p>
    <w:p>
      <w:pPr>
        <w:ind w:left="640" w:right="20" w:firstLine="1941"/>
        <w:spacing w:after="0" w:line="358" w:lineRule="auto"/>
        <w:tabs>
          <w:tab w:leader="none" w:pos="2982"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Trustee, pursuant to the Indenture, has resigned or been removed and a successor Trustee has been appointed, such notice to be mailed within ten Business Days after the appointment of such successor Trustee;</w:t>
      </w:r>
    </w:p>
    <w:p>
      <w:pPr>
        <w:spacing w:after="0" w:line="90" w:lineRule="exact"/>
        <w:rPr>
          <w:rFonts w:ascii="Arial" w:cs="Arial" w:eastAsia="Arial" w:hAnsi="Arial"/>
          <w:sz w:val="19"/>
          <w:szCs w:val="19"/>
          <w:color w:val="auto"/>
        </w:rPr>
      </w:pPr>
    </w:p>
    <w:p>
      <w:pPr>
        <w:jc w:val="both"/>
        <w:ind w:left="640" w:firstLine="1941"/>
        <w:spacing w:after="0" w:line="270" w:lineRule="auto"/>
        <w:tabs>
          <w:tab w:leader="none" w:pos="3123"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an amendment or supplement to the Indenture executed or consented to by the Trustee or of which the Trustee has received written notice is to be entered into, such notice and a copy of such amendment or supplement to such Rating Service to be mailed at least ten Business Days prior to the effective date of such amendment or supplement and within three Business Days after the receipt of such written notice by the Trustee;</w:t>
      </w:r>
    </w:p>
    <w:p>
      <w:pPr>
        <w:spacing w:after="0" w:line="169" w:lineRule="exact"/>
        <w:rPr>
          <w:rFonts w:ascii="Arial" w:cs="Arial" w:eastAsia="Arial" w:hAnsi="Arial"/>
          <w:sz w:val="21"/>
          <w:szCs w:val="21"/>
          <w:color w:val="auto"/>
        </w:rPr>
      </w:pPr>
    </w:p>
    <w:p>
      <w:pPr>
        <w:jc w:val="both"/>
        <w:ind w:left="640" w:firstLine="1941"/>
        <w:spacing w:after="0" w:line="270" w:lineRule="auto"/>
        <w:tabs>
          <w:tab w:leader="none" w:pos="3183" w:val="left"/>
        </w:tabs>
        <w:numPr>
          <w:ilvl w:val="1"/>
          <w:numId w:val="153"/>
        </w:numPr>
        <w:rPr>
          <w:rFonts w:ascii="Arial" w:cs="Arial" w:eastAsia="Arial" w:hAnsi="Arial"/>
          <w:sz w:val="21"/>
          <w:szCs w:val="21"/>
          <w:color w:val="auto"/>
        </w:rPr>
      </w:pPr>
      <w:r>
        <w:rPr>
          <w:rFonts w:ascii="Arial" w:cs="Arial" w:eastAsia="Arial" w:hAnsi="Arial"/>
          <w:sz w:val="21"/>
          <w:szCs w:val="21"/>
          <w:color w:val="auto"/>
        </w:rPr>
        <w:t>the Trustee either (1) receives a District Request pursuant to Section 3.02 which directs the Trustee to redeem all the Outstanding Bonds or (2) declares the principal of all Outstanding Bonds to be immediately due and payable pursuant to Section 7.02, such notice to be mailed within ten Business Days after the receipt of such Company Request (and to specify the redemption date requested thereby) or after such declaration;</w:t>
      </w:r>
    </w:p>
    <w:p>
      <w:pPr>
        <w:spacing w:after="0" w:line="169" w:lineRule="exact"/>
        <w:rPr>
          <w:rFonts w:ascii="Arial" w:cs="Arial" w:eastAsia="Arial" w:hAnsi="Arial"/>
          <w:sz w:val="21"/>
          <w:szCs w:val="21"/>
          <w:color w:val="auto"/>
        </w:rPr>
      </w:pPr>
    </w:p>
    <w:p>
      <w:pPr>
        <w:ind w:left="3080" w:hanging="499"/>
        <w:spacing w:after="0"/>
        <w:tabs>
          <w:tab w:leader="none" w:pos="308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all Bonds shall be deemed to have been paid or defeased as provided in Article X hereof;</w:t>
      </w:r>
    </w:p>
    <w:p>
      <w:pPr>
        <w:spacing w:after="0" w:line="244" w:lineRule="exact"/>
        <w:rPr>
          <w:rFonts w:ascii="Arial" w:cs="Arial" w:eastAsia="Arial" w:hAnsi="Arial"/>
          <w:sz w:val="21"/>
          <w:szCs w:val="21"/>
          <w:color w:val="auto"/>
        </w:rPr>
      </w:pPr>
    </w:p>
    <w:p>
      <w:pPr>
        <w:ind w:left="3020" w:hanging="439"/>
        <w:spacing w:after="0"/>
        <w:tabs>
          <w:tab w:leader="none" w:pos="302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there is any change in the Tender Agent or Remarketing Agent;</w:t>
      </w:r>
    </w:p>
    <w:p>
      <w:pPr>
        <w:spacing w:after="0" w:line="233" w:lineRule="exact"/>
        <w:rPr>
          <w:rFonts w:ascii="Arial" w:cs="Arial" w:eastAsia="Arial" w:hAnsi="Arial"/>
          <w:sz w:val="22"/>
          <w:szCs w:val="22"/>
          <w:color w:val="auto"/>
        </w:rPr>
      </w:pPr>
    </w:p>
    <w:p>
      <w:pPr>
        <w:ind w:left="640" w:firstLine="1941"/>
        <w:spacing w:after="0" w:line="276" w:lineRule="auto"/>
        <w:tabs>
          <w:tab w:leader="none" w:pos="315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Bonds are converted from the Initial Rate to any other Interest Mode, or any mandatory tender occurs with respect to the Initial Bonds;</w:t>
      </w:r>
    </w:p>
    <w:p>
      <w:pPr>
        <w:spacing w:after="0" w:line="160" w:lineRule="exact"/>
        <w:rPr>
          <w:rFonts w:ascii="Arial" w:cs="Arial" w:eastAsia="Arial" w:hAnsi="Arial"/>
          <w:sz w:val="22"/>
          <w:szCs w:val="22"/>
          <w:color w:val="auto"/>
        </w:rPr>
      </w:pPr>
    </w:p>
    <w:p>
      <w:pPr>
        <w:ind w:left="3140" w:hanging="559"/>
        <w:spacing w:after="0"/>
        <w:tabs>
          <w:tab w:leader="none" w:pos="314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expiration, termination, extension or transfer of the Standby Bond Purchase Agreement; or</w:t>
      </w:r>
    </w:p>
    <w:p>
      <w:pPr>
        <w:spacing w:after="0" w:line="267" w:lineRule="exact"/>
        <w:rPr>
          <w:rFonts w:ascii="Arial" w:cs="Arial" w:eastAsia="Arial" w:hAnsi="Arial"/>
          <w:sz w:val="19"/>
          <w:szCs w:val="19"/>
          <w:color w:val="auto"/>
        </w:rPr>
      </w:pPr>
    </w:p>
    <w:p>
      <w:pPr>
        <w:ind w:left="3200" w:hanging="619"/>
        <w:spacing w:after="0"/>
        <w:tabs>
          <w:tab w:leader="none" w:pos="320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redemption of any Bonds.</w:t>
      </w:r>
    </w:p>
    <w:p>
      <w:pPr>
        <w:spacing w:after="0" w:line="233" w:lineRule="exact"/>
        <w:rPr>
          <w:rFonts w:ascii="Arial" w:cs="Arial" w:eastAsia="Arial" w:hAnsi="Arial"/>
          <w:sz w:val="22"/>
          <w:szCs w:val="22"/>
          <w:color w:val="auto"/>
        </w:rPr>
      </w:pPr>
    </w:p>
    <w:p>
      <w:pPr>
        <w:jc w:val="both"/>
        <w:ind w:left="-20" w:firstLine="656"/>
        <w:spacing w:after="0" w:line="307" w:lineRule="auto"/>
        <w:tabs>
          <w:tab w:leader="none" w:pos="106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Trustee shall maintain a register of the names, addresses, and contact information for all Beneficial Owners of the Bonds who provide such information to the Trustee. Whenever the Trustee is required to give any notice to the Holders, the Trustee shall give such notice to such Beneficial Owners at such addresses. The Trustee is authorized to provide a copy of any document or to discuss any matter concerning the Trust Estate to or with any Beneficial Owner on request</w:t>
      </w:r>
    </w:p>
    <w:p>
      <w:pPr>
        <w:spacing w:after="0" w:line="13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Certain Rights of Trustee</w:t>
      </w:r>
      <w:r>
        <w:rPr>
          <w:rFonts w:ascii="Arial" w:cs="Arial" w:eastAsia="Arial" w:hAnsi="Arial"/>
          <w:sz w:val="19"/>
          <w:szCs w:val="19"/>
          <w:color w:val="auto"/>
        </w:rPr>
        <w:t>.</w:t>
      </w:r>
    </w:p>
    <w:p>
      <w:pPr>
        <w:spacing w:after="0" w:line="233" w:lineRule="exact"/>
        <w:rPr>
          <w:sz w:val="20"/>
          <w:szCs w:val="20"/>
          <w:color w:val="auto"/>
        </w:rPr>
      </w:pPr>
    </w:p>
    <w:p>
      <w:pPr>
        <w:jc w:val="both"/>
        <w:ind w:left="-20" w:firstLine="656"/>
        <w:spacing w:after="0" w:line="320" w:lineRule="auto"/>
        <w:tabs>
          <w:tab w:leader="none" w:pos="114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any certificates, orders, requests, or opinions furnished to the Trustee and conforming to the requirements of this Indenture; but in the case of any such certificates, orders, requests, or opinions which by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00"/>
          </w:cols>
          <w:pgMar w:left="260" w:top="631" w:right="239" w:bottom="1440" w:gutter="0" w:footer="0" w:header="0"/>
        </w:sectPr>
      </w:pPr>
    </w:p>
    <w:bookmarkStart w:id="236" w:name="page237"/>
    <w:bookmarkEnd w:id="236"/>
    <w:p>
      <w:pPr>
        <w:ind w:right="20"/>
        <w:spacing w:after="0" w:line="263" w:lineRule="auto"/>
        <w:rPr>
          <w:sz w:val="20"/>
          <w:szCs w:val="20"/>
          <w:color w:val="auto"/>
        </w:rPr>
      </w:pPr>
      <w:r>
        <w:rPr>
          <w:rFonts w:ascii="Arial" w:cs="Arial" w:eastAsia="Arial" w:hAnsi="Arial"/>
          <w:sz w:val="22"/>
          <w:szCs w:val="22"/>
          <w:color w:val="auto"/>
        </w:rPr>
        <w:t>provision hereof are specifically required to be furnished to the Trustee, the Trustee shall be under a duty to examine the same to determine whether or not they conform to the specific requirements of this Indenture;</w:t>
      </w:r>
    </w:p>
    <w:p>
      <w:pPr>
        <w:spacing w:after="0" w:line="175" w:lineRule="exact"/>
        <w:rPr>
          <w:sz w:val="20"/>
          <w:szCs w:val="20"/>
          <w:color w:val="auto"/>
        </w:rPr>
      </w:pPr>
    </w:p>
    <w:p>
      <w:pPr>
        <w:jc w:val="both"/>
        <w:ind w:right="20" w:firstLine="656"/>
        <w:spacing w:after="0" w:line="260" w:lineRule="auto"/>
        <w:tabs>
          <w:tab w:leader="none" w:pos="112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request or direction of the District mentioned herein shall be sufficiently evidenced by a Request of the District; and any resolution of the Board of Commissioners of the District may be evidenced to the Trustee by a Board Resolution of the District;</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21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7" w:lineRule="exact"/>
        <w:rPr>
          <w:rFonts w:ascii="Arial" w:cs="Arial" w:eastAsia="Arial" w:hAnsi="Arial"/>
          <w:sz w:val="22"/>
          <w:szCs w:val="22"/>
          <w:color w:val="auto"/>
        </w:rPr>
      </w:pPr>
    </w:p>
    <w:p>
      <w:pPr>
        <w:jc w:val="both"/>
        <w:ind w:firstLine="656"/>
        <w:spacing w:after="0" w:line="292" w:lineRule="auto"/>
        <w:tabs>
          <w:tab w:leader="none" w:pos="110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unless there shall have been offered to the Trustee reasonable security or indemnity satisfactory to it against the costs, expenses and liabilities which might be incurred by it in connection with such request or direction and for the payment of the Trustee’s fees in connection therewith; provided, however, that, anything to the contrary herein notwithstanding, no indemnification of the Trustee is required prior to the Trustee making payments on the Bonds when due, causing an acceleration or tender required by this Indenture, redeeming Bonds or drawing on the Credit Facility or the Liquidity Facility when directed by this Indenture (each a “</w:t>
      </w:r>
      <w:r>
        <w:rPr>
          <w:rFonts w:ascii="Arial" w:cs="Arial" w:eastAsia="Arial" w:hAnsi="Arial"/>
          <w:sz w:val="19"/>
          <w:szCs w:val="19"/>
          <w:u w:val="single" w:color="auto"/>
          <w:color w:val="auto"/>
        </w:rPr>
        <w:t>Nondiscretionary Duty</w:t>
      </w:r>
      <w:r>
        <w:rPr>
          <w:rFonts w:ascii="Arial" w:cs="Arial" w:eastAsia="Arial" w:hAnsi="Arial"/>
          <w:sz w:val="19"/>
          <w:szCs w:val="19"/>
          <w:color w:val="auto"/>
        </w:rPr>
        <w:t>”), but the Trustee shall not be deemed to have waived or released its right to indemnification from any entity by its undertaking or discharging such Nondiscretionary Duty hereunder;</w:t>
      </w:r>
    </w:p>
    <w:p>
      <w:pPr>
        <w:spacing w:after="0" w:line="155" w:lineRule="exact"/>
        <w:rPr>
          <w:rFonts w:ascii="Arial" w:cs="Arial" w:eastAsia="Arial" w:hAnsi="Arial"/>
          <w:sz w:val="19"/>
          <w:szCs w:val="19"/>
          <w:color w:val="auto"/>
        </w:rPr>
      </w:pPr>
    </w:p>
    <w:p>
      <w:pPr>
        <w:jc w:val="both"/>
        <w:ind w:firstLine="656"/>
        <w:spacing w:after="0" w:line="266" w:lineRule="auto"/>
        <w:tabs>
          <w:tab w:leader="none" w:pos="1071"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Trustee shall not be bound to make any investigation into the facts or matters stated in any resolution, certificate, statement, instrument, opinion, report, notice, request, direction, consent, order, approval,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District, personally or by agent or attorney;</w:t>
      </w:r>
    </w:p>
    <w:p>
      <w:pPr>
        <w:spacing w:after="0" w:line="174" w:lineRule="exact"/>
        <w:rPr>
          <w:rFonts w:ascii="Arial" w:cs="Arial" w:eastAsia="Arial" w:hAnsi="Arial"/>
          <w:sz w:val="21"/>
          <w:szCs w:val="21"/>
          <w:color w:val="auto"/>
        </w:rPr>
      </w:pPr>
    </w:p>
    <w:p>
      <w:pPr>
        <w:jc w:val="both"/>
        <w:ind w:firstLine="656"/>
        <w:spacing w:after="0" w:line="260" w:lineRule="auto"/>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but the Trustee shall not be held liable for any negligence or misconduct of any such agent or attorney appointed with due care;</w:t>
      </w:r>
    </w:p>
    <w:p>
      <w:pPr>
        <w:spacing w:after="0" w:line="177" w:lineRule="exact"/>
        <w:rPr>
          <w:rFonts w:ascii="Arial" w:cs="Arial" w:eastAsia="Arial" w:hAnsi="Arial"/>
          <w:sz w:val="22"/>
          <w:szCs w:val="22"/>
          <w:color w:val="auto"/>
        </w:rPr>
      </w:pPr>
    </w:p>
    <w:p>
      <w:pPr>
        <w:jc w:val="both"/>
        <w:ind w:firstLine="656"/>
        <w:spacing w:after="0" w:line="307" w:lineRule="auto"/>
        <w:tabs>
          <w:tab w:leader="none" w:pos="110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Trustee shall not be required to take notice or be deemed to have notice of any Event of Default hereunder unless the Trustee shall be specifically notified of such Event of Default in writing by the District, or the Company or by the Holders of at least 30% of the principal amount of Outstanding Bonds, and in the absence of such notice the Trustee may conclusively assume that no Event of Default exists; provided, however, that the Trustee shall be required to take and be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631"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deemed to have notice of its failure to receive the money necessary to make payments when due of debt service;</w:t>
      </w:r>
    </w:p>
    <w:p>
      <w:pPr>
        <w:spacing w:after="0" w:line="220" w:lineRule="exact"/>
        <w:rPr>
          <w:sz w:val="20"/>
          <w:szCs w:val="20"/>
          <w:color w:val="auto"/>
        </w:rPr>
      </w:pPr>
    </w:p>
    <w:p>
      <w:pPr>
        <w:jc w:val="both"/>
        <w:ind w:firstLine="656"/>
        <w:spacing w:after="0" w:line="260" w:lineRule="auto"/>
        <w:tabs>
          <w:tab w:leader="none" w:pos="103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Trustee may seek the approval of the Holders of the Bonds by any means it deems appropriate and not inconsistent with the terms of this Indenture in connection with the giving of any consent or taking of any action in its capacity as Holder of any Bond;</w:t>
      </w:r>
    </w:p>
    <w:p>
      <w:pPr>
        <w:spacing w:after="0" w:line="177" w:lineRule="exact"/>
        <w:rPr>
          <w:rFonts w:ascii="Arial" w:cs="Arial" w:eastAsia="Arial" w:hAnsi="Arial"/>
          <w:sz w:val="22"/>
          <w:szCs w:val="22"/>
          <w:color w:val="auto"/>
        </w:rPr>
      </w:pPr>
    </w:p>
    <w:p>
      <w:pPr>
        <w:ind w:right="20" w:firstLine="656"/>
        <w:spacing w:after="0" w:line="276" w:lineRule="auto"/>
        <w:tabs>
          <w:tab w:leader="none" w:pos="103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and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permissive rights of the Trustee contained in this Indenture shall not be construed as duties of the Trustee.</w:t>
      </w:r>
    </w:p>
    <w:p>
      <w:pPr>
        <w:spacing w:after="0" w:line="244" w:lineRule="exact"/>
        <w:rPr>
          <w:rFonts w:ascii="Arial" w:cs="Arial" w:eastAsia="Arial" w:hAnsi="Arial"/>
          <w:sz w:val="21"/>
          <w:szCs w:val="21"/>
          <w:color w:val="auto"/>
        </w:rPr>
      </w:pPr>
    </w:p>
    <w:p>
      <w:pPr>
        <w:ind w:firstLine="656"/>
        <w:spacing w:after="0" w:line="276" w:lineRule="auto"/>
        <w:tabs>
          <w:tab w:leader="none" w:pos="107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Trustee shall be entitled to rely conclusively upon any direction given to it in accordance with Section 20.6(d) of the Facilities Lease.</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aforesaid, the Trustee shall be required to make all drawings on the Purchase Fund, the Credit Facility and the Liquidity Facility and pay the Holders of the Bonds at the times required under, and subject to the terms of, this Indenture and accelerate the Bonds if required by this Indenture.</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Not Responsible For Recitals or Issuance of Bonds</w:t>
      </w:r>
      <w:r>
        <w:rPr>
          <w:rFonts w:ascii="Arial" w:cs="Arial" w:eastAsia="Arial" w:hAnsi="Arial"/>
          <w:sz w:val="21"/>
          <w:szCs w:val="21"/>
          <w:color w:val="auto"/>
        </w:rPr>
        <w:t>. The recitals contained herein and in the Bonds (other than the certificate of authentication on such Bonds) shall be taken as the statements of the District and the Trustee assumes no responsibility for their correctness. The Trustee makes no representations as to the value or condition of the Trust Estate or any part thereof, or as to the title of the District thereto or as to the security afforded thereby or hereby; as to the validity or genuineness of any securities at any time pledged and deposited with the Trustee hereunder; as to the validity or sufficiency of this Indenture or of the Bonds; or as to the correctness or sufficiency of any statement made in connection with the offer or sale of the Bonds. The Trustee shall not be accountable for the use or application by the District or the Company of any of the Bonds or of the proceeds of such Bonds.</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Trustee May Own Bonds</w:t>
      </w:r>
      <w:r>
        <w:rPr>
          <w:rFonts w:ascii="Arial" w:cs="Arial" w:eastAsia="Arial" w:hAnsi="Arial"/>
          <w:sz w:val="22"/>
          <w:szCs w:val="22"/>
          <w:color w:val="auto"/>
        </w:rPr>
        <w:t>. The Trustee or any other agent appointed hereunder, in its individual or any other capacity, may become the owner or pledgee of Bonds and may otherwise deal with the District with the same rights it would have if it were not Trustee or such other agent.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Money to Be Held in Trust</w:t>
      </w:r>
      <w:r>
        <w:rPr>
          <w:rFonts w:ascii="Arial" w:cs="Arial" w:eastAsia="Arial" w:hAnsi="Arial"/>
          <w:sz w:val="21"/>
          <w:szCs w:val="21"/>
          <w:color w:val="auto"/>
        </w:rPr>
        <w:t>. All money received by the Trustee shall, until used or applied as herein provided be held in trust for the purposes for which they were received, but need not be segregated from other funds except to the extent required by law. Neither the Trustee nor the Tender Agent shall be under any liability for interest on any money received by it hereunder other than such interest as it expressly agrees in writing with the District to pay.</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Compensation and Expenses of Trustee and Paying Agent</w:t>
      </w:r>
      <w:r>
        <w:rPr>
          <w:rFonts w:ascii="Arial" w:cs="Arial" w:eastAsia="Arial" w:hAnsi="Arial"/>
          <w:sz w:val="22"/>
          <w:szCs w:val="22"/>
          <w:color w:val="auto"/>
        </w:rPr>
        <w:t>. The District agrees, but solely from the Trust Estate and the revenues pledged by this Indenture to such payment: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632" w:right="239" w:bottom="1440" w:gutter="0" w:footer="0" w:header="0"/>
        </w:sectPr>
      </w:pPr>
    </w:p>
    <w:bookmarkStart w:id="238" w:name="page239"/>
    <w:bookmarkEnd w:id="238"/>
    <w:p>
      <w:pPr>
        <w:jc w:val="both"/>
        <w:ind w:left="660" w:firstLine="645"/>
        <w:spacing w:after="0" w:line="254" w:lineRule="auto"/>
        <w:tabs>
          <w:tab w:leader="none" w:pos="182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pay to the Trustee, Tender Agent, Bond Registrar, Authenticating Agent, and Paying Agent from time to time, when due, reasonable compensation for all services rendered by them hereunder, including extraordinary services during the existence of a default, which shall not be limited by any law limiting the compensation of the trustee of an express trust; and</w:t>
      </w:r>
    </w:p>
    <w:p>
      <w:pPr>
        <w:spacing w:after="0" w:line="185" w:lineRule="exact"/>
        <w:rPr>
          <w:rFonts w:ascii="Arial" w:cs="Arial" w:eastAsia="Arial" w:hAnsi="Arial"/>
          <w:sz w:val="22"/>
          <w:szCs w:val="22"/>
          <w:color w:val="auto"/>
        </w:rPr>
      </w:pPr>
    </w:p>
    <w:p>
      <w:pPr>
        <w:jc w:val="both"/>
        <w:ind w:left="660" w:firstLine="645"/>
        <w:spacing w:after="0" w:line="248" w:lineRule="auto"/>
        <w:tabs>
          <w:tab w:leader="none" w:pos="184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except as otherwise expressly provided herein, to reimburse the Trustee, the Tender Agent and the Paying Agent upon its request for all reasonable expenses, disbursements and advances incurred or made by the Trustee, the Tender Agent or such Paying Agent in accordance with any provision of this Indenture (including the reasonable compensation and the expenses and disbursements of its agents and counsel and securities or transaction charges to the extent not waived by the Trustee as a result of its receipt of compensation with respect to such securities or transactions) except any such expense, disbursement or advance as may be attributable to the willful misconduct, gross negligence or bad faith of such Person.</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such security for the performance of the obligations of the District under this Section the Trustee shall have a lien prior to the Bonds upon all property and funds held or collected by the Trustee as such, excluding the Credit Facility Fund and Purchase Fund.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When the Trustee incurs expenses or renders services in connection with any bankruptcy or insolvency proceeding, such expenses (including the fees and expenses of its counsel) and the compensation for such services are intended to constitute expenses of administration under any bankruptcy law or law relating to creditors’ rights generally.</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Corporate Trustee Required; Eligibility</w:t>
      </w:r>
      <w:r>
        <w:rPr>
          <w:rFonts w:ascii="Arial" w:cs="Arial" w:eastAsia="Arial" w:hAnsi="Arial"/>
          <w:sz w:val="19"/>
          <w:szCs w:val="19"/>
          <w:color w:val="auto"/>
        </w:rPr>
        <w:t>. There shall at all times be a Trustee hereunder which shall be an entity organized and doing business under the laws of the United States of America or of any state, authorized under such laws to exercise corporate trust powers, having a combined capital and surplus of at least $50,000,000, subject to supervision or examination by federal or state authority. If such entity publishes reports of condition at least annually, pursuant to law or to the requirements of the aforesaid supervising or examining authority, then for the purposes of this Section, the combined capital and surplus of such entity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5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u w:val="single" w:color="auto"/>
          <w:color w:val="auto"/>
        </w:rPr>
        <w:t>Resignation and Removal; Appointment of Successor</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16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resignation or removal of the Trustee and no appointment of a successor Trustee pursuant to this Article shall become effective until the acceptance of appointment by the successor Trustee under Section 8.10.</w:t>
      </w:r>
    </w:p>
    <w:p>
      <w:pPr>
        <w:spacing w:after="0" w:line="160" w:lineRule="exact"/>
        <w:rPr>
          <w:rFonts w:ascii="Arial" w:cs="Arial" w:eastAsia="Arial" w:hAnsi="Arial"/>
          <w:sz w:val="22"/>
          <w:szCs w:val="22"/>
          <w:color w:val="auto"/>
        </w:rPr>
      </w:pPr>
    </w:p>
    <w:p>
      <w:pPr>
        <w:jc w:val="both"/>
        <w:ind w:firstLine="656"/>
        <w:spacing w:after="0" w:line="320" w:lineRule="auto"/>
        <w:tabs>
          <w:tab w:leader="none" w:pos="109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Trustee may resign at any time by giving written notice thereof to the District.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25" w:lineRule="exact"/>
        <w:rPr>
          <w:rFonts w:ascii="Arial" w:cs="Arial" w:eastAsia="Arial" w:hAnsi="Arial"/>
          <w:sz w:val="19"/>
          <w:szCs w:val="19"/>
          <w:color w:val="auto"/>
        </w:rPr>
      </w:pPr>
    </w:p>
    <w:p>
      <w:pPr>
        <w:ind w:firstLine="656"/>
        <w:spacing w:after="0" w:line="276" w:lineRule="auto"/>
        <w:tabs>
          <w:tab w:leader="none" w:pos="110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Trustee may be removed at any time by (i) act of the Holders of a majority in aggregate principal amount of the Outstanding Bonds, delivered to the Trustee, or (ii) the District.</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33" w:lineRule="exact"/>
        <w:rPr>
          <w:rFonts w:ascii="Arial" w:cs="Arial" w:eastAsia="Arial" w:hAnsi="Arial"/>
          <w:sz w:val="22"/>
          <w:szCs w:val="22"/>
          <w:color w:val="auto"/>
        </w:rPr>
      </w:pPr>
    </w:p>
    <w:p>
      <w:pPr>
        <w:ind w:left="660" w:firstLine="645"/>
        <w:spacing w:after="0" w:line="276" w:lineRule="auto"/>
        <w:tabs>
          <w:tab w:leader="none" w:pos="175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8.08 and shall fail to resign after written request therefor by the District or by any such Holder of Bonds,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631" w:right="239" w:bottom="1440" w:gutter="0" w:footer="0" w:header="0"/>
        </w:sectPr>
      </w:pPr>
    </w:p>
    <w:bookmarkStart w:id="239" w:name="page240"/>
    <w:bookmarkEnd w:id="239"/>
    <w:p>
      <w:pPr>
        <w:jc w:val="both"/>
        <w:ind w:left="660" w:firstLine="645"/>
        <w:spacing w:after="0" w:line="260" w:lineRule="auto"/>
        <w:tabs>
          <w:tab w:leader="none" w:pos="178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then, in any such case, (i) the District may remove, upon written direction, the Trustee, or (ii) subject to Section 7.13, any Holder of Bonds who has been a bona fide Holder of a Bond for at least 6 months may, on behalf of himself and all others similarly situated, petition any court of competent jurisdiction for the removal of the Trustee and the appointment of a successor Trustee.</w:t>
      </w:r>
    </w:p>
    <w:p>
      <w:pPr>
        <w:spacing w:after="0" w:line="134" w:lineRule="exact"/>
        <w:rPr>
          <w:sz w:val="20"/>
          <w:szCs w:val="20"/>
          <w:color w:val="auto"/>
        </w:rPr>
      </w:pPr>
    </w:p>
    <w:p>
      <w:pPr>
        <w:jc w:val="both"/>
        <w:ind w:firstLine="656"/>
        <w:spacing w:after="0" w:line="291" w:lineRule="auto"/>
        <w:tabs>
          <w:tab w:leader="none" w:pos="116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the Trustee shall resign, be removed or become incapable of acting, or if a vacancy shall occur in the office of Trustee for any cause, the District shall promptly appoint a successor Trustee. If, within sixty (60) days after such resignation, removal or incapability, or the occurrence of such vacancy, a successor Trustee shall be appointed by Act of the Holders of a majority in aggregate principal amount of the Outstanding Bonds delivered to the District and the retiring Trustee, the successor Trustee so appointed shall, forthwith upon its acceptance of such appointment, become the successor Trustee and supersede the successor Trustee appointed by the District. If no successor Trustee shall have been so appointed by the District or the Holders of Bonds and accepted appointment in the manner hereinafter provided, the Trustee or any Holder of Bonds who has been a bona fide Holder of a Bond for at least 6 months may, on behalf of himself and all others similarly situated, petition any court of competent jurisdiction for the appointment of a successor Trustee.</w:t>
      </w:r>
    </w:p>
    <w:p>
      <w:pPr>
        <w:spacing w:after="0" w:line="154" w:lineRule="exact"/>
        <w:rPr>
          <w:rFonts w:ascii="Arial" w:cs="Arial" w:eastAsia="Arial" w:hAnsi="Arial"/>
          <w:sz w:val="19"/>
          <w:szCs w:val="19"/>
          <w:color w:val="auto"/>
        </w:rPr>
      </w:pPr>
    </w:p>
    <w:p>
      <w:pPr>
        <w:jc w:val="both"/>
        <w:ind w:firstLine="656"/>
        <w:spacing w:after="0" w:line="266" w:lineRule="auto"/>
        <w:tabs>
          <w:tab w:leader="none" w:pos="107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hereunder, the District at any time may (with the written consent of the Credit Enhancer so long as the Credit Enhancer is not in default of its obligations under the Credit Facility) remove the Trustee and appoint a substitute Trustee. If there is not Credit Facility or the Credit Enhancer is in default of its obligations under the Credit Facility, the District at any time may (with the consent of the Holders of a majority in aggregate principal amount of the Bonds Outstanding), remove the Trustee and appoint a substitute Trustee.</w:t>
      </w:r>
    </w:p>
    <w:p>
      <w:pPr>
        <w:spacing w:after="0" w:line="174" w:lineRule="exact"/>
        <w:rPr>
          <w:rFonts w:ascii="Arial" w:cs="Arial" w:eastAsia="Arial" w:hAnsi="Arial"/>
          <w:sz w:val="21"/>
          <w:szCs w:val="21"/>
          <w:color w:val="auto"/>
        </w:rPr>
      </w:pPr>
    </w:p>
    <w:p>
      <w:pPr>
        <w:jc w:val="both"/>
        <w:ind w:firstLine="656"/>
        <w:spacing w:after="0" w:line="254" w:lineRule="auto"/>
        <w:tabs>
          <w:tab w:leader="none" w:pos="117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District shall give, or cause to be given, notice of each resignation and each removal of the Trustee and each appointment of a successor Trustee by mailing written notice of such event by first-class mail, postage prepaid, to the Holders of Bonds at their addresses as shown in the Bond Register. Each notice shall include the name and address of the applicable corporate trust office or payment office of the successor Trustee.</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Acceptance of Appointment by Successor</w:t>
      </w:r>
      <w:r>
        <w:rPr>
          <w:rFonts w:ascii="Arial" w:cs="Arial" w:eastAsia="Arial" w:hAnsi="Arial"/>
          <w:sz w:val="19"/>
          <w:szCs w:val="19"/>
          <w:color w:val="auto"/>
        </w:rPr>
        <w:t>. Every successor Trustee appointed hereunder shall execute, acknowledge and deliver to the District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District or the successor Trustee, such retiring Trustee shall execute and deliver an instrument transferring to such successor Trustee all the rights, powers and trusts of the retiring Trustee, and shall duly assign, transfer and deliver to the successor Trustee, the Credit Facility, the Liquidity Facility, and all property and money held by such retiring Trustee hereunder. Upon request of any such successor Trustee, the District shall execute any and all instruments for more fully and certainly vesting in and confirming to such successor Trustee all such rights, powers and trusts.</w:t>
      </w:r>
    </w:p>
    <w:p>
      <w:pPr>
        <w:spacing w:after="0" w:line="15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Merger or Consolidation</w:t>
      </w:r>
      <w:r>
        <w:rPr>
          <w:rFonts w:ascii="Arial" w:cs="Arial" w:eastAsia="Arial" w:hAnsi="Arial"/>
          <w:sz w:val="22"/>
          <w:szCs w:val="22"/>
          <w:color w:val="auto"/>
        </w:rPr>
        <w:t>. Any entity into which the Trustee may be merged or with which it may be consolidated, or any entity resulting from any merger or consolidation to which the Trustee shall be a party, or any entity succeeding to all or substantially all of the corporate trust business of the Trustee, shall be the successor Trustee hereunder, provided such entity shall be otherwise qualified and eligible under this Article, to the extent operative, without the execution or filing of any paper or any further act on the part of any of the parties hereto. In case any Bonds shall have been authenticated, but not delivered, by the Trustee then in office, any successor by merger or consolidation to such authenticating Trustee may adopt such authentication and deliver the Bonds so authenticated with the same effect as if such successor Trustee had itself authenticated such Bonds.</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Authenticating Agent</w:t>
      </w:r>
      <w:r>
        <w:rPr>
          <w:rFonts w:ascii="Arial" w:cs="Arial" w:eastAsia="Arial" w:hAnsi="Arial"/>
          <w:sz w:val="21"/>
          <w:szCs w:val="21"/>
          <w:color w:val="auto"/>
        </w:rPr>
        <w:t>. There may (and whenever the Trustee shall not maintain an office or agent in each Place of Payment there shall) be an Authenticating Agent appointed by the Trustee with power to act on its behalf and subject to its direction in the authentication and delivery of the Bonds in connection with delivery of Bonds pursuant to Section 2.03 and transfers and exchanges under Sections 2.05, 2.06 and 3.07, as fully to all intents and purposes as though the Authenticating Agent had been expressly authorized by those Sections to authenticate and deliver the Bonds. For all purposes of this Indenture, the authentication and delivery of the Bonds by the Authenticating Agent pursuant to this Section shall be deemed to be the authentication and delivery of the Bonds “by the Trustee”.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Trustee is hereby appointed Authenticating Agent with respect to the Bonds.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Each Authenticating Agent shall at all times be a bank or trust company having an office or agent in a Place of Payment, and shall at all times be an entity organized and doing business under the laws of the United States or of any state with a combined</w:t>
      </w:r>
    </w:p>
    <w:p>
      <w:pPr>
        <w:sectPr>
          <w:pgSz w:w="11900" w:h="16838" w:orient="portrait"/>
          <w:cols w:equalWidth="0" w:num="1">
            <w:col w:w="11420"/>
          </w:cols>
          <w:pgMar w:left="240" w:top="631" w:right="239" w:bottom="0" w:gutter="0" w:footer="0" w:header="0"/>
        </w:sectPr>
      </w:pPr>
    </w:p>
    <w:bookmarkStart w:id="240" w:name="page241"/>
    <w:bookmarkEnd w:id="240"/>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capital and surplus of at least $50,000,000 and authorized under such laws to exercise corporate trust powers and subject to supervision or examination by federal or state authority. If such entity publishes reports of condition at least annually pursuant to law or the requirements of such authority, then for the purposes of this Section the combined capital and surplus of such corporation shall be deemed to be its combined capital and surplus as set forth in its most recent report of condition so published.</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Any entity into which any Authenticating Agent may be merged or converted or with which it may be consolidated, or any entity resulting from any merger, consolidation, or conversion to which any Authenticating Agent shall be a party, or any entity succeeding to the corporate trust business of any Authenticating Agent, shall be the successor of the Authenticating Agent hereunder, if such successor entity is otherwise eligible under this Section, without the execution or filing of any further act on the part of the parties hereto or the Authenticating Agent or such successor entity.</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Any Authenticating Agent may at any time resign by giving written notice of resignation to the Trustee, the District, the Credit Enhancer, the Liquidity Bank and the Company. The Trustee may at any time terminate the agency of any Authenticating Agent by giving written notice of termination to such Authenticating Agent and to the District, the Credit Enhancer, the Liquidity Bank, and the Company. Upon receiving such a notice of resignation or upon such a termination, or in case at any time any Authenticating Agent shall cease to be eligible under this Section, the Trustee with the approval of the Credit Enhancer and the Liquidity Bank shall promptly appoint a successor Authenticating Agent and shall give written notice of such appointment to the District and the Company.</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shall be entitled to be reimbursed for any reasonable compensation paid by the Trustee to the Authenticating Agent for its service subject to Section 8.03 and 8.07. The provisions of Sections 2.09, 8.03, 8.04, and 8.05 of this Indenture shall be applicable to any Authenticating Agent.</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Tender Agent</w:t>
      </w:r>
      <w:r>
        <w:rPr>
          <w:rFonts w:ascii="Arial" w:cs="Arial" w:eastAsia="Arial" w:hAnsi="Arial"/>
          <w:sz w:val="19"/>
          <w:szCs w:val="19"/>
          <w:color w:val="auto"/>
        </w:rPr>
        <w:t>. At all times when any Bond is subject to purchase as provided herein, there shall be a Tender Agent (which may be the Trustee) appointed by the District with power to act in the purchase of Bonds or portions thereof and payment of the Purchase Price therefor. Such Tender Agent shall at all times be a commercial bank or trust company having an office or an agent in the State of Texas, organized and doing business under the laws of the United States or of any state with a combined capital and surplus of at least $50,000,000 and authorized under such laws to exercise corporate trust powers and subject to supervision or examination by federal or state authority. If such corporation publishes reports of condition at least annually pursuant to law or the requirements of such authority, then for the purposes of this Section the combined capital and surplus of such corporation shall be deemed to be its combined capital and surplus as set forth in its most recent report of condition so published.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Bank of New York Mellon Trust Company, National Association is hereby appointed Tender Agent with respect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Bonds.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Any entity into which any Tender Agent may be merged or converted or with which it may be consolidated, or any entity resulting from any merger, consolidation, or conversion to which any Tender Agent shall be a party, or any entity succeeding to the corporate trust business of any Tender Agent, shall be the successor of the Tender Agent hereunder, if such successor entity is otherwise eligible under this Section, without the execution or filing of any further document on the part of the parties hereto or the Tender Agent or such successor entity.</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Any Tender Agent may resign by giving 30 days prior written notice of such resignation to the Trustee, the District, the Credit Enhancer, if any, the Liquidity Bank, if any the Remarketing Agent and the Company. The District may terminate the agency of any Tender Agent by giving 30 days prior written notice of such termination to such Tender Agent and the Credit Enhancer, if any, the Liquidity Bank, if any, the Remarketing Agent and the Trustee. Upon receiving such a notice of resignation or upon such a termination, or in case at any time any Tender Agent shall cease to be eligible under this Section, the District shall promptly appoint a successor Tender Agent and shall give written notice of such appointment to the Trustee, the District and the Bondholders.</w:t>
      </w:r>
    </w:p>
    <w:p>
      <w:pPr>
        <w:spacing w:after="0" w:line="15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 such resignation or removal shall take effect until a successor Tender Agent shall have been appointed and has accepted such appointment. If no successor Tender Agent has accepted appointment within 30 days after the Tender Agent has given notice of its resignation or the District has terminated the agency of the Tender Agent as provided above, the Tender Agent may either petition any court of competent jurisdiction for the appointment of a temporary successor Tender Agent or itself appoint a temporary successor Tender Agent, provided that in either case any Tender Agent so appointed shall immediately and without further act be superseded by any Tender Agent appointed by the District as provided above.</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Each Tender Agent other than the Trustee shall be required to execute and deliver to the Trustee an instrument in which such Tender Agent shall agree with the District, subject to the provisions of this Section, that such Tender Agent will:</w:t>
      </w:r>
    </w:p>
    <w:p>
      <w:pPr>
        <w:spacing w:after="0" w:line="152" w:lineRule="exact"/>
        <w:rPr>
          <w:sz w:val="20"/>
          <w:szCs w:val="20"/>
          <w:color w:val="auto"/>
        </w:rPr>
      </w:pPr>
    </w:p>
    <w:p>
      <w:pPr>
        <w:ind w:firstLine="656"/>
        <w:spacing w:after="0" w:line="358" w:lineRule="auto"/>
        <w:tabs>
          <w:tab w:leader="none" w:pos="108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hold all sums held by it for the payment of the Purchase Price of Bonds in a separate account in trust for the benefit of the Holders of such Bonds until such sums shall be paid to the Holders or otherwise disposed of as herein provided;</w:t>
      </w:r>
    </w:p>
    <w:p>
      <w:pPr>
        <w:spacing w:after="0" w:line="90" w:lineRule="exact"/>
        <w:rPr>
          <w:rFonts w:ascii="Arial" w:cs="Arial" w:eastAsia="Arial" w:hAnsi="Arial"/>
          <w:sz w:val="19"/>
          <w:szCs w:val="19"/>
          <w:color w:val="auto"/>
        </w:rPr>
      </w:pPr>
    </w:p>
    <w:p>
      <w:pPr>
        <w:ind w:firstLine="656"/>
        <w:spacing w:after="0" w:line="276" w:lineRule="auto"/>
        <w:tabs>
          <w:tab w:leader="none" w:pos="116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at any time, upon the written request of the Trustee, forthwith pay to the Trustee all sums so held in trust by such Tender Agent;</w:t>
      </w:r>
    </w:p>
    <w:p>
      <w:pPr>
        <w:spacing w:after="0" w:line="160" w:lineRule="exact"/>
        <w:rPr>
          <w:rFonts w:ascii="Arial" w:cs="Arial" w:eastAsia="Arial" w:hAnsi="Arial"/>
          <w:sz w:val="22"/>
          <w:szCs w:val="22"/>
          <w:color w:val="auto"/>
        </w:rPr>
      </w:pPr>
    </w:p>
    <w:p>
      <w:pPr>
        <w:jc w:val="both"/>
        <w:ind w:firstLine="656"/>
        <w:spacing w:after="0" w:line="358" w:lineRule="auto"/>
        <w:tabs>
          <w:tab w:leader="none" w:pos="108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accept and hold Liquidity Bank Bonds on behalf of the Liquidity Bank prior to delivery of such Liquidity Bank Bonds to the Liquidity Bank and will accept and hold the proceeds of any remarketing of such Liquidity Bank Bonds on behalf of the</w:t>
      </w:r>
    </w:p>
    <w:p>
      <w:pPr>
        <w:sectPr>
          <w:pgSz w:w="11900" w:h="16961" w:orient="portrait"/>
          <w:cols w:equalWidth="0" w:num="1">
            <w:col w:w="11420"/>
          </w:cols>
          <w:pgMar w:left="240" w:top="132" w:right="239" w:bottom="0" w:gutter="0" w:footer="0" w:header="0"/>
        </w:sectPr>
      </w:pPr>
    </w:p>
    <w:bookmarkStart w:id="241" w:name="page242"/>
    <w:bookmarkEnd w:id="241"/>
    <w:p>
      <w:pPr>
        <w:spacing w:after="0" w:line="263" w:lineRule="auto"/>
        <w:rPr>
          <w:sz w:val="20"/>
          <w:szCs w:val="20"/>
          <w:color w:val="auto"/>
        </w:rPr>
      </w:pPr>
      <w:r>
        <w:rPr>
          <w:rFonts w:ascii="Arial" w:cs="Arial" w:eastAsia="Arial" w:hAnsi="Arial"/>
          <w:sz w:val="22"/>
          <w:szCs w:val="22"/>
          <w:color w:val="auto"/>
        </w:rPr>
        <w:t>Liquidity Bank, until delivery of such amounts to the Liquidity Bank, all in accordance with instructions to be provided by the Liquidity Bank;</w:t>
      </w:r>
    </w:p>
    <w:p>
      <w:pPr>
        <w:spacing w:after="0" w:line="175" w:lineRule="exact"/>
        <w:rPr>
          <w:sz w:val="20"/>
          <w:szCs w:val="20"/>
          <w:color w:val="auto"/>
        </w:rPr>
      </w:pPr>
    </w:p>
    <w:p>
      <w:pPr>
        <w:ind w:firstLine="656"/>
        <w:spacing w:after="0" w:line="276" w:lineRule="auto"/>
        <w:tabs>
          <w:tab w:leader="none" w:pos="110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effect the purchase of the Initial Bonds subject to tender on an Initial Bonds Remarketing Date from and to the extent of proceeds of remarketing or funds advanced under the Standby Bond Purchase Agreement; and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observe and perform the obligations of the Tender Agent hereunder.</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may at any time, for the purpose of obtaining the satisfaction and discharge of this Indenture or for any other purposes, direct the Tender Agent to pay to the Trustee all money held in trust by such Tender Agent, such money to be held by the Trustee upon the same trusts as those upon which such money was held by such Tender Agent, and, upon such payment by the Tender Agent to the Trustee, the Tender Agent shall be released from all further liability with respect to such money.</w:t>
      </w:r>
    </w:p>
    <w:p>
      <w:pPr>
        <w:spacing w:after="0" w:line="1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Subject to the provisions of any agreement between the District and the Tender Agent, the Tender Agent shall be paid reasonable compensation for its services hereunder, but solely from and to the extent of funds advanced by the Company at the request of the District solely for such purposes (and not for payment of debt service) pursuant to the Facilities Lease. The provisions of Sections 2.09, 8.01, 8.03, 8.04, and 8.05 shall be applicable to any Tender Agent.</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u w:val="single" w:color="auto"/>
          <w:color w:val="auto"/>
        </w:rPr>
        <w:t>Remarketing Agent</w:t>
      </w:r>
      <w:r>
        <w:rPr>
          <w:rFonts w:ascii="Arial" w:cs="Arial" w:eastAsia="Arial" w:hAnsi="Arial"/>
          <w:sz w:val="22"/>
          <w:szCs w:val="22"/>
          <w:color w:val="auto"/>
        </w:rPr>
        <w:t>. Until all Bonds bear interest at the Fixed Rate, there shall be a Remarketing Agent appointed with power to act in the discharge of the duties of the Remarketing Agent hereunder, including the setting of interest rates on the Bonds. Such Remarketing Agent shall at all times be a bank or trust company or a member of the New York Stock Exchange or the National Association of Securities Dealers, authorized by law to perform all the duties imposed by this Indenture on the Remarketing Agent.</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corporation into which any Remarketing Agent may be merged or converted or with which it may be consolidated, or any corporation succeeding to the municipal investment banking business of any Remarketing Agent, shall be the successor of the Remarketing Agent hereunder, if such successor corporation is otherwise eligible under this Section, without the execution or filing of any further act on the part of the parties hereto or the Remarketing Agent or such successor.</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Remarketing Agent may at any time resign by giving at least 30 days prior written notice of such resignation to the Trustee, the District, the Credit Enhancer, if any, the Liquidity Bank, if any, the Tender Agent and the District. The District may at any time terminate the agency of any Remarketing Agent by giving not less than 30 days prior written notice of such termination to such Remarketing Agent, the Trustee, the Tender Agent, the Credit Enhancer and the Liquidity Bank. Upon the giving of such a notice of resignation or upon such a termination, or in case at any time any Remarketing Agent shall cease to be eligible under this Section, the District shall promptly appoint a successor Remarketing Agent and shall give written notice of such appointment to the District, Tender Agent, the Credit Enhancer, if any, and the Liquidity Bank, if any.</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District will cause each Remarketing Agent to execute and deliver to the Trustee a Remarketing Agreement in which such Remarketing Agent shall agree with the Trustee and the District, subject to the provisions of this Section, that such Remarketing Agent will observe and perform the duties of the Remarketing Agent hereunder. Subject to the provisions of any Remarketing Agreement, the Remarketing Agent shall be paid reasonable compensation for its services hereunder, but solely from and to the extent of funds advanced by the Company at the request of the District for such purpose pursuant to the Facilities Lease.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Sections 8.04 and 8.05 of this Indenture shall be applicable to any Remarketing Agent.</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Trustee Liability for Agents</w:t>
      </w:r>
      <w:r>
        <w:rPr>
          <w:rFonts w:ascii="Arial" w:cs="Arial" w:eastAsia="Arial" w:hAnsi="Arial"/>
          <w:sz w:val="22"/>
          <w:szCs w:val="22"/>
          <w:color w:val="auto"/>
        </w:rPr>
        <w:t>. Notwithstanding anything contained herein to the contrary, the Trustee shall not be liable for any failure of the Paying Agent, the Authenticating Agent, the Tender Agent or the Remarketing Agent to perform in accordance with the Indenture any duty required or authorized herein to be performed by such Person or for any other acts or omissions of such Person.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20"/>
          </w:cols>
          <w:pgMar w:left="240" w:top="131" w:right="239" w:bottom="1440" w:gutter="0" w:footer="0" w:header="0"/>
        </w:sectPr>
      </w:pPr>
    </w:p>
    <w:bookmarkStart w:id="242" w:name="page243"/>
    <w:bookmarkEnd w:id="242"/>
    <w:p>
      <w:pPr>
        <w:ind w:left="5080"/>
        <w:spacing w:after="0"/>
        <w:rPr>
          <w:sz w:val="20"/>
          <w:szCs w:val="20"/>
          <w:color w:val="auto"/>
        </w:rPr>
      </w:pPr>
      <w:r>
        <w:rPr>
          <w:rFonts w:ascii="Arial" w:cs="Arial" w:eastAsia="Arial" w:hAnsi="Arial"/>
          <w:sz w:val="22"/>
          <w:szCs w:val="22"/>
          <w:b w:val="1"/>
          <w:bCs w:val="1"/>
          <w:color w:val="auto"/>
        </w:rPr>
        <w:t>ARTICLE IX</w:t>
      </w:r>
    </w:p>
    <w:p>
      <w:pPr>
        <w:spacing w:after="0" w:line="22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Supplemental Indentures Without Consent of Holders of Bonds</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Without the consent of the Holders of any Bonds, the District and the Trustee, in each case at any time upon receipt of a District Request, may enter into or consent to one or more indentures supplemental hereto, subject to Section 9.03 hereof, for any of the following purposes:</w:t>
      </w:r>
    </w:p>
    <w:p>
      <w:pPr>
        <w:spacing w:after="0" w:line="186" w:lineRule="exact"/>
        <w:rPr>
          <w:sz w:val="20"/>
          <w:szCs w:val="20"/>
          <w:color w:val="auto"/>
        </w:rPr>
      </w:pPr>
    </w:p>
    <w:p>
      <w:pPr>
        <w:ind w:left="1740" w:hanging="435"/>
        <w:spacing w:after="0"/>
        <w:tabs>
          <w:tab w:leader="none" w:pos="17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make any changes authorized by Section 4.01 or 5.08 hereof;</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75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District or the Company, or successive successions, and the assumption by the successor Person of the covenants, agreements and obligations of the District as permitted by this Indenture or the Company as permitted by the Facilities Lease, or to evidence the succession of a successor trustee in accordance with this Indenture;</w:t>
      </w:r>
    </w:p>
    <w:p>
      <w:pPr>
        <w:spacing w:after="0" w:line="185" w:lineRule="exact"/>
        <w:rPr>
          <w:rFonts w:ascii="Arial" w:cs="Arial" w:eastAsia="Arial" w:hAnsi="Arial"/>
          <w:sz w:val="22"/>
          <w:szCs w:val="22"/>
          <w:color w:val="auto"/>
        </w:rPr>
      </w:pPr>
    </w:p>
    <w:p>
      <w:pPr>
        <w:ind w:left="660" w:firstLine="645"/>
        <w:spacing w:after="0" w:line="276" w:lineRule="auto"/>
        <w:tabs>
          <w:tab w:leader="none" w:pos="179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add to the covenants of the District for the benefit of the Holders of Bonds, to add additional assets to the Trust Estate, or to surrender any right or power herein or therein conferred upon the District;</w:t>
      </w:r>
    </w:p>
    <w:p>
      <w:pPr>
        <w:spacing w:after="0" w:line="160" w:lineRule="exact"/>
        <w:rPr>
          <w:rFonts w:ascii="Arial" w:cs="Arial" w:eastAsia="Arial" w:hAnsi="Arial"/>
          <w:sz w:val="22"/>
          <w:szCs w:val="22"/>
          <w:color w:val="auto"/>
        </w:rPr>
      </w:pPr>
    </w:p>
    <w:p>
      <w:pPr>
        <w:jc w:val="both"/>
        <w:ind w:left="660" w:firstLine="645"/>
        <w:spacing w:after="0" w:line="307" w:lineRule="auto"/>
        <w:tabs>
          <w:tab w:leader="none" w:pos="180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 to cure any ambiguity or to correct or supplement any defect, mistake, error, omission or other provision herein or therein which may be inconsistent with any other provision herein or therein, or (ii) to make any other provisions with respect to matters or questions arising under this Indenture which shall not be inconsistent with this Indenture, provided in the case of this clause (ii) such action shall not adversely affect the interests of the Holders of Bonds;</w:t>
      </w:r>
    </w:p>
    <w:p>
      <w:pPr>
        <w:spacing w:after="0" w:line="138" w:lineRule="exact"/>
        <w:rPr>
          <w:rFonts w:ascii="Arial" w:cs="Arial" w:eastAsia="Arial" w:hAnsi="Arial"/>
          <w:sz w:val="19"/>
          <w:szCs w:val="19"/>
          <w:color w:val="auto"/>
        </w:rPr>
      </w:pPr>
    </w:p>
    <w:p>
      <w:pPr>
        <w:jc w:val="both"/>
        <w:ind w:left="660" w:firstLine="645"/>
        <w:spacing w:after="0" w:line="294" w:lineRule="auto"/>
        <w:tabs>
          <w:tab w:leader="none" w:pos="179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to amend, supplement or otherwise modify this Indenture in such manner as may be necessary to qualify this Indenture under the Trust Indenture Act of 1939 as then amended, or under any similar federal or state statute or regulation, including provisions whereby the Trustee accepts such powers, duties, conditions and restrictions hereunder and the District undertakes such covenants, conditions or restrictions additional to those contained in this Indenture as would be necessary or appropriate so to qualify this Indenture; provided, however, that nothing herein contained shall be deemed to authorize inclusion in this Indenture or in any indenture supplemental hereto, provisions referred to in Section 316(a)(2) of the said Trust Indenture Act or any corresponding provision provided for in any similar statute hereafter in effect;</w:t>
      </w:r>
    </w:p>
    <w:p>
      <w:pPr>
        <w:spacing w:after="0" w:line="152" w:lineRule="exact"/>
        <w:rPr>
          <w:rFonts w:ascii="Arial" w:cs="Arial" w:eastAsia="Arial" w:hAnsi="Arial"/>
          <w:sz w:val="19"/>
          <w:szCs w:val="19"/>
          <w:color w:val="auto"/>
        </w:rPr>
      </w:pPr>
    </w:p>
    <w:p>
      <w:pPr>
        <w:jc w:val="both"/>
        <w:ind w:left="660" w:firstLine="645"/>
        <w:spacing w:after="0" w:line="254" w:lineRule="auto"/>
        <w:tabs>
          <w:tab w:leader="none" w:pos="17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amend, supplement or otherwise modify this Indenture in such manner as may be necessary or appropriate to cause the rating assigned to the Bonds secured by a Credit Facility by each Rating Service to be the same as the rating assigned by such Rating Service to the Credit Enhancer’s long-term debt or to be the same as the rating assigned by such Rating Service to the Liquidity Bank’s short-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626" w:right="239" w:bottom="1440" w:gutter="0" w:footer="0" w:header="0"/>
        </w:sectPr>
      </w:pPr>
    </w:p>
    <w:bookmarkStart w:id="243" w:name="page244"/>
    <w:bookmarkEnd w:id="243"/>
    <w:p>
      <w:pPr>
        <w:ind w:left="660"/>
        <w:spacing w:after="0" w:line="263" w:lineRule="auto"/>
        <w:rPr>
          <w:sz w:val="20"/>
          <w:szCs w:val="20"/>
          <w:color w:val="auto"/>
        </w:rPr>
      </w:pPr>
      <w:r>
        <w:rPr>
          <w:rFonts w:ascii="Arial" w:cs="Arial" w:eastAsia="Arial" w:hAnsi="Arial"/>
          <w:sz w:val="22"/>
          <w:szCs w:val="22"/>
          <w:color w:val="auto"/>
        </w:rPr>
        <w:t>term debt or, in the event the Bonds are converted to the Fixed Rate, to secure or maintain an investment grade rating on the Bonds from each Rating Service;</w:t>
      </w:r>
    </w:p>
    <w:p>
      <w:pPr>
        <w:spacing w:after="0" w:line="175" w:lineRule="exact"/>
        <w:rPr>
          <w:sz w:val="20"/>
          <w:szCs w:val="20"/>
          <w:color w:val="auto"/>
        </w:rPr>
      </w:pPr>
    </w:p>
    <w:p>
      <w:pPr>
        <w:ind w:left="660" w:right="20" w:firstLine="645"/>
        <w:spacing w:after="0" w:line="276" w:lineRule="auto"/>
        <w:tabs>
          <w:tab w:leader="none" w:pos="17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modify this Indenture (including but not limited to Section 2.12 hereof) to allow the Trustee to make periodic drawings on the Credit Facility when the Bonds are in the Commercial Paper Rate Mode;</w:t>
      </w:r>
    </w:p>
    <w:p>
      <w:pPr>
        <w:spacing w:after="0" w:line="160" w:lineRule="exact"/>
        <w:rPr>
          <w:rFonts w:ascii="Arial" w:cs="Arial" w:eastAsia="Arial" w:hAnsi="Arial"/>
          <w:sz w:val="22"/>
          <w:szCs w:val="22"/>
          <w:color w:val="auto"/>
        </w:rPr>
      </w:pPr>
    </w:p>
    <w:p>
      <w:pPr>
        <w:ind w:left="1760" w:hanging="455"/>
        <w:spacing w:after="0"/>
        <w:tabs>
          <w:tab w:leader="none" w:pos="17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to provide for the issuance of Additional Bonds in accordance with the terms and conditions of this Indenture;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15" w:lineRule="exact"/>
        <w:rPr>
          <w:rFonts w:ascii="Arial" w:cs="Arial" w:eastAsia="Arial" w:hAnsi="Arial"/>
          <w:sz w:val="19"/>
          <w:szCs w:val="19"/>
          <w:color w:val="auto"/>
        </w:rPr>
      </w:pPr>
    </w:p>
    <w:p>
      <w:pPr>
        <w:jc w:val="both"/>
        <w:ind w:left="660" w:firstLine="645"/>
        <w:spacing w:after="0" w:line="294" w:lineRule="auto"/>
        <w:tabs>
          <w:tab w:leader="none" w:pos="1821" w:val="left"/>
        </w:tabs>
        <w:numPr>
          <w:ilvl w:val="0"/>
          <w:numId w:val="164"/>
        </w:numPr>
        <w:rPr>
          <w:rFonts w:ascii="Arial" w:cs="Arial" w:eastAsia="Arial" w:hAnsi="Arial"/>
          <w:sz w:val="19"/>
          <w:szCs w:val="19"/>
          <w:color w:val="auto"/>
        </w:rPr>
      </w:pPr>
      <w:r>
        <w:rPr>
          <w:rFonts w:ascii="Arial" w:cs="Arial" w:eastAsia="Arial" w:hAnsi="Arial"/>
          <w:sz w:val="19"/>
          <w:szCs w:val="19"/>
          <w:color w:val="auto"/>
        </w:rPr>
        <w:t>prior to any Multi-Modal Bonds becoming Outstanding, and with the consent of the Remarketing Agent, to make any change requested by the District to the terms and provisions hereof, including the forms of Bonds in Exhibits A, B, C, D and E hereof, provided no amendment permitted pursuant to this Section 9.01(9) shall (i) adversely affect the obligation herein to use monies in the Purchase Fund to pay the Purchase Price of Initial Bonds subject to mandatory tender on an Initial Bonds Remarketing Date (to whatever extent such monies in the Purchase Fund are needed for such purpose) or (ii) become effective until all Outstanding Series 2016 Bonds that are Initial Bonds have been repurchased at the Purchase Price or redeemed, or defeased to a date, on or prior to the First Initial Bonds Remarketing Date.</w:t>
      </w:r>
    </w:p>
    <w:p>
      <w:pPr>
        <w:spacing w:after="0" w:line="1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Supplemental Indentures With Consent of Holders of Bonds</w:t>
      </w:r>
      <w:r>
        <w:rPr>
          <w:rFonts w:ascii="Arial" w:cs="Arial" w:eastAsia="Arial" w:hAnsi="Arial"/>
          <w:sz w:val="19"/>
          <w:szCs w:val="19"/>
          <w:color w:val="auto"/>
        </w:rPr>
        <w:t>. With the consent of the Holders of a majority in aggregate principal amount of the Outstanding Bonds affected by such supplemental indenture, by Act of such Holders delivered to the Trustee, the District and the Trustee may enter into or consent to an indenture or indentures supplemental hereto, subject to Section 9.03 hereof, for the purpose of adding any provisions to or changing in any manner or eliminating any of the provisions of this Indenture or of modifying in any manner the rights of the Holders of the Bonds under this Indenture. However, no such supplemental indenture shall, without the consent of the Holder of each Bond affected thereby:</w:t>
      </w:r>
    </w:p>
    <w:p>
      <w:pPr>
        <w:spacing w:after="0" w:line="147" w:lineRule="exact"/>
        <w:rPr>
          <w:sz w:val="20"/>
          <w:szCs w:val="20"/>
          <w:color w:val="auto"/>
        </w:rPr>
      </w:pPr>
    </w:p>
    <w:p>
      <w:pPr>
        <w:jc w:val="both"/>
        <w:ind w:left="660" w:firstLine="645"/>
        <w:spacing w:after="0" w:line="297" w:lineRule="auto"/>
        <w:tabs>
          <w:tab w:leader="none" w:pos="182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installment of interest on, any Bonds or any date for mandatory redemption or mandatory purchase thereof, or reduce the principal amount thereof or the interest thereon or any premium payable upon the redemption or Purchase Price due upon mandatory tender thereof, or change the coin or currency in which, any Bonds or the interest thereon is payable, or materially impair or subordinate the lien of this Indenture on the Trust Estate or materially impair the right to institute suit for the enforcement of any such payment on or after the Stated Maturity thereof (or, in the case of redemption, on or after the redemption date), or</w:t>
      </w:r>
    </w:p>
    <w:p>
      <w:pPr>
        <w:spacing w:after="0" w:line="146" w:lineRule="exact"/>
        <w:rPr>
          <w:rFonts w:ascii="Arial" w:cs="Arial" w:eastAsia="Arial" w:hAnsi="Arial"/>
          <w:sz w:val="19"/>
          <w:szCs w:val="19"/>
          <w:color w:val="auto"/>
        </w:rPr>
      </w:pPr>
    </w:p>
    <w:p>
      <w:pPr>
        <w:jc w:val="both"/>
        <w:ind w:left="660" w:firstLine="645"/>
        <w:spacing w:after="0" w:line="320" w:lineRule="auto"/>
        <w:tabs>
          <w:tab w:leader="none" w:pos="176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reduce the percentage in principal amount of the Outstanding Bonds,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631" w:right="239" w:bottom="1440" w:gutter="0" w:footer="0" w:header="0"/>
        </w:sectPr>
      </w:pPr>
    </w:p>
    <w:bookmarkStart w:id="244" w:name="page245"/>
    <w:bookmarkEnd w:id="244"/>
    <w:p>
      <w:pPr>
        <w:jc w:val="both"/>
        <w:ind w:left="660" w:firstLine="645"/>
        <w:spacing w:after="0" w:line="260" w:lineRule="auto"/>
        <w:tabs>
          <w:tab w:leader="none" w:pos="184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modify any of the provisions of this Section or Section 7.13, except to increase any such percentage or to provide that certain other provisions of this Indenture cannot be modified or waived without the consent of the Holder of each Bond affected thereby.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It shall not be necessary for any Act of Holders of Bonds under this Section to approve the particular form of any proposed supplemental indenture, but it shall be sufficient if such Holders of Bonds shall approve the substance thereof.</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Execution of Supplemental Indentures and Amendments of Other Documents</w:t>
      </w:r>
      <w:r>
        <w:rPr>
          <w:rFonts w:ascii="Arial" w:cs="Arial" w:eastAsia="Arial" w:hAnsi="Arial"/>
          <w:sz w:val="21"/>
          <w:szCs w:val="21"/>
          <w:color w:val="auto"/>
        </w:rPr>
        <w:t>. In connection with the execution of any supplemental indenture (including any waiver of any provision of this Indenture) or in connection with the execution of any amendment, supplement or modification to, or waiver of any provision of, the SNDA, the Ground Lease, the Facilities Lease, the Company Leasehold Deed of Trust, the Standby Bond Purchase Agreement or the Capital Call Agreement permitted by this Article, the Trustee shall receive, and shall be fully protected in relying upon, an Opinion of Counsel stating that the execution of such supplemental indenture (including any waiver) is authorized or permitted by this Indenture (and in the case of an amendment, supplement or modification to, or waiver of any provision of, the SNDA, the Ground Lease, the Facilities Lease, the Company Leasehold Deed of Trust, the Standby Bond Purchase Agreement or the Capital Call Agreement that such amendment, supplement, modification or waiver complies with the provisions of Section 9.06 or 9.07 hereof); provided that the Trustee shall only receive such Opinion of Counsel if the Trustee executes such supplemental indenture, amendment, supplement, modification or waiver.</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addition, in connection with the execution of any supplemental indenture or in connection with the execution of any amendment, supplement or modification to the SNDA, the Ground Lease, the Facilities Lease, the Company Leasehold Deed of Trust, the Standby Bond Purchase Agreement or the Capital Call Agreement permitted by this Article 9, the Trustee shall receive, and shall be fully protected in relying upon, an Opinion of Bond Counsel that the execution of such supplemental indenture, amendment, supplement or modification will not adversely affect the exclusion of interest on the Bonds from the gross income of the Holders of the Bonds (each, a “</w:t>
      </w:r>
      <w:r>
        <w:rPr>
          <w:rFonts w:ascii="Arial" w:cs="Arial" w:eastAsia="Arial" w:hAnsi="Arial"/>
          <w:sz w:val="22"/>
          <w:szCs w:val="22"/>
          <w:u w:val="single" w:color="auto"/>
          <w:color w:val="auto"/>
        </w:rPr>
        <w:t>Tax Opinion</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but shall not be obligated to, enter into any such supplemental indenture, amendment, supplement, modification or waiver that affects the Trustee’s own rights, duties or immunities under this Indenture or otherwise. The Trustee shall not execute any supplemental indenture without the consent of the District.</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District shall, or shall use commercially reasonable efforts to cause the Company to, deliver to the Trustee an executed copy of each such supplemental indenture, amendment, supplement, modification or waiver promptly after the execution thereof.</w:t>
      </w:r>
    </w:p>
    <w:p>
      <w:pPr>
        <w:spacing w:after="0" w:line="10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Effect of Supplemental Indentures</w:t>
      </w:r>
      <w:r>
        <w:rPr>
          <w:rFonts w:ascii="Arial" w:cs="Arial" w:eastAsia="Arial" w:hAnsi="Arial"/>
          <w:sz w:val="19"/>
          <w:szCs w:val="19"/>
          <w:color w:val="auto"/>
        </w:rPr>
        <w:t>. Upon the execution of any supplemental indenture under this Article, this Indenture shall be modified in accordance therewith, and such supplemental indenture shall form a part of this Indenture for all purposes, and every Holder of Bonds thereafter or theretofore authenticated and delivered hereunder shall be bound thereby.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632" w:right="239" w:bottom="1440" w:gutter="0" w:footer="0" w:header="0"/>
        </w:sectPr>
      </w:pPr>
    </w:p>
    <w:bookmarkStart w:id="245" w:name="page246"/>
    <w:bookmarkEnd w:id="245"/>
    <w:p>
      <w:pPr>
        <w:jc w:val="both"/>
        <w:ind w:firstLine="648"/>
        <w:spacing w:after="0" w:line="266"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Bonds May Bear Notation of Changes</w:t>
      </w:r>
      <w:r>
        <w:rPr>
          <w:rFonts w:ascii="Arial" w:cs="Arial" w:eastAsia="Arial" w:hAnsi="Arial"/>
          <w:sz w:val="21"/>
          <w:szCs w:val="21"/>
          <w:color w:val="auto"/>
        </w:rPr>
        <w:t>. Bonds authenticated and delivered after the execution of any supplemental indenture pursuant to this Article may bear a notation in form approved by the Trustee as to any matter provided for in such supplemental indenture. If the District or the Trustee shall so determine, new Bonds so modified as to conform, in the opinion of the Trustee and the District, to any such supplemental indenture may be prepared and executed by the District and authenticated and delivered by the Trustee in exchange for Bonds then Outstanding</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Amendments to the SNDA, Ground Lease, Facilities Lease, Company Leasehold Deed of Trust, Standby</w:t>
      </w:r>
      <w:r>
        <w:rPr>
          <w:rFonts w:ascii="Arial" w:cs="Arial" w:eastAsia="Arial" w:hAnsi="Arial"/>
          <w:sz w:val="21"/>
          <w:szCs w:val="21"/>
          <w:color w:val="auto"/>
        </w:rPr>
        <w:t xml:space="preserve"> </w:t>
      </w:r>
      <w:r>
        <w:rPr>
          <w:rFonts w:ascii="Arial" w:cs="Arial" w:eastAsia="Arial" w:hAnsi="Arial"/>
          <w:sz w:val="21"/>
          <w:szCs w:val="21"/>
          <w:u w:val="single" w:color="auto"/>
          <w:color w:val="auto"/>
        </w:rPr>
        <w:t>Bond Purchase Agreement and Capital Call Agreement Without Consent of the Holders of Bonds</w:t>
      </w:r>
      <w:r>
        <w:rPr>
          <w:rFonts w:ascii="Arial" w:cs="Arial" w:eastAsia="Arial" w:hAnsi="Arial"/>
          <w:sz w:val="21"/>
          <w:szCs w:val="21"/>
          <w:color w:val="auto"/>
        </w:rPr>
        <w:t>. Without the consent of the Holders of any Bonds, the District, the Trustee (solely with respect to the SNDA, the Company Leasehold Deed of Trust, the Standby Bond Purchase Agreement and the Capital Call Agreement) and the Company, as applicable, may enter into one or more amendments, supplements, modifications or waivers of any provision of the SNDA, the Ground Lease, the Facilities Lease, the Company Leasehold Deed of Trust, the Standby Bond Purchase Agreement or the Capital Call Agreement, subject to Section 9.03 hereof, for any of the following purposes:</w:t>
      </w:r>
    </w:p>
    <w:p>
      <w:pPr>
        <w:spacing w:after="0" w:line="180" w:lineRule="exact"/>
        <w:rPr>
          <w:sz w:val="20"/>
          <w:szCs w:val="20"/>
          <w:color w:val="auto"/>
        </w:rPr>
      </w:pPr>
    </w:p>
    <w:p>
      <w:pPr>
        <w:jc w:val="both"/>
        <w:ind w:left="660" w:firstLine="645"/>
        <w:spacing w:after="0" w:line="254" w:lineRule="auto"/>
        <w:tabs>
          <w:tab w:leader="none" w:pos="194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to evidence the succession of another Person to any party thereto, or successive successions, and the assumption by the successor Person of the covenants, agreements and obligations of such party as permitted by the SNDA, the Ground Lease, the Facilities Lease, the Company Leasehold Deed of Trust, the Standby Bond Purchase Agreement or the Capital Call Agreement, as applicable;</w:t>
      </w:r>
    </w:p>
    <w:p>
      <w:pPr>
        <w:spacing w:after="0" w:line="185" w:lineRule="exact"/>
        <w:rPr>
          <w:rFonts w:ascii="Arial" w:cs="Arial" w:eastAsia="Arial" w:hAnsi="Arial"/>
          <w:sz w:val="22"/>
          <w:szCs w:val="22"/>
          <w:color w:val="auto"/>
        </w:rPr>
      </w:pPr>
    </w:p>
    <w:p>
      <w:pPr>
        <w:jc w:val="both"/>
        <w:ind w:left="660" w:firstLine="645"/>
        <w:spacing w:after="0" w:line="260" w:lineRule="auto"/>
        <w:tabs>
          <w:tab w:leader="none" w:pos="190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to add to or modify the covenants of the SNDA, the Ground Lease, the Facilities Lease, the Company Leasehold Deed of Trust, the Standby Bond Purchase Agreement or the Capital Call Agreement for the benefit of the Holders of Bonds or to add additional assets to the Trust Estate;</w:t>
      </w:r>
    </w:p>
    <w:p>
      <w:pPr>
        <w:spacing w:after="0" w:line="177" w:lineRule="exact"/>
        <w:rPr>
          <w:rFonts w:ascii="Arial" w:cs="Arial" w:eastAsia="Arial" w:hAnsi="Arial"/>
          <w:sz w:val="22"/>
          <w:szCs w:val="22"/>
          <w:color w:val="auto"/>
        </w:rPr>
      </w:pPr>
    </w:p>
    <w:p>
      <w:pPr>
        <w:jc w:val="both"/>
        <w:ind w:left="660" w:firstLine="645"/>
        <w:spacing w:after="0" w:line="270" w:lineRule="auto"/>
        <w:tabs>
          <w:tab w:leader="none" w:pos="1808"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 to cure any ambiguity or to correct or supplement any defect, mistake, error, omission or other provision therein which may be inconsistent with any other provision therein, or (ii) to make any other provisions with respect to matters or questions arising thereunder which shall not be inconsistent therewith, provided in the case of this clause (ii) such action shall not adversely affect the interests of the Holders of Bonds;</w:t>
      </w:r>
    </w:p>
    <w:p>
      <w:pPr>
        <w:spacing w:after="0" w:line="169" w:lineRule="exact"/>
        <w:rPr>
          <w:rFonts w:ascii="Arial" w:cs="Arial" w:eastAsia="Arial" w:hAnsi="Arial"/>
          <w:sz w:val="21"/>
          <w:szCs w:val="21"/>
          <w:color w:val="auto"/>
        </w:rPr>
      </w:pPr>
    </w:p>
    <w:p>
      <w:pPr>
        <w:ind w:left="660" w:firstLine="645"/>
        <w:spacing w:after="0" w:line="276" w:lineRule="auto"/>
        <w:tabs>
          <w:tab w:leader="none" w:pos="176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to provide for, facilitate or effectuate the issuance of Additional Bonds pursuant to and in accordance with this Indenture; or</w:t>
      </w:r>
    </w:p>
    <w:p>
      <w:pPr>
        <w:spacing w:after="0" w:line="160" w:lineRule="exact"/>
        <w:rPr>
          <w:rFonts w:ascii="Arial" w:cs="Arial" w:eastAsia="Arial" w:hAnsi="Arial"/>
          <w:sz w:val="22"/>
          <w:szCs w:val="22"/>
          <w:color w:val="auto"/>
        </w:rPr>
      </w:pPr>
    </w:p>
    <w:p>
      <w:pPr>
        <w:jc w:val="both"/>
        <w:ind w:left="660" w:firstLine="645"/>
        <w:spacing w:after="0" w:line="300" w:lineRule="auto"/>
        <w:tabs>
          <w:tab w:leader="none" w:pos="176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subject to Section 9.07(b) hereof, to make any other change to any provision of the SNDA, the Ground Lease, the Facilities Lease or the Company Leasehold Deed of Trust that would not, as of the date of such amendment, supplement, modification or waiver, reasonably be expected to (i) have a material adverse effect on the value of the Trust Estate, taken as a whole, or (ii) materially adversely impair the Company’s ability to complete or operate the Project, in each case, as certified by an authorized officer of the Company in a certificate delivered to the District and the Trustee.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631" w:right="239" w:bottom="1440" w:gutter="0" w:footer="0" w:header="0"/>
        </w:sectPr>
      </w:pPr>
    </w:p>
    <w:bookmarkStart w:id="246" w:name="page247"/>
    <w:bookmarkEnd w:id="246"/>
    <w:p>
      <w:pPr>
        <w:ind w:firstLine="648"/>
        <w:spacing w:after="0" w:line="276"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Amendments to the SNDA, the Ground Lease, Facilities Lease, Company Leasehold Deed of Trust, Standby</w:t>
      </w:r>
      <w:r>
        <w:rPr>
          <w:rFonts w:ascii="Arial" w:cs="Arial" w:eastAsia="Arial" w:hAnsi="Arial"/>
          <w:sz w:val="22"/>
          <w:szCs w:val="22"/>
          <w:color w:val="auto"/>
        </w:rPr>
        <w:t xml:space="preserve"> </w:t>
      </w:r>
      <w:r>
        <w:rPr>
          <w:rFonts w:ascii="Arial" w:cs="Arial" w:eastAsia="Arial" w:hAnsi="Arial"/>
          <w:sz w:val="22"/>
          <w:szCs w:val="22"/>
          <w:u w:val="single" w:color="auto"/>
          <w:color w:val="auto"/>
        </w:rPr>
        <w:t>Bond Purchase Agreement and Capital Call Agreement With Consent of the Holders of Bonds</w:t>
      </w:r>
      <w:r>
        <w:rPr>
          <w:rFonts w:ascii="Arial" w:cs="Arial" w:eastAsia="Arial" w:hAnsi="Arial"/>
          <w:sz w:val="22"/>
          <w:szCs w:val="22"/>
          <w:color w:val="auto"/>
        </w:rPr>
        <w:t>.</w:t>
      </w:r>
    </w:p>
    <w:p>
      <w:pPr>
        <w:spacing w:after="0" w:line="161" w:lineRule="exact"/>
        <w:rPr>
          <w:sz w:val="20"/>
          <w:szCs w:val="20"/>
          <w:color w:val="auto"/>
        </w:rPr>
      </w:pPr>
    </w:p>
    <w:p>
      <w:pPr>
        <w:jc w:val="both"/>
        <w:ind w:firstLine="656"/>
        <w:spacing w:after="0" w:line="300" w:lineRule="auto"/>
        <w:tabs>
          <w:tab w:leader="none" w:pos="108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With the consent of the Holders of a majority in aggregate principal amount of the Outstanding Bonds, by Act of such Holders delivered to the Trustee, the District, the Trustee (solely with respect to the SNDA, the Company Leasehold Deed of Trust, the Standby Bond Purchase Agreement and the Capital Call Agreement) and the Company, as applicable, may enter into any amendment, supplement, modification or waiver of the SNDA, Ground Lease, the Facilities Lease, the Company Leasehold Deed of Trust, the Standby Bond Purchase Agreement or the Capital Call Agreement, subject to Section 9.03 hereof.</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16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However, subject to Section 9.03 hereof and notwithstanding Section 9.06(5) hereof, the consent of the Holders of sixty six and two thirds percent (66.67%) in aggregate principal amount of the Outstanding Bonds, by Act of such Holders delivered to the Trustee, shall be required to:</w:t>
      </w:r>
    </w:p>
    <w:p>
      <w:pPr>
        <w:spacing w:after="0" w:line="177" w:lineRule="exact"/>
        <w:rPr>
          <w:rFonts w:ascii="Arial" w:cs="Arial" w:eastAsia="Arial" w:hAnsi="Arial"/>
          <w:sz w:val="22"/>
          <w:szCs w:val="22"/>
          <w:color w:val="auto"/>
        </w:rPr>
      </w:pPr>
    </w:p>
    <w:p>
      <w:pPr>
        <w:ind w:left="660" w:firstLine="645"/>
        <w:spacing w:after="0" w:line="276" w:lineRule="auto"/>
        <w:tabs>
          <w:tab w:leader="none" w:pos="1929" w:val="left"/>
        </w:tabs>
        <w:numPr>
          <w:ilvl w:val="1"/>
          <w:numId w:val="168"/>
        </w:numPr>
        <w:rPr>
          <w:rFonts w:ascii="Arial" w:cs="Arial" w:eastAsia="Arial" w:hAnsi="Arial"/>
          <w:sz w:val="22"/>
          <w:szCs w:val="22"/>
          <w:color w:val="auto"/>
        </w:rPr>
      </w:pPr>
      <w:r>
        <w:rPr>
          <w:rFonts w:ascii="Arial" w:cs="Arial" w:eastAsia="Arial" w:hAnsi="Arial"/>
          <w:sz w:val="22"/>
          <w:szCs w:val="22"/>
          <w:color w:val="auto"/>
        </w:rPr>
        <w:t>permit termination or cancellation of the SNDA, the Ground Lease, the Facilities Lease, the Company Leasehold Deed of Trust, the Standby Bond Purchase Agreement or the Capital Call Agreement;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81" w:val="left"/>
        </w:tabs>
        <w:numPr>
          <w:ilvl w:val="1"/>
          <w:numId w:val="168"/>
        </w:numPr>
        <w:rPr>
          <w:rFonts w:ascii="Arial" w:cs="Arial" w:eastAsia="Arial" w:hAnsi="Arial"/>
          <w:sz w:val="22"/>
          <w:szCs w:val="22"/>
          <w:color w:val="auto"/>
        </w:rPr>
      </w:pPr>
      <w:r>
        <w:rPr>
          <w:rFonts w:ascii="Arial" w:cs="Arial" w:eastAsia="Arial" w:hAnsi="Arial"/>
          <w:sz w:val="22"/>
          <w:szCs w:val="22"/>
          <w:color w:val="auto"/>
        </w:rPr>
        <w:t>permit any reduction of the amounts payable under the Facilities Lease which constitute Pledged Revenue, or change the dates when such payments are due or the provisions therein relating to prepayment;</w:t>
      </w:r>
    </w:p>
    <w:p>
      <w:pPr>
        <w:spacing w:after="0" w:line="160" w:lineRule="exact"/>
        <w:rPr>
          <w:rFonts w:ascii="Arial" w:cs="Arial" w:eastAsia="Arial" w:hAnsi="Arial"/>
          <w:sz w:val="22"/>
          <w:szCs w:val="22"/>
          <w:color w:val="auto"/>
        </w:rPr>
      </w:pPr>
    </w:p>
    <w:p>
      <w:pPr>
        <w:ind w:left="660" w:firstLine="645"/>
        <w:spacing w:after="0" w:line="276" w:lineRule="auto"/>
        <w:tabs>
          <w:tab w:leader="none" w:pos="183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permit any reduction of the amounts payable under the Standby Bond Purchase Agreement or Capital Call Agreement or change the dates when such payments are due; or</w:t>
      </w:r>
    </w:p>
    <w:p>
      <w:pPr>
        <w:spacing w:after="0" w:line="160" w:lineRule="exact"/>
        <w:rPr>
          <w:rFonts w:ascii="Arial" w:cs="Arial" w:eastAsia="Arial" w:hAnsi="Arial"/>
          <w:sz w:val="22"/>
          <w:szCs w:val="22"/>
          <w:color w:val="auto"/>
        </w:rPr>
      </w:pPr>
    </w:p>
    <w:p>
      <w:pPr>
        <w:jc w:val="both"/>
        <w:ind w:left="660" w:firstLine="645"/>
        <w:spacing w:after="0" w:line="278" w:lineRule="auto"/>
        <w:tabs>
          <w:tab w:leader="none" w:pos="1916" w:val="left"/>
        </w:tabs>
        <w:numPr>
          <w:ilvl w:val="1"/>
          <w:numId w:val="168"/>
        </w:numPr>
        <w:rPr>
          <w:rFonts w:ascii="Arial" w:cs="Arial" w:eastAsia="Arial" w:hAnsi="Arial"/>
          <w:sz w:val="21"/>
          <w:szCs w:val="21"/>
          <w:color w:val="auto"/>
        </w:rPr>
      </w:pPr>
      <w:r>
        <w:rPr>
          <w:rFonts w:ascii="Arial" w:cs="Arial" w:eastAsia="Arial" w:hAnsi="Arial"/>
          <w:sz w:val="21"/>
          <w:szCs w:val="21"/>
          <w:color w:val="auto"/>
        </w:rPr>
        <w:t>reduce the aggregate principal amount of Bonds required to consent to any amendment, supplement or modification to, or waiver of, the SNDA, the Ground Lease, the Facilities Lease, the Company Leasehold Deed of Trust, the Standby Bond Purchase Agreement or the Capital Call Agreement pursuant to this Section.</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It shall not be necessary for any Act of Holders of Bonds under this Section to approve the particular form of any proposed amendment, supplement, modification or waiver, but it shall be sufficient if such Holders of Bonds shall approve the substance thereof.</w:t>
      </w:r>
    </w:p>
    <w:p>
      <w:pPr>
        <w:spacing w:after="0" w:line="18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SATISFACTION AND DISCHARGE OF</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INDENTURE; UNCLAIMED MONEY</w:t>
      </w:r>
    </w:p>
    <w:p>
      <w:pPr>
        <w:spacing w:after="0" w:line="20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Satisfaction and Discharge of Indenture</w:t>
      </w:r>
      <w:r>
        <w:rPr>
          <w:rFonts w:ascii="Arial" w:cs="Arial" w:eastAsia="Arial" w:hAnsi="Arial"/>
          <w:sz w:val="19"/>
          <w:szCs w:val="19"/>
          <w:color w:val="auto"/>
        </w:rPr>
        <w:t>. Whenever the following conditions shall exist, namely:</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631" w:right="239" w:bottom="1440" w:gutter="0" w:footer="0" w:header="0"/>
        </w:sectPr>
      </w:pPr>
    </w:p>
    <w:bookmarkStart w:id="247" w:name="page248"/>
    <w:bookmarkEnd w:id="247"/>
    <w:p>
      <w:pPr>
        <w:ind w:firstLine="656"/>
        <w:spacing w:after="0" w:line="276" w:lineRule="auto"/>
        <w:tabs>
          <w:tab w:leader="none" w:pos="113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all Bonds theretofore authenticated and delivered have been cancelled by the Trustee or delivered to the Trustee for cancellation, excluding, however:</w:t>
      </w:r>
    </w:p>
    <w:p>
      <w:pPr>
        <w:spacing w:after="0" w:line="160" w:lineRule="exact"/>
        <w:rPr>
          <w:rFonts w:ascii="Arial" w:cs="Arial" w:eastAsia="Arial" w:hAnsi="Arial"/>
          <w:sz w:val="22"/>
          <w:szCs w:val="22"/>
          <w:color w:val="auto"/>
        </w:rPr>
      </w:pPr>
    </w:p>
    <w:p>
      <w:pPr>
        <w:ind w:left="660" w:firstLine="645"/>
        <w:spacing w:after="0" w:line="276" w:lineRule="auto"/>
        <w:tabs>
          <w:tab w:leader="none" w:pos="1808" w:val="left"/>
        </w:tabs>
        <w:numPr>
          <w:ilvl w:val="1"/>
          <w:numId w:val="169"/>
        </w:numPr>
        <w:rPr>
          <w:rFonts w:ascii="Arial" w:cs="Arial" w:eastAsia="Arial" w:hAnsi="Arial"/>
          <w:sz w:val="22"/>
          <w:szCs w:val="22"/>
          <w:color w:val="auto"/>
        </w:rPr>
      </w:pPr>
      <w:r>
        <w:rPr>
          <w:rFonts w:ascii="Arial" w:cs="Arial" w:eastAsia="Arial" w:hAnsi="Arial"/>
          <w:sz w:val="22"/>
          <w:szCs w:val="22"/>
          <w:color w:val="auto"/>
        </w:rPr>
        <w:t>Bonds for the payment of which money has theretofore been deposited in trust with the Trustee or a Paying Agent pursuant to Section 4.04;</w:t>
      </w:r>
    </w:p>
    <w:p>
      <w:pPr>
        <w:spacing w:after="0" w:line="160" w:lineRule="exact"/>
        <w:rPr>
          <w:rFonts w:ascii="Arial" w:cs="Arial" w:eastAsia="Arial" w:hAnsi="Arial"/>
          <w:sz w:val="22"/>
          <w:szCs w:val="22"/>
          <w:color w:val="auto"/>
        </w:rPr>
      </w:pPr>
    </w:p>
    <w:p>
      <w:pPr>
        <w:jc w:val="both"/>
        <w:ind w:left="660" w:firstLine="645"/>
        <w:spacing w:after="0" w:line="270" w:lineRule="auto"/>
        <w:tabs>
          <w:tab w:leader="none" w:pos="1767" w:val="left"/>
        </w:tabs>
        <w:numPr>
          <w:ilvl w:val="1"/>
          <w:numId w:val="169"/>
        </w:numPr>
        <w:rPr>
          <w:rFonts w:ascii="Arial" w:cs="Arial" w:eastAsia="Arial" w:hAnsi="Arial"/>
          <w:sz w:val="21"/>
          <w:szCs w:val="21"/>
          <w:color w:val="auto"/>
        </w:rPr>
      </w:pPr>
      <w:r>
        <w:rPr>
          <w:rFonts w:ascii="Arial" w:cs="Arial" w:eastAsia="Arial" w:hAnsi="Arial"/>
          <w:sz w:val="21"/>
          <w:szCs w:val="21"/>
          <w:color w:val="auto"/>
        </w:rPr>
        <w:t>Bonds alleged to have been destroyed, lost, or stolen which have been replaced or paid as provided in Section 2.06, except for any such Bond which, prior to the satisfaction and discharge of this Indenture, has been presented to the Trustee with a claim of ownership and enforceability by the Holder thereof and where enforceability has not been determined adversely against such Holder by a court of competent jurisdiction;</w:t>
      </w:r>
    </w:p>
    <w:p>
      <w:pPr>
        <w:spacing w:after="0" w:line="169" w:lineRule="exact"/>
        <w:rPr>
          <w:rFonts w:ascii="Arial" w:cs="Arial" w:eastAsia="Arial" w:hAnsi="Arial"/>
          <w:sz w:val="21"/>
          <w:szCs w:val="21"/>
          <w:color w:val="auto"/>
        </w:rPr>
      </w:pPr>
    </w:p>
    <w:p>
      <w:pPr>
        <w:jc w:val="both"/>
        <w:ind w:left="660" w:firstLine="645"/>
        <w:spacing w:after="0" w:line="254" w:lineRule="auto"/>
        <w:tabs>
          <w:tab w:leader="none" w:pos="174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Bonds, other than those referred to in paragraphs (1) and (2) above, for the payment or redemption of which the District has deposited, or caused to be deposited, with the Trustee at the Maturity thereof in trust for such purpose funds in an amount sufficient to pay and discharge the entire indebtedness on such Bonds for principal (and premium, if any) and interest to such Maturity; and</w:t>
      </w:r>
    </w:p>
    <w:p>
      <w:pPr>
        <w:spacing w:after="0" w:line="185" w:lineRule="exact"/>
        <w:rPr>
          <w:rFonts w:ascii="Arial" w:cs="Arial" w:eastAsia="Arial" w:hAnsi="Arial"/>
          <w:sz w:val="22"/>
          <w:szCs w:val="22"/>
          <w:color w:val="auto"/>
        </w:rPr>
      </w:pPr>
    </w:p>
    <w:p>
      <w:pPr>
        <w:ind w:left="660" w:firstLine="645"/>
        <w:spacing w:after="0" w:line="276" w:lineRule="auto"/>
        <w:tabs>
          <w:tab w:leader="none" w:pos="1808" w:val="left"/>
        </w:tabs>
        <w:numPr>
          <w:ilvl w:val="1"/>
          <w:numId w:val="169"/>
        </w:numPr>
        <w:rPr>
          <w:rFonts w:ascii="Arial" w:cs="Arial" w:eastAsia="Arial" w:hAnsi="Arial"/>
          <w:sz w:val="22"/>
          <w:szCs w:val="22"/>
          <w:color w:val="auto"/>
        </w:rPr>
      </w:pPr>
      <w:r>
        <w:rPr>
          <w:rFonts w:ascii="Arial" w:cs="Arial" w:eastAsia="Arial" w:hAnsi="Arial"/>
          <w:sz w:val="22"/>
          <w:szCs w:val="22"/>
          <w:color w:val="auto"/>
        </w:rPr>
        <w:t>Bonds deemed no longer Outstanding as a result of the deposit or escrow of money or Eligible Securities or both as described in Section 10.02.</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District has paid, or caused to be paid, all other sums payable by the District hereunder; and</w:t>
      </w:r>
    </w:p>
    <w:p>
      <w:pPr>
        <w:spacing w:after="0" w:line="233" w:lineRule="exact"/>
        <w:rPr>
          <w:rFonts w:ascii="Arial" w:cs="Arial" w:eastAsia="Arial" w:hAnsi="Arial"/>
          <w:sz w:val="22"/>
          <w:szCs w:val="22"/>
          <w:color w:val="auto"/>
        </w:rPr>
      </w:pPr>
    </w:p>
    <w:p>
      <w:pPr>
        <w:ind w:firstLine="656"/>
        <w:spacing w:after="0" w:line="276" w:lineRule="auto"/>
        <w:tabs>
          <w:tab w:leader="none" w:pos="119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there has been delivered to the Trustee an Opinion of Counsel stating that all conditions precedent herein to the satisfaction and discharge of this Indenture have been complied with;</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then, this Indenture and the lien, rights, and interests created hereby shall cease, determine, and become null and void (except as to any surviving rights of transfer, exchange, or tender of Bonds herein or therein provided for) and the Trustee and each co-trustee and separate trustee, if any, then acting as such hereunder shall, at the expense of the District (but solely from the Trust Estate), execute and deliver a termination statement and such instruments of satisfaction and discharge as may be necessary (in form and substance satisfactory to the District) and pay, assign, transfer, and deliver to the District or upon District Order all cash, securities, and other property then held by it hereunder as a part of the Trust Estate.</w:t>
      </w:r>
    </w:p>
    <w:p>
      <w:pPr>
        <w:spacing w:after="0" w:line="15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Payment of Bonds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6" w:lineRule="auto"/>
        <w:tabs>
          <w:tab w:leader="none" w:pos="109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All of the Bonds shall be deemed to have been paid for purposes of this Indenture if (i) there has been deposited with the Trustee in trust (x) cash or (y) Eligible Securities (or a combination of (x) and (y)), the principal of, premium, if any, and interest on which will, when due, without further investment or reinvestment of either the principal amount thereof or the interest earnings thereon (as established by a report of an independent certified public accountant setting forth the calculations upon which such report is based), provide money in an amount, which, together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632" w:right="239" w:bottom="1440" w:gutter="0" w:footer="0" w:header="0"/>
        </w:sectPr>
      </w:pPr>
    </w:p>
    <w:bookmarkStart w:id="248" w:name="page249"/>
    <w:bookmarkEnd w:id="248"/>
    <w:p>
      <w:pPr>
        <w:jc w:val="both"/>
        <w:spacing w:after="0" w:line="285" w:lineRule="auto"/>
        <w:rPr>
          <w:sz w:val="20"/>
          <w:szCs w:val="20"/>
          <w:color w:val="auto"/>
        </w:rPr>
      </w:pPr>
      <w:r>
        <w:rPr>
          <w:rFonts w:ascii="Arial" w:cs="Arial" w:eastAsia="Arial" w:hAnsi="Arial"/>
          <w:sz w:val="19"/>
          <w:szCs w:val="19"/>
          <w:color w:val="auto"/>
        </w:rPr>
        <w:t>with any money deposited with or held by the Trustee at the same time and available for such purpose pursuant to this Indenture, will be sufficient to pay when due and payable the principal, premium, if any, and interest due and payable and to become due and payable on and prior to the respective redemption dates or Maturity date of such Bonds, (assuming in the case of Bonds that bear interest at a variable rate, that such Bonds bear interest at a rate equal to the maximum rate of interest which such Bonds may bear from the date of such deposit until the respective redemption or Maturity dates thereof); provided no such redemption or Maturity date shall occur after any Initial Bonds Remarketing Date applicable to such Bonds, (ii) in case any of such Bonds are to be redeemed on any date prior to their Stated Maturity, the District has given to the Trustee irrevocable written instructions instructing the Trustee to effect the redemption of such Bonds, and to give notice of such redemption to Holders prior to said date as provided in this Indenture, (iii) in the event such Bonds are not to be redeemed within the 60 days next succeeding the date of such deposit with the Trustee, the District has given irrevocable written instructions to the Trustee to give notice to the Holders of such Bonds advising that the deposit required by clause (i) of this paragraph above has been made with the Trustee and that the Bonds are deemed to have been paid in accordance with this Article and stating such Maturity or redemption date or dates upon which money is to be available for the payment of the principal, premium, if any, and interest; and (iv) the Trustee shall have received opinions of counsel to the effect that (x) such deposit will not affect the tax exempt status of interest on the Bonds and (y) all conditions precedent to such deposit have been satisfied. The Trustee shall not be required to accept any deposit of Eligible Securities pursuant to clause (y) or (z) during the continuance of an Event of Default.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Eligible Securities deposited with the Trustee pursuant to this Section shall mature on such dates as shall be required for the aforesaid purpose. Such Eligible Securities shall not contain provisions permitting the redemption thereof at the option of the District.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Subsequent to the making of any deposit provided for in this Section, such Bonds shall continue to enjoy the security and benefits of this Indenture to the extent required to assure the purchase of such Bonds in the manner provided in Article II of this Indenture, the applicable form of Bond and otherwise so as to assure performance by the District in accordance with the terms of such Bonds; and</w:t>
      </w:r>
    </w:p>
    <w:p>
      <w:pPr>
        <w:spacing w:after="0" w:line="188" w:lineRule="exact"/>
        <w:rPr>
          <w:sz w:val="20"/>
          <w:szCs w:val="20"/>
          <w:color w:val="auto"/>
        </w:rPr>
      </w:pPr>
    </w:p>
    <w:p>
      <w:pPr>
        <w:jc w:val="both"/>
        <w:ind w:firstLine="656"/>
        <w:spacing w:after="0" w:line="254" w:lineRule="auto"/>
        <w:tabs>
          <w:tab w:leader="none" w:pos="10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release under this Section shall be without prejudice to the right of the Trustee to be paid reasonable compensation for all services rendered by it under this Indenture and all its reasonable expenses, charges and other disbursements and those of its attorneys, agents and employees, incurred on and about the administration of trusts created by this Indenture and the performance of its powers and duties under this Indenture.</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u w:val="single" w:color="auto"/>
          <w:color w:val="auto"/>
        </w:rPr>
        <w:t>Application of Trust Money</w:t>
      </w:r>
      <w:r>
        <w:rPr>
          <w:rFonts w:ascii="Arial" w:cs="Arial" w:eastAsia="Arial" w:hAnsi="Arial"/>
          <w:sz w:val="21"/>
          <w:szCs w:val="21"/>
          <w:color w:val="auto"/>
        </w:rPr>
        <w:t>. The Eligible Securities and money deposited with the Trustee pursuant to Section 10.02 and principal or interest payments on any such Eligible Securities shall be held in trust, shall not be sold or reinvested, and shall be applied by it, in accordance with the provisions of the Bonds and this Indenture, to the payment, either directly or through any Paying Agent as the Trustee may determine, to the Persons entitled thereto, of the principal (and premium, if any) and interest for whose payment such money or Eligible Securities were deposited; provided that, upon delivery to the Trustee of an Officer’s Certificate (accompanied by the report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631" w:right="239" w:bottom="1440" w:gutter="0" w:footer="0" w:header="0"/>
        </w:sectPr>
      </w:pPr>
    </w:p>
    <w:bookmarkStart w:id="249" w:name="page250"/>
    <w:bookmarkEnd w:id="249"/>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of an independent certified public accountant setting forth the calculations upon which such Officer’s Certificate is based) establishing that the money and Eligible Securities on deposit following the taking of the proposed action will be sufficient for the purposes described in Section 10.02, any money received from principal or interest payments on Eligible Securities deposited with the Trustee or the proceeds of any sale of such Eligible Securities, if not then needed for such purpose, shall, upon District Order, be reinvested in other Eligible Securities or disposed of as requested by the District. For purposes of any calculation required by this Article, any Eligible Security which is subject to redemption at the option of its issuer, the redemption date for which has not been irrevocably established as of the date of such calculation, shall be assumed to cease to bear interest at the earliest date on which such obligation may be redeemed at the option of the District thereof and the principal of such obligation shall be assumed to be received at its stated maturity.</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Counterparts</w:t>
      </w:r>
      <w:r>
        <w:rPr>
          <w:rFonts w:ascii="Arial" w:cs="Arial" w:eastAsia="Arial" w:hAnsi="Arial"/>
          <w:sz w:val="22"/>
          <w:szCs w:val="22"/>
          <w:color w:val="auto"/>
        </w:rPr>
        <w:t>. This Indenture may be executed in any number of counterparts, each of which so executed shall be deemed to be an original, but all such counterparts shall together constitute but one and the same instrument. Delivery of an executed counterpart of this Indenture by Electronic Means shall be equally as effective as delivery of an original executed counterpart of this Indenture. Any party delivering an executed counterpart of this Indenture by Electronic Means also shall deliver an original executed counterpart of this Indenture, but the failure to deliver an original executed counterpart shall not affect the validity, enforceability, and binding effect of this Indenture.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written Indenture represents the final agreement between the parties and may not be contradicted by evidence of prior, contemporaneous, or subsequent oral agreements of the parties.</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u w:val="single" w:color="auto"/>
          <w:color w:val="auto"/>
        </w:rPr>
        <w:t>Final Agreement</w:t>
      </w:r>
      <w:r>
        <w:rPr>
          <w:rFonts w:ascii="Arial" w:cs="Arial" w:eastAsia="Arial" w:hAnsi="Arial"/>
          <w:sz w:val="19"/>
          <w:szCs w:val="19"/>
          <w:color w:val="auto"/>
        </w:rPr>
        <w:t>. There are no unwritten oral agreements between the parties.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District and the Trustee have caused this Indenture to be signed on their behalf by their duly authorized representatives as of the date first written above.</w:t>
      </w:r>
    </w:p>
    <w:p>
      <w:pPr>
        <w:spacing w:after="0" w:line="175" w:lineRule="exact"/>
        <w:rPr>
          <w:sz w:val="20"/>
          <w:szCs w:val="20"/>
          <w:color w:val="auto"/>
        </w:rPr>
      </w:pPr>
    </w:p>
    <w:p>
      <w:pPr>
        <w:ind w:left="3900" w:right="44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85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David C. Fisher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Port Director, CEO</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BANK  OF  NEW  YORK  MELLON  TRUST  COMPANY,  NATIONAL</w:t>
      </w:r>
    </w:p>
    <w:p>
      <w:pPr>
        <w:spacing w:after="0" w:line="22"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ASSOCIATION, as Trustee, Paying Agent, Tender Agent and Bond Registrar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Patricia A. Barbarino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745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58"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EXHIBIT A</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(FORM OF BOND)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(INITIAL RATE)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BOND)</w:t>
      </w:r>
    </w:p>
    <w:p>
      <w:pPr>
        <w:spacing w:after="0" w:line="200" w:lineRule="exact"/>
        <w:rPr>
          <w:sz w:val="20"/>
          <w:szCs w:val="20"/>
          <w:color w:val="auto"/>
        </w:rPr>
      </w:pP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BONDS MAY NOT BE REOFFERED, RESOLD, PLEDGED OR OTHERWISE TRANSFERRED EXCEPT TO A PERSON WHO THE TRANSFEROR REASONABLY BELIEVES IS (I) A QUALIFIED INSTITUTIONAL BUYER AND (II) PRIOR TO THE FIRST INITIAL BONDS REMARKETING DATE, NOT A SUBSTANTIAL USER, IN ACCORDANCE WITH ALL APPLICABLE U.S. AND STATE SECURITIES LAWS (AS ALL SUCH TERMS ARE DEFINED IN THE INDENTURE).</w:t>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UNITED STATES OF AMERICA</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STATE OF TEXAS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COUNTY OF JEFFERSON</w:t>
      </w:r>
    </w:p>
    <w:p>
      <w:pPr>
        <w:spacing w:after="0" w:line="202"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color w:val="auto"/>
        </w:rPr>
        <w:t>NUMBER</w:t>
      </w:r>
      <w:r>
        <w:rPr>
          <w:sz w:val="20"/>
          <w:szCs w:val="20"/>
          <w:color w:val="auto"/>
        </w:rPr>
        <w:tab/>
      </w:r>
      <w:r>
        <w:rPr>
          <w:rFonts w:ascii="Arial" w:cs="Arial" w:eastAsia="Arial" w:hAnsi="Arial"/>
          <w:sz w:val="22"/>
          <w:szCs w:val="22"/>
          <w:color w:val="auto"/>
        </w:rPr>
        <w:t>DENOMINATION</w:t>
      </w:r>
    </w:p>
    <w:p>
      <w:pPr>
        <w:sectPr>
          <w:pgSz w:w="11900" w:h="16886" w:orient="portrait"/>
          <w:cols w:equalWidth="0" w:num="1">
            <w:col w:w="11420"/>
          </w:cols>
          <w:pgMar w:left="240" w:top="631" w:right="239" w:bottom="0" w:gutter="0" w:footer="0" w:header="0"/>
        </w:sectPr>
      </w:pPr>
    </w:p>
    <w:bookmarkStart w:id="250" w:name="page251"/>
    <w:bookmarkEnd w:id="250"/>
    <w:p>
      <w:pPr>
        <w:spacing w:after="0"/>
        <w:tabs>
          <w:tab w:leader="none" w:pos="3200" w:val="left"/>
        </w:tabs>
        <w:rPr>
          <w:sz w:val="20"/>
          <w:szCs w:val="20"/>
          <w:color w:val="auto"/>
        </w:rPr>
      </w:pPr>
      <w:r>
        <w:rPr>
          <w:rFonts w:ascii="Arial" w:cs="Arial" w:eastAsia="Arial" w:hAnsi="Arial"/>
          <w:sz w:val="22"/>
          <w:szCs w:val="22"/>
          <w:color w:val="auto"/>
        </w:rPr>
        <w:t>RI-_________</w:t>
      </w:r>
      <w:r>
        <w:rPr>
          <w:sz w:val="20"/>
          <w:szCs w:val="20"/>
          <w:color w:val="auto"/>
        </w:rPr>
        <w:tab/>
      </w:r>
      <w:r>
        <w:rPr>
          <w:rFonts w:ascii="Arial" w:cs="Arial" w:eastAsia="Arial" w:hAnsi="Arial"/>
          <w:sz w:val="19"/>
          <w:szCs w:val="19"/>
          <w:color w:val="auto"/>
        </w:rPr>
        <w:t>$______________</w:t>
      </w:r>
    </w:p>
    <w:p>
      <w:pPr>
        <w:spacing w:after="0" w:line="260"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REGISTERED</w:t>
      </w:r>
      <w:r>
        <w:rPr>
          <w:sz w:val="20"/>
          <w:szCs w:val="20"/>
          <w:color w:val="auto"/>
        </w:rPr>
        <w:tab/>
      </w:r>
      <w:r>
        <w:rPr>
          <w:rFonts w:ascii="Arial" w:cs="Arial" w:eastAsia="Arial" w:hAnsi="Arial"/>
          <w:sz w:val="22"/>
          <w:szCs w:val="22"/>
          <w:color w:val="auto"/>
        </w:rPr>
        <w:t>REGISTERED</w:t>
      </w:r>
    </w:p>
    <w:p>
      <w:pPr>
        <w:spacing w:after="0" w:line="260" w:lineRule="exact"/>
        <w:rPr>
          <w:sz w:val="20"/>
          <w:szCs w:val="20"/>
          <w:color w:val="auto"/>
        </w:rPr>
      </w:pPr>
    </w:p>
    <w:p>
      <w:pPr>
        <w:jc w:val="center"/>
        <w:ind w:right="60"/>
        <w:spacing w:after="0" w:line="250" w:lineRule="auto"/>
        <w:rPr>
          <w:sz w:val="20"/>
          <w:szCs w:val="20"/>
          <w:color w:val="auto"/>
        </w:rPr>
      </w:pPr>
      <w:r>
        <w:rPr>
          <w:rFonts w:ascii="Arial" w:cs="Arial" w:eastAsia="Arial" w:hAnsi="Arial"/>
          <w:sz w:val="22"/>
          <w:szCs w:val="22"/>
          <w:color w:val="auto"/>
        </w:rPr>
        <w:t>PORT OF BEAUMONT NAVIGATION DISTRICT OF JEFFERSON COUNTY, TEXAS DOCK AND WHARF FACILITY REVENUE BONDS, SERIES 2016 (JEFFERSON ENERGY COMPANIES PROJECT)</w:t>
      </w:r>
    </w:p>
    <w:p>
      <w:pPr>
        <w:spacing w:after="0" w:line="308"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1460" w:type="dxa"/>
            <w:vAlign w:val="bottom"/>
          </w:tcPr>
          <w:p>
            <w:pPr>
              <w:jc w:val="center"/>
              <w:spacing w:after="0"/>
              <w:rPr>
                <w:sz w:val="20"/>
                <w:szCs w:val="20"/>
                <w:color w:val="auto"/>
              </w:rPr>
            </w:pPr>
            <w:r>
              <w:rPr>
                <w:rFonts w:ascii="Arial" w:cs="Arial" w:eastAsia="Arial" w:hAnsi="Arial"/>
                <w:sz w:val="22"/>
                <w:szCs w:val="22"/>
                <w:color w:val="auto"/>
              </w:rPr>
              <w:t>INITIAL RATE:</w:t>
            </w:r>
          </w:p>
        </w:tc>
        <w:tc>
          <w:tcPr>
            <w:tcW w:w="22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22"/>
                <w:szCs w:val="22"/>
                <w:color w:val="auto"/>
                <w:w w:val="97"/>
              </w:rPr>
              <w:t>MATURITY DATE:</w:t>
            </w:r>
          </w:p>
        </w:tc>
        <w:tc>
          <w:tcPr>
            <w:tcW w:w="1080" w:type="dxa"/>
            <w:vAlign w:val="bottom"/>
          </w:tcPr>
          <w:p>
            <w:pPr>
              <w:spacing w:after="0"/>
              <w:rPr>
                <w:sz w:val="21"/>
                <w:szCs w:val="21"/>
                <w:color w:val="auto"/>
              </w:rPr>
            </w:pPr>
          </w:p>
        </w:tc>
        <w:tc>
          <w:tcPr>
            <w:tcW w:w="2480" w:type="dxa"/>
            <w:vAlign w:val="bottom"/>
            <w:gridSpan w:val="3"/>
          </w:tcPr>
          <w:p>
            <w:pPr>
              <w:jc w:val="center"/>
              <w:ind w:left="992"/>
              <w:spacing w:after="0"/>
              <w:rPr>
                <w:sz w:val="20"/>
                <w:szCs w:val="20"/>
                <w:color w:val="auto"/>
              </w:rPr>
            </w:pPr>
            <w:r>
              <w:rPr>
                <w:rFonts w:ascii="Arial" w:cs="Arial" w:eastAsia="Arial" w:hAnsi="Arial"/>
                <w:sz w:val="22"/>
                <w:szCs w:val="22"/>
                <w:color w:val="auto"/>
                <w:w w:val="94"/>
              </w:rPr>
              <w:t>DATED DATE:</w:t>
            </w:r>
          </w:p>
        </w:tc>
      </w:tr>
      <w:tr>
        <w:trPr>
          <w:trHeight w:val="328"/>
        </w:trPr>
        <w:tc>
          <w:tcPr>
            <w:tcW w:w="1460" w:type="dxa"/>
            <w:vAlign w:val="bottom"/>
            <w:tcBorders>
              <w:top w:val="single" w:sz="8" w:color="auto"/>
            </w:tcBorders>
          </w:tcPr>
          <w:p>
            <w:pPr>
              <w:jc w:val="right"/>
              <w:ind w:right="332"/>
              <w:spacing w:after="0"/>
              <w:rPr>
                <w:sz w:val="20"/>
                <w:szCs w:val="20"/>
                <w:color w:val="auto"/>
              </w:rPr>
            </w:pPr>
            <w:r>
              <w:rPr>
                <w:rFonts w:ascii="Arial" w:cs="Arial" w:eastAsia="Arial" w:hAnsi="Arial"/>
                <w:sz w:val="22"/>
                <w:szCs w:val="22"/>
                <w:color w:val="auto"/>
              </w:rPr>
              <w:t>7.25%</w:t>
            </w:r>
          </w:p>
        </w:tc>
        <w:tc>
          <w:tcPr>
            <w:tcW w:w="2220" w:type="dxa"/>
            <w:vAlign w:val="bottom"/>
          </w:tcPr>
          <w:p>
            <w:pPr>
              <w:spacing w:after="0"/>
              <w:rPr>
                <w:sz w:val="24"/>
                <w:szCs w:val="24"/>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February 1, 2036</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March 1, 2016</w:t>
            </w:r>
          </w:p>
        </w:tc>
        <w:tc>
          <w:tcPr>
            <w:tcW w:w="20" w:type="dxa"/>
            <w:vAlign w:val="bottom"/>
          </w:tcPr>
          <w:p>
            <w:pPr>
              <w:spacing w:after="0"/>
              <w:rPr>
                <w:sz w:val="24"/>
                <w:szCs w:val="24"/>
                <w:color w:val="auto"/>
              </w:rPr>
            </w:pPr>
          </w:p>
        </w:tc>
      </w:tr>
    </w:tbl>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IS SUBJECT TO MANDATORY TENDER FOR PURCHASE UPON THE OCCURRENCE OF THE EVENTS AND IN THE MANNER HEREINAFTER DESCRIBED, AND MUST BE SO TENDERED OR WILL BE DEEMED TO HAVE BEEN SO TENDERED AS DESCRIBED HEREIN.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Commencement of Initial Rate Period: March 7,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Initial Bonds Remarketing Date: February 13,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Registered Holder: 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CUSIP No.:______________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PORT OF BEAUMONT NAVIGATION DISTRICT OF JEFFERSON COUNTY, TEXAS (the “District”), being a political subdivision of the State of Texas (the “State”) organized and existing pursuant to Article XVI, Section 59 of the Texas Constitution, for value received, hereby promises to pay to the Registered Holder named above, or registered assigns, but solely from the sources and in the manner herein provided, the Principal Amount set forth above on the Maturity Date set forth above (or earlier as herein described and indicated hereon). The District also promises to pay interest at the Initial Rate on the unpaid principal balance of this Bond from and including the date of commencement of the Initial Rate Period set forth above, or from and including the most recent date to which interest on this Bond (or any Bond in exchange for, or in lieu of which this Bond was issued) has been paid, to but excluding the Maturity Date or the date on which the payment of such Principal Amount shall have been made or provided for (if the date of such provision is on or after the date on which the payment of such Principal Amount is due). Interest accrued hereon shall be paid on the immediately succeeding Interest Payment Date (or next Business Day if such date is not a Business Day); provided that to the extent principal of this Bond is paid on any date (whether the Maturity Date or otherwise) interest accrued hereon to but excluding such payment date shall be paid on such payment date.</w:t>
      </w:r>
    </w:p>
    <w:p>
      <w:pPr>
        <w:spacing w:after="0" w:line="1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BOND AND ALL OF THE BONDS OF THIS SERIES are special limited obligations of the District, payable by the District solely out of the “Pledged Revenues”, as defined in the Indenture (hereinafter defined), which Pledged Revenues are pledged to the payment of the Series 2016 Bonds and all Additional Bonds issued on a parity therewith, and all money and investments held for the credit of the funds and accounts established by or under the Indenture (except the Rebate Fund), all as more fully described and provided for in and subject to the restrictions and limitations imposed by the Indenture. This Bond and the series of which it is a part, together with the interest thereon, are payable solely from such Pledged Revenues and do not constitute a general obligation of the District.</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THE BONDS DO NOT CONSTITUTE GENERAL OBLIGATIONS OF THE DISTRICT, THE STATE OF TEXAS OR ANY POLITICAL SUBDIVISION THEREOF. THE DISTRICT HAS PLEDGED NEITHER ITS TAXING POWER NOR THE CREDIT OF ITS TAXING POWER AS SECURITY FOR THE PAYMENT OF THE BONDS. THE OWNER HEREOF SHALL NEVER HAVE THE RIGHT TO DEMAND PAYMENT OF THIS OBLIGATION OUT OF ANY FUNDS RAISED OR TO BE RAISED BY TAXATION, OR FROM ANY SOURCE WHATSOEVER OTHER THAN THE AFORESAID PLEDGED REVENUES.</w:t>
      </w:r>
    </w:p>
    <w:p>
      <w:pPr>
        <w:spacing w:after="0" w:line="193" w:lineRule="exact"/>
        <w:rPr>
          <w:sz w:val="20"/>
          <w:szCs w:val="20"/>
          <w:color w:val="auto"/>
        </w:rPr>
      </w:pPr>
    </w:p>
    <w:p>
      <w:pPr>
        <w:jc w:val="both"/>
        <w:ind w:firstLine="656"/>
        <w:spacing w:after="0" w:line="288" w:lineRule="auto"/>
        <w:tabs>
          <w:tab w:leader="none" w:pos="104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Description of Series</w:t>
      </w:r>
      <w:r>
        <w:rPr>
          <w:rFonts w:ascii="Arial" w:cs="Arial" w:eastAsia="Arial" w:hAnsi="Arial"/>
          <w:sz w:val="19"/>
          <w:szCs w:val="19"/>
          <w:color w:val="auto"/>
        </w:rPr>
        <w:t>. This Bond is one of the duly authorized issue of the District’s Dock and Wharf Facility Revenue Bonds, Series 2016 (Jefferson Energy Companies Project) (the “Bonds” or the “Initial Bonds”)), aggregating in principal amount to $144,200,000 authorized by resolutions adopted by the Board of Commissioners of the District on November 23, 2015 and February 22, 2016, all issued or to be issued under a Trust Indenture and Security Agreement, dated as of February 1, 2016 (the “Indenture”), between the District and The Bank of New York Mellon Trust Company, National Association (the “Trustee”), pursuant to and in full conformity with the Constitution and the statutes of the State. The Bonds are issued in order to provide funds for the District to (i) reimburse and pay Jefferson Railport Terminal II LLC, a Delaware limited liability company (the “Company”) for the construction and acquisition of certain facilities for the transport, loading, unloading and storage of petroleum products on behalf of the District; (ii) pay capitalized interest on a portion of the Series 2016 Bonds and (iii) pay certain costs of issuance of the Series 2016 Bonds (collectively, the “</w:t>
      </w:r>
      <w:r>
        <w:rPr>
          <w:rFonts w:ascii="Arial" w:cs="Arial" w:eastAsia="Arial" w:hAnsi="Arial"/>
          <w:sz w:val="19"/>
          <w:szCs w:val="19"/>
          <w:u w:val="single" w:color="auto"/>
          <w:color w:val="auto"/>
        </w:rPr>
        <w:t>Project</w:t>
      </w:r>
      <w:r>
        <w:rPr>
          <w:rFonts w:ascii="Arial" w:cs="Arial" w:eastAsia="Arial" w:hAnsi="Arial"/>
          <w:sz w:val="19"/>
          <w:szCs w:val="19"/>
          <w:color w:val="auto"/>
        </w:rPr>
        <w:t>”).</w:t>
      </w:r>
    </w:p>
    <w:p>
      <w:pPr>
        <w:sectPr>
          <w:pgSz w:w="11900" w:h="16838" w:orient="portrait"/>
          <w:cols w:equalWidth="0" w:num="1">
            <w:col w:w="11420"/>
          </w:cols>
          <w:pgMar w:left="240" w:top="388" w:right="239" w:bottom="0" w:gutter="0" w:footer="0" w:header="0"/>
        </w:sectPr>
      </w:pPr>
    </w:p>
    <w:bookmarkStart w:id="251" w:name="page252"/>
    <w:bookmarkEnd w:id="251"/>
    <w:p>
      <w:pPr>
        <w:jc w:val="both"/>
        <w:ind w:right="20" w:firstLine="648"/>
        <w:spacing w:after="0" w:line="263" w:lineRule="auto"/>
        <w:rPr>
          <w:sz w:val="20"/>
          <w:szCs w:val="20"/>
          <w:color w:val="auto"/>
        </w:rPr>
      </w:pPr>
      <w:r>
        <w:rPr>
          <w:rFonts w:ascii="Arial" w:cs="Arial" w:eastAsia="Arial" w:hAnsi="Arial"/>
          <w:sz w:val="22"/>
          <w:szCs w:val="22"/>
          <w:color w:val="auto"/>
        </w:rPr>
        <w:t>Pursuant to the terms of the Indenture, the Trustee may appoint agents for the performance of certain duties under the Indenture, including the authentication, registration, transfer, exchange and payment of the Bonds.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and the other Bond Documents (as such term is defined in the Indenture), copies of which are filed with the Trustee, for the full provisions thereof (including, among others, those with respect to the nature and extent of the rights, duties and obligations of the parties to the Bond Documents and the holders of the Bonds, the terms upon which the Bonds are issued and secured and the modification or amendment of the Bond Documents), to all of which the holders of the Bonds assent by the acceptance of the Bonds.</w:t>
      </w:r>
    </w:p>
    <w:p>
      <w:pPr>
        <w:spacing w:after="0" w:line="192" w:lineRule="exact"/>
        <w:rPr>
          <w:sz w:val="20"/>
          <w:szCs w:val="20"/>
          <w:color w:val="auto"/>
        </w:rPr>
      </w:pPr>
    </w:p>
    <w:p>
      <w:pPr>
        <w:ind w:firstLine="656"/>
        <w:spacing w:after="0" w:line="263" w:lineRule="auto"/>
        <w:tabs>
          <w:tab w:leader="none" w:pos="116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Certain Additional Definitions</w:t>
      </w:r>
      <w:r>
        <w:rPr>
          <w:rFonts w:ascii="Arial" w:cs="Arial" w:eastAsia="Arial" w:hAnsi="Arial"/>
          <w:sz w:val="22"/>
          <w:szCs w:val="22"/>
          <w:color w:val="auto"/>
        </w:rPr>
        <w:t>. In addition to the definitions set forth above, or contained in Section 1.01 of the Indenture which are incorporated herein, the following terms used herein shall have the following meanings.</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“Business Day” means any day other than a Saturday or a Sunday or a day on which banking institutions are authorized or obligated by law to close in the State of Texas or at the place where the principal corporate trust office of the Trustee is located.</w:t>
      </w:r>
    </w:p>
    <w:p>
      <w:pPr>
        <w:spacing w:after="0" w:line="186"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“Conversion Date” means any Initial Bonds Remarketing Date on which Initial Bonds are converted to Daily Rate Bonds, Commercial Paper Rate Bonds, Fixed Rate Bonds or Weekly Rate Bonds.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“Initial Bonds Remarketing Date” means February 13, 2020.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“Initial Rate” means the per annum interest rate displayed on the face of this Bond.</w:t>
      </w:r>
    </w:p>
    <w:p>
      <w:pPr>
        <w:spacing w:after="0" w:line="220"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“Initial Rate Period” means the period commencing with the date for such commencement displayed on the face of this Bond and concluding with the Initial Bonds Remarketing Date.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“Interest Payment Date” means each February 1 and August 1, commencing on August 1, 2016, and the Initial Bonds Remarketing Date.</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“LIBOR” means the London interbank offered rate as administered by ICE Benchmark Administration (or any other entity that takes over the administration of such rate) for U.S. Dollars for a one-month period as displayed on page LIBOR01 of the Reuters screen that displays such rate at approximately 11:00 a.m., London time on the date of determination.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“Maximum Rate” means 15% per annum.</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“Net effective interest rate” and “net interest cost” have the meanings given to them, respectively, in Texas Government Code, Chapter 1204, as amended.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“Purchase Date” means the Initial Bonds Remarketing Date.</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“Purchase Price” means an amount equal to 100% of the principal amount of any Bond tendered or deemed tendered for purchase pursuant to the provisions of paragraph 4 hereof, plus any accrued and unpaid Stated Interest to the date of purchase.</w:t>
      </w:r>
    </w:p>
    <w:p>
      <w:pPr>
        <w:spacing w:after="0" w:line="18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“Regular Record Date” means, with respect to the Initial Bonds, the close of business for the Trustee on the Business Day preceding any Interest Payment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“Standby Rate” means a per annum rate equal to LIBOR plus 5.00%.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“Stated Interest” means interest calculated pursuant to paragraph 3 of this Bond.</w:t>
      </w:r>
    </w:p>
    <w:p>
      <w:pPr>
        <w:spacing w:after="0" w:line="220" w:lineRule="exact"/>
        <w:rPr>
          <w:sz w:val="20"/>
          <w:szCs w:val="20"/>
          <w:color w:val="auto"/>
        </w:rPr>
      </w:pPr>
    </w:p>
    <w:p>
      <w:pPr>
        <w:ind w:left="1040" w:hanging="384"/>
        <w:spacing w:after="0"/>
        <w:tabs>
          <w:tab w:leader="none" w:pos="104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3" w:lineRule="auto"/>
        <w:tabs>
          <w:tab w:leader="none" w:pos="111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This Bond shall bear interest for each day during the Initial Rate Period at the Initial Rate; provided, however, that the “net effective interest rate” from the date of issuance of the Bonds through any subsequent date of calculation shall never exceed the Maximum Rate.</w:t>
      </w:r>
    </w:p>
    <w:p>
      <w:pPr>
        <w:spacing w:after="0" w:line="185" w:lineRule="exact"/>
        <w:rPr>
          <w:rFonts w:ascii="Arial" w:cs="Arial" w:eastAsia="Arial" w:hAnsi="Arial"/>
          <w:sz w:val="22"/>
          <w:szCs w:val="22"/>
          <w:color w:val="auto"/>
        </w:rPr>
      </w:pPr>
    </w:p>
    <w:p>
      <w:pPr>
        <w:ind w:right="20" w:firstLine="656"/>
        <w:spacing w:after="0" w:line="263" w:lineRule="auto"/>
        <w:tabs>
          <w:tab w:leader="none" w:pos="114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Interest at the Initial Rate on this Bond shall be calculated on the basis of a 360-day year comprised of twelve 30-day months and shall be payable on each Interest Payment Date.</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10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foregoing is subject to the limitation that (i) while any Bond is registered in the name of the Company or Jefferson Holdings after having been purchased with monies in the Initial Bonds Standby Bond Purchase Account, and (ii) with respect to any Bond not purchased within five (5) days after the Initial Bonds Remarketing Date, such Bond shall bear interest at the Standby Rate (but, in the case of the Bonds described in clause (ii), not less than the Initial Rate) from the Initial Bonds Remarketing Date.</w:t>
      </w:r>
    </w:p>
    <w:p>
      <w:pPr>
        <w:sectPr>
          <w:pgSz w:w="11900" w:h="16838" w:orient="portrait"/>
          <w:cols w:equalWidth="0" w:num="1">
            <w:col w:w="11420"/>
          </w:cols>
          <w:pgMar w:left="240" w:top="226" w:right="239" w:bottom="105" w:gutter="0" w:footer="0" w:header="0"/>
        </w:sectPr>
      </w:pPr>
    </w:p>
    <w:bookmarkStart w:id="252" w:name="page253"/>
    <w:bookmarkEnd w:id="252"/>
    <w:p>
      <w:pPr>
        <w:jc w:val="both"/>
        <w:ind w:firstLine="656"/>
        <w:spacing w:after="0" w:line="248" w:lineRule="auto"/>
        <w:tabs>
          <w:tab w:leader="none" w:pos="1067"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Mandatory Tender of Bonds</w:t>
      </w:r>
      <w:r>
        <w:rPr>
          <w:rFonts w:ascii="Arial" w:cs="Arial" w:eastAsia="Arial" w:hAnsi="Arial"/>
          <w:sz w:val="22"/>
          <w:szCs w:val="22"/>
          <w:color w:val="auto"/>
        </w:rPr>
        <w:t>. Holders of Initial Bonds, including this Bond, shall be required to tender their Bonds to the Tender Agent for purchase on the Initial Bonds Remarketing Date at the Purchase Price. In the event any Bonds have not been repurchased from proceeds of a remarketing or redeemed or defeased to a date on or prior to the Initial Bonds Remarketing Date, the Initial Bonds will be purchased on the Initial Bonds Remarketing Date pursuant to the Indenture and the Standby Bond Purchase Agreement.</w:t>
      </w:r>
    </w:p>
    <w:p>
      <w:pPr>
        <w:spacing w:after="0" w:line="192" w:lineRule="exact"/>
        <w:rPr>
          <w:rFonts w:ascii="Arial" w:cs="Arial" w:eastAsia="Arial" w:hAnsi="Arial"/>
          <w:sz w:val="22"/>
          <w:szCs w:val="22"/>
          <w:color w:val="auto"/>
        </w:rPr>
      </w:pPr>
    </w:p>
    <w:p>
      <w:pPr>
        <w:jc w:val="both"/>
        <w:ind w:firstLine="656"/>
        <w:spacing w:after="0" w:line="258" w:lineRule="auto"/>
        <w:tabs>
          <w:tab w:leader="none" w:pos="1067"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Interest on this Bond payable prior to or on the Maturity Date shall be paid by check or draft mailed to the Registered Holder of this Bond (provided, that any Registered Holder of $1,000,000 or more in Bonds may, upon written notice to the Trustee containing the appropriate information, elect to be paid by wire transfer of immediately available funds to an account in the United States) at its address as it appears on the registration books of the Trustee (in such capacity, the “Bond Registrar”). Interest on this Bond which is payable, and is punctually paid or duly provided for, on any Interest Payment Date shall be paid to the Registered Holder of this Bond as of the applicable Regular Record Date. In order to make payment of defaulted interest, the District shall pay the defaulted interest to the person who is the Registered Holder on a subsequent special record date. The Trustee shall fix the special record date and special interest payment date. At least 10 days before the special record date, the Trustee shall mail to the Registered Holder a notice that states the special record date, the special interest, payment date, and the amount of interest to be paid.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Principal of this Bond payable on the Maturity Date or other final payment hereof, including payment upon acceleration hereof as provided in the Indenture, shall be payable to the Registered Holder of this Bond at the payment office of the Trustee in Houston, Texas, upon the surrender for cancellation of this Bond.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 Event of Default, as defined in the Indenture, the Bonds may become or be declared to be due and payable immediately.</w:t>
      </w:r>
    </w:p>
    <w:p>
      <w:pPr>
        <w:spacing w:after="0" w:line="175" w:lineRule="exact"/>
        <w:rPr>
          <w:sz w:val="20"/>
          <w:szCs w:val="20"/>
          <w:color w:val="auto"/>
        </w:rPr>
      </w:pPr>
    </w:p>
    <w:p>
      <w:pPr>
        <w:jc w:val="both"/>
        <w:ind w:firstLine="656"/>
        <w:spacing w:after="0" w:line="259" w:lineRule="auto"/>
        <w:tabs>
          <w:tab w:leader="none" w:pos="1080"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Deemed Tender of Initial Bonds</w:t>
      </w:r>
      <w:r>
        <w:rPr>
          <w:rFonts w:ascii="Arial" w:cs="Arial" w:eastAsia="Arial" w:hAnsi="Arial"/>
          <w:sz w:val="21"/>
          <w:szCs w:val="21"/>
          <w:color w:val="auto"/>
        </w:rPr>
        <w:t>. ANY INITIAL BOND WHICH MUST BE TENDERED FOR PURCHASE ON A PURCHASE DATE IN ACCORDANCE WITH THE PROVISIONS HEREOF AND THE INDENTURE, BUT WHICH IS NOT TENDERED FOR PURCHASE BY 11:00 NEW YORK, NEW YORK TIME, ON SUCH PURCHASE DATE (SUCH BONDS OR PORTIONS HEREIN REFERRED TO AS “UNTENDERED BONDS”) SHALL, UPON DEPOSIT IN THE PURCHASE FUND OF AN AMOUNT SUFFICIENT TO PAY THE PURCHASE PRICE OF SUCH BOND ON SUCH PURCHASE DATE, BE DEEMED TO HAVE BEEN TENDERED AND SOLD FOR THE PURCHASE PRICE ON SUCH PURCHASE DATE, AND SUCH UNTENDERED BOND SHALL NO LONGER BE ENTITLED TO THE BENEFIT OF THE INDENTURE EXCEPT FOR THE PURPOSE OF PAYMENT OF THE PURCHASE PRICE THEREFOR. UNTENDERED BONDS MUST BE SURRENDERED TO THE TENDER AGENT FOR PAYMENT OF THE PURCHASE PRICE DUE THEREON.</w:t>
      </w:r>
    </w:p>
    <w:p>
      <w:pPr>
        <w:spacing w:after="0" w:line="180" w:lineRule="exact"/>
        <w:rPr>
          <w:rFonts w:ascii="Arial" w:cs="Arial" w:eastAsia="Arial" w:hAnsi="Arial"/>
          <w:sz w:val="21"/>
          <w:szCs w:val="21"/>
          <w:color w:val="auto"/>
        </w:rPr>
      </w:pPr>
    </w:p>
    <w:p>
      <w:pPr>
        <w:jc w:val="both"/>
        <w:ind w:firstLine="656"/>
        <w:spacing w:after="0" w:line="247" w:lineRule="auto"/>
        <w:tabs>
          <w:tab w:leader="none" w:pos="1067"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 The Initial Bonds may be redeemed in whole or in part on any Business Day during the period commencing August 1, 2019 and ending on February 13, 2020, at the option of the District, at a price equal to (a) 100% of the unpaid principal amount of the Bonds redeemed, plus (b) a premium equal to (x) 3.50% of the unpaid principal amount of the Bonds redeemed, multiplied by (y) the numbers of days (based on a 360-day year comprised of twelve 30-day months) from the date of redemption to, but not including, February 13, 2020, and divided by (z) 192, plus (c) accrued interest to, but not including, the date of redemption.</w:t>
      </w:r>
    </w:p>
    <w:p>
      <w:pPr>
        <w:spacing w:after="0" w:line="193" w:lineRule="exact"/>
        <w:rPr>
          <w:rFonts w:ascii="Arial" w:cs="Arial" w:eastAsia="Arial" w:hAnsi="Arial"/>
          <w:sz w:val="22"/>
          <w:szCs w:val="22"/>
          <w:color w:val="auto"/>
        </w:rPr>
      </w:pPr>
    </w:p>
    <w:p>
      <w:pPr>
        <w:jc w:val="both"/>
        <w:ind w:firstLine="656"/>
        <w:spacing w:after="0" w:line="302" w:lineRule="auto"/>
        <w:tabs>
          <w:tab w:leader="none" w:pos="1094"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Authorized Denominations and Transfer</w:t>
      </w:r>
      <w:r>
        <w:rPr>
          <w:rFonts w:ascii="Arial" w:cs="Arial" w:eastAsia="Arial" w:hAnsi="Arial"/>
          <w:sz w:val="19"/>
          <w:szCs w:val="19"/>
          <w:color w:val="auto"/>
        </w:rPr>
        <w:t>. The Bonds are issuable only as fully registered Bonds in denominations of $100,000 and multiples of $5,000 in excess of $100,000. This Bond is transferable by the Registered Holder hereof in person or by his attorney duly authorized in writing at the principal payment office of the Bond Registrar in Houston, Texas upon presentation hereof to the Bond Registrar, all subject to the terms and conditions provided in the Indenture.</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Additional Provisions</w:t>
      </w:r>
      <w:r>
        <w:rPr>
          <w:rFonts w:ascii="Arial" w:cs="Arial" w:eastAsia="Arial" w:hAnsi="Arial"/>
          <w:sz w:val="22"/>
          <w:szCs w:val="22"/>
          <w:color w:val="auto"/>
        </w:rPr>
        <w:t>. Subject to the restrictions set forth therein, the Indenture permits, with certain exceptions as therein provided, the District and the Trustee, with the consent of the Holders of the percentage in principal amount of Bonds outstanding specified in the Indenture, to execute supplemental indentures amending, adding to or eliminating any provisions of the Indenture.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Holder of this Bond shall have no right to enforce the provisions of the Indenture or to institute an action to enforce the covenants therein, or to take any action with respect to any Event of Default under the Indenture, or to institute, appear in or defend any suit or other proceeding with respect thereto, except as provided in the Indenture. It is also provided in the Indenture that the Trustee at, in certain cases, the written request of the Holders of the applicable percentage of Bonds specified in the Indenture on behalf of the Holders of all the Bonds, may waive any past default or Event of Default under the Indenture and its consequences except a default in the payment of principal of or premium, if any, or interest on any of the Bonds. The Indenture further provides that if, after a declaration of the acceleration of the maturity of the principal amount of the Bonds, but prior to the entry of a final judgment for such amount, all amounts which would then be payable thereunder by the District if such default had not occurred and were not continuing and certain other amounts shall have been paid by or on behalf of the District and the parties to the Bond Documents shall have also performed all other obligations in respect of which any of them is then in default under the Bond Documents and shall have paid the reasonable charges and expenses of the Trustee and the Holders of the Bonds, including reasonable attorneys’ fees paid or incurred, then and in every case the Trustee shall, in certain cases, upon request of the Holders of the applicable percentage of Bonds specified in the Indenture, waive such Event of Default and rescind and annul any remedial step theretofore taken by it in respect of such default and its consequences.</w:t>
      </w:r>
    </w:p>
    <w:p>
      <w:pPr>
        <w:sectPr>
          <w:pgSz w:w="11900" w:h="16838" w:orient="portrait"/>
          <w:cols w:equalWidth="0" w:num="1">
            <w:col w:w="11420"/>
          </w:cols>
          <w:pgMar w:left="240" w:top="132" w:right="239" w:bottom="0" w:gutter="0" w:footer="0" w:header="0"/>
        </w:sectPr>
      </w:pPr>
    </w:p>
    <w:bookmarkStart w:id="253" w:name="page254"/>
    <w:bookmarkEnd w:id="253"/>
    <w:p>
      <w:pPr>
        <w:jc w:val="both"/>
        <w:ind w:right="20" w:firstLine="648"/>
        <w:spacing w:after="0" w:line="263" w:lineRule="auto"/>
        <w:rPr>
          <w:sz w:val="20"/>
          <w:szCs w:val="20"/>
          <w:color w:val="auto"/>
        </w:rPr>
      </w:pPr>
      <w:r>
        <w:rPr>
          <w:rFonts w:ascii="Arial" w:cs="Arial" w:eastAsia="Arial" w:hAnsi="Arial"/>
          <w:sz w:val="22"/>
          <w:szCs w:val="22"/>
          <w:color w:val="auto"/>
        </w:rPr>
        <w:t>This Bond shall be governed, in all respects including validity, interpretation and effect by, and shall be enforceable in accordance with, the applicable laws of the United States of America and of the State.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shall not be valid nor become obligatory for any purpose under the Indenture until it shall have been authenticated by the execution of the Certificate hereon endorsed by the manual signature of an authorized representative of the Trustee.*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paragraph does not apply to First Bond.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shall not be valid nor become obligatory for any purpose under the Indenture until it shall have been registered by the execution of the Certificate of the State Comptroller attached hereto by the manual signature of an authorized representative of the Comptroller of Public Accounts of the State of Texas.**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paragraph applies only to First Bond.</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IT IS HEREBY CERTIFIED, RECITED AND REPRESENTED that the issuance of this Bond and the Bonds is duly authorized by law; that all acts, conditions and things required to exist and necessary to be done or performed precedent to and in the issuance of this Bond and the Bonds to render the same lawful, valid and binding have been properly done and performed and have happened in regular and due time, form and manner as required by law; that all acts, conditions and things necessary to be done or performed by the District or to have happened precedent to and in the execution and delivery of the Indenture have been done and performed and have happened in regular and due form as required by law; that due provision has been made for the payment of the principal of (premium, if any) and interest on this Bond and the Bonds by irrevocably pledging the described revenues as provided in the Indenture; that payment in full for the Bonds has been received; and that the issuance of the Bonds does not contravene or violate any constitutional or statutory limitation.</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District has caused this Bond to be executed by its President and to be attested to by its Secretary both by their manual or facsimile signatures all as of the Issue Date.</w:t>
      </w:r>
    </w:p>
    <w:p>
      <w:pPr>
        <w:spacing w:after="0" w:line="175" w:lineRule="exact"/>
        <w:rPr>
          <w:sz w:val="20"/>
          <w:szCs w:val="20"/>
          <w:color w:val="auto"/>
        </w:rPr>
      </w:pPr>
    </w:p>
    <w:p>
      <w:pPr>
        <w:ind w:left="390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20" w:type="dxa"/>
            <w:vAlign w:val="bottom"/>
          </w:tcPr>
          <w:p>
            <w:pPr>
              <w:jc w:val="right"/>
              <w:ind w:right="4052"/>
              <w:spacing w:after="0"/>
              <w:rPr>
                <w:sz w:val="20"/>
                <w:szCs w:val="20"/>
                <w:color w:val="auto"/>
              </w:rPr>
            </w:pPr>
            <w:r>
              <w:rPr>
                <w:rFonts w:ascii="Arial" w:cs="Arial" w:eastAsia="Arial" w:hAnsi="Arial"/>
                <w:sz w:val="22"/>
                <w:szCs w:val="22"/>
                <w:color w:val="auto"/>
              </w:rPr>
              <w:t>Title:</w:t>
            </w:r>
          </w:p>
        </w:tc>
      </w:tr>
      <w:tr>
        <w:trPr>
          <w:trHeight w:val="689"/>
        </w:trPr>
        <w:tc>
          <w:tcPr>
            <w:tcW w:w="2740" w:type="dxa"/>
            <w:vAlign w:val="bottom"/>
            <w:gridSpan w:val="3"/>
          </w:tcPr>
          <w:p>
            <w:pPr>
              <w:spacing w:after="0"/>
              <w:rPr>
                <w:sz w:val="20"/>
                <w:szCs w:val="20"/>
                <w:color w:val="auto"/>
              </w:rPr>
            </w:pPr>
            <w:r>
              <w:rPr>
                <w:rFonts w:ascii="Arial" w:cs="Arial" w:eastAsia="Arial" w:hAnsi="Arial"/>
                <w:sz w:val="22"/>
                <w:szCs w:val="22"/>
                <w:color w:val="auto"/>
              </w:rPr>
              <w:t>ATTEST:</w:t>
            </w:r>
          </w:p>
        </w:tc>
        <w:tc>
          <w:tcPr>
            <w:tcW w:w="5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638"/>
        </w:trPr>
        <w:tc>
          <w:tcPr>
            <w:tcW w:w="2740" w:type="dxa"/>
            <w:vAlign w:val="bottom"/>
            <w:gridSpan w:val="3"/>
          </w:tcPr>
          <w:p>
            <w:pPr>
              <w:spacing w:after="0"/>
              <w:rPr>
                <w:sz w:val="20"/>
                <w:szCs w:val="20"/>
                <w:color w:val="auto"/>
              </w:rPr>
            </w:pPr>
            <w:r>
              <w:rPr>
                <w:rFonts w:ascii="Arial" w:cs="Arial" w:eastAsia="Arial" w:hAnsi="Arial"/>
                <w:sz w:val="22"/>
                <w:szCs w:val="22"/>
                <w:color w:val="auto"/>
              </w:rPr>
              <w:t>By:</w:t>
            </w:r>
          </w:p>
        </w:tc>
        <w:tc>
          <w:tcPr>
            <w:tcW w:w="5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87"/>
        </w:trPr>
        <w:tc>
          <w:tcPr>
            <w:tcW w:w="320" w:type="dxa"/>
            <w:vAlign w:val="bottom"/>
          </w:tcPr>
          <w:p>
            <w:pPr>
              <w:spacing w:after="0"/>
              <w:rPr>
                <w:sz w:val="24"/>
                <w:szCs w:val="24"/>
                <w:color w:val="auto"/>
              </w:rPr>
            </w:pPr>
          </w:p>
        </w:tc>
        <w:tc>
          <w:tcPr>
            <w:tcW w:w="1300" w:type="dxa"/>
            <w:vAlign w:val="bottom"/>
            <w:tcBorders>
              <w:top w:val="single" w:sz="8" w:color="auto"/>
            </w:tcBorders>
          </w:tcPr>
          <w:p>
            <w:pPr>
              <w:ind w:left="340"/>
              <w:spacing w:after="0"/>
              <w:rPr>
                <w:sz w:val="20"/>
                <w:szCs w:val="20"/>
                <w:color w:val="auto"/>
              </w:rPr>
            </w:pPr>
            <w:r>
              <w:rPr>
                <w:rFonts w:ascii="Arial" w:cs="Arial" w:eastAsia="Arial" w:hAnsi="Arial"/>
                <w:sz w:val="22"/>
                <w:szCs w:val="22"/>
                <w:color w:val="auto"/>
                <w:w w:val="99"/>
              </w:rPr>
              <w:t>Secretary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671"/>
        </w:trPr>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80" w:type="dxa"/>
            <w:vAlign w:val="bottom"/>
            <w:gridSpan w:val="2"/>
          </w:tcPr>
          <w:p>
            <w:pPr>
              <w:jc w:val="center"/>
              <w:spacing w:after="0"/>
              <w:rPr>
                <w:sz w:val="20"/>
                <w:szCs w:val="20"/>
                <w:color w:val="auto"/>
              </w:rPr>
            </w:pPr>
            <w:r>
              <w:rPr>
                <w:rFonts w:ascii="Arial" w:cs="Arial" w:eastAsia="Arial" w:hAnsi="Arial"/>
                <w:sz w:val="22"/>
                <w:szCs w:val="22"/>
                <w:color w:val="auto"/>
                <w:w w:val="93"/>
              </w:rPr>
              <w:t>[FORM OF CERTIFICATE OF REGISTRATION TO APPEAR</w:t>
            </w:r>
          </w:p>
        </w:tc>
      </w:tr>
      <w:tr>
        <w:trPr>
          <w:trHeight w:val="257"/>
        </w:trPr>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780" w:type="dxa"/>
            <w:vAlign w:val="bottom"/>
            <w:gridSpan w:val="2"/>
          </w:tcPr>
          <w:p>
            <w:pPr>
              <w:jc w:val="center"/>
              <w:spacing w:after="0"/>
              <w:rPr>
                <w:sz w:val="20"/>
                <w:szCs w:val="20"/>
                <w:color w:val="auto"/>
              </w:rPr>
            </w:pPr>
            <w:r>
              <w:rPr>
                <w:rFonts w:ascii="Arial" w:cs="Arial" w:eastAsia="Arial" w:hAnsi="Arial"/>
                <w:sz w:val="22"/>
                <w:szCs w:val="22"/>
                <w:color w:val="auto"/>
                <w:w w:val="94"/>
              </w:rPr>
              <w:t>ON FACE OF OR ATTACHED TO EACH BOND DELIVERED</w:t>
            </w:r>
          </w:p>
        </w:tc>
      </w:tr>
      <w:tr>
        <w:trPr>
          <w:trHeight w:val="275"/>
        </w:trPr>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20" w:type="dxa"/>
            <w:vAlign w:val="bottom"/>
          </w:tcPr>
          <w:p>
            <w:pPr>
              <w:jc w:val="center"/>
              <w:ind w:right="272"/>
              <w:spacing w:after="0"/>
              <w:rPr>
                <w:sz w:val="20"/>
                <w:szCs w:val="20"/>
                <w:color w:val="auto"/>
              </w:rPr>
            </w:pPr>
            <w:r>
              <w:rPr>
                <w:rFonts w:ascii="Arial" w:cs="Arial" w:eastAsia="Arial" w:hAnsi="Arial"/>
                <w:sz w:val="22"/>
                <w:szCs w:val="22"/>
                <w:color w:val="auto"/>
                <w:w w:val="95"/>
              </w:rPr>
              <w:t>TO THE INITIAL PURCHASERS]</w:t>
            </w:r>
          </w:p>
        </w:tc>
      </w:tr>
      <w:tr>
        <w:trPr>
          <w:trHeight w:val="671"/>
        </w:trPr>
        <w:tc>
          <w:tcPr>
            <w:tcW w:w="3300" w:type="dxa"/>
            <w:vAlign w:val="bottom"/>
            <w:gridSpan w:val="4"/>
          </w:tcPr>
          <w:p>
            <w:pPr>
              <w:spacing w:after="0"/>
              <w:rPr>
                <w:sz w:val="20"/>
                <w:szCs w:val="20"/>
                <w:color w:val="auto"/>
              </w:rPr>
            </w:pPr>
            <w:r>
              <w:rPr>
                <w:rFonts w:ascii="Arial" w:cs="Arial" w:eastAsia="Arial" w:hAnsi="Arial"/>
                <w:sz w:val="22"/>
                <w:szCs w:val="22"/>
                <w:color w:val="auto"/>
                <w:w w:val="96"/>
              </w:rPr>
              <w:t>OFFICE OF THE COMPTROLLER</w:t>
            </w:r>
          </w:p>
        </w:tc>
        <w:tc>
          <w:tcPr>
            <w:tcW w:w="5220" w:type="dxa"/>
            <w:vAlign w:val="bottom"/>
          </w:tcPr>
          <w:p>
            <w:pPr>
              <w:jc w:val="right"/>
              <w:ind w:right="4672"/>
              <w:spacing w:after="0"/>
              <w:rPr>
                <w:sz w:val="20"/>
                <w:szCs w:val="20"/>
                <w:color w:val="auto"/>
              </w:rPr>
            </w:pPr>
            <w:r>
              <w:rPr>
                <w:rFonts w:ascii="Arial" w:cs="Arial" w:eastAsia="Arial" w:hAnsi="Arial"/>
                <w:sz w:val="22"/>
                <w:szCs w:val="22"/>
                <w:color w:val="auto"/>
              </w:rPr>
              <w:t>§</w:t>
            </w:r>
          </w:p>
        </w:tc>
      </w:tr>
      <w:tr>
        <w:trPr>
          <w:trHeight w:val="257"/>
        </w:trPr>
        <w:tc>
          <w:tcPr>
            <w:tcW w:w="2740" w:type="dxa"/>
            <w:vAlign w:val="bottom"/>
            <w:gridSpan w:val="3"/>
          </w:tcPr>
          <w:p>
            <w:pPr>
              <w:spacing w:after="0"/>
              <w:rPr>
                <w:sz w:val="20"/>
                <w:szCs w:val="20"/>
                <w:color w:val="auto"/>
              </w:rPr>
            </w:pPr>
            <w:r>
              <w:rPr>
                <w:rFonts w:ascii="Arial" w:cs="Arial" w:eastAsia="Arial" w:hAnsi="Arial"/>
                <w:sz w:val="22"/>
                <w:szCs w:val="22"/>
                <w:color w:val="auto"/>
                <w:w w:val="96"/>
              </w:rPr>
              <w:t>OF PUBLIC ACCOUNTS OF</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220" w:type="dxa"/>
            <w:vAlign w:val="bottom"/>
          </w:tcPr>
          <w:p>
            <w:pPr>
              <w:jc w:val="right"/>
              <w:ind w:right="2412"/>
              <w:spacing w:after="0"/>
              <w:rPr>
                <w:sz w:val="20"/>
                <w:szCs w:val="20"/>
                <w:color w:val="auto"/>
              </w:rPr>
            </w:pPr>
            <w:r>
              <w:rPr>
                <w:rFonts w:ascii="Arial" w:cs="Arial" w:eastAsia="Arial" w:hAnsi="Arial"/>
                <w:sz w:val="22"/>
                <w:szCs w:val="22"/>
                <w:color w:val="auto"/>
                <w:w w:val="93"/>
              </w:rPr>
              <w:t>REGISTER NO. __________</w:t>
            </w:r>
          </w:p>
        </w:tc>
      </w:tr>
      <w:tr>
        <w:trPr>
          <w:trHeight w:val="275"/>
        </w:trPr>
        <w:tc>
          <w:tcPr>
            <w:tcW w:w="2740" w:type="dxa"/>
            <w:vAlign w:val="bottom"/>
            <w:gridSpan w:val="3"/>
          </w:tcPr>
          <w:p>
            <w:pPr>
              <w:spacing w:after="0"/>
              <w:rPr>
                <w:sz w:val="20"/>
                <w:szCs w:val="20"/>
                <w:color w:val="auto"/>
              </w:rPr>
            </w:pPr>
            <w:r>
              <w:rPr>
                <w:rFonts w:ascii="Arial" w:cs="Arial" w:eastAsia="Arial" w:hAnsi="Arial"/>
                <w:sz w:val="22"/>
                <w:szCs w:val="22"/>
                <w:color w:val="auto"/>
              </w:rPr>
              <w:t>THE STATE OF TEXAS</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5220" w:type="dxa"/>
            <w:vAlign w:val="bottom"/>
          </w:tcPr>
          <w:p>
            <w:pPr>
              <w:spacing w:after="0"/>
              <w:rPr>
                <w:sz w:val="23"/>
                <w:szCs w:val="23"/>
                <w:color w:val="auto"/>
              </w:rPr>
            </w:pPr>
          </w:p>
        </w:tc>
      </w:tr>
    </w:tbl>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 HEREBY CERTIFY that there is on file and of record in my office a certificate of the Attorney General of the State of Texas approving this Bond and certifying that this Bond and the proceedings for the issuance thereof have been examined by him as required by law, and that he finds that this Bond has been issued in accordance with law and that it is a valid and binding limited obligation of the Port of Beaumont Navigation District of Jefferson County, Texas, payable from the revenues and other funds pledged to its payment by and in the proceedings authorizing the same, and I do further certify that this Bond has this day been registered by me as Comptroller.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OFFICIAL SEAL OF OFFICE on ___________________.</w:t>
      </w:r>
    </w:p>
    <w:p>
      <w:pPr>
        <w:sectPr>
          <w:pgSz w:w="11900" w:h="16838" w:orient="portrait"/>
          <w:cols w:equalWidth="0" w:num="1">
            <w:col w:w="11420"/>
          </w:cols>
          <w:pgMar w:left="240" w:top="132" w:right="239" w:bottom="20" w:gutter="0" w:footer="0" w:header="0"/>
        </w:sectPr>
      </w:pPr>
    </w:p>
    <w:bookmarkStart w:id="254" w:name="page255"/>
    <w:bookmarkEnd w:id="254"/>
    <w:p>
      <w:pPr>
        <w:ind w:left="39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5508625</wp:posOffset>
            </wp:positionH>
            <wp:positionV relativeFrom="page">
              <wp:posOffset>226060</wp:posOffset>
            </wp:positionV>
            <wp:extent cx="960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755" cy="8890"/>
                    </a:xfrm>
                    <a:prstGeom prst="rect">
                      <a:avLst/>
                    </a:prstGeom>
                    <a:noFill/>
                  </pic:spPr>
                </pic:pic>
              </a:graphicData>
            </a:graphic>
          </wp:anchor>
        </w:drawing>
        <w:t>Comptroller of Public Accounts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 the State of Texas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(COMPTROLLER’S SEAL)</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OF AUTHENTICATION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APPEAR ON EACH BOND)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AUTHENTICATION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is one of the Bonds referred to in the within mentioned Indenture.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Authenticating Agent, or its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of Authentication: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-17780</wp:posOffset>
            </wp:positionV>
            <wp:extent cx="960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 TO APPEAR ON EACH BOND)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hereby sells, assigns and transfers unto (Print or typewrite name, address, and zip code</w:t>
      </w:r>
    </w:p>
    <w:p>
      <w:pPr>
        <w:spacing w:after="0" w:line="56" w:lineRule="exact"/>
        <w:rPr>
          <w:sz w:val="20"/>
          <w:szCs w:val="20"/>
          <w:color w:val="auto"/>
        </w:rPr>
      </w:pPr>
    </w:p>
    <w:p>
      <w:pPr>
        <w:spacing w:after="0"/>
        <w:tabs>
          <w:tab w:leader="none" w:pos="3600" w:val="left"/>
          <w:tab w:leader="none" w:pos="7940" w:val="left"/>
        </w:tabs>
        <w:rPr>
          <w:sz w:val="20"/>
          <w:szCs w:val="20"/>
          <w:color w:val="auto"/>
        </w:rPr>
      </w:pP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transferee)</w:t>
      </w:r>
      <w:r>
        <w:rPr>
          <w:sz w:val="20"/>
          <w:szCs w:val="20"/>
          <w:color w:val="auto"/>
        </w:rPr>
        <w:tab/>
      </w:r>
      <w:r>
        <w:rPr>
          <w:rFonts w:ascii="Arial" w:cs="Arial" w:eastAsia="Arial" w:hAnsi="Arial"/>
          <w:sz w:val="19"/>
          <w:szCs w:val="19"/>
          <w:color w:val="auto"/>
        </w:rPr>
        <w:t>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 (Social Security or other tax identifying number: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the within Bond and does hereby irrevocably constitute and appoint ______________________, as attorney,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transfer the within Bond on the books kept for registration of the within Bond, with full power of substitution in the premises.</w:t>
      </w:r>
    </w:p>
    <w:p>
      <w:pPr>
        <w:sectPr>
          <w:pgSz w:w="11900" w:h="16838" w:orient="portrait"/>
          <w:cols w:equalWidth="0" w:num="1">
            <w:col w:w="11420"/>
          </w:cols>
          <w:pgMar w:left="240" w:top="388" w:right="239" w:bottom="128" w:gutter="0" w:footer="0" w:header="0"/>
        </w:sect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w:t>
      </w:r>
    </w:p>
    <w:p>
      <w:pPr>
        <w:spacing w:after="0" w:line="79" w:lineRule="exact"/>
        <w:rPr>
          <w:sz w:val="20"/>
          <w:szCs w:val="20"/>
          <w:color w:val="auto"/>
        </w:rPr>
      </w:pPr>
    </w:p>
    <w:p>
      <w:pPr>
        <w:sectPr>
          <w:pgSz w:w="11900" w:h="16838" w:orient="portrait"/>
          <w:cols w:equalWidth="0" w:num="2">
            <w:col w:w="5020" w:space="720"/>
            <w:col w:w="5680"/>
          </w:cols>
          <w:pgMar w:left="240" w:top="388" w:right="239" w:bottom="128" w:gutter="0" w:footer="0" w:header="0"/>
          <w:type w:val="continuous"/>
        </w:sectPr>
      </w:pPr>
    </w:p>
    <w:p>
      <w:pPr>
        <w:ind w:left="40"/>
        <w:spacing w:after="0"/>
        <w:rPr>
          <w:sz w:val="20"/>
          <w:szCs w:val="20"/>
          <w:color w:val="auto"/>
        </w:rPr>
      </w:pPr>
      <w:r>
        <w:rPr>
          <w:rFonts w:ascii="Arial" w:cs="Arial" w:eastAsia="Arial" w:hAnsi="Arial"/>
          <w:sz w:val="19"/>
          <w:szCs w:val="19"/>
          <w:color w:val="auto"/>
        </w:rPr>
        <w:t>_____________________________________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guaranteed by:</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21"/>
          <w:szCs w:val="21"/>
          <w:color w:val="auto"/>
        </w:rPr>
        <w:t>NOTICE: The signature(s) on this assignment must correspond with the name(s) of the registered holder(s) appearing on the face of the within Bond in every particular.</w:t>
      </w:r>
    </w:p>
    <w:p>
      <w:pPr>
        <w:spacing w:after="0" w:line="194" w:lineRule="exact"/>
        <w:rPr>
          <w:sz w:val="20"/>
          <w:szCs w:val="20"/>
          <w:color w:val="auto"/>
        </w:rPr>
      </w:pPr>
    </w:p>
    <w:p>
      <w:pPr>
        <w:sectPr>
          <w:pgSz w:w="11900" w:h="16838" w:orient="portrait"/>
          <w:cols w:equalWidth="0" w:num="2">
            <w:col w:w="5020" w:space="720"/>
            <w:col w:w="5680"/>
          </w:cols>
          <w:pgMar w:left="240" w:top="388" w:right="239" w:bottom="128" w:gutter="0" w:footer="0" w:header="0"/>
          <w:type w:val="continuous"/>
        </w:sectPr>
      </w:pPr>
    </w:p>
    <w:p>
      <w:pPr>
        <w:ind w:left="4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NOTICE: Signature must be guaranteed by a member firm of the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National Association of Securities Dealers or a commercial bank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1"/>
          <w:szCs w:val="21"/>
          <w:color w:val="auto"/>
        </w:rPr>
        <w:t>or  a  trust  company  [which  is  a  participant  in  an  official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medallion program].</w:t>
      </w:r>
    </w:p>
    <w:p>
      <w:pPr>
        <w:sectPr>
          <w:pgSz w:w="11900" w:h="16838" w:orient="portrait"/>
          <w:cols w:equalWidth="0" w:num="1">
            <w:col w:w="11420"/>
          </w:cols>
          <w:pgMar w:left="240" w:top="388" w:right="239" w:bottom="128" w:gutter="0" w:footer="0" w:header="0"/>
          <w:type w:val="continuous"/>
        </w:sect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assignment above or on the face of the within Bond, shall be construed as though they were written out in full according to applicable laws or regulations:</w:t>
      </w:r>
    </w:p>
    <w:p>
      <w:pPr>
        <w:spacing w:after="0" w:line="175" w:lineRule="exact"/>
        <w:rPr>
          <w:sz w:val="20"/>
          <w:szCs w:val="20"/>
          <w:color w:val="auto"/>
        </w:rPr>
      </w:pPr>
    </w:p>
    <w:p>
      <w:pPr>
        <w:ind w:left="2600"/>
        <w:spacing w:after="0"/>
        <w:tabs>
          <w:tab w:leader="none" w:pos="3880" w:val="left"/>
        </w:tabs>
        <w:rPr>
          <w:sz w:val="20"/>
          <w:szCs w:val="20"/>
          <w:color w:val="auto"/>
        </w:rPr>
      </w:pPr>
      <w:r>
        <w:rPr>
          <w:rFonts w:ascii="Arial" w:cs="Arial" w:eastAsia="Arial" w:hAnsi="Arial"/>
          <w:sz w:val="22"/>
          <w:szCs w:val="22"/>
          <w:color w:val="auto"/>
        </w:rPr>
        <w:t>TEN COM -</w:t>
      </w:r>
      <w:r>
        <w:rPr>
          <w:sz w:val="20"/>
          <w:szCs w:val="20"/>
          <w:color w:val="auto"/>
        </w:rPr>
        <w:tab/>
      </w:r>
      <w:r>
        <w:rPr>
          <w:rFonts w:ascii="Arial" w:cs="Arial" w:eastAsia="Arial" w:hAnsi="Arial"/>
          <w:sz w:val="19"/>
          <w:szCs w:val="19"/>
          <w:color w:val="auto"/>
        </w:rPr>
        <w:t>as tenants in common</w:t>
      </w:r>
    </w:p>
    <w:p>
      <w:pPr>
        <w:spacing w:after="0" w:line="22" w:lineRule="exact"/>
        <w:rPr>
          <w:sz w:val="20"/>
          <w:szCs w:val="20"/>
          <w:color w:val="auto"/>
        </w:rPr>
      </w:pPr>
    </w:p>
    <w:p>
      <w:pPr>
        <w:ind w:left="2600"/>
        <w:spacing w:after="0"/>
        <w:tabs>
          <w:tab w:leader="none" w:pos="3820" w:val="left"/>
        </w:tabs>
        <w:rPr>
          <w:sz w:val="20"/>
          <w:szCs w:val="20"/>
          <w:color w:val="auto"/>
        </w:rPr>
      </w:pPr>
      <w:r>
        <w:rPr>
          <w:rFonts w:ascii="Arial" w:cs="Arial" w:eastAsia="Arial" w:hAnsi="Arial"/>
          <w:sz w:val="22"/>
          <w:szCs w:val="22"/>
          <w:color w:val="auto"/>
        </w:rPr>
        <w:t>TEN ENT -</w:t>
      </w:r>
      <w:r>
        <w:rPr>
          <w:sz w:val="20"/>
          <w:szCs w:val="20"/>
          <w:color w:val="auto"/>
        </w:rPr>
        <w:tab/>
      </w:r>
      <w:r>
        <w:rPr>
          <w:rFonts w:ascii="Arial" w:cs="Arial" w:eastAsia="Arial" w:hAnsi="Arial"/>
          <w:sz w:val="19"/>
          <w:szCs w:val="19"/>
          <w:color w:val="auto"/>
        </w:rPr>
        <w:t>as tenants by the entireties</w:t>
      </w:r>
    </w:p>
    <w:p>
      <w:pPr>
        <w:spacing w:after="0" w:line="4"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22"/>
          <w:szCs w:val="22"/>
          <w:color w:val="auto"/>
        </w:rPr>
        <w:t>JT TEN -</w:t>
      </w:r>
      <w:r>
        <w:rPr>
          <w:sz w:val="20"/>
          <w:szCs w:val="20"/>
          <w:color w:val="auto"/>
        </w:rPr>
        <w:tab/>
      </w:r>
      <w:r>
        <w:rPr>
          <w:rFonts w:ascii="Arial" w:cs="Arial" w:eastAsia="Arial" w:hAnsi="Arial"/>
          <w:sz w:val="19"/>
          <w:szCs w:val="19"/>
          <w:color w:val="auto"/>
        </w:rPr>
        <w:t>as joint tenants with right of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survivorship and not as tenants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common</w:t>
      </w:r>
    </w:p>
    <w:p>
      <w:pPr>
        <w:spacing w:after="0" w:line="202" w:lineRule="exact"/>
        <w:rPr>
          <w:sz w:val="20"/>
          <w:szCs w:val="20"/>
          <w:color w:val="auto"/>
        </w:rPr>
      </w:pPr>
    </w:p>
    <w:p>
      <w:pPr>
        <w:ind w:left="2600"/>
        <w:spacing w:after="0"/>
        <w:tabs>
          <w:tab w:leader="none" w:pos="4920" w:val="left"/>
        </w:tabs>
        <w:rPr>
          <w:sz w:val="20"/>
          <w:szCs w:val="20"/>
          <w:color w:val="auto"/>
        </w:rPr>
      </w:pPr>
      <w:r>
        <w:rPr>
          <w:rFonts w:ascii="Arial" w:cs="Arial" w:eastAsia="Arial" w:hAnsi="Arial"/>
          <w:sz w:val="22"/>
          <w:szCs w:val="22"/>
          <w:color w:val="auto"/>
        </w:rPr>
        <w:t>UNIF GIFT MIN ACT -</w:t>
      </w:r>
      <w:r>
        <w:rPr>
          <w:sz w:val="20"/>
          <w:szCs w:val="20"/>
          <w:color w:val="auto"/>
        </w:rPr>
        <w:tab/>
      </w:r>
      <w:r>
        <w:rPr>
          <w:rFonts w:ascii="Arial" w:cs="Arial" w:eastAsia="Arial" w:hAnsi="Arial"/>
          <w:sz w:val="19"/>
          <w:szCs w:val="19"/>
          <w:color w:val="auto"/>
        </w:rPr>
        <w:t>……….Custodian….…..</w:t>
      </w:r>
    </w:p>
    <w:p>
      <w:pPr>
        <w:spacing w:after="0" w:line="22" w:lineRule="exact"/>
        <w:rPr>
          <w:sz w:val="20"/>
          <w:szCs w:val="20"/>
          <w:color w:val="auto"/>
        </w:rPr>
      </w:pPr>
    </w:p>
    <w:p>
      <w:pPr>
        <w:ind w:left="4540"/>
        <w:spacing w:after="0"/>
        <w:tabs>
          <w:tab w:leader="none" w:pos="5500" w:val="left"/>
        </w:tabs>
        <w:rPr>
          <w:sz w:val="20"/>
          <w:szCs w:val="20"/>
          <w:color w:val="auto"/>
        </w:rPr>
      </w:pPr>
      <w:r>
        <w:rPr>
          <w:rFonts w:ascii="Arial" w:cs="Arial" w:eastAsia="Arial" w:hAnsi="Arial"/>
          <w:sz w:val="22"/>
          <w:szCs w:val="22"/>
          <w:color w:val="auto"/>
        </w:rPr>
        <w:t>(Cust)</w:t>
      </w:r>
      <w:r>
        <w:rPr>
          <w:sz w:val="20"/>
          <w:szCs w:val="20"/>
          <w:color w:val="auto"/>
        </w:rPr>
        <w:tab/>
      </w:r>
      <w:r>
        <w:rPr>
          <w:rFonts w:ascii="Arial" w:cs="Arial" w:eastAsia="Arial" w:hAnsi="Arial"/>
          <w:sz w:val="22"/>
          <w:szCs w:val="22"/>
          <w:color w:val="auto"/>
        </w:rPr>
        <w:t>(Minor)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Uniform Gifts to Minors Act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(State)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Additional abbreviations may also be used though not in the list above.</w:t>
      </w:r>
    </w:p>
    <w:p>
      <w:pPr>
        <w:sectPr>
          <w:pgSz w:w="11900" w:h="16838" w:orient="portrait"/>
          <w:cols w:equalWidth="0" w:num="1">
            <w:col w:w="11420"/>
          </w:cols>
          <w:pgMar w:left="240" w:top="388" w:right="239" w:bottom="128" w:gutter="0" w:footer="0" w:header="0"/>
          <w:type w:val="continuous"/>
        </w:sectPr>
      </w:pPr>
    </w:p>
    <w:bookmarkStart w:id="255" w:name="page256"/>
    <w:bookmarkEnd w:id="255"/>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67</w:t>
      </w:r>
    </w:p>
    <w:p>
      <w:pPr>
        <w:sectPr>
          <w:pgSz w:w="11900" w:h="16838" w:orient="portrait"/>
          <w:cols w:equalWidth="0" w:num="1">
            <w:col w:w="9019"/>
          </w:cols>
          <w:pgMar w:left="1440" w:top="1440" w:right="1440" w:bottom="1440" w:gutter="0" w:footer="0" w:header="0"/>
        </w:sectPr>
      </w:pPr>
    </w:p>
    <w:bookmarkStart w:id="256" w:name="page257"/>
    <w:bookmarkEnd w:id="256"/>
    <w:p>
      <w:pPr>
        <w:jc w:val="center"/>
        <w:ind w:right="40"/>
        <w:spacing w:after="0"/>
        <w:rPr>
          <w:sz w:val="20"/>
          <w:szCs w:val="20"/>
          <w:color w:val="auto"/>
        </w:rPr>
      </w:pPr>
      <w:r>
        <w:rPr>
          <w:rFonts w:ascii="Arial" w:cs="Arial" w:eastAsia="Arial" w:hAnsi="Arial"/>
          <w:sz w:val="22"/>
          <w:szCs w:val="22"/>
          <w:u w:val="single" w:color="auto"/>
          <w:color w:val="auto"/>
        </w:rPr>
        <w:t>EXHIBIT B</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FORM OF BOND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(DAILY RATE)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OF FACE OF BOND)</w:t>
      </w:r>
    </w:p>
    <w:p>
      <w:pPr>
        <w:sectPr>
          <w:pgSz w:w="11900" w:h="16838" w:orient="portrait"/>
          <w:cols w:equalWidth="0" w:num="1">
            <w:col w:w="11420"/>
          </w:cols>
          <w:pgMar w:left="240" w:top="631"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Registered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No. D-_____</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Registered</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$________</w:t>
      </w:r>
    </w:p>
    <w:p>
      <w:pPr>
        <w:spacing w:after="0" w:line="200" w:lineRule="exact"/>
        <w:rPr>
          <w:sz w:val="20"/>
          <w:szCs w:val="20"/>
          <w:color w:val="auto"/>
        </w:rPr>
      </w:pPr>
    </w:p>
    <w:p>
      <w:pPr>
        <w:sectPr>
          <w:pgSz w:w="11900" w:h="16838" w:orient="portrait"/>
          <w:cols w:equalWidth="0" w:num="2">
            <w:col w:w="2380" w:space="720"/>
            <w:col w:w="8320"/>
          </w:cols>
          <w:pgMar w:left="240" w:top="631" w:right="239" w:bottom="1440" w:gutter="0" w:footer="0" w:header="0"/>
          <w:type w:val="continuous"/>
        </w:sectPr>
      </w:pPr>
    </w:p>
    <w:p>
      <w:pPr>
        <w:spacing w:after="0" w:line="3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UNITED STATES OF AMERICA</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STATE OF TEXAS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COUNTY OF JEFFERSON</w:t>
      </w:r>
    </w:p>
    <w:p>
      <w:pPr>
        <w:spacing w:after="0" w:line="202" w:lineRule="exact"/>
        <w:rPr>
          <w:sz w:val="20"/>
          <w:szCs w:val="20"/>
          <w:color w:val="auto"/>
        </w:rPr>
      </w:pPr>
    </w:p>
    <w:p>
      <w:pPr>
        <w:jc w:val="center"/>
        <w:ind w:left="1780" w:right="1820"/>
        <w:spacing w:after="0" w:line="253" w:lineRule="auto"/>
        <w:rPr>
          <w:sz w:val="20"/>
          <w:szCs w:val="20"/>
          <w:color w:val="auto"/>
        </w:rPr>
      </w:pPr>
      <w:r>
        <w:rPr>
          <w:rFonts w:ascii="Arial" w:cs="Arial" w:eastAsia="Arial" w:hAnsi="Arial"/>
          <w:sz w:val="22"/>
          <w:szCs w:val="22"/>
          <w:color w:val="auto"/>
        </w:rPr>
        <w:t>PORT OF BEAUMONT NAVIGATION DISTRICT OF JEFFERSON COUNTY, TEXAS DOCK AND WHARF FACILITY REVENUE BONDS, SERIES 2016 (JEFFERSON ENERGY COMPANIES PROJECT)</w:t>
      </w:r>
    </w:p>
    <w:p>
      <w:pPr>
        <w:sectPr>
          <w:pgSz w:w="11900" w:h="16838" w:orient="portrait"/>
          <w:cols w:equalWidth="0" w:num="1">
            <w:col w:w="11420"/>
          </w:cols>
          <w:pgMar w:left="240" w:top="631" w:right="239" w:bottom="1440" w:gutter="0" w:footer="0" w:header="0"/>
          <w:type w:val="continuous"/>
        </w:sectPr>
      </w:pP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IS SUBJECT TO MANDATORY TENDER FOR PURCHASE UPON THE OCCURRENCE OF THE EVENTS AND IN THE MANNER HEREINAFTER DESCRIBED, AND MUST BE SO TENDERED OR WILL BE DEEMED TO HAVE BEEN SO TENDERED AS DESCRIBED HEREIN.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0"/>
                <w:szCs w:val="20"/>
                <w:color w:val="auto"/>
              </w:rPr>
            </w:pPr>
            <w:r>
              <w:rPr>
                <w:rFonts w:ascii="Arial" w:cs="Arial" w:eastAsia="Arial" w:hAnsi="Arial"/>
                <w:sz w:val="22"/>
                <w:szCs w:val="22"/>
                <w:color w:val="auto"/>
              </w:rPr>
              <w:t>Interest Rate:  Daily Rate</w:t>
            </w:r>
          </w:p>
        </w:tc>
        <w:tc>
          <w:tcPr>
            <w:tcW w:w="5080" w:type="dxa"/>
            <w:vAlign w:val="bottom"/>
            <w:gridSpan w:val="6"/>
          </w:tcPr>
          <w:p>
            <w:pPr>
              <w:ind w:left="100"/>
              <w:spacing w:after="0"/>
              <w:rPr>
                <w:sz w:val="20"/>
                <w:szCs w:val="20"/>
                <w:color w:val="auto"/>
              </w:rPr>
            </w:pPr>
            <w:r>
              <w:rPr>
                <w:rFonts w:ascii="Arial" w:cs="Arial" w:eastAsia="Arial" w:hAnsi="Arial"/>
                <w:sz w:val="22"/>
                <w:szCs w:val="22"/>
                <w:color w:val="auto"/>
              </w:rPr>
              <w:t>Principal Amount: $</w:t>
            </w:r>
          </w:p>
        </w:tc>
      </w:tr>
      <w:tr>
        <w:trPr>
          <w:trHeight w:val="287"/>
        </w:trPr>
        <w:tc>
          <w:tcPr>
            <w:tcW w:w="3300" w:type="dxa"/>
            <w:vAlign w:val="bottom"/>
          </w:tcPr>
          <w:p>
            <w:pPr>
              <w:ind w:left="1300"/>
              <w:spacing w:after="0"/>
              <w:rPr>
                <w:sz w:val="20"/>
                <w:szCs w:val="20"/>
                <w:color w:val="auto"/>
              </w:rPr>
            </w:pPr>
            <w:r>
              <w:rPr>
                <w:rFonts w:ascii="Arial" w:cs="Arial" w:eastAsia="Arial" w:hAnsi="Arial"/>
                <w:sz w:val="22"/>
                <w:szCs w:val="22"/>
                <w:color w:val="auto"/>
                <w:w w:val="95"/>
              </w:rPr>
              <w:t>(as herein described)</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73"/>
        </w:trPr>
        <w:tc>
          <w:tcPr>
            <w:tcW w:w="3300" w:type="dxa"/>
            <w:vAlign w:val="bottom"/>
          </w:tcPr>
          <w:p>
            <w:pPr>
              <w:spacing w:after="0"/>
              <w:rPr>
                <w:sz w:val="20"/>
                <w:szCs w:val="20"/>
                <w:color w:val="auto"/>
              </w:rPr>
            </w:pPr>
            <w:r>
              <w:rPr>
                <w:rFonts w:ascii="Arial" w:cs="Arial" w:eastAsia="Arial" w:hAnsi="Arial"/>
                <w:sz w:val="22"/>
                <w:szCs w:val="22"/>
                <w:color w:val="auto"/>
                <w:w w:val="90"/>
              </w:rPr>
              <w:t>Interest Mode Commencement Date:</w:t>
            </w:r>
          </w:p>
        </w:tc>
        <w:tc>
          <w:tcPr>
            <w:tcW w:w="5080" w:type="dxa"/>
            <w:vAlign w:val="bottom"/>
            <w:gridSpan w:val="6"/>
          </w:tcPr>
          <w:p>
            <w:pPr>
              <w:ind w:left="120"/>
              <w:spacing w:after="0"/>
              <w:rPr>
                <w:sz w:val="20"/>
                <w:szCs w:val="20"/>
                <w:color w:val="auto"/>
              </w:rPr>
            </w:pPr>
            <w:r>
              <w:rPr>
                <w:rFonts w:ascii="Arial" w:cs="Arial" w:eastAsia="Arial" w:hAnsi="Arial"/>
                <w:sz w:val="22"/>
                <w:szCs w:val="22"/>
                <w:color w:val="auto"/>
                <w:w w:val="94"/>
              </w:rPr>
              <w:t>__________, 20__  Maturity Date:   ______________</w:t>
            </w:r>
          </w:p>
        </w:tc>
      </w:tr>
      <w:tr>
        <w:trPr>
          <w:trHeight w:val="422"/>
        </w:trPr>
        <w:tc>
          <w:tcPr>
            <w:tcW w:w="3960" w:type="dxa"/>
            <w:vAlign w:val="bottom"/>
            <w:gridSpan w:val="2"/>
          </w:tcPr>
          <w:p>
            <w:pPr>
              <w:spacing w:after="0"/>
              <w:rPr>
                <w:sz w:val="20"/>
                <w:szCs w:val="20"/>
                <w:color w:val="auto"/>
              </w:rPr>
            </w:pPr>
            <w:r>
              <w:rPr>
                <w:rFonts w:ascii="Arial" w:cs="Arial" w:eastAsia="Arial" w:hAnsi="Arial"/>
                <w:sz w:val="22"/>
                <w:szCs w:val="22"/>
                <w:color w:val="auto"/>
                <w:w w:val="96"/>
              </w:rPr>
              <w:t>Registered Holder: __________________</w:t>
            </w:r>
          </w:p>
        </w:tc>
        <w:tc>
          <w:tcPr>
            <w:tcW w:w="1380" w:type="dxa"/>
            <w:vAlign w:val="bottom"/>
            <w:gridSpan w:val="2"/>
          </w:tcPr>
          <w:p>
            <w:pPr>
              <w:ind w:left="340"/>
              <w:spacing w:after="0"/>
              <w:rPr>
                <w:sz w:val="20"/>
                <w:szCs w:val="20"/>
                <w:color w:val="auto"/>
              </w:rPr>
            </w:pPr>
            <w:r>
              <w:rPr>
                <w:rFonts w:ascii="Arial" w:cs="Arial" w:eastAsia="Arial" w:hAnsi="Arial"/>
                <w:sz w:val="22"/>
                <w:szCs w:val="22"/>
                <w:color w:val="auto"/>
                <w:w w:val="89"/>
              </w:rPr>
              <w:t>CUSIP No.:</w:t>
            </w:r>
          </w:p>
        </w:tc>
        <w:tc>
          <w:tcPr>
            <w:tcW w:w="640" w:type="dxa"/>
            <w:vAlign w:val="bottom"/>
            <w:tcBorders>
              <w:bottom w:val="single" w:sz="8" w:color="auto"/>
            </w:tcBorders>
            <w:gridSpan w:val="2"/>
          </w:tcPr>
          <w:p>
            <w:pPr>
              <w:spacing w:after="0"/>
              <w:rPr>
                <w:sz w:val="24"/>
                <w:szCs w:val="24"/>
                <w:color w:val="auto"/>
              </w:rPr>
            </w:pPr>
          </w:p>
        </w:tc>
        <w:tc>
          <w:tcPr>
            <w:tcW w:w="2400" w:type="dxa"/>
            <w:vAlign w:val="bottom"/>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PORT OF BEAUMONT NAVIGATION DISTRICT OF JEFFERSON COUNTY, TEXAS (the “District”), being a political subdivision of the State of Texas (the “State”) organized and existing pursuant to Article XVI, Section 59 of the Texas Constitution, for value received, hereby promises to pay to the Registered Holder named above, or registered assigns, but solely from the sources and in the manner herein provided, the Principal Amount set forth above on the Maturity Date set forth above (or earlier as herein described and indicated hereon). The District also promises to pay interest at the Daily Rate on the unpaid principal balance of this Bond from and including the Interest Mode Commencement Date set forth above, or from and including the most recent date to which interest on this Bond (or any Bond in exchange for, or in lieu of which this Bond was issued) has been paid, to but excluding the Maturity Date or the date on which the payment of such Principal Amount shall have been made or provided for (if the date of such provision is on or after the date on which the payment of such Principal Amount is due). Interest accrued hereon shall be paid on the immediately succeeding Interest Payment Date (or next Business Day if such date is not a Business Day); provided that to the extent principal of this Bond is paid on any date (whether the Maturity Date or otherwise), interest accrued hereon to but excluding such payment date shall be paid on such payment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631" w:right="239" w:bottom="1440" w:gutter="0" w:footer="0" w:header="0"/>
          <w:type w:val="continuous"/>
        </w:sectPr>
      </w:pPr>
    </w:p>
    <w:bookmarkStart w:id="257" w:name="page258"/>
    <w:bookmarkEnd w:id="257"/>
    <w:p>
      <w:pPr>
        <w:jc w:val="both"/>
        <w:ind w:firstLine="648"/>
        <w:spacing w:after="0" w:line="246" w:lineRule="auto"/>
        <w:rPr>
          <w:sz w:val="20"/>
          <w:szCs w:val="20"/>
          <w:color w:val="auto"/>
        </w:rPr>
      </w:pPr>
      <w:r>
        <w:rPr>
          <w:rFonts w:ascii="Arial" w:cs="Arial" w:eastAsia="Arial" w:hAnsi="Arial"/>
          <w:sz w:val="22"/>
          <w:szCs w:val="22"/>
          <w:color w:val="auto"/>
        </w:rPr>
        <w:t>THIS BOND AND ALL OF THE BONDS OF THIS SERIES are special limited obligations of the District, payable by the District solely out of the “Pledged Revenues”, as defined in the Indenture (hereinafter defined), which Pledged Revenues are pledged to the payment of the Series 2016 Bonds and all Additional Bonds issued on a parity therewith, and all money and investments held for the credit of the funds and accounts established by or under the Indenture (except the Rebate Fund), all as more fully described and provided for in and subject to the restrictions and limitations imposed by the Indenture. This Bond and the series of which it is a part, together with the interest thereon, are payable solely from such Pledged Revenues and do not constitute a general obligation of the District.</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THE BONDS DO NOT CONSTITUTE GENERAL OBLIGATIONS OF THE DISTRICT, THE STATE OF TEXAS OR ANY POLITICAL SUBDIVISION THEREOF. THE DISTRICT HAS PLEDGED NEITHER ITS TAXING POWER NOR THE CREDIT OF ITS TAXING POWER AS SECURITY FOR THE PAYMENT OF THE BONDS. THE OWNER HEREOF SHALL NEVER HAVE THE RIGHT TO DEMAND PAYMENT OF THIS OBLIGATION OUT OF ANY FUNDS RAISED OR TO BE RAISED BY TAXATION, OR FROM ANY SOURCE WHATSOEVER OTHER THAN THE AFORESAID PLEDGED 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shall not be valid or obligatory for any purpose or be entitled to any benefit under the Indenture until the certificate of authentication hereon shall have been executed by the Authenticating Agent or its agent appointed pursuant to the Indenture.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IT IS HEREBY CERTIFIED, RECITED AND REPRESENTED that the issuance of this Bond and the Bonds is duly authorized by law; that all acts, conditions and things required to exist and necessary to be done or performed precedent to and in the issuance of this Bond and the Bonds to render the same lawful, valid and binding have been properly done and performed and have happened in regular and due time, form and manner as required by law; that all acts, conditions and things necessary to be done or performed by the District or to have happened precedent to and in the execution and delivery of the Indenture have been done and performed and have happened in regular and due form as required by law; that due provision has been made for the payment of the principal of (premium, if any) and interest on this Bond and the Bonds by irrevocably pledging the described revenues as provided in the Indenture; that payment in full for the Bonds has been received; and that the issuance of the Bonds does not contravene or violate any constitutional or statutory limitation.</w:t>
      </w:r>
    </w:p>
    <w:p>
      <w:pPr>
        <w:spacing w:after="0" w:line="180" w:lineRule="exact"/>
        <w:rPr>
          <w:sz w:val="20"/>
          <w:szCs w:val="20"/>
          <w:color w:val="auto"/>
        </w:rPr>
      </w:pPr>
    </w:p>
    <w:p>
      <w:pPr>
        <w:jc w:val="both"/>
        <w:ind w:firstLine="656"/>
        <w:spacing w:after="0" w:line="246" w:lineRule="auto"/>
        <w:tabs>
          <w:tab w:leader="none" w:pos="104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Description of Series</w:t>
      </w:r>
      <w:r>
        <w:rPr>
          <w:rFonts w:ascii="Arial" w:cs="Arial" w:eastAsia="Arial" w:hAnsi="Arial"/>
          <w:sz w:val="22"/>
          <w:szCs w:val="22"/>
          <w:color w:val="auto"/>
        </w:rPr>
        <w:t>. This Bond is one of the duly authorized issue of the District’s Dock and Wharf Facility Revenue Bonds, Series 2016 (Jefferson Energy Companies Project) (the “Bonds”), aggregating in principal amount $144,200,000, authorized by a resolution adopted by the Board of Commissioners of the District on November 23, 2015 and February 22, 2016,all issued or to be issued under a Trust Indenture and Security Agreement, dated as of February 1, 2016 (the “Indenture”), between the District and The Bank of New York Mellon Trust Company, National Association (the “Trustee”), pursuant to and in full conformity with the Constitution and the statutes of the State. The Bonds are issued in order to provide funds for the District to finance Project Costs.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1" w:right="239" w:bottom="1440" w:gutter="0" w:footer="0" w:header="0"/>
        </w:sectPr>
      </w:pPr>
    </w:p>
    <w:bookmarkStart w:id="258" w:name="page259"/>
    <w:bookmarkEnd w:id="258"/>
    <w:p>
      <w:pPr>
        <w:jc w:val="both"/>
        <w:ind w:right="20" w:firstLine="648"/>
        <w:spacing w:after="0" w:line="263" w:lineRule="auto"/>
        <w:rPr>
          <w:sz w:val="20"/>
          <w:szCs w:val="20"/>
          <w:color w:val="auto"/>
        </w:rPr>
      </w:pPr>
      <w:r>
        <w:rPr>
          <w:rFonts w:ascii="Arial" w:cs="Arial" w:eastAsia="Arial" w:hAnsi="Arial"/>
          <w:sz w:val="22"/>
          <w:szCs w:val="22"/>
          <w:color w:val="auto"/>
        </w:rPr>
        <w:t>Pursuant to the terms of the Indenture, the Trustee may appoint agents for the performance of certain duties under the Indenture, including the authentication, registration, transfer, exchange and payment of the Bonds.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and the other Bond Documents (as such term is defined in the Indenture), copies of which are filed with the Trustee, for the full provisions thereof (including, among others, those with respect to the nature and extent of the rights, duties and obligations of the parties to the Bond Documents and the holders of the Bonds, the terms upon which the Bonds are issued and secured and the modification or amendment of the Bond Documents), to all of which the holders of the Bonds assent by the acceptance of the Bonds.</w:t>
      </w:r>
    </w:p>
    <w:p>
      <w:pPr>
        <w:spacing w:after="0" w:line="192" w:lineRule="exact"/>
        <w:rPr>
          <w:sz w:val="20"/>
          <w:szCs w:val="20"/>
          <w:color w:val="auto"/>
        </w:rPr>
      </w:pPr>
    </w:p>
    <w:p>
      <w:pPr>
        <w:ind w:firstLine="656"/>
        <w:spacing w:after="0" w:line="263" w:lineRule="auto"/>
        <w:tabs>
          <w:tab w:leader="none" w:pos="1161"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Certain Additional Definitions</w:t>
      </w:r>
      <w:r>
        <w:rPr>
          <w:rFonts w:ascii="Arial" w:cs="Arial" w:eastAsia="Arial" w:hAnsi="Arial"/>
          <w:sz w:val="22"/>
          <w:szCs w:val="22"/>
          <w:color w:val="auto"/>
        </w:rPr>
        <w:t>. In addition to the definitions set forth above, or contained in Section 1.01 of the Indenture which are incorporated herein, the following terms used herein shall have the following meanings.</w:t>
      </w:r>
    </w:p>
    <w:p>
      <w:pPr>
        <w:spacing w:after="0" w:line="175"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“Annual Period” as of any date means the period commencing on the 365th day preceding such date and ending on such date.</w:t>
      </w:r>
    </w:p>
    <w:p>
      <w:pPr>
        <w:spacing w:after="0" w:line="17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“Business Day” means any day other than (a) a Saturday or a Sunday; (b) a legal holiday or the equivalent on which banking institutions generally are authorized or required to be closed in New York, New York, the designated office of the Trustee and Tender Agent or the primary office of the Bank; or (c) a day on which the New York Stock Exchange is closed.</w:t>
      </w:r>
    </w:p>
    <w:p>
      <w:pPr>
        <w:spacing w:after="0" w:line="134"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“Conversion Date” means, with respect to the Daily Rate Bonds, any Business Day which follows, by not less than 45 days, the delivery to the Trustee, the Tender Agent and the Remarketing Agent by the District of an irrevocable election on the part of the District that on and after the Conversion Date, the Daily Rate Bonds shall bear interest at the Commercial Paper Rate, Fixed Rate or Weekly Rate, as applicable, therefor.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“Daily Rate” means the rate determined by the Remarketing Agent pursuant to Section 2.08(b) of the Indenture.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Mode Commencement Date” means the appropriate date displayed on the face of this Bond.</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“Interest Payment Date” means, with respect to the Daily Rate Bonds, the 15th day (or next Business Day if the 15th is not a Business Day) of each month, the Conversion Date and the Maturity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“Maximum Rate” means 15% per annum.</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“Net effective interest rate” and “net interest cost” have the meanings given to them, respectively, in Texas Government Code, Chapter 1204, as amended.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32" w:right="239" w:bottom="1440" w:gutter="0" w:footer="0" w:header="0"/>
        </w:sectPr>
      </w:pPr>
    </w:p>
    <w:bookmarkStart w:id="259" w:name="page260"/>
    <w:bookmarkEnd w:id="259"/>
    <w:p>
      <w:pPr>
        <w:jc w:val="both"/>
        <w:ind w:left="660" w:firstLine="648"/>
        <w:spacing w:after="0" w:line="250" w:lineRule="auto"/>
        <w:rPr>
          <w:sz w:val="20"/>
          <w:szCs w:val="20"/>
          <w:color w:val="auto"/>
        </w:rPr>
      </w:pPr>
      <w:r>
        <w:rPr>
          <w:rFonts w:ascii="Arial" w:cs="Arial" w:eastAsia="Arial" w:hAnsi="Arial"/>
          <w:sz w:val="22"/>
          <w:szCs w:val="22"/>
          <w:color w:val="auto"/>
        </w:rPr>
        <w:t>“Purchase Date” means, with respect to the Daily Rate Bonds, the Business Day prior to each Credit Facility Termination Date, the Business Day prior to each Liquidity Facility Termination Date, the applicable Conversion Date, the effective date of an alternate Liquidity Facility or alternate Credit Facility, and the date on which an Optional Tender of such Daily Rate Bond occurs.</w:t>
      </w:r>
    </w:p>
    <w:p>
      <w:pPr>
        <w:spacing w:after="0" w:line="188"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“Purchase Price” means an amount equal to 100% of the principal amount of any Bond tendered or deemed tendered for purchase pursuant to the provisions of paragraphs 5 or 7 hereof, plus any accrued and unpaid Stated Interest to the date of purchase.</w:t>
      </w:r>
    </w:p>
    <w:p>
      <w:pPr>
        <w:spacing w:after="0" w:line="18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“Regular Record Date” means, with respect to the Daily Rate Bonds, the close of business for the Trustee on the Business Day preceding any Interest Payment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“Stated Interest” means interest calculated pursuant to paragraph 3(a) of this Bond.</w:t>
      </w:r>
    </w:p>
    <w:p>
      <w:pPr>
        <w:spacing w:after="0" w:line="220" w:lineRule="exact"/>
        <w:rPr>
          <w:sz w:val="20"/>
          <w:szCs w:val="20"/>
          <w:color w:val="auto"/>
        </w:rPr>
      </w:pPr>
    </w:p>
    <w:p>
      <w:pPr>
        <w:jc w:val="both"/>
        <w:ind w:firstLine="656"/>
        <w:spacing w:after="0" w:line="253" w:lineRule="auto"/>
        <w:tabs>
          <w:tab w:leader="none" w:pos="1121"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(a) This Bond shall bear interest for each day at the Daily Rate for such day; provided that the “net effective interest rate” from the date of issuance of the Bonds through any subsequent date of calculation shall never exceed the Maximum Rate.</w:t>
      </w:r>
    </w:p>
    <w:p>
      <w:pPr>
        <w:spacing w:after="0" w:line="186" w:lineRule="exact"/>
        <w:rPr>
          <w:sz w:val="20"/>
          <w:szCs w:val="20"/>
          <w:color w:val="auto"/>
        </w:rPr>
      </w:pPr>
    </w:p>
    <w:p>
      <w:pPr>
        <w:jc w:val="both"/>
        <w:ind w:firstLine="656"/>
        <w:spacing w:after="0" w:line="288" w:lineRule="auto"/>
        <w:tabs>
          <w:tab w:leader="none" w:pos="112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Notwithstanding the foregoing paragraph 3(a), this Bond shall bear interest for each day it is a Liquidity Bank Bond at the Liquidity Bank Bond Rate for such day; provided, however, that with respect to any Bond which is a Liquidity Bank Bond (i) the “net effective interest rate” from the date of issuance of the Bonds through any subsequent date of calculation shall never exceed the Maximum Rate, and (ii) if this Bond cannot bear interest at the Liquidity Bank Bond Rate for any day because the “net effective interest rate” calculated from the date of issuance of the Bonds through such day would thereby exceed the Maximum Rate, this Bond shall bear interest for such day at the Maximum Rate and shall continue to bear interest at the Maximum Rate for each day that it is a Liquidity Bank Bond until this Bond is paid in full or until such earlier date as the payment of interest at the Maximum Rate results in the payment or accrual of the cumulative amount of interest which would have been paid and accrued at the Liquidity Bank Bond Rate for the period for which this Bond has borne interest at the Liquidity Bank Bond Rate, after which date the interest rate on this Bond shall revert to the Liquidity Bank Bond Rate until this proviso again becomes applicable. Only the Liquidity Bank will be entitled to earn the Liquidity Bank Bond Rate.</w:t>
      </w:r>
    </w:p>
    <w:p>
      <w:pPr>
        <w:spacing w:after="0" w:line="154" w:lineRule="exact"/>
        <w:rPr>
          <w:rFonts w:ascii="Arial" w:cs="Arial" w:eastAsia="Arial" w:hAnsi="Arial"/>
          <w:sz w:val="19"/>
          <w:szCs w:val="19"/>
          <w:color w:val="auto"/>
        </w:rPr>
      </w:pPr>
    </w:p>
    <w:p>
      <w:pPr>
        <w:jc w:val="both"/>
        <w:ind w:firstLine="656"/>
        <w:spacing w:after="0" w:line="248" w:lineRule="auto"/>
        <w:tabs>
          <w:tab w:leader="none" w:pos="114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 case of any default in the payment of the principal hereof, this Bond shall thereafter bear interest for each day at a rate equal to the Daily Rate (unless this Bond is a Liquidity Bank Bond and the rate payable pursuant to paragraph 3(b) above shall be greater than the Daily Rate, then in such event the rate payable pursuant to such paragraph 3(b) shall be payable); provided, that the “net effective interest rate” from the date of issuance of the Bonds through any subsequent date of calculation shall never exceed the Maximum Rate.</w:t>
      </w:r>
    </w:p>
    <w:p>
      <w:pPr>
        <w:spacing w:after="0" w:line="192" w:lineRule="exact"/>
        <w:rPr>
          <w:rFonts w:ascii="Arial" w:cs="Arial" w:eastAsia="Arial" w:hAnsi="Arial"/>
          <w:sz w:val="22"/>
          <w:szCs w:val="22"/>
          <w:color w:val="auto"/>
        </w:rPr>
      </w:pPr>
    </w:p>
    <w:p>
      <w:pPr>
        <w:ind w:right="20" w:firstLine="656"/>
        <w:spacing w:after="0" w:line="263" w:lineRule="auto"/>
        <w:tabs>
          <w:tab w:leader="none" w:pos="111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Interest on this Bond shall be calculated on the basis of a 365-day or 366-day year, as the case may be, using the actual number of days elapsed; provided, however, that this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420"/>
          </w:cols>
          <w:pgMar w:left="240" w:top="631" w:right="239" w:bottom="1440" w:gutter="0" w:footer="0" w:header="0"/>
        </w:sectPr>
      </w:pPr>
    </w:p>
    <w:bookmarkStart w:id="260" w:name="page261"/>
    <w:bookmarkEnd w:id="260"/>
    <w:p>
      <w:pPr>
        <w:spacing w:after="0" w:line="263" w:lineRule="auto"/>
        <w:rPr>
          <w:sz w:val="20"/>
          <w:szCs w:val="20"/>
          <w:color w:val="auto"/>
        </w:rPr>
      </w:pPr>
      <w:r>
        <w:rPr>
          <w:rFonts w:ascii="Arial" w:cs="Arial" w:eastAsia="Arial" w:hAnsi="Arial"/>
          <w:sz w:val="22"/>
          <w:szCs w:val="22"/>
          <w:color w:val="auto"/>
        </w:rPr>
        <w:t>of calculation does not cause the “net effective interest rate” from the date of issuance of the Bonds through any subsequent date of calculation to exceed the Maximum Rate.</w:t>
      </w:r>
    </w:p>
    <w:p>
      <w:pPr>
        <w:spacing w:after="0" w:line="175" w:lineRule="exact"/>
        <w:rPr>
          <w:sz w:val="20"/>
          <w:szCs w:val="20"/>
          <w:color w:val="auto"/>
        </w:rPr>
      </w:pPr>
    </w:p>
    <w:p>
      <w:pPr>
        <w:ind w:left="1040" w:hanging="384"/>
        <w:spacing w:after="0"/>
        <w:tabs>
          <w:tab w:leader="none" w:pos="104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Notices to Bondholders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63" w:lineRule="auto"/>
        <w:tabs>
          <w:tab w:leader="none" w:pos="1131"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Conversion Dates</w:t>
      </w:r>
      <w:r>
        <w:rPr>
          <w:rFonts w:ascii="Arial" w:cs="Arial" w:eastAsia="Arial" w:hAnsi="Arial"/>
          <w:sz w:val="21"/>
          <w:szCs w:val="21"/>
          <w:color w:val="auto"/>
        </w:rPr>
        <w:t>. At least 30 days prior to any Conversion Date, the Trustee shall give to each Registered Holder of the Daily Rate Bonds to be converted to a Fixed Rate, Weekly Rate or Commercial Paper Rate Bond notice in the manner provided in the Indenture stating the applicable Conversion Date and that if there has been irrevocably deposited in trust with the Tender Agent an amount of money to pay the Purchase Price of all Untendered Bonds, such Holders will be deemed to have tendered such Daily Rate Bonds for purchase on the Conversion Date.</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17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Credit Facility Termination Date or Liquidity Facility Termination Date</w:t>
      </w:r>
      <w:r>
        <w:rPr>
          <w:rFonts w:ascii="Arial" w:cs="Arial" w:eastAsia="Arial" w:hAnsi="Arial"/>
          <w:sz w:val="22"/>
          <w:szCs w:val="22"/>
          <w:color w:val="auto"/>
        </w:rPr>
        <w:t>. At least 10 Business Days prior to a Credit Facility Termination Date or a Liquidity Facility Termination Date, the Trustee shall give to each Registered Holder of a Daily Rate Bond notice in the manner provided in the Indenture that after the Credit Facility Termination Date or the Liquidity Facility Termination Date, as applicable, the Credit Enhancer or Liquidity Bank will no longer be obligated to pay the principal and interest on, or the Purchase Price of, as applicable, Daily Rate Bonds and that if there has been irrevocably deposited in trust with the Tender Agent an amount of money to pay the principal and interest on or the Purchase Price of, as applicable, all Untendered Bonds, all Registered Holders who have not tendered their Daily Rate Bonds on or before the Credit Facility Termination Date or the Liquidity Facility Termination Date will be deemed to have tendered such Daily Rate Bonds for purchase on such Purchase Date.</w:t>
      </w:r>
    </w:p>
    <w:p>
      <w:pPr>
        <w:spacing w:after="0" w:line="191" w:lineRule="exact"/>
        <w:rPr>
          <w:rFonts w:ascii="Arial" w:cs="Arial" w:eastAsia="Arial" w:hAnsi="Arial"/>
          <w:sz w:val="22"/>
          <w:szCs w:val="22"/>
          <w:color w:val="auto"/>
        </w:rPr>
      </w:pPr>
    </w:p>
    <w:p>
      <w:pPr>
        <w:jc w:val="both"/>
        <w:ind w:firstLine="656"/>
        <w:spacing w:after="0" w:line="294" w:lineRule="auto"/>
        <w:tabs>
          <w:tab w:leader="none" w:pos="110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Substitution of Alternate Credit Facility or Alternate Liquidity Facility</w:t>
      </w:r>
      <w:r>
        <w:rPr>
          <w:rFonts w:ascii="Arial" w:cs="Arial" w:eastAsia="Arial" w:hAnsi="Arial"/>
          <w:sz w:val="19"/>
          <w:szCs w:val="19"/>
          <w:color w:val="auto"/>
        </w:rPr>
        <w:t>. At least 10 Business Days prior to the effective date of an alternate Credit Facility or an alternate Liquidity Facility, the Trustee shall give to each Registered Holder of a Daily Rate Bond notice in the manner provided in the Indenture of the date such alternate Credit Facility or alternate Liquidity Facility shall become effective, and if there has been irrevocably deposited in trust with the Tender Agent an amount of money to pay the Purchase Price of all Untendered Bonds, such Holders will be deemed to have tendered such Daily Rate Bonds for purchase on the effective date of such alternate Credit Facility or alternate Liquidity Facility at the Purchase Price.</w:t>
      </w:r>
    </w:p>
    <w:p>
      <w:pPr>
        <w:spacing w:after="0" w:line="149" w:lineRule="exact"/>
        <w:rPr>
          <w:rFonts w:ascii="Arial" w:cs="Arial" w:eastAsia="Arial" w:hAnsi="Arial"/>
          <w:sz w:val="19"/>
          <w:szCs w:val="19"/>
          <w:color w:val="auto"/>
        </w:rPr>
      </w:pPr>
    </w:p>
    <w:p>
      <w:pPr>
        <w:jc w:val="both"/>
        <w:ind w:firstLine="656"/>
        <w:spacing w:after="0" w:line="297" w:lineRule="auto"/>
        <w:tabs>
          <w:tab w:leader="none" w:pos="115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Mandatory Tender after Event of Default</w:t>
      </w:r>
      <w:r>
        <w:rPr>
          <w:rFonts w:ascii="Arial" w:cs="Arial" w:eastAsia="Arial" w:hAnsi="Arial"/>
          <w:sz w:val="19"/>
          <w:szCs w:val="19"/>
          <w:color w:val="auto"/>
        </w:rPr>
        <w:t>. The Trustee shall notify the Registered Holders on the same Business Day the Trustee receives receipt of notice from a Credit Enhancer of an Event of Default under Section 7.01(5) and direction from the Credit Enhancer to effect a Mandatory Tender of the Bonds secured by the Credit Facility issued by such Credit Enhancer if the Trustee receives such notice by 2:00 p.m. New York, New York time on a Business Day, and not later than 10:00 a.m. New York, New York time on the next Business Day if the Trustee receives such notice after 2:00 p.m. on a Business Day.</w:t>
      </w:r>
    </w:p>
    <w:p>
      <w:pPr>
        <w:spacing w:after="0" w:line="147" w:lineRule="exact"/>
        <w:rPr>
          <w:sz w:val="20"/>
          <w:szCs w:val="20"/>
          <w:color w:val="auto"/>
        </w:rPr>
      </w:pPr>
    </w:p>
    <w:p>
      <w:pPr>
        <w:ind w:left="1040" w:hanging="384"/>
        <w:spacing w:after="0"/>
        <w:tabs>
          <w:tab w:leader="none" w:pos="104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Mandatory Tender of Bonds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3" w:lineRule="auto"/>
        <w:tabs>
          <w:tab w:leader="none" w:pos="1131"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Conversion Date</w:t>
      </w:r>
      <w:r>
        <w:rPr>
          <w:rFonts w:ascii="Arial" w:cs="Arial" w:eastAsia="Arial" w:hAnsi="Arial"/>
          <w:sz w:val="22"/>
          <w:szCs w:val="22"/>
          <w:color w:val="auto"/>
        </w:rPr>
        <w:t>. Holders of Daily Rate Bonds which are to be converted to a Fixed Rate, Commercial Paper Rate or Weekly Rate shall be required to tender their Daily Rate Bonds to the Tender Agent for purchase on the applicable Conversion Date at the Purchase Price whether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631" w:right="239" w:bottom="1440" w:gutter="0" w:footer="0" w:header="0"/>
        </w:sectPr>
      </w:pPr>
    </w:p>
    <w:bookmarkStart w:id="261" w:name="page262"/>
    <w:bookmarkEnd w:id="261"/>
    <w:p>
      <w:pPr>
        <w:spacing w:after="0"/>
        <w:rPr>
          <w:sz w:val="20"/>
          <w:szCs w:val="20"/>
          <w:color w:val="auto"/>
        </w:rPr>
      </w:pPr>
      <w:r>
        <w:rPr>
          <w:rFonts w:ascii="Arial" w:cs="Arial" w:eastAsia="Arial" w:hAnsi="Arial"/>
          <w:sz w:val="21"/>
          <w:szCs w:val="21"/>
          <w:color w:val="auto"/>
        </w:rPr>
        <w:t>not such Daily Rate Bonds actually convert to Fixed Rate Bonds, Commercial Paper Rate Bonds or Weekly Rate Bonds.</w:t>
      </w:r>
    </w:p>
    <w:p>
      <w:pPr>
        <w:spacing w:after="0" w:line="231" w:lineRule="exact"/>
        <w:rPr>
          <w:sz w:val="20"/>
          <w:szCs w:val="20"/>
          <w:color w:val="auto"/>
        </w:rPr>
      </w:pPr>
    </w:p>
    <w:p>
      <w:pPr>
        <w:jc w:val="both"/>
        <w:ind w:firstLine="656"/>
        <w:spacing w:after="0" w:line="265" w:lineRule="auto"/>
        <w:tabs>
          <w:tab w:leader="none" w:pos="1143"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Credit Facility Termination Date or Liquidity Facility Termination Date</w:t>
      </w:r>
      <w:r>
        <w:rPr>
          <w:rFonts w:ascii="Arial" w:cs="Arial" w:eastAsia="Arial" w:hAnsi="Arial"/>
          <w:sz w:val="21"/>
          <w:szCs w:val="21"/>
          <w:color w:val="auto"/>
        </w:rPr>
        <w:t>. All Registered Holders of Daily Rate Bonds shall be required to tender their Daily Rate Bonds to the Tender Agent for purchase on the Business Day prior to the Credit Facility Termination Date with respect to such Bonds or Liquidity Facility Termination Date with respect to such Bonds (except in the case of substitution of a Credit Facility or Liquidity Facility), as applicable, at the Purchase Price.</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158"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Alternate Credit Facility or Alternate Liquidity Facility</w:t>
      </w:r>
      <w:r>
        <w:rPr>
          <w:rFonts w:ascii="Arial" w:cs="Arial" w:eastAsia="Arial" w:hAnsi="Arial"/>
          <w:sz w:val="22"/>
          <w:szCs w:val="22"/>
          <w:color w:val="auto"/>
        </w:rPr>
        <w:t>. Holders of Daily Rate Bonds shall be required to tender the Daily Rate Bonds to the Tender Agent for purchase at the Purchase Price on the effective date of an Alternate Credit Facility or Alternate Liquidity Facility unless the Trustee has received written confirmation from each Rating Service that the rating on the Bonds will not be reduced or withdrawn as a result of such substitution.</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211"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Mandatory Tender after Event of Default</w:t>
      </w:r>
      <w:r>
        <w:rPr>
          <w:rFonts w:ascii="Arial" w:cs="Arial" w:eastAsia="Arial" w:hAnsi="Arial"/>
          <w:sz w:val="22"/>
          <w:szCs w:val="22"/>
          <w:color w:val="auto"/>
        </w:rPr>
        <w:t>. Holders of Daily Rate Bonds shall be required to tender the Daily Rate Bonds to the Tender Agent for purchase at the Purchase Price on the Business Day following the day the Trustee gives notice of mandatory tender as a result of an Event of Default under Section 7.01(5) of the Indenture and direction from the Liquidity Bank to effect a Mandatory Tender of the Daily Rate Bonds.</w:t>
      </w:r>
    </w:p>
    <w:p>
      <w:pPr>
        <w:spacing w:after="0" w:line="188" w:lineRule="exact"/>
        <w:rPr>
          <w:sz w:val="20"/>
          <w:szCs w:val="20"/>
          <w:color w:val="auto"/>
        </w:rPr>
      </w:pPr>
    </w:p>
    <w:p>
      <w:pPr>
        <w:jc w:val="both"/>
        <w:ind w:firstLine="656"/>
        <w:spacing w:after="0" w:line="258" w:lineRule="auto"/>
        <w:tabs>
          <w:tab w:leader="none" w:pos="1067"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Interest on this Bond payable prior to or on the Maturity Date shall be paid by check or draft mailed to the Registered Holder of this Bond (provided, that any Registered Holder of $1,000,000 or more in Bonds may, upon written notice to the Trustee containing the appropriate information, elect to be paid by wire transfer of immediately available funds to an account in the United States) at its address as it appears on the registration books of the Trustee (in such capacity, the “Bond Registrar”). Interest on this Bond which is payable, and is punctually paid or duly provided for, on any Interest Payment Date shall be paid to the Registered Holder of this Bond as of the applicable Regular Record Date. In order to make payment of defaulted interest, the District shall pay the defaulted interest to the person who is the Registered Holder on a subsequent special record date. The Trustee shall fix the special record date and special interest payment date. At least 10 days before the special record date, the Trustee shall mail to the Registered Holder a notice that states the special record date, the special interest, payment date, and the amount of interest to be paid.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Principal of (and premium, if any, on) this Bond payable on the Maturity Date or other final payment hereof shall be payable to the Registered Holder of this Bond at the payment office of the Trustee in Houston, Texas, upon the surrender for cancellation of this Bond.</w:t>
      </w:r>
    </w:p>
    <w:p>
      <w:pPr>
        <w:spacing w:after="0" w:line="186" w:lineRule="exact"/>
        <w:rPr>
          <w:sz w:val="20"/>
          <w:szCs w:val="20"/>
          <w:color w:val="auto"/>
        </w:rPr>
      </w:pPr>
    </w:p>
    <w:p>
      <w:pPr>
        <w:jc w:val="both"/>
        <w:ind w:firstLine="656"/>
        <w:spacing w:after="0" w:line="263" w:lineRule="auto"/>
        <w:tabs>
          <w:tab w:leader="none" w:pos="1094"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Optional Tender of Bonds</w:t>
      </w:r>
      <w:r>
        <w:rPr>
          <w:rFonts w:ascii="Arial" w:cs="Arial" w:eastAsia="Arial" w:hAnsi="Arial"/>
          <w:sz w:val="21"/>
          <w:szCs w:val="21"/>
          <w:color w:val="auto"/>
        </w:rPr>
        <w:t>. This Bond, or any portion hereof in authorized denominations, shall be purchased, at the option of the Registered Holder hereof, on any Business Day at the Purchase Price (payable in immediately available funds at the principal office of the Tender Agent), if the Registered Holder hereof gives notice (a “Demand Notice”) to the Remarketing Agent on or prior to 10:00 a.m., New York, New York time, on such Business Day by telephone to _______, or such other number designated for such purpose by the Remarketing Agent, stating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420"/>
          </w:cols>
          <w:pgMar w:left="240" w:top="631" w:right="239" w:bottom="1440" w:gutter="0" w:footer="0" w:header="0"/>
        </w:sectPr>
      </w:pPr>
    </w:p>
    <w:bookmarkStart w:id="262" w:name="page263"/>
    <w:bookmarkEnd w:id="262"/>
    <w:p>
      <w:pPr>
        <w:jc w:val="both"/>
        <w:spacing w:after="0" w:line="248" w:lineRule="auto"/>
        <w:rPr>
          <w:sz w:val="20"/>
          <w:szCs w:val="20"/>
          <w:color w:val="auto"/>
        </w:rPr>
      </w:pPr>
      <w:r>
        <w:rPr>
          <w:rFonts w:ascii="Arial" w:cs="Arial" w:eastAsia="Arial" w:hAnsi="Arial"/>
          <w:sz w:val="22"/>
          <w:szCs w:val="22"/>
          <w:color w:val="auto"/>
        </w:rPr>
        <w:t>Holder’s irrevocable and unconditional election to tender this Bond on such day and tenders such Bond to the Remarketing Agent prior to 10:00 a.m. New York, New York time. Such Demand Notice must include the name of such Registered Holder and the aggregate principal amount of Bonds to be tendered. The Remarketing Agent shall immediately notify the Trustee as to the amount of Bonds tendered and the amount, if any, required to be drawn on the Liquidity Facility within the time and in the manner required by the Indenture.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Registered Holder of this Bond, by its acceptance hereof, appoints the Remarketing Agent and the Tender Agent to act as its agents in effecting the purchase of the Bonds pursuant to the provisions of this paragraph. The Purchase Price shall be paid with amounts received pursuant to the Remarketing Agreement or the Liquidity Facility or, if amounts from such sources are inadequate, with amounts received from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foregoing, the provisions of this paragraph 7 shall not be applicable with respect to Liquidity Bank</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Bonds.</w:t>
      </w:r>
    </w:p>
    <w:p>
      <w:pPr>
        <w:spacing w:after="0" w:line="202" w:lineRule="exact"/>
        <w:rPr>
          <w:sz w:val="20"/>
          <w:szCs w:val="20"/>
          <w:color w:val="auto"/>
        </w:rPr>
      </w:pPr>
    </w:p>
    <w:p>
      <w:pPr>
        <w:jc w:val="both"/>
        <w:ind w:firstLine="656"/>
        <w:spacing w:after="0" w:line="244" w:lineRule="auto"/>
        <w:tabs>
          <w:tab w:leader="none" w:pos="1134"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Deemed Tender of Daily Rate Bonds</w:t>
      </w:r>
      <w:r>
        <w:rPr>
          <w:rFonts w:ascii="Arial" w:cs="Arial" w:eastAsia="Arial" w:hAnsi="Arial"/>
          <w:sz w:val="22"/>
          <w:szCs w:val="22"/>
          <w:color w:val="auto"/>
        </w:rPr>
        <w:t>. ANY DAILY RATE BOND (OR PORTION THEREOF) FOR WHICH AN OPTIONAL TENDER HAS BEEN EXERCISED, OR WHICH IS SUBJECT TO MANDATORY TENDER, ON ANY PURCHASE DATE IN ACCORDANCE WITH THE PROVISIONS HEREOF AND THE INDENTURE, BUT WHICH IS NOT TENDERED FOR PURCHASE BY 12:00, NOON, NEW YORK, NEW YORK TIME, ON THE APPLICABLE PURCHASE DATE (SUCH BONDS OR PORTIONS HEREIN REFERRED TO AS “UNTENDERED BONDS”) SHALL, UPON DEPOSIT IN THE PURCHASE FUND OF AN AMOUNT SUFFICIENT TO PAY THE PURCHASE PRICE OF SUCH BOND ON SUCH PURCHASE DATE, BE DEEMED TO HAVE BEEN TENDERED AND SOLD FOR THE PURCHASE PRICE ON SUCH PURCHASE DATE, REGARDLESS OF WHETHER (i) IN THE CASE OF A MANDATORY TENDER, THE HOLDER THEREOF SHALL HAVE RECEIVED THE NOTICES DESCRIBED IN PARAGRAPH 4 HEREOF, AND (ii) IN CONNECTION WITH A CONVERSION DATE, SUCH DAILY RATE BOND ACTUALLY CONVERTS TO A FIXED RATE BOND WEEKLY RATE, OR A COMMERCIAL PAPER RATE BOND, AND THEREAFTER THE HOLDER THEREOF SHALL NOT BE ENTITLED TO ANY PAYMENT (INCLUDING ANY INTEREST ACCRUED SUBSEQUENT TO SUCH PURCHASE DATE) IN RESPECT THEREOF OTHER THAN THE PURCHASE PRICE FOR SUCH UNTENDERED BOND, AND SUCH UNTENDERED BOND SHALL NO LONGER BE ENTITLED TO THE BENEFIT OF THE INDENTURE OR THE LIQUIDITY FACILITY, EXCEPT FOR THE PURPOSE OF PAYMENT OF THE PURCHASE PRICE THEREFOR. UNTENDERED BONDS MUST BE SURRENDERED TO THE TENDER AGENT FOR PAYMENT OF THE PURCHASE PRICE DUE THEREON.</w:t>
      </w:r>
    </w:p>
    <w:p>
      <w:pPr>
        <w:spacing w:after="0" w:line="206" w:lineRule="exact"/>
        <w:rPr>
          <w:rFonts w:ascii="Arial" w:cs="Arial" w:eastAsia="Arial" w:hAnsi="Arial"/>
          <w:sz w:val="22"/>
          <w:szCs w:val="22"/>
          <w:color w:val="auto"/>
        </w:rPr>
      </w:pPr>
    </w:p>
    <w:p>
      <w:pPr>
        <w:jc w:val="both"/>
        <w:ind w:firstLine="656"/>
        <w:spacing w:after="0" w:line="253" w:lineRule="auto"/>
        <w:tabs>
          <w:tab w:leader="none" w:pos="108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 The Daily Rate Bonds may be redeemed in whole or in part prior to maturity on any Business Day, at the option of the District, at a price equal to the unpaid principal amount of the Bonds so redeemed, plus accrued interest to the redemption date, without premium.</w:t>
      </w:r>
    </w:p>
    <w:p>
      <w:pPr>
        <w:spacing w:after="0" w:line="185" w:lineRule="exact"/>
        <w:rPr>
          <w:rFonts w:ascii="Arial" w:cs="Arial" w:eastAsia="Arial" w:hAnsi="Arial"/>
          <w:sz w:val="22"/>
          <w:szCs w:val="22"/>
          <w:color w:val="auto"/>
        </w:rPr>
      </w:pPr>
    </w:p>
    <w:p>
      <w:pPr>
        <w:ind w:firstLine="656"/>
        <w:spacing w:after="0" w:line="263" w:lineRule="auto"/>
        <w:tabs>
          <w:tab w:leader="none" w:pos="1297"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Authorized Denominations and Transfer</w:t>
      </w:r>
      <w:r>
        <w:rPr>
          <w:rFonts w:ascii="Arial" w:cs="Arial" w:eastAsia="Arial" w:hAnsi="Arial"/>
          <w:sz w:val="22"/>
          <w:szCs w:val="22"/>
          <w:color w:val="auto"/>
        </w:rPr>
        <w:t>. The Daily Rate Bonds are issuable only as fully registered Bonds in denominations of $100,000 and multiples of $5,000 in excess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420"/>
          </w:cols>
          <w:pgMar w:left="240" w:top="631" w:right="239" w:bottom="1440" w:gutter="0" w:footer="0" w:header="0"/>
        </w:sectPr>
      </w:pPr>
    </w:p>
    <w:bookmarkStart w:id="263" w:name="page264"/>
    <w:bookmarkEnd w:id="263"/>
    <w:p>
      <w:pPr>
        <w:jc w:val="both"/>
        <w:spacing w:after="0" w:line="253" w:lineRule="auto"/>
        <w:rPr>
          <w:sz w:val="20"/>
          <w:szCs w:val="20"/>
          <w:color w:val="auto"/>
        </w:rPr>
      </w:pPr>
      <w:r>
        <w:rPr>
          <w:rFonts w:ascii="Arial" w:cs="Arial" w:eastAsia="Arial" w:hAnsi="Arial"/>
          <w:sz w:val="22"/>
          <w:szCs w:val="22"/>
          <w:color w:val="auto"/>
        </w:rPr>
        <w:t>$100,000. This Bond is transferable by the Registered Holder hereof in person or by his attorney duly authorized in writing at the principal payment office of the Bond Registrar in Houston, Texas upon presentation hereof to the Bond Registrar, all subject to the terms and conditions provided in the Indenture.</w:t>
      </w:r>
    </w:p>
    <w:p>
      <w:pPr>
        <w:spacing w:after="0" w:line="186" w:lineRule="exact"/>
        <w:rPr>
          <w:sz w:val="20"/>
          <w:szCs w:val="20"/>
          <w:color w:val="auto"/>
        </w:rPr>
      </w:pPr>
    </w:p>
    <w:p>
      <w:pPr>
        <w:jc w:val="both"/>
        <w:ind w:firstLine="656"/>
        <w:spacing w:after="0" w:line="250" w:lineRule="auto"/>
        <w:tabs>
          <w:tab w:leader="none" w:pos="119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Additional Provisions</w:t>
      </w:r>
      <w:r>
        <w:rPr>
          <w:rFonts w:ascii="Arial" w:cs="Arial" w:eastAsia="Arial" w:hAnsi="Arial"/>
          <w:sz w:val="22"/>
          <w:szCs w:val="22"/>
          <w:color w:val="auto"/>
        </w:rPr>
        <w:t>. Subject to the restrictions set forth therein, the Indenture permits, with certain exceptions as therein provided, the District and the Trustee, with the consent of the Holders of the percentage in principal amount of Bonds outstanding specified in the Indenture, to execute supplemental indentures amending, adding to or eliminating any provisions of the Indenture.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Holder of this Bond shall have no right to enforce the provisions of the Indenture or to institute an action to enforce the covenants therein, or to take any action with respect to any Event of Default under the Indenture, or to institute, appear in or defend any suit or other proceeding with respect thereto, except as provided in the Indenture. It is also provided in the Indenture that the Trustee at, in certain cases, the written request of the Holders of the applicable percentage of Bonds specified in the Indenture, may waive any past default or Event of Default under the Indenture and its consequences except a default (i) in the payment of principal of or premium, if any, or interest on any of the Bonds, (ii) default under the Credit Facility, or (iii) default under the Liquidity Facility; provided, however, the Trustee must receive prior written notice that any Liquidity Facility and Credit Facility has been reinstated in full and is in full force and effect. The Indenture further provides that if, after a declaration of the acceleration of the maturity of the principal amount of the Bonds, but prior to the entry of a final judgment for such amount, all amounts which would then be payable thereunder by the District if such default had not occurred and were not continuing and certain other amounts shall have been paid by or on behalf of the District and the parties to the Bond Documents shall have also performed all other obligations in respect of which any of them is then in default under the Bond Documents and shall have paid the reasonable charges and expenses of the Trustee and the Holders of the Bonds, including reasonable attorneys’ fees paid or incurred, then the Trustee shall, in certain cases, upon request of the Holders of the applicable percentage of Bonds specified in the Indenture, waive such Event of Default and rescind and annul any remedial step theretofore taken by it in respect of such default and its consequences.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Anything to the contrary herein, any right of demand, authorization, direction, consent, waiver, or similar action (other than optional tender rights and other than rights in connection with the failure of payment of the Purchase Price when due) granted to Bondholders whose Bonds are secured by a Credit Facility shall be exercised by the Credit Enhancer for such Credit Facility, so long as such Credit Facility is in effect and such Credit Enhancer is not in default thereunder to the exclusion of such Bondholders.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Daily Rate Bond shall be governed, in all respects including validity, interpretation and effect by, and shall be enforceable in accordance with, the applicable laws of the United States of America and of the State.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District has caused this Bond to be executed by its President and to be attested to by its Secretary both by their manual or facsimile signatures all as of the Issue Date.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420"/>
          </w:cols>
          <w:pgMar w:left="240" w:top="632" w:right="239" w:bottom="1440" w:gutter="0" w:footer="0" w:header="0"/>
        </w:sectPr>
      </w:pPr>
    </w:p>
    <w:bookmarkStart w:id="264" w:name="page265"/>
    <w:bookmarkEnd w:id="264"/>
    <w:p>
      <w:pPr>
        <w:ind w:left="390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B-9</w:t>
      </w:r>
    </w:p>
    <w:p>
      <w:pPr>
        <w:sectPr>
          <w:pgSz w:w="11900" w:h="16838" w:orient="portrait"/>
          <w:cols w:equalWidth="0" w:num="1">
            <w:col w:w="10980"/>
          </w:cols>
          <w:pgMar w:left="240" w:top="631" w:right="679" w:bottom="1440" w:gutter="0" w:footer="0" w:header="0"/>
        </w:sectPr>
      </w:pPr>
    </w:p>
    <w:bookmarkStart w:id="265" w:name="page266"/>
    <w:bookmarkEnd w:id="265"/>
    <w:p>
      <w:pPr>
        <w:jc w:val="center"/>
        <w:ind w:right="-1160"/>
        <w:spacing w:after="0"/>
        <w:rPr>
          <w:sz w:val="20"/>
          <w:szCs w:val="20"/>
          <w:color w:val="auto"/>
        </w:rPr>
      </w:pPr>
      <w:r>
        <w:rPr>
          <w:rFonts w:ascii="Arial" w:cs="Arial" w:eastAsia="Arial" w:hAnsi="Arial"/>
          <w:sz w:val="19"/>
          <w:szCs w:val="19"/>
          <w:color w:val="auto"/>
        </w:rPr>
        <w:t>(FORM OF CERTIFICATE OF AUTHENTICATION TO</w:t>
      </w:r>
    </w:p>
    <w:p>
      <w:pPr>
        <w:spacing w:after="0" w:line="56"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APPEAR ON EACH BOND)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right="2699" w:firstLine="3252"/>
        <w:spacing w:after="0" w:line="519" w:lineRule="auto"/>
        <w:rPr>
          <w:sz w:val="20"/>
          <w:szCs w:val="20"/>
          <w:color w:val="auto"/>
        </w:rPr>
      </w:pPr>
      <w:r>
        <w:rPr>
          <w:rFonts w:ascii="Arial" w:cs="Arial" w:eastAsia="Arial" w:hAnsi="Arial"/>
          <w:sz w:val="19"/>
          <w:szCs w:val="19"/>
          <w:u w:val="single" w:color="auto"/>
          <w:color w:val="auto"/>
        </w:rPr>
        <w:t xml:space="preserve">CERTIFICATE OF AUTHENTICATION </w:t>
      </w:r>
      <w:r>
        <w:rPr>
          <w:rFonts w:ascii="Arial" w:cs="Arial" w:eastAsia="Arial" w:hAnsi="Arial"/>
          <w:sz w:val="19"/>
          <w:szCs w:val="19"/>
          <w:color w:val="auto"/>
        </w:rPr>
        <w:t>This is one of the Bonds referred to in the within mentioned Indenture.</w:t>
      </w:r>
    </w:p>
    <w:p>
      <w:pPr>
        <w:ind w:left="3900"/>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Authenticating Agent, or its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of Authentication: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-17780</wp:posOffset>
            </wp:positionV>
            <wp:extent cx="960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Authorized Signatory</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B-10</w:t>
      </w:r>
    </w:p>
    <w:p>
      <w:pPr>
        <w:sectPr>
          <w:pgSz w:w="11900" w:h="16838" w:orient="portrait"/>
          <w:cols w:equalWidth="0" w:num="1">
            <w:col w:w="10219"/>
          </w:cols>
          <w:pgMar w:left="240" w:top="631" w:right="1440" w:bottom="1440" w:gutter="0" w:footer="0" w:header="0"/>
        </w:sectPr>
      </w:pPr>
    </w:p>
    <w:bookmarkStart w:id="266" w:name="page267"/>
    <w:bookmarkEnd w:id="266"/>
    <w:p>
      <w:pPr>
        <w:spacing w:after="0" w:line="11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(FORM OF ASSIGNMENT TO APPEAR ON EACH BOND)</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u w:val="single" w:color="auto"/>
          <w:color w:val="auto"/>
        </w:rPr>
        <w:t>FORM OF ASSIGNMENT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hereby sells, assigns and transfers unto (Print or typewrite name, address, and zip code</w:t>
      </w:r>
    </w:p>
    <w:p>
      <w:pPr>
        <w:spacing w:after="0" w:line="56" w:lineRule="exact"/>
        <w:rPr>
          <w:sz w:val="20"/>
          <w:szCs w:val="20"/>
          <w:color w:val="auto"/>
        </w:rPr>
      </w:pPr>
    </w:p>
    <w:p>
      <w:pPr>
        <w:spacing w:after="0"/>
        <w:tabs>
          <w:tab w:leader="none" w:pos="3480" w:val="left"/>
          <w:tab w:leader="none" w:pos="7720" w:val="left"/>
        </w:tabs>
        <w:rPr>
          <w:sz w:val="20"/>
          <w:szCs w:val="20"/>
          <w:color w:val="auto"/>
        </w:rPr>
      </w:pP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transferee)</w:t>
      </w:r>
      <w:r>
        <w:rPr>
          <w:sz w:val="20"/>
          <w:szCs w:val="20"/>
          <w:color w:val="auto"/>
        </w:rPr>
        <w:tab/>
      </w:r>
      <w:r>
        <w:rPr>
          <w:rFonts w:ascii="Arial" w:cs="Arial" w:eastAsia="Arial" w:hAnsi="Arial"/>
          <w:sz w:val="19"/>
          <w:szCs w:val="19"/>
          <w:color w:val="auto"/>
        </w:rPr>
        <w:t>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  (Social  Security  or  other  tax  identifying  number: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 the within Bond and does hereby irrevocably constitute and appoint _________________________, as</w:t>
      </w:r>
    </w:p>
    <w:p>
      <w:pPr>
        <w:spacing w:after="0" w:line="3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attorney, to transfer the within Bond on the books kept for registration of the within Bond, with full power of substitution in the premises.</w:t>
      </w:r>
    </w:p>
    <w:p>
      <w:pPr>
        <w:sectPr>
          <w:pgSz w:w="11900" w:h="16954" w:orient="portrait"/>
          <w:cols w:equalWidth="0" w:num="1">
            <w:col w:w="11420"/>
          </w:cols>
          <w:pgMar w:left="240" w:top="631" w:right="239" w:bottom="0" w:gutter="0" w:footer="0" w:header="0"/>
        </w:sect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w:t>
      </w:r>
    </w:p>
    <w:p>
      <w:pPr>
        <w:spacing w:after="0" w:line="79" w:lineRule="exact"/>
        <w:rPr>
          <w:sz w:val="20"/>
          <w:szCs w:val="20"/>
          <w:color w:val="auto"/>
        </w:rPr>
      </w:pPr>
    </w:p>
    <w:p>
      <w:pPr>
        <w:sectPr>
          <w:pgSz w:w="11900" w:h="16954" w:orient="portrait"/>
          <w:cols w:equalWidth="0" w:num="2">
            <w:col w:w="5020" w:space="720"/>
            <w:col w:w="5680"/>
          </w:cols>
          <w:pgMar w:left="240" w:top="63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_____________________________________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guaranteed by:</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21"/>
          <w:szCs w:val="21"/>
          <w:color w:val="auto"/>
        </w:rPr>
        <w:t>NOTICE: The signature(s) on this assignment must correspond with the name(s) of the registered holder(s) appearing on the face of the within Bond in every particular.</w:t>
      </w:r>
    </w:p>
    <w:p>
      <w:pPr>
        <w:spacing w:after="0" w:line="194" w:lineRule="exact"/>
        <w:rPr>
          <w:sz w:val="20"/>
          <w:szCs w:val="20"/>
          <w:color w:val="auto"/>
        </w:rPr>
      </w:pPr>
    </w:p>
    <w:p>
      <w:pPr>
        <w:sectPr>
          <w:pgSz w:w="11900" w:h="16954" w:orient="portrait"/>
          <w:cols w:equalWidth="0" w:num="2">
            <w:col w:w="5020" w:space="720"/>
            <w:col w:w="5680"/>
          </w:cols>
          <w:pgMar w:left="240" w:top="631" w:right="239" w:bottom="0" w:gutter="0" w:footer="0" w:header="0"/>
          <w:type w:val="continuous"/>
        </w:sectPr>
      </w:pPr>
    </w:p>
    <w:p>
      <w:pPr>
        <w:ind w:left="4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NOTICE: Signature must be guaranteed by a member firm of the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National Association of Securities Dealers or a commercial bank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or a trust company which is a participant in an official medallion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program.</w:t>
      </w:r>
    </w:p>
    <w:p>
      <w:pPr>
        <w:sectPr>
          <w:pgSz w:w="11900" w:h="16954" w:orient="portrait"/>
          <w:cols w:equalWidth="0" w:num="1">
            <w:col w:w="11420"/>
          </w:cols>
          <w:pgMar w:left="240" w:top="631" w:right="239" w:bottom="0" w:gutter="0" w:footer="0" w:header="0"/>
          <w:type w:val="continuous"/>
        </w:sect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assignment above or on the face of the within Bond, shall be construed as though they were written out in full according to applicable laws or regulations:</w:t>
      </w:r>
    </w:p>
    <w:p>
      <w:pPr>
        <w:spacing w:after="0" w:line="175" w:lineRule="exact"/>
        <w:rPr>
          <w:sz w:val="20"/>
          <w:szCs w:val="20"/>
          <w:color w:val="auto"/>
        </w:rPr>
      </w:pPr>
    </w:p>
    <w:p>
      <w:pPr>
        <w:ind w:left="2600"/>
        <w:spacing w:after="0"/>
        <w:tabs>
          <w:tab w:leader="none" w:pos="3880" w:val="left"/>
        </w:tabs>
        <w:rPr>
          <w:sz w:val="20"/>
          <w:szCs w:val="20"/>
          <w:color w:val="auto"/>
        </w:rPr>
      </w:pPr>
      <w:r>
        <w:rPr>
          <w:rFonts w:ascii="Arial" w:cs="Arial" w:eastAsia="Arial" w:hAnsi="Arial"/>
          <w:sz w:val="22"/>
          <w:szCs w:val="22"/>
          <w:color w:val="auto"/>
        </w:rPr>
        <w:t>TEN COM -</w:t>
      </w:r>
      <w:r>
        <w:rPr>
          <w:sz w:val="20"/>
          <w:szCs w:val="20"/>
          <w:color w:val="auto"/>
        </w:rPr>
        <w:tab/>
      </w:r>
      <w:r>
        <w:rPr>
          <w:rFonts w:ascii="Arial" w:cs="Arial" w:eastAsia="Arial" w:hAnsi="Arial"/>
          <w:sz w:val="19"/>
          <w:szCs w:val="19"/>
          <w:color w:val="auto"/>
        </w:rPr>
        <w:t>as tenants in common</w:t>
      </w:r>
    </w:p>
    <w:p>
      <w:pPr>
        <w:spacing w:after="0" w:line="22" w:lineRule="exact"/>
        <w:rPr>
          <w:sz w:val="20"/>
          <w:szCs w:val="20"/>
          <w:color w:val="auto"/>
        </w:rPr>
      </w:pPr>
    </w:p>
    <w:p>
      <w:pPr>
        <w:ind w:left="2600"/>
        <w:spacing w:after="0"/>
        <w:tabs>
          <w:tab w:leader="none" w:pos="3820" w:val="left"/>
        </w:tabs>
        <w:rPr>
          <w:sz w:val="20"/>
          <w:szCs w:val="20"/>
          <w:color w:val="auto"/>
        </w:rPr>
      </w:pPr>
      <w:r>
        <w:rPr>
          <w:rFonts w:ascii="Arial" w:cs="Arial" w:eastAsia="Arial" w:hAnsi="Arial"/>
          <w:sz w:val="22"/>
          <w:szCs w:val="22"/>
          <w:color w:val="auto"/>
        </w:rPr>
        <w:t>TEN ENT -</w:t>
      </w:r>
      <w:r>
        <w:rPr>
          <w:sz w:val="20"/>
          <w:szCs w:val="20"/>
          <w:color w:val="auto"/>
        </w:rPr>
        <w:tab/>
      </w:r>
      <w:r>
        <w:rPr>
          <w:rFonts w:ascii="Arial" w:cs="Arial" w:eastAsia="Arial" w:hAnsi="Arial"/>
          <w:sz w:val="19"/>
          <w:szCs w:val="19"/>
          <w:color w:val="auto"/>
        </w:rPr>
        <w:t>as tenants by the entireties</w:t>
      </w:r>
    </w:p>
    <w:p>
      <w:pPr>
        <w:spacing w:after="0" w:line="4"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22"/>
          <w:szCs w:val="22"/>
          <w:color w:val="auto"/>
        </w:rPr>
        <w:t>JT TEN -</w:t>
      </w:r>
      <w:r>
        <w:rPr>
          <w:sz w:val="20"/>
          <w:szCs w:val="20"/>
          <w:color w:val="auto"/>
        </w:rPr>
        <w:tab/>
      </w:r>
      <w:r>
        <w:rPr>
          <w:rFonts w:ascii="Arial" w:cs="Arial" w:eastAsia="Arial" w:hAnsi="Arial"/>
          <w:sz w:val="19"/>
          <w:szCs w:val="19"/>
          <w:color w:val="auto"/>
        </w:rPr>
        <w:t>as joint tenants with right of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survivorship and not as tenants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common</w:t>
      </w:r>
    </w:p>
    <w:p>
      <w:pPr>
        <w:spacing w:after="0" w:line="202" w:lineRule="exact"/>
        <w:rPr>
          <w:sz w:val="20"/>
          <w:szCs w:val="20"/>
          <w:color w:val="auto"/>
        </w:rPr>
      </w:pPr>
    </w:p>
    <w:p>
      <w:pPr>
        <w:ind w:left="2600"/>
        <w:spacing w:after="0"/>
        <w:tabs>
          <w:tab w:leader="none" w:pos="4920" w:val="left"/>
        </w:tabs>
        <w:rPr>
          <w:sz w:val="20"/>
          <w:szCs w:val="20"/>
          <w:color w:val="auto"/>
        </w:rPr>
      </w:pPr>
      <w:r>
        <w:rPr>
          <w:rFonts w:ascii="Arial" w:cs="Arial" w:eastAsia="Arial" w:hAnsi="Arial"/>
          <w:sz w:val="22"/>
          <w:szCs w:val="22"/>
          <w:color w:val="auto"/>
        </w:rPr>
        <w:t>UNIF GIFT MIN ACT -</w:t>
      </w:r>
      <w:r>
        <w:rPr>
          <w:sz w:val="20"/>
          <w:szCs w:val="20"/>
          <w:color w:val="auto"/>
        </w:rPr>
        <w:tab/>
      </w:r>
      <w:r>
        <w:rPr>
          <w:rFonts w:ascii="Arial" w:cs="Arial" w:eastAsia="Arial" w:hAnsi="Arial"/>
          <w:sz w:val="19"/>
          <w:szCs w:val="19"/>
          <w:color w:val="auto"/>
        </w:rPr>
        <w:t>……….Custodian….…..</w:t>
      </w:r>
    </w:p>
    <w:p>
      <w:pPr>
        <w:spacing w:after="0" w:line="22" w:lineRule="exact"/>
        <w:rPr>
          <w:sz w:val="20"/>
          <w:szCs w:val="20"/>
          <w:color w:val="auto"/>
        </w:rPr>
      </w:pPr>
    </w:p>
    <w:p>
      <w:pPr>
        <w:ind w:left="4540"/>
        <w:spacing w:after="0"/>
        <w:tabs>
          <w:tab w:leader="none" w:pos="5500" w:val="left"/>
        </w:tabs>
        <w:rPr>
          <w:sz w:val="20"/>
          <w:szCs w:val="20"/>
          <w:color w:val="auto"/>
        </w:rPr>
      </w:pPr>
      <w:r>
        <w:rPr>
          <w:rFonts w:ascii="Arial" w:cs="Arial" w:eastAsia="Arial" w:hAnsi="Arial"/>
          <w:sz w:val="22"/>
          <w:szCs w:val="22"/>
          <w:color w:val="auto"/>
        </w:rPr>
        <w:t>(Cust)</w:t>
      </w:r>
      <w:r>
        <w:rPr>
          <w:sz w:val="20"/>
          <w:szCs w:val="20"/>
          <w:color w:val="auto"/>
        </w:rPr>
        <w:tab/>
      </w:r>
      <w:r>
        <w:rPr>
          <w:rFonts w:ascii="Arial" w:cs="Arial" w:eastAsia="Arial" w:hAnsi="Arial"/>
          <w:sz w:val="22"/>
          <w:szCs w:val="22"/>
          <w:color w:val="auto"/>
        </w:rPr>
        <w:t>(Minor)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Uniform Gifts to Minors Act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(State)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abbreviations may also be used though not in the list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8"/>
              </w:rPr>
              <w:t>EXHIBIT C</w:t>
            </w:r>
          </w:p>
        </w:tc>
        <w:tc>
          <w:tcPr>
            <w:tcW w:w="3380" w:type="dxa"/>
            <w:vAlign w:val="bottom"/>
          </w:tcPr>
          <w:p>
            <w:pPr>
              <w:spacing w:after="0"/>
              <w:rPr>
                <w:sz w:val="21"/>
                <w:szCs w:val="21"/>
                <w:color w:val="auto"/>
              </w:rPr>
            </w:pPr>
          </w:p>
        </w:tc>
      </w:tr>
      <w:tr>
        <w:trPr>
          <w:trHeight w:val="269"/>
        </w:trPr>
        <w:tc>
          <w:tcPr>
            <w:tcW w:w="1520" w:type="dxa"/>
            <w:vAlign w:val="bottom"/>
          </w:tcPr>
          <w:p>
            <w:pPr>
              <w:spacing w:after="0"/>
              <w:rPr>
                <w:sz w:val="23"/>
                <w:szCs w:val="23"/>
                <w:color w:val="auto"/>
              </w:rPr>
            </w:pPr>
          </w:p>
        </w:tc>
        <w:tc>
          <w:tcPr>
            <w:tcW w:w="8080" w:type="dxa"/>
            <w:vAlign w:val="bottom"/>
            <w:gridSpan w:val="3"/>
          </w:tcPr>
          <w:p>
            <w:pPr>
              <w:jc w:val="center"/>
              <w:ind w:left="152"/>
              <w:spacing w:after="0"/>
              <w:rPr>
                <w:sz w:val="20"/>
                <w:szCs w:val="20"/>
                <w:color w:val="auto"/>
              </w:rPr>
            </w:pPr>
            <w:r>
              <w:rPr>
                <w:rFonts w:ascii="Arial" w:cs="Arial" w:eastAsia="Arial" w:hAnsi="Arial"/>
                <w:sz w:val="22"/>
                <w:szCs w:val="22"/>
                <w:color w:val="auto"/>
                <w:w w:val="94"/>
              </w:rPr>
              <w:t>FORM OF BOND</w:t>
            </w:r>
          </w:p>
        </w:tc>
      </w:tr>
      <w:tr>
        <w:trPr>
          <w:trHeight w:val="275"/>
        </w:trPr>
        <w:tc>
          <w:tcPr>
            <w:tcW w:w="1520" w:type="dxa"/>
            <w:vAlign w:val="bottom"/>
          </w:tcPr>
          <w:p>
            <w:pPr>
              <w:spacing w:after="0"/>
              <w:rPr>
                <w:sz w:val="23"/>
                <w:szCs w:val="23"/>
                <w:color w:val="auto"/>
              </w:rPr>
            </w:pPr>
          </w:p>
        </w:tc>
        <w:tc>
          <w:tcPr>
            <w:tcW w:w="8080" w:type="dxa"/>
            <w:vAlign w:val="bottom"/>
            <w:gridSpan w:val="3"/>
          </w:tcPr>
          <w:p>
            <w:pPr>
              <w:jc w:val="center"/>
              <w:ind w:left="192"/>
              <w:spacing w:after="0"/>
              <w:rPr>
                <w:sz w:val="20"/>
                <w:szCs w:val="20"/>
                <w:color w:val="auto"/>
              </w:rPr>
            </w:pPr>
            <w:r>
              <w:rPr>
                <w:rFonts w:ascii="Arial" w:cs="Arial" w:eastAsia="Arial" w:hAnsi="Arial"/>
                <w:sz w:val="22"/>
                <w:szCs w:val="22"/>
                <w:color w:val="auto"/>
                <w:w w:val="93"/>
              </w:rPr>
              <w:t>(COMMERCIAL PAPER RATE)</w:t>
            </w:r>
          </w:p>
        </w:tc>
      </w:tr>
      <w:tr>
        <w:trPr>
          <w:trHeight w:val="689"/>
        </w:trPr>
        <w:tc>
          <w:tcPr>
            <w:tcW w:w="1520" w:type="dxa"/>
            <w:vAlign w:val="bottom"/>
          </w:tcPr>
          <w:p>
            <w:pPr>
              <w:spacing w:after="0"/>
              <w:rPr>
                <w:sz w:val="24"/>
                <w:szCs w:val="24"/>
                <w:color w:val="auto"/>
              </w:rPr>
            </w:pPr>
          </w:p>
        </w:tc>
        <w:tc>
          <w:tcPr>
            <w:tcW w:w="8080" w:type="dxa"/>
            <w:vAlign w:val="bottom"/>
            <w:gridSpan w:val="3"/>
          </w:tcPr>
          <w:p>
            <w:pPr>
              <w:jc w:val="center"/>
              <w:ind w:left="212"/>
              <w:spacing w:after="0"/>
              <w:rPr>
                <w:sz w:val="20"/>
                <w:szCs w:val="20"/>
                <w:color w:val="auto"/>
              </w:rPr>
            </w:pPr>
            <w:r>
              <w:rPr>
                <w:rFonts w:ascii="Arial" w:cs="Arial" w:eastAsia="Arial" w:hAnsi="Arial"/>
                <w:sz w:val="22"/>
                <w:szCs w:val="22"/>
                <w:color w:val="auto"/>
                <w:w w:val="93"/>
              </w:rPr>
              <w:t>(FORM OF FACE OF BOND)</w:t>
            </w:r>
          </w:p>
        </w:tc>
      </w:tr>
      <w:tr>
        <w:trPr>
          <w:trHeight w:val="671"/>
        </w:trPr>
        <w:tc>
          <w:tcPr>
            <w:tcW w:w="1520" w:type="dxa"/>
            <w:vAlign w:val="bottom"/>
          </w:tcPr>
          <w:p>
            <w:pPr>
              <w:spacing w:after="0"/>
              <w:rPr>
                <w:sz w:val="20"/>
                <w:szCs w:val="20"/>
                <w:color w:val="auto"/>
              </w:rPr>
            </w:pPr>
            <w:r>
              <w:rPr>
                <w:rFonts w:ascii="Arial" w:cs="Arial" w:eastAsia="Arial" w:hAnsi="Arial"/>
                <w:sz w:val="22"/>
                <w:szCs w:val="22"/>
                <w:color w:val="auto"/>
              </w:rPr>
              <w:t>Registered</w:t>
            </w:r>
          </w:p>
        </w:tc>
        <w:tc>
          <w:tcPr>
            <w:tcW w:w="3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No. CR-_____</w:t>
            </w:r>
          </w:p>
        </w:tc>
        <w:tc>
          <w:tcPr>
            <w:tcW w:w="3640" w:type="dxa"/>
            <w:vAlign w:val="bottom"/>
          </w:tcPr>
          <w:p>
            <w:pPr>
              <w:jc w:val="right"/>
              <w:ind w:right="632"/>
              <w:spacing w:after="0"/>
              <w:rPr>
                <w:sz w:val="20"/>
                <w:szCs w:val="20"/>
                <w:color w:val="auto"/>
              </w:rPr>
            </w:pPr>
            <w:r>
              <w:rPr>
                <w:rFonts w:ascii="Arial" w:cs="Arial" w:eastAsia="Arial" w:hAnsi="Arial"/>
                <w:sz w:val="22"/>
                <w:szCs w:val="22"/>
                <w:color w:val="auto"/>
              </w:rPr>
              <w:t>$________</w:t>
            </w:r>
          </w:p>
        </w:tc>
        <w:tc>
          <w:tcPr>
            <w:tcW w:w="106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455"/>
        </w:trPr>
        <w:tc>
          <w:tcPr>
            <w:tcW w:w="1520" w:type="dxa"/>
            <w:vAlign w:val="bottom"/>
          </w:tcPr>
          <w:p>
            <w:pPr>
              <w:spacing w:after="0"/>
              <w:rPr>
                <w:sz w:val="24"/>
                <w:szCs w:val="24"/>
                <w:color w:val="auto"/>
              </w:rPr>
            </w:pPr>
          </w:p>
        </w:tc>
        <w:tc>
          <w:tcPr>
            <w:tcW w:w="8080" w:type="dxa"/>
            <w:vAlign w:val="bottom"/>
            <w:gridSpan w:val="3"/>
          </w:tcPr>
          <w:p>
            <w:pPr>
              <w:jc w:val="center"/>
              <w:ind w:left="152"/>
              <w:spacing w:after="0"/>
              <w:rPr>
                <w:sz w:val="20"/>
                <w:szCs w:val="20"/>
                <w:color w:val="auto"/>
              </w:rPr>
            </w:pPr>
            <w:r>
              <w:rPr>
                <w:rFonts w:ascii="Arial" w:cs="Arial" w:eastAsia="Arial" w:hAnsi="Arial"/>
                <w:sz w:val="22"/>
                <w:szCs w:val="22"/>
                <w:color w:val="auto"/>
                <w:w w:val="94"/>
              </w:rPr>
              <w:t>UNITED STATES OF AMERICA</w:t>
            </w:r>
          </w:p>
        </w:tc>
      </w:tr>
      <w:tr>
        <w:trPr>
          <w:trHeight w:val="257"/>
        </w:trPr>
        <w:tc>
          <w:tcPr>
            <w:tcW w:w="1520" w:type="dxa"/>
            <w:vAlign w:val="bottom"/>
          </w:tcPr>
          <w:p>
            <w:pPr>
              <w:spacing w:after="0"/>
              <w:rPr>
                <w:sz w:val="22"/>
                <w:szCs w:val="22"/>
                <w:color w:val="auto"/>
              </w:rPr>
            </w:pPr>
          </w:p>
        </w:tc>
        <w:tc>
          <w:tcPr>
            <w:tcW w:w="8080" w:type="dxa"/>
            <w:vAlign w:val="bottom"/>
            <w:gridSpan w:val="3"/>
          </w:tcPr>
          <w:p>
            <w:pPr>
              <w:jc w:val="center"/>
              <w:ind w:left="152"/>
              <w:spacing w:after="0"/>
              <w:rPr>
                <w:sz w:val="20"/>
                <w:szCs w:val="20"/>
                <w:color w:val="auto"/>
              </w:rPr>
            </w:pPr>
            <w:r>
              <w:rPr>
                <w:rFonts w:ascii="Arial" w:cs="Arial" w:eastAsia="Arial" w:hAnsi="Arial"/>
                <w:sz w:val="22"/>
                <w:szCs w:val="22"/>
                <w:color w:val="auto"/>
                <w:w w:val="91"/>
              </w:rPr>
              <w:t>STATE OF TEXAS</w:t>
            </w:r>
          </w:p>
        </w:tc>
      </w:tr>
      <w:tr>
        <w:trPr>
          <w:trHeight w:val="275"/>
        </w:trPr>
        <w:tc>
          <w:tcPr>
            <w:tcW w:w="1520" w:type="dxa"/>
            <w:vAlign w:val="bottom"/>
          </w:tcPr>
          <w:p>
            <w:pPr>
              <w:spacing w:after="0"/>
              <w:rPr>
                <w:sz w:val="23"/>
                <w:szCs w:val="23"/>
                <w:color w:val="auto"/>
              </w:rPr>
            </w:pPr>
          </w:p>
        </w:tc>
        <w:tc>
          <w:tcPr>
            <w:tcW w:w="8080" w:type="dxa"/>
            <w:vAlign w:val="bottom"/>
            <w:gridSpan w:val="3"/>
          </w:tcPr>
          <w:p>
            <w:pPr>
              <w:jc w:val="center"/>
              <w:ind w:left="192"/>
              <w:spacing w:after="0"/>
              <w:rPr>
                <w:sz w:val="20"/>
                <w:szCs w:val="20"/>
                <w:color w:val="auto"/>
              </w:rPr>
            </w:pPr>
            <w:r>
              <w:rPr>
                <w:rFonts w:ascii="Arial" w:cs="Arial" w:eastAsia="Arial" w:hAnsi="Arial"/>
                <w:sz w:val="22"/>
                <w:szCs w:val="22"/>
                <w:color w:val="auto"/>
                <w:w w:val="92"/>
              </w:rPr>
              <w:t>COUNTY OF JEFFERSON</w:t>
            </w:r>
          </w:p>
        </w:tc>
      </w:tr>
      <w:tr>
        <w:trPr>
          <w:trHeight w:val="455"/>
        </w:trPr>
        <w:tc>
          <w:tcPr>
            <w:tcW w:w="1520" w:type="dxa"/>
            <w:vAlign w:val="bottom"/>
          </w:tcPr>
          <w:p>
            <w:pPr>
              <w:spacing w:after="0"/>
              <w:rPr>
                <w:sz w:val="24"/>
                <w:szCs w:val="24"/>
                <w:color w:val="auto"/>
              </w:rPr>
            </w:pPr>
          </w:p>
        </w:tc>
        <w:tc>
          <w:tcPr>
            <w:tcW w:w="8080" w:type="dxa"/>
            <w:vAlign w:val="bottom"/>
            <w:gridSpan w:val="3"/>
          </w:tcPr>
          <w:p>
            <w:pPr>
              <w:jc w:val="center"/>
              <w:ind w:left="152"/>
              <w:spacing w:after="0"/>
              <w:rPr>
                <w:sz w:val="20"/>
                <w:szCs w:val="20"/>
                <w:color w:val="auto"/>
              </w:rPr>
            </w:pPr>
            <w:r>
              <w:rPr>
                <w:rFonts w:ascii="Arial" w:cs="Arial" w:eastAsia="Arial" w:hAnsi="Arial"/>
                <w:sz w:val="22"/>
                <w:szCs w:val="22"/>
                <w:color w:val="auto"/>
                <w:w w:val="93"/>
              </w:rPr>
              <w:t>PORT OF BEAUMONT NAVIGATION DISTRICT OF JEFFERSON COUNTY, TEXAS</w:t>
            </w:r>
          </w:p>
        </w:tc>
      </w:tr>
      <w:tr>
        <w:trPr>
          <w:trHeight w:val="257"/>
        </w:trPr>
        <w:tc>
          <w:tcPr>
            <w:tcW w:w="1520" w:type="dxa"/>
            <w:vAlign w:val="bottom"/>
          </w:tcPr>
          <w:p>
            <w:pPr>
              <w:spacing w:after="0"/>
              <w:rPr>
                <w:sz w:val="22"/>
                <w:szCs w:val="22"/>
                <w:color w:val="auto"/>
              </w:rPr>
            </w:pPr>
          </w:p>
        </w:tc>
        <w:tc>
          <w:tcPr>
            <w:tcW w:w="8080" w:type="dxa"/>
            <w:vAlign w:val="bottom"/>
            <w:gridSpan w:val="3"/>
          </w:tcPr>
          <w:p>
            <w:pPr>
              <w:jc w:val="center"/>
              <w:ind w:left="132"/>
              <w:spacing w:after="0"/>
              <w:rPr>
                <w:sz w:val="20"/>
                <w:szCs w:val="20"/>
                <w:color w:val="auto"/>
              </w:rPr>
            </w:pPr>
            <w:r>
              <w:rPr>
                <w:rFonts w:ascii="Arial" w:cs="Arial" w:eastAsia="Arial" w:hAnsi="Arial"/>
                <w:sz w:val="22"/>
                <w:szCs w:val="22"/>
                <w:color w:val="auto"/>
                <w:w w:val="94"/>
              </w:rPr>
              <w:t>DOCK AND WHARF FACILITY REVENUE BONDS, SERIES 2016</w:t>
            </w:r>
          </w:p>
        </w:tc>
      </w:tr>
      <w:tr>
        <w:trPr>
          <w:trHeight w:val="275"/>
        </w:trPr>
        <w:tc>
          <w:tcPr>
            <w:tcW w:w="1520" w:type="dxa"/>
            <w:vAlign w:val="bottom"/>
          </w:tcPr>
          <w:p>
            <w:pPr>
              <w:spacing w:after="0"/>
              <w:rPr>
                <w:sz w:val="23"/>
                <w:szCs w:val="23"/>
                <w:color w:val="auto"/>
              </w:rPr>
            </w:pPr>
          </w:p>
        </w:tc>
        <w:tc>
          <w:tcPr>
            <w:tcW w:w="8080" w:type="dxa"/>
            <w:vAlign w:val="bottom"/>
            <w:gridSpan w:val="3"/>
          </w:tcPr>
          <w:p>
            <w:pPr>
              <w:jc w:val="center"/>
              <w:ind w:left="192"/>
              <w:spacing w:after="0"/>
              <w:rPr>
                <w:sz w:val="20"/>
                <w:szCs w:val="20"/>
                <w:color w:val="auto"/>
              </w:rPr>
            </w:pPr>
            <w:r>
              <w:rPr>
                <w:rFonts w:ascii="Arial" w:cs="Arial" w:eastAsia="Arial" w:hAnsi="Arial"/>
                <w:sz w:val="22"/>
                <w:szCs w:val="22"/>
                <w:color w:val="auto"/>
                <w:w w:val="91"/>
              </w:rPr>
              <w:t>(JEFFERSON ENERGY COMPANIES PROJECT)</w:t>
            </w:r>
          </w:p>
        </w:tc>
      </w:tr>
    </w:tbl>
    <w:p>
      <w:pPr>
        <w:spacing w:after="0" w:line="19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THIS BOND IS SUBJECT TO MANDATORY TENDER FOR PURCHASE UPON THE OCCURRENCE OF THE EVENTS AND IN THE MANNER HEREINAFTER DESCRIBED, AND MUST BE SO TENDERED OR WILL BE DEEMED</w:t>
      </w:r>
    </w:p>
    <w:p>
      <w:pPr>
        <w:sectPr>
          <w:pgSz w:w="11900" w:h="16954" w:orient="portrait"/>
          <w:cols w:equalWidth="0" w:num="1">
            <w:col w:w="11420"/>
          </w:cols>
          <w:pgMar w:left="240" w:top="631" w:right="239" w:bottom="0" w:gutter="0" w:footer="0" w:header="0"/>
          <w:type w:val="continuous"/>
        </w:sectPr>
      </w:pPr>
    </w:p>
    <w:bookmarkStart w:id="267" w:name="page268"/>
    <w:bookmarkEnd w:id="267"/>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TO HAVE BEEN SO TENDERED AS DESCRIBED HEREIN.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spacing w:after="0"/>
              <w:rPr>
                <w:sz w:val="20"/>
                <w:szCs w:val="20"/>
                <w:color w:val="auto"/>
              </w:rPr>
            </w:pPr>
            <w:r>
              <w:rPr>
                <w:rFonts w:ascii="Arial" w:cs="Arial" w:eastAsia="Arial" w:hAnsi="Arial"/>
                <w:sz w:val="22"/>
                <w:szCs w:val="22"/>
                <w:color w:val="auto"/>
                <w:w w:val="99"/>
              </w:rPr>
              <w:t>Interest Rate:  Commercial Paper Rate</w:t>
            </w:r>
          </w:p>
        </w:tc>
        <w:tc>
          <w:tcPr>
            <w:tcW w:w="2720" w:type="dxa"/>
            <w:vAlign w:val="bottom"/>
            <w:gridSpan w:val="2"/>
          </w:tcPr>
          <w:p>
            <w:pPr>
              <w:ind w:left="320"/>
              <w:spacing w:after="0"/>
              <w:rPr>
                <w:sz w:val="20"/>
                <w:szCs w:val="20"/>
                <w:color w:val="auto"/>
              </w:rPr>
            </w:pPr>
            <w:r>
              <w:rPr>
                <w:rFonts w:ascii="Arial" w:cs="Arial" w:eastAsia="Arial" w:hAnsi="Arial"/>
                <w:sz w:val="22"/>
                <w:szCs w:val="22"/>
                <w:color w:val="auto"/>
              </w:rPr>
              <w:t>Principal Amount: $</w:t>
            </w:r>
          </w:p>
        </w:tc>
      </w:tr>
      <w:tr>
        <w:trPr>
          <w:trHeight w:val="287"/>
        </w:trPr>
        <w:tc>
          <w:tcPr>
            <w:tcW w:w="3780" w:type="dxa"/>
            <w:vAlign w:val="bottom"/>
          </w:tcPr>
          <w:p>
            <w:pPr>
              <w:ind w:left="1300"/>
              <w:spacing w:after="0"/>
              <w:rPr>
                <w:sz w:val="20"/>
                <w:szCs w:val="20"/>
                <w:color w:val="auto"/>
              </w:rPr>
            </w:pPr>
            <w:r>
              <w:rPr>
                <w:rFonts w:ascii="Arial" w:cs="Arial" w:eastAsia="Arial" w:hAnsi="Arial"/>
                <w:sz w:val="22"/>
                <w:szCs w:val="22"/>
                <w:color w:val="auto"/>
              </w:rPr>
              <w:t>(as herein described)</w:t>
            </w:r>
          </w:p>
        </w:tc>
        <w:tc>
          <w:tcPr>
            <w:tcW w:w="20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spacing w:after="0"/>
        <w:tabs>
          <w:tab w:leader="none" w:pos="3400" w:val="left"/>
          <w:tab w:leader="none" w:pos="4920" w:val="left"/>
          <w:tab w:leader="none" w:pos="6520" w:val="left"/>
        </w:tabs>
        <w:rPr>
          <w:sz w:val="20"/>
          <w:szCs w:val="20"/>
          <w:color w:val="auto"/>
        </w:rPr>
      </w:pPr>
      <w:r>
        <w:rPr>
          <w:rFonts w:ascii="Arial" w:cs="Arial" w:eastAsia="Arial" w:hAnsi="Arial"/>
          <w:sz w:val="22"/>
          <w:szCs w:val="22"/>
          <w:color w:val="auto"/>
        </w:rPr>
        <w:t>Interest Mode Commencement Date:</w:t>
        <w:tab/>
        <w:t>_______, 20__</w:t>
        <w:tab/>
        <w:t>Maturity Date:</w:t>
      </w:r>
      <w:r>
        <w:rPr>
          <w:sz w:val="20"/>
          <w:szCs w:val="20"/>
          <w:color w:val="auto"/>
        </w:rPr>
        <w:tab/>
      </w:r>
      <w:r>
        <w:rPr>
          <w:rFonts w:ascii="Arial" w:cs="Arial" w:eastAsia="Arial" w:hAnsi="Arial"/>
          <w:sz w:val="19"/>
          <w:szCs w:val="19"/>
          <w:color w:val="auto"/>
        </w:rPr>
        <w:t>__________</w:t>
      </w:r>
    </w:p>
    <w:p>
      <w:pPr>
        <w:spacing w:after="0" w:line="260" w:lineRule="exact"/>
        <w:rPr>
          <w:sz w:val="20"/>
          <w:szCs w:val="20"/>
          <w:color w:val="auto"/>
        </w:rPr>
      </w:pPr>
    </w:p>
    <w:p>
      <w:pPr>
        <w:spacing w:after="0"/>
        <w:tabs>
          <w:tab w:leader="none" w:pos="4280" w:val="left"/>
        </w:tabs>
        <w:rPr>
          <w:sz w:val="20"/>
          <w:szCs w:val="20"/>
          <w:color w:val="auto"/>
        </w:rPr>
      </w:pPr>
      <w:r>
        <w:rPr>
          <w:rFonts w:ascii="Arial" w:cs="Arial" w:eastAsia="Arial" w:hAnsi="Arial"/>
          <w:sz w:val="22"/>
          <w:szCs w:val="22"/>
          <w:color w:val="auto"/>
        </w:rPr>
        <w:t>Registered Holder: __________________</w:t>
      </w:r>
      <w:r>
        <w:rPr>
          <w:sz w:val="20"/>
          <w:szCs w:val="20"/>
          <w:color w:val="auto"/>
        </w:rPr>
        <w:tab/>
      </w:r>
      <w:r>
        <w:rPr>
          <w:rFonts w:ascii="Arial" w:cs="Arial" w:eastAsia="Arial" w:hAnsi="Arial"/>
          <w:sz w:val="19"/>
          <w:szCs w:val="19"/>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-17780</wp:posOffset>
            </wp:positionV>
            <wp:extent cx="4114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PORT OF BEAUMONT NAVIGATION DISTRICT OF JEFFERSON COUNTY, TEXAS (the “District”), being a political subdivision of the State of Texas (the “State”) organized and existing pursuant to Article XVI, Section 59 of the Texas Constitution, for value received, hereby promises to pay to the Registered Holder named above, or registered assigns, but solely from the sources and in the manner herein provided, the Principal Amount set forth above on the Maturity Date set forth above (or earlier as herein described and indicated hereon). The District also promises to pay interest (calculated on the basis of a 365-day or 366-day year, as the case may be, using the actual number of days elapsed) at a Commercial Paper Rate on the unpaid principal balance of this Bond from and including the Interest Mode Commencement Date set forth above, or from and including the most recent date to which interest on this Bond (or any Bond in exchange for, or in lieu of which this Bond was issued) has been paid, to but excluding the Maturity Date or the date on which the payment of such Principal Amount shall have been made or provided for (if the date of such provision is on or after the date on which the payment of such Principal Amount is due). Interest accrued hereon shall be paid on the day immediately succeeding the last day of each Commercial Paper Rate Period applicable to this Bond, the Conversion Date, any day on which the Bonds are subject to Mandatory Tender and the Maturity Date (each, an “Interest Payment Date”); provided that to the extent principal of this Bond is paid on any date (whether the Maturity Date or otherwise) interest accrued hereon to but excluding such payment date with respect to the portion of the principal so paid shall be paid on such payment date.</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BOND AND ALL OF THE BONDS OF THIS SERIES are special limited obligations of the District, payable by the District solely out of the “Pledged Revenues”, as defined in the Indenture (hereinafter defined), which Pledged Revenues are pledged to the payment of the Series 2016 Bonds and all Additional Bonds issued on a parity therewith, and all money and investments held for the credit of the funds and accounts established by or under the Indenture (except the Rebate Fund), all as more fully described and provided for in and subject to the restrictions and limitations imposed by the Indenture. This Bond and the series of which it is a part, together with the interest thereon, are payable solely from such Pledged Revenues and do not constitute a general obligation of the District.</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THE BONDS DO NOT CONSTITUTE GENERAL OBLIGATIONS OF THE DISTRICT, THE STATE OF TEXAS OR ANY POLITICAL SUBDIVISION THEREOF. THE DISTRICT HAS PLEDGED NEITHER ITS TAXING POWER NOR THE CREDIT OF ITS TAXING POWER AS SECURITY FOR THE PAYMENT OF THE BONDS. THE OWNER HEREOF SHALL NEVER HAVE THE RIGHT TO DEMAND PAYMENT OF THIS OBLIGATION OUT OF ANY FUNDS RAISED OR TO BE RAISED BY TAXATION, OR FROM ANY SOURCE WHATSOEVER OTHER THAN THE AFORESAID PLEDGED REVENUES.</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BOND shall not be valid or obligatory for any purpose or be entitled to any benefit under the Indenture until the certificate of authentication hereon shall have been executed by the Trustee or its agent appointed pursuant to the Indenture.</w:t>
      </w:r>
    </w:p>
    <w:p>
      <w:pPr>
        <w:spacing w:after="0" w:line="1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IT IS HEREBY CERTIFIED, RECITED AND REPRESENTED that the issuance of this Bond and the Bonds is duly authorized by law; that all acts, conditions and things required to exist and necessary to be done or performed precedent to and in the issuance of this Bond and the Bonds to render the same lawful, valid and binding have been properly done and performed and have happened in regular and due time, form and manner as required by law; that all acts, conditions and things necessary to be done or performed by the District or to have happened precedent to and in the execution and delivery of the Indenture have been done and performed and have happened in regular and due form as required by law; that due provision has been made for the payment of the principal of (premium, if any) and interest on this Bond and the Bonds; and that payment in full for the Bonds has been received.</w:t>
      </w:r>
    </w:p>
    <w:p>
      <w:pPr>
        <w:spacing w:after="0" w:line="195" w:lineRule="exact"/>
        <w:rPr>
          <w:sz w:val="20"/>
          <w:szCs w:val="20"/>
          <w:color w:val="auto"/>
        </w:rPr>
      </w:pPr>
    </w:p>
    <w:p>
      <w:pPr>
        <w:jc w:val="both"/>
        <w:ind w:firstLine="656"/>
        <w:spacing w:after="0" w:line="260" w:lineRule="auto"/>
        <w:tabs>
          <w:tab w:leader="none" w:pos="1040"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Description of Series</w:t>
      </w:r>
      <w:r>
        <w:rPr>
          <w:rFonts w:ascii="Arial" w:cs="Arial" w:eastAsia="Arial" w:hAnsi="Arial"/>
          <w:sz w:val="21"/>
          <w:szCs w:val="21"/>
          <w:color w:val="auto"/>
        </w:rPr>
        <w:t>. This Bond is one of the duly authorized issue of the District’s Dock and Wharf Facility Revenue Bonds, Series 2016 (Jefferson Energy Companies Project) (the “Bonds”), aggregating in principal amount $144,200,000, authorized by a resolution adopted by the Board of Commissioners of the District on November 23, 2015 and February 22, 2016, all issued or to be issued under a Trust Indenture and Security Agreement, dated as of February 1, 2016, (the “Indenture”), between the District and The Bank of New York Mellon Trust Company, National Association, as trustee (the “Trustee”), pursuant to and in full conformity with the Constitution and the statutes of the State. The Bonds are issued in order to provide funds for the District to finance Project Costs.</w:t>
      </w:r>
    </w:p>
    <w:p>
      <w:pPr>
        <w:spacing w:after="0" w:line="18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Pursuant to the terms of the Indenture, the Trustee may appoint agents for the performance of certain duties under the Indenture, including the authentication, registration, transfer, exchange and payment of the Bonds.</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Reference is hereby made to the Indenture and the other Bond Documents (as such term is defined in the Indenture), copies of which are filed with the Trustee, for the full provisions thereof (including, among others, those with respect to the nature and</w:t>
      </w:r>
    </w:p>
    <w:p>
      <w:pPr>
        <w:sectPr>
          <w:pgSz w:w="11900" w:h="16893" w:orient="portrait"/>
          <w:cols w:equalWidth="0" w:num="1">
            <w:col w:w="11420"/>
          </w:cols>
          <w:pgMar w:left="240" w:top="132" w:right="239" w:bottom="0" w:gutter="0" w:footer="0" w:header="0"/>
        </w:sectPr>
      </w:pPr>
    </w:p>
    <w:bookmarkStart w:id="268" w:name="page269"/>
    <w:bookmarkEnd w:id="268"/>
    <w:p>
      <w:pPr>
        <w:jc w:val="both"/>
        <w:spacing w:after="0" w:line="253" w:lineRule="auto"/>
        <w:rPr>
          <w:sz w:val="20"/>
          <w:szCs w:val="20"/>
          <w:color w:val="auto"/>
        </w:rPr>
      </w:pPr>
      <w:r>
        <w:rPr>
          <w:rFonts w:ascii="Arial" w:cs="Arial" w:eastAsia="Arial" w:hAnsi="Arial"/>
          <w:sz w:val="22"/>
          <w:szCs w:val="22"/>
          <w:color w:val="auto"/>
        </w:rPr>
        <w:t>extent of the rights, duties and obligations of the parties to the Bond Documents and the holders of the Bonds, the terms upon which the Bonds are issued and secured and the modification or amendment of the Bond Documents), to all of which the holders of the Bonds assent by the acceptance of the Bonds.</w:t>
      </w:r>
    </w:p>
    <w:p>
      <w:pPr>
        <w:spacing w:after="0" w:line="186" w:lineRule="exact"/>
        <w:rPr>
          <w:sz w:val="20"/>
          <w:szCs w:val="20"/>
          <w:color w:val="auto"/>
        </w:rPr>
      </w:pPr>
    </w:p>
    <w:p>
      <w:pPr>
        <w:ind w:firstLine="656"/>
        <w:spacing w:after="0" w:line="263" w:lineRule="auto"/>
        <w:tabs>
          <w:tab w:leader="none" w:pos="1161"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Certain Additional Definitions</w:t>
      </w:r>
      <w:r>
        <w:rPr>
          <w:rFonts w:ascii="Arial" w:cs="Arial" w:eastAsia="Arial" w:hAnsi="Arial"/>
          <w:sz w:val="22"/>
          <w:szCs w:val="22"/>
          <w:color w:val="auto"/>
        </w:rPr>
        <w:t>. In addition to the definitions set forth above, or contained in Section 1.01 of the Indenture which are incorporated herein, the following terms used herein shall have the following meanings:</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“Business Day” means any day other than (a) a Saturday or a Sunday; (b) a legal holiday or the equivalent on which banking institutions generally are authorized or required to be closed in Houston, Texas, New York, New York, the designated office of the Trustee and Tender Agent or the primary office of the Bank; or (c) a day on which the New York Stock Exchange is closed.</w:t>
      </w:r>
    </w:p>
    <w:p>
      <w:pPr>
        <w:spacing w:after="0" w:line="188"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“Commercial Paper Rate” means the rate determined by the Remarketing Agent pursuant to Section 2.08(c) of the Indenture.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“Conversion Date” means any Interest Payment Date on which the Commercial Paper Rate Bonds are converted to bear interest at a Daily Rate, Fixed Rate or Weekly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Mode Commencement Date” means the appropriate date displayed on the face of this Bond.</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“Interest Payment Date” means, with respect to each Bond bearing interest at a Commercial Paper Rate, (i) the day immediately succeeding the last day of each Commercial Paper Rate Period applicable to such Bond, and (ii) the Maturity Date.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“Maximum Rate” means 15% per annum.</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“Purchase Date” means, with respect to a Commercial Paper Rate Bond, the Business Day immediately succeeding the last day of each Commercial Paper Rate Period, the Business Day prior to the Liquidity Facility Termination Date, the Business Day prior to the Credit Facility Termination Date, the applicable Conversion Date or the effective date of an alternate Credit Facility or alternate Liquidity Facility.</w:t>
      </w:r>
    </w:p>
    <w:p>
      <w:pPr>
        <w:spacing w:after="0" w:line="188" w:lineRule="exact"/>
        <w:rPr>
          <w:sz w:val="20"/>
          <w:szCs w:val="20"/>
          <w:color w:val="auto"/>
        </w:rPr>
      </w:pPr>
    </w:p>
    <w:p>
      <w:pPr>
        <w:jc w:val="both"/>
        <w:ind w:left="660" w:firstLine="648"/>
        <w:spacing w:after="0" w:line="343" w:lineRule="auto"/>
        <w:rPr>
          <w:sz w:val="20"/>
          <w:szCs w:val="20"/>
          <w:color w:val="auto"/>
        </w:rPr>
      </w:pPr>
      <w:r>
        <w:rPr>
          <w:rFonts w:ascii="Arial" w:cs="Arial" w:eastAsia="Arial" w:hAnsi="Arial"/>
          <w:sz w:val="19"/>
          <w:szCs w:val="19"/>
          <w:color w:val="auto"/>
        </w:rPr>
        <w:t>“Purchase Price” means an amount equal to 100% of the principal amount of a Bond tendered or deemed tendered for purchase pursuant to the provisions of paragraph 5 hereof, plus any accrued and unpaid interest, to the date of purchase.</w:t>
      </w:r>
    </w:p>
    <w:p>
      <w:pPr>
        <w:spacing w:after="0" w:line="10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“Regular Record Date” means, with respect to the Commercial Paper Rate Bonds, the close of business for the Trustee on the Business Day preceding any Interest Payment Date.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“Remarketing Agent” means the Person appointed and serving in such capacity in accordance with the Indenture, initially Oppenheimer &amp; Co. Inc.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“Stated Interest” means interest calculated pursuant to paragraph 3(a) of this Bond.</w:t>
      </w:r>
    </w:p>
    <w:p>
      <w:pPr>
        <w:spacing w:after="0" w:line="220" w:lineRule="exact"/>
        <w:rPr>
          <w:sz w:val="20"/>
          <w:szCs w:val="20"/>
          <w:color w:val="auto"/>
        </w:rPr>
      </w:pPr>
    </w:p>
    <w:p>
      <w:pPr>
        <w:ind w:left="1040" w:hanging="384"/>
        <w:spacing w:after="0"/>
        <w:tabs>
          <w:tab w:leader="none" w:pos="104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3" w:lineRule="auto"/>
        <w:tabs>
          <w:tab w:leader="none" w:pos="1117"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This Bond shall bear interest for each day at the Commercial Paper Rate; provided that the “net effective interest rate” from the date of issuance of the Bonds through any subsequent date of calculation shall never exceed the lesser of the Maximum Rate.</w:t>
      </w:r>
    </w:p>
    <w:p>
      <w:pPr>
        <w:spacing w:after="0" w:line="185" w:lineRule="exact"/>
        <w:rPr>
          <w:rFonts w:ascii="Arial" w:cs="Arial" w:eastAsia="Arial" w:hAnsi="Arial"/>
          <w:sz w:val="22"/>
          <w:szCs w:val="22"/>
          <w:color w:val="auto"/>
        </w:rPr>
      </w:pPr>
    </w:p>
    <w:p>
      <w:pPr>
        <w:jc w:val="both"/>
        <w:ind w:firstLine="656"/>
        <w:spacing w:after="0" w:line="258" w:lineRule="auto"/>
        <w:tabs>
          <w:tab w:leader="none" w:pos="112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Notwithstanding the foregoing paragraph 3(a), this Bond shall bear interest for each day it is a Liquidity Bank Bond at the Liquidity Bank Bond Rate for such day; provided, however, that with respect to any Bond which is a Liquidity Bank Bond (i) the “net effective interest rate” from the date of issuance of the Bonds through any subsequent date of calculation shall never exceed the Maximum Rate, and (ii) if this Bond cannot bear interest at the Liquidity Bank Bond Rate for any day because the “net effective interest rate” calculated from the date of issuance of the Bonds through such day would thereby exceed the Maximum Rate, this Bond shall bear interest for such day at the Maximum Rate and shall continue to bear interest at the for each day that it is a Liquidity Bank Bond until this Bond is paid in full or until such earlier date as the payment of interest at the results in the payment or accrual of the cumulative amount of interest which would have been paid and accrued at the Liquidity Bank Bond Rate for the period for which this Bond has borne interest at the Liquidity Bank Bond Rate, after which date the interest rate on this Bond shall revert to the Liquidity Bank Bond Rate until this proviso again becomes applicable. Only the Liquidity Bank will be entitled to earn the Liquidity Bank Bond Rate.</w:t>
      </w:r>
    </w:p>
    <w:p>
      <w:pPr>
        <w:spacing w:after="0" w:line="183" w:lineRule="exact"/>
        <w:rPr>
          <w:rFonts w:ascii="Arial" w:cs="Arial" w:eastAsia="Arial" w:hAnsi="Arial"/>
          <w:sz w:val="21"/>
          <w:szCs w:val="21"/>
          <w:color w:val="auto"/>
        </w:rPr>
      </w:pPr>
    </w:p>
    <w:p>
      <w:pPr>
        <w:jc w:val="both"/>
        <w:ind w:firstLine="656"/>
        <w:spacing w:after="0" w:line="248" w:lineRule="auto"/>
        <w:tabs>
          <w:tab w:leader="none" w:pos="114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In case of any default in the payment of the principal hereof, this Bond shall thereafter bear interest for each day at a rate equal to _________(unless this Bond is a Liquidity Bank Bond and the rate payable pursuant to paragraph 3(b) above shall be greater than ________, then in such event the rate payable pursuant to such paragraph 3(b) shall be payable); provided, that the “net effective interest rate” from the date of issuance of the Bonds through any subsequent date of calculation shall never exceed the Maximum Rate.</w:t>
      </w:r>
    </w:p>
    <w:p>
      <w:pPr>
        <w:sectPr>
          <w:pgSz w:w="11900" w:h="16838" w:orient="portrait"/>
          <w:cols w:equalWidth="0" w:num="1">
            <w:col w:w="11420"/>
          </w:cols>
          <w:pgMar w:left="240" w:top="132" w:right="239" w:bottom="87" w:gutter="0" w:footer="0" w:header="0"/>
        </w:sectPr>
      </w:pPr>
    </w:p>
    <w:bookmarkStart w:id="269" w:name="page270"/>
    <w:bookmarkEnd w:id="269"/>
    <w:p>
      <w:pPr>
        <w:jc w:val="both"/>
        <w:ind w:firstLine="656"/>
        <w:spacing w:after="0" w:line="312" w:lineRule="auto"/>
        <w:tabs>
          <w:tab w:leader="none" w:pos="111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Interest on this Bond shall be calculated on the basis of a 365-day or 366-day year, as the case may be, using the actual number of days elapsed; provided, however, that this method of calculation does not cause the “net effective interest rate” from the date of issuance of the Bonds through any subsequent date of calculation to exceed the Maximum Rate.</w:t>
      </w:r>
    </w:p>
    <w:p>
      <w:pPr>
        <w:spacing w:after="0" w:line="134" w:lineRule="exact"/>
        <w:rPr>
          <w:sz w:val="20"/>
          <w:szCs w:val="20"/>
          <w:color w:val="auto"/>
        </w:rPr>
      </w:pPr>
    </w:p>
    <w:p>
      <w:pPr>
        <w:ind w:left="1040" w:hanging="384"/>
        <w:spacing w:after="0"/>
        <w:tabs>
          <w:tab w:leader="none" w:pos="104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Notices to Bondholders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63" w:lineRule="auto"/>
        <w:tabs>
          <w:tab w:leader="none" w:pos="1104"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Conversion Dates</w:t>
      </w:r>
      <w:r>
        <w:rPr>
          <w:rFonts w:ascii="Arial" w:cs="Arial" w:eastAsia="Arial" w:hAnsi="Arial"/>
          <w:sz w:val="21"/>
          <w:szCs w:val="21"/>
          <w:color w:val="auto"/>
        </w:rPr>
        <w:t>. At least 30 days prior to any Conversion Date, the Trustee shall give to each Registered Holder of a Commercial Paper Rate Bond to be converted to a Daily Rate, Fixed Rate or Weekly Rate Bond notice in the manner provided in the Indenture stating the applicable Conversion Date and that if there has been irrevocably deposited in trust with the Tender Agent an amount of money to pay the Purchase Price of all Untendered Bonds, such Holders will be deemed to have tendered such Commercial Paper Rate Bonds for purchase on the Conversion Date.</w:t>
      </w:r>
    </w:p>
    <w:p>
      <w:pPr>
        <w:spacing w:after="0" w:line="175" w:lineRule="exact"/>
        <w:rPr>
          <w:rFonts w:ascii="Arial" w:cs="Arial" w:eastAsia="Arial" w:hAnsi="Arial"/>
          <w:sz w:val="21"/>
          <w:szCs w:val="21"/>
          <w:color w:val="auto"/>
        </w:rPr>
      </w:pPr>
    </w:p>
    <w:p>
      <w:pPr>
        <w:jc w:val="both"/>
        <w:ind w:firstLine="656"/>
        <w:spacing w:after="0" w:line="289" w:lineRule="auto"/>
        <w:tabs>
          <w:tab w:leader="none" w:pos="1130"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Credit Facility Termination Date or Liquidity Facility Termination Date</w:t>
      </w:r>
      <w:r>
        <w:rPr>
          <w:rFonts w:ascii="Arial" w:cs="Arial" w:eastAsia="Arial" w:hAnsi="Arial"/>
          <w:sz w:val="19"/>
          <w:szCs w:val="19"/>
          <w:color w:val="auto"/>
        </w:rPr>
        <w:t>. At least 10 Business Days prior to the Credit Facility Termination Date or a Liquidity Facility Termination Date, the Trustee shall give to each Registered Holder of a Commercial Paper Rate Bond notice in the manner provided in the Indenture that after the Credit Facility Termination Date or the Liquidity Facility Termination Date, as applicable, the Credit Enhancer or Liquidity Bank will no longer be obligated to pay the principal and interest on, or the Purchase Price of, as applicable, Commercial Paper Rate Bonds and that if there has been irrevocably deposited in trust with the Tender Agent an amount of money to pay the principal and interest on, or the Purchase Price of, as applicable, all Untendered Bonds, all Registered Holders who have not tendered their Commercial Paper Rate Bonds on or before the Credit Facility Termination Date or the Liquidity Facility Termination Date will be deemed to have tendered such Commercial Paper Rate Bonds for purchase one Business Day prior to such Purchase Date.</w:t>
      </w:r>
    </w:p>
    <w:p>
      <w:pPr>
        <w:spacing w:after="0" w:line="157" w:lineRule="exact"/>
        <w:rPr>
          <w:rFonts w:ascii="Arial" w:cs="Arial" w:eastAsia="Arial" w:hAnsi="Arial"/>
          <w:sz w:val="19"/>
          <w:szCs w:val="19"/>
          <w:color w:val="auto"/>
        </w:rPr>
      </w:pPr>
    </w:p>
    <w:p>
      <w:pPr>
        <w:jc w:val="both"/>
        <w:ind w:firstLine="656"/>
        <w:spacing w:after="0" w:line="294" w:lineRule="auto"/>
        <w:tabs>
          <w:tab w:leader="none" w:pos="1104"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Substitution of Alternate Credit Facility or Alternate Liquidity Facility</w:t>
      </w:r>
      <w:r>
        <w:rPr>
          <w:rFonts w:ascii="Arial" w:cs="Arial" w:eastAsia="Arial" w:hAnsi="Arial"/>
          <w:sz w:val="19"/>
          <w:szCs w:val="19"/>
          <w:color w:val="auto"/>
        </w:rPr>
        <w:t>. At least 10 Business Days prior to the effective date of an alternate Credit Facility or an alternate Liquidity Facility, the Trustee shall give to each Registered Holder of a Commercial Paper Rate Bond notice in the manner provided in the Indenture of the date an alternate Credit Facility or alternate Liquidity Facility shall become effective, and if there has been irrevocably deposited in trust with the Tender Agent an amount of money to pay the Purchase Price of all Untendered Bonds, such Holders will be deemed to have tendered such Commercial Paper Rate Bonds for purchase on the effective date of such Alternate Liquidity Facility at the Purchase Price.</w:t>
      </w:r>
    </w:p>
    <w:p>
      <w:pPr>
        <w:spacing w:after="0" w:line="150" w:lineRule="exact"/>
        <w:rPr>
          <w:sz w:val="20"/>
          <w:szCs w:val="20"/>
          <w:color w:val="auto"/>
        </w:rPr>
      </w:pPr>
    </w:p>
    <w:p>
      <w:pPr>
        <w:ind w:left="1040" w:hanging="384"/>
        <w:spacing w:after="0"/>
        <w:tabs>
          <w:tab w:leader="none" w:pos="104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Mandatory Tender of Bonds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0" w:lineRule="auto"/>
        <w:tabs>
          <w:tab w:leader="none" w:pos="1104"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Conversion Date</w:t>
      </w:r>
      <w:r>
        <w:rPr>
          <w:rFonts w:ascii="Arial" w:cs="Arial" w:eastAsia="Arial" w:hAnsi="Arial"/>
          <w:sz w:val="22"/>
          <w:szCs w:val="22"/>
          <w:color w:val="auto"/>
        </w:rPr>
        <w:t>. Holders of Commercial Paper Rate Bonds which are to be converted to bear interest at a Daily Rate, Fixed Rate or Weekly Rate shall be required to tender their Commercial Paper Rate Bonds to the Tender Agent for purchase on the applicable Conversion Date at the Purchase Price whether or not such Commercial Paper Rate Bonds actually convert to Daily Rate Bonds, Fixed Rate Bonds or Weekly Rate Bonds.</w:t>
      </w:r>
    </w:p>
    <w:p>
      <w:pPr>
        <w:spacing w:after="0" w:line="188" w:lineRule="exact"/>
        <w:rPr>
          <w:rFonts w:ascii="Arial" w:cs="Arial" w:eastAsia="Arial" w:hAnsi="Arial"/>
          <w:sz w:val="22"/>
          <w:szCs w:val="22"/>
          <w:color w:val="auto"/>
        </w:rPr>
      </w:pPr>
    </w:p>
    <w:p>
      <w:pPr>
        <w:jc w:val="both"/>
        <w:ind w:firstLine="656"/>
        <w:spacing w:after="0" w:line="265" w:lineRule="auto"/>
        <w:tabs>
          <w:tab w:leader="none" w:pos="1184"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Credit Facility Termination Date or Liquidity Facility Termination Date</w:t>
      </w:r>
      <w:r>
        <w:rPr>
          <w:rFonts w:ascii="Arial" w:cs="Arial" w:eastAsia="Arial" w:hAnsi="Arial"/>
          <w:sz w:val="21"/>
          <w:szCs w:val="21"/>
          <w:color w:val="auto"/>
        </w:rPr>
        <w:t>. Holders of Commercial Paper Rate Bonds shall be required to tender their Commercial Paper Rate Bonds to the Tender Agent for purchase one Business Day prior to the Credit Facility Termination Date or Liquidity Facility Termination Date, as applicable, (except in the case of the substitution of an alternate Credit Facility or alternate Liquidity Facility) at the Purchase Price.</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158"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Alternate Credit Facility or Liquidity Facility</w:t>
      </w:r>
      <w:r>
        <w:rPr>
          <w:rFonts w:ascii="Arial" w:cs="Arial" w:eastAsia="Arial" w:hAnsi="Arial"/>
          <w:sz w:val="22"/>
          <w:szCs w:val="22"/>
          <w:color w:val="auto"/>
        </w:rPr>
        <w:t>. Holders of Commercial Paper Rate Bonds shall be required to tender their Commercial Paper Rate Bonds to the Tender Agent for purchase on the effective date of an Alternate Credit Facility or Alternate Liquidity Facility at the Purchase Price.</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143"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Commercial Paper Rate Period</w:t>
      </w:r>
      <w:r>
        <w:rPr>
          <w:rFonts w:ascii="Arial" w:cs="Arial" w:eastAsia="Arial" w:hAnsi="Arial"/>
          <w:sz w:val="19"/>
          <w:szCs w:val="19"/>
          <w:color w:val="auto"/>
        </w:rPr>
        <w:t>. Holders of Commercial Paper Rate Bonds during any Commercial Paper Rate Period shall be required to tender their Commercial Paper Rate Bonds to the Tender Agent for purchase at the Purchase Price on the first Business Day succeeding each Commercial Paper Rate Period, which shall also be an Interest Payment Date.</w:t>
      </w:r>
    </w:p>
    <w:p>
      <w:pPr>
        <w:spacing w:after="0" w:line="134" w:lineRule="exact"/>
        <w:rPr>
          <w:sz w:val="20"/>
          <w:szCs w:val="20"/>
          <w:color w:val="auto"/>
        </w:rPr>
      </w:pPr>
    </w:p>
    <w:p>
      <w:pPr>
        <w:jc w:val="both"/>
        <w:ind w:firstLine="656"/>
        <w:spacing w:after="0" w:line="259" w:lineRule="auto"/>
        <w:tabs>
          <w:tab w:leader="none" w:pos="1067"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Interest on this Bond payable prior to or on the Maturity Date shall be paid by immediately available funds wired to the Registered Holder of this Bond to an account in the United States as it appears on the registration books of the Trustee (in such capacity, the “Bond Registrar”). Interest on this Bond which is payable, and is punctually paid or duly provided for, on any Interest Payment Date shall be paid to the Registered Holder of this Bond as of the applicable Regular Record Date. In order to make payment of defaulted interest, the District shall pay the defaulted interest to the person who is the Registered Holder on a subsequent special record date. The Trustee shall fix the special record date and special interest payment date. At least 10 days before the special record date, the Trustee shall mail to the Registered Holder a notice that states the special record date, the special interest payment date, and the amount of interest to be paid.</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Principal of (and premium, if any, on) this Bond payable on the Maturity Date or other final payment hereof shall be payable to the Registered Holder of this Bond at the payment office of the Trustee in Houston, Texas, upon the surrender for cancellation of this Bond.</w:t>
      </w:r>
    </w:p>
    <w:p>
      <w:pPr>
        <w:spacing w:after="0" w:line="186" w:lineRule="exact"/>
        <w:rPr>
          <w:sz w:val="20"/>
          <w:szCs w:val="20"/>
          <w:color w:val="auto"/>
        </w:rPr>
      </w:pPr>
    </w:p>
    <w:p>
      <w:pPr>
        <w:jc w:val="both"/>
        <w:ind w:firstLine="656"/>
        <w:spacing w:after="0" w:line="265" w:lineRule="auto"/>
        <w:tabs>
          <w:tab w:leader="none" w:pos="1243"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Deemed Tender of Commercial Paper Rate Bonds</w:t>
      </w:r>
      <w:r>
        <w:rPr>
          <w:rFonts w:ascii="Arial" w:cs="Arial" w:eastAsia="Arial" w:hAnsi="Arial"/>
          <w:sz w:val="21"/>
          <w:szCs w:val="21"/>
          <w:color w:val="auto"/>
        </w:rPr>
        <w:t>. ANY COMMERCIAL PAPER RATE BOND WHICH IS SUBJECT TO A MANDATORY TENDER ON ANY PURCHASE DATE IN ACCORDANCE WITH THE PROVISIONS HEREOF AND OF THE INDENTURE, BUT WHICH IS NOT TENDERED FOR PURCHASE BY 12:00, NOON, NEW YORK, NEW YORK TIME, ON THE APPLICABLE PURCHASE DATE (SUCH BONDS HEREIN REFERRED TO AS</w:t>
      </w:r>
    </w:p>
    <w:p>
      <w:pPr>
        <w:sectPr>
          <w:pgSz w:w="11900" w:h="16838" w:orient="portrait"/>
          <w:cols w:equalWidth="0" w:num="1">
            <w:col w:w="11420"/>
          </w:cols>
          <w:pgMar w:left="240" w:top="132" w:right="239" w:bottom="0" w:gutter="0" w:footer="0" w:header="0"/>
        </w:sectPr>
      </w:pPr>
    </w:p>
    <w:bookmarkStart w:id="270" w:name="page271"/>
    <w:bookmarkEnd w:id="270"/>
    <w:p>
      <w:pPr>
        <w:jc w:val="both"/>
        <w:spacing w:after="0" w:line="258" w:lineRule="auto"/>
        <w:rPr>
          <w:sz w:val="20"/>
          <w:szCs w:val="20"/>
          <w:color w:val="auto"/>
        </w:rPr>
      </w:pPr>
      <w:r>
        <w:rPr>
          <w:rFonts w:ascii="Arial" w:cs="Arial" w:eastAsia="Arial" w:hAnsi="Arial"/>
          <w:sz w:val="21"/>
          <w:szCs w:val="21"/>
          <w:color w:val="auto"/>
        </w:rPr>
        <w:t>“UNTENDERED BONDS”) SHALL, UPON DEPOSIT IN THE PURCHASE FUND OF AN AMOUNT SUFFICIENT TO PAY THE PURCHASE PRICE OF SUCH BOND ON SUCH PURCHASE DATE, BE DEEMED TO HAVE BEEN TENDERED AND SOLD FOR THE PURCHASE PRICE ON SUCH PURCHASE DATE, REGARDLESS OF WHETHER (i) THE HOLDER THEREOF SHALL HAVE RECEIVED THE NOTICE DESCRIBED IN PARAGRAPH 4 HEREOF, OR (ii) IN CONNECTION WITH A CONVERSION DATE, SUCH BOND ACTUALLY CONVERTS TO BEAR INTEREST AT A DAILY RATE, WEEKLY RATE, OR FIXED RATE, AND THEREAFTER THE HOLDER THEREOF SHALL NOT BE ENTITLED TO ANY PAYMENT (INCLUDING ANY INTEREST ACCRUED SUBSEQUENT TO SUCH PURCHASE DATE) IN RESPECT THEREOF OTHER THAN THE PURCHASE PRICE FOR SUCH UNTENDERED BOND, AND SUCH UNTENDERED BOND SHALL NO LONGER BE ENTITLED TO THE BENEFIT OF THE INDENTURE OR THE LIQUIDITY FACILITY EXCEPT FOR THE PURPOSE OF PAYMENT OF THE PURCHASE PRICE THEREFOR. UNTENDERED BONDS MUST BE PRESENTED TO THE TENDER AGENT FOR PAYMENT OF THE PURCHASE PRICE DUE THEREON.</w:t>
      </w:r>
    </w:p>
    <w:p>
      <w:pPr>
        <w:spacing w:after="0" w:line="183" w:lineRule="exact"/>
        <w:rPr>
          <w:sz w:val="20"/>
          <w:szCs w:val="20"/>
          <w:color w:val="auto"/>
        </w:rPr>
      </w:pPr>
    </w:p>
    <w:p>
      <w:pPr>
        <w:jc w:val="both"/>
        <w:ind w:firstLine="656"/>
        <w:spacing w:after="0" w:line="250" w:lineRule="auto"/>
        <w:tabs>
          <w:tab w:leader="none" w:pos="1094"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 The Commercial Paper Rate Bonds are subject to redemption, at the option of the District, in whole or in part on the day immediately succeeding a Commercial Paper Rate Period for the Commercial Paper Rate Bonds being redeemed, at a redemption price equal to the principal amount of the Commercial Paper Rate Bond or Bonds to be redeemed plus accrued interest thereon to the redemption date.</w:t>
      </w:r>
    </w:p>
    <w:p>
      <w:pPr>
        <w:spacing w:after="0" w:line="188" w:lineRule="exact"/>
        <w:rPr>
          <w:rFonts w:ascii="Arial" w:cs="Arial" w:eastAsia="Arial" w:hAnsi="Arial"/>
          <w:sz w:val="22"/>
          <w:szCs w:val="22"/>
          <w:color w:val="auto"/>
        </w:rPr>
      </w:pPr>
    </w:p>
    <w:p>
      <w:pPr>
        <w:jc w:val="both"/>
        <w:ind w:firstLine="656"/>
        <w:spacing w:after="0" w:line="302" w:lineRule="auto"/>
        <w:tabs>
          <w:tab w:leader="none" w:pos="102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Authorized Denominations and Transfer</w:t>
      </w:r>
      <w:r>
        <w:rPr>
          <w:rFonts w:ascii="Arial" w:cs="Arial" w:eastAsia="Arial" w:hAnsi="Arial"/>
          <w:sz w:val="19"/>
          <w:szCs w:val="19"/>
          <w:color w:val="auto"/>
        </w:rPr>
        <w:t>. The Commercial Paper Rate Bonds are issuable only as fully registered Bonds in denominations of $100,000 and multiples of $5,000 in excess of $100,000. This Commercial Paper Rate Bond is transferable by the Registered Holder hereof in person or by his attorney duly authorized in writing at the office of the Bond Registrar in Houston, Texas upon presentation hereof to the Bond Registrar, all subject to the terms and conditions provided in the Indenture.</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202"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Additional Provisions</w:t>
      </w:r>
      <w:r>
        <w:rPr>
          <w:rFonts w:ascii="Arial" w:cs="Arial" w:eastAsia="Arial" w:hAnsi="Arial"/>
          <w:sz w:val="22"/>
          <w:szCs w:val="22"/>
          <w:color w:val="auto"/>
        </w:rPr>
        <w:t>. Subject to the restrictions set forth therein, the Indenture permits, with certain exceptions as therein provided, the District and the Trustee, with the consent of the Holders of the percentage in principal amount of Bonds outstanding specified in the Indenture and/or the Credit Enhancer and the Liquidity Bank, to execute supplemental indentures amending, adding to or eliminating any provisions of the Indenture.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Holder of this Bond shall have no right to enforce the provisions of the Indenture or to institute an action to enforce the covenants therein, or to take any action with respect to any Event of Default under the Indenture, or to institute, appear in or defend any suit or other proceeding with respect thereto, except as provided in the Indenture. It is also provided in the Indenture that the Trustee at, in certain cases, the written request of the Holders of the applicable percentage of Bonds specified in the Indenture may waive any past default or Event of Default under the Indenture and its consequences except a default (i) in the payment of principal of or premium, if any, or interest on any of the Bonds, (ii) default under the Credit Facility, or (iii) default under the Liquidity Facility. The Indenture further provides that if, after a declaration of the acceleration of the maturity of the principal amount of the Bonds, but prior to the entry of a final judgment for such amount, all amounts which would then be payable thereunder by the District if such default had not occurred and were not continuing and certain other amounts shall have been paid by or on behalf of the District and the parties to the Bond Documents shall have also performed all other obligations in respect of which any of them is then in default under the Bond Documents and shall have paid the reasonable charges and expenses of the Trustee and the Holders of the Bonds, including reasonable attorneys’ fees paid or incurred, then the Trustee shall, in certain cases, upon request of the Holders of the applicable percentage of Bonds specified in the Indenture, and in certain cases, upon request of the Credit Enhancer and the Liquidity Bank, waive such Event of Default and rescind and annul any remedial step theretofore taken by it in respect of such default and its consequences.</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Commercial Paper Rate Bond shall be governed, in all respects including validity, interpretation and effect by, and shall be enforceable in accordance with, the laws of the United States of America and of the State, shall not apply to this Commercial Paper Rate Bond.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District has caused this Bond to be executed by its President and to be attested to by its Secretary both by their manual or facsimile signatures all as of the Issue Date.</w:t>
      </w:r>
    </w:p>
    <w:p>
      <w:pPr>
        <w:spacing w:after="0" w:line="175" w:lineRule="exact"/>
        <w:rPr>
          <w:sz w:val="20"/>
          <w:szCs w:val="20"/>
          <w:color w:val="auto"/>
        </w:rPr>
      </w:pPr>
    </w:p>
    <w:p>
      <w:pPr>
        <w:ind w:left="3900" w:right="44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32" w:right="239" w:bottom="284"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ATTEST:</w:t>
      </w:r>
    </w:p>
    <w:p>
      <w:pPr>
        <w:sectPr>
          <w:pgSz w:w="11900" w:h="16838" w:orient="portrait"/>
          <w:cols w:equalWidth="0" w:num="1">
            <w:col w:w="11420"/>
          </w:cols>
          <w:pgMar w:left="240" w:top="132" w:right="239" w:bottom="284" w:gutter="0" w:footer="0" w:header="0"/>
          <w:type w:val="continuous"/>
        </w:sectPr>
      </w:pPr>
    </w:p>
    <w:bookmarkStart w:id="271" w:name="page272"/>
    <w:bookmarkEnd w:id="271"/>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OF AUTHENTICATION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APPEAR ON EACH BOND)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AUTHENTICATION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is one of the Bonds referred to in the within mentioned Indenture.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Authenticating Agent, or its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of Authentication: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Authorized Signatory</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(FORM OF ASSIGNMENT TO APPEAR ON EACH BOND)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hereby sells, assigns and transfers unto (Print or typewrite name, address, and zip code</w:t>
      </w:r>
    </w:p>
    <w:p>
      <w:pPr>
        <w:spacing w:after="0" w:line="56" w:lineRule="exact"/>
        <w:rPr>
          <w:sz w:val="20"/>
          <w:szCs w:val="20"/>
          <w:color w:val="auto"/>
        </w:rPr>
      </w:pPr>
    </w:p>
    <w:p>
      <w:pPr>
        <w:spacing w:after="0"/>
        <w:tabs>
          <w:tab w:leader="none" w:pos="3420" w:val="left"/>
          <w:tab w:leader="none" w:pos="7620" w:val="left"/>
        </w:tabs>
        <w:rPr>
          <w:sz w:val="20"/>
          <w:szCs w:val="20"/>
          <w:color w:val="auto"/>
        </w:rPr>
      </w:pP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transferee)</w:t>
      </w:r>
      <w:r>
        <w:rPr>
          <w:sz w:val="20"/>
          <w:szCs w:val="20"/>
          <w:color w:val="auto"/>
        </w:rPr>
        <w:tab/>
      </w:r>
      <w:r>
        <w:rPr>
          <w:rFonts w:ascii="Arial" w:cs="Arial" w:eastAsia="Arial" w:hAnsi="Arial"/>
          <w:sz w:val="19"/>
          <w:szCs w:val="19"/>
          <w:color w:val="auto"/>
        </w:rPr>
        <w:t>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  (Social  Security  or  other  tax  identifying  number: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 the within Bond and does hereby irrevocably constitute and appoint ____________________________, as</w:t>
      </w:r>
    </w:p>
    <w:p>
      <w:pPr>
        <w:spacing w:after="0" w:line="3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attorney, to transfer the within Bond on the books kept for registration of the within Bond, with full power of substitution in the premises.</w:t>
      </w:r>
    </w:p>
    <w:p>
      <w:pPr>
        <w:spacing w:after="0" w:line="34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______________________________________</w:t>
      </w:r>
    </w:p>
    <w:p>
      <w:pPr>
        <w:spacing w:after="0" w:line="4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1"/>
          <w:szCs w:val="21"/>
          <w:color w:val="auto"/>
        </w:rPr>
        <w:t>_____________________________________</w:t>
      </w:r>
      <w:r>
        <w:rPr>
          <w:sz w:val="20"/>
          <w:szCs w:val="20"/>
          <w:color w:val="auto"/>
        </w:rPr>
        <w:tab/>
      </w:r>
      <w:r>
        <w:rPr>
          <w:rFonts w:ascii="Arial" w:cs="Arial" w:eastAsia="Arial" w:hAnsi="Arial"/>
          <w:sz w:val="21"/>
          <w:szCs w:val="21"/>
          <w:color w:val="auto"/>
        </w:rPr>
        <w:t>NOTICE: NOTICE: The signature(s) on this assignment must</w:t>
      </w:r>
    </w:p>
    <w:p>
      <w:pPr>
        <w:spacing w:after="0" w:line="10" w:lineRule="exact"/>
        <w:rPr>
          <w:sz w:val="20"/>
          <w:szCs w:val="20"/>
          <w:color w:val="auto"/>
        </w:rPr>
      </w:pPr>
    </w:p>
    <w:p>
      <w:pPr>
        <w:ind w:left="5740"/>
        <w:spacing w:after="0"/>
        <w:tabs>
          <w:tab w:leader="none" w:pos="6860" w:val="left"/>
          <w:tab w:leader="none" w:pos="7440" w:val="left"/>
          <w:tab w:leader="none" w:pos="7880" w:val="left"/>
          <w:tab w:leader="none" w:pos="8740" w:val="left"/>
          <w:tab w:leader="none" w:pos="9100" w:val="left"/>
          <w:tab w:leader="none" w:pos="9560" w:val="left"/>
          <w:tab w:leader="none" w:pos="10580" w:val="left"/>
        </w:tabs>
        <w:rPr>
          <w:sz w:val="20"/>
          <w:szCs w:val="20"/>
          <w:color w:val="auto"/>
        </w:rPr>
      </w:pPr>
      <w:r>
        <w:rPr>
          <w:rFonts w:ascii="Arial" w:cs="Arial" w:eastAsia="Arial" w:hAnsi="Arial"/>
          <w:sz w:val="22"/>
          <w:szCs w:val="22"/>
          <w:color w:val="auto"/>
        </w:rPr>
        <w:t>correspond</w:t>
        <w:tab/>
        <w:t>with</w:t>
        <w:tab/>
        <w:t>the</w:t>
        <w:tab/>
        <w:t>name(s)</w:t>
        <w:tab/>
        <w:t>of</w:t>
        <w:tab/>
        <w:t>the</w:t>
        <w:tab/>
        <w:t>registered</w:t>
      </w:r>
      <w:r>
        <w:rPr>
          <w:sz w:val="20"/>
          <w:szCs w:val="20"/>
          <w:color w:val="auto"/>
        </w:rPr>
        <w:tab/>
      </w:r>
      <w:r>
        <w:rPr>
          <w:rFonts w:ascii="Arial" w:cs="Arial" w:eastAsia="Arial" w:hAnsi="Arial"/>
          <w:sz w:val="19"/>
          <w:szCs w:val="19"/>
          <w:color w:val="auto"/>
        </w:rPr>
        <w:t>holder(s)</w:t>
      </w:r>
    </w:p>
    <w:p>
      <w:pPr>
        <w:ind w:left="40"/>
        <w:spacing w:after="0"/>
        <w:tabs>
          <w:tab w:leader="none" w:pos="5720" w:val="left"/>
        </w:tabs>
        <w:rPr>
          <w:sz w:val="20"/>
          <w:szCs w:val="20"/>
          <w:color w:val="auto"/>
        </w:rPr>
      </w:pPr>
      <w:r>
        <w:rPr>
          <w:rFonts w:ascii="Arial" w:cs="Arial" w:eastAsia="Arial" w:hAnsi="Arial"/>
          <w:sz w:val="22"/>
          <w:szCs w:val="22"/>
          <w:color w:val="auto"/>
        </w:rPr>
        <w:t>Signature guaranteed by:</w:t>
      </w:r>
      <w:r>
        <w:rPr>
          <w:sz w:val="20"/>
          <w:szCs w:val="20"/>
          <w:color w:val="auto"/>
        </w:rPr>
        <w:tab/>
      </w:r>
      <w:r>
        <w:rPr>
          <w:rFonts w:ascii="Arial" w:cs="Arial" w:eastAsia="Arial" w:hAnsi="Arial"/>
          <w:sz w:val="19"/>
          <w:szCs w:val="19"/>
          <w:color w:val="auto"/>
        </w:rPr>
        <w:t>appearing on the face of the within Bond in every particular.</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_____________________________________</w:t>
      </w:r>
    </w:p>
    <w:p>
      <w:pPr>
        <w:ind w:left="40"/>
        <w:spacing w:after="0" w:line="238" w:lineRule="auto"/>
        <w:rPr>
          <w:sz w:val="20"/>
          <w:szCs w:val="20"/>
          <w:color w:val="auto"/>
        </w:rPr>
      </w:pPr>
      <w:r>
        <w:rPr>
          <w:rFonts w:ascii="Arial" w:cs="Arial" w:eastAsia="Arial" w:hAnsi="Arial"/>
          <w:sz w:val="22"/>
          <w:szCs w:val="22"/>
          <w:color w:val="auto"/>
        </w:rPr>
        <w:t>NOTICE: Signature must be guaranteed by a member firm of the</w:t>
      </w:r>
    </w:p>
    <w:p>
      <w:pPr>
        <w:ind w:left="40"/>
        <w:spacing w:after="0" w:line="230" w:lineRule="auto"/>
        <w:rPr>
          <w:sz w:val="20"/>
          <w:szCs w:val="20"/>
          <w:color w:val="auto"/>
        </w:rPr>
      </w:pPr>
      <w:r>
        <w:rPr>
          <w:rFonts w:ascii="Arial" w:cs="Arial" w:eastAsia="Arial" w:hAnsi="Arial"/>
          <w:sz w:val="22"/>
          <w:szCs w:val="22"/>
          <w:color w:val="auto"/>
        </w:rPr>
        <w:t>National Association of Securities Dealers or a commercial bank</w:t>
      </w:r>
    </w:p>
    <w:p>
      <w:pPr>
        <w:ind w:left="40"/>
        <w:spacing w:after="0" w:line="231" w:lineRule="auto"/>
        <w:rPr>
          <w:sz w:val="20"/>
          <w:szCs w:val="20"/>
          <w:color w:val="auto"/>
        </w:rPr>
      </w:pPr>
      <w:r>
        <w:rPr>
          <w:rFonts w:ascii="Arial" w:cs="Arial" w:eastAsia="Arial" w:hAnsi="Arial"/>
          <w:sz w:val="22"/>
          <w:szCs w:val="22"/>
          <w:color w:val="auto"/>
        </w:rPr>
        <w:t>or a trust company which is a participant in an official medallion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program.</w:t>
      </w: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assignment above or on the face of the within Bond, shall be construed as though they were written out in full according to applicable laws or regulations:</w:t>
      </w:r>
    </w:p>
    <w:p>
      <w:pPr>
        <w:spacing w:after="0" w:line="175" w:lineRule="exact"/>
        <w:rPr>
          <w:sz w:val="20"/>
          <w:szCs w:val="20"/>
          <w:color w:val="auto"/>
        </w:rPr>
      </w:pPr>
    </w:p>
    <w:p>
      <w:pPr>
        <w:ind w:left="2600"/>
        <w:spacing w:after="0"/>
        <w:tabs>
          <w:tab w:leader="none" w:pos="3880" w:val="left"/>
        </w:tabs>
        <w:rPr>
          <w:sz w:val="20"/>
          <w:szCs w:val="20"/>
          <w:color w:val="auto"/>
        </w:rPr>
      </w:pPr>
      <w:r>
        <w:rPr>
          <w:rFonts w:ascii="Arial" w:cs="Arial" w:eastAsia="Arial" w:hAnsi="Arial"/>
          <w:sz w:val="22"/>
          <w:szCs w:val="22"/>
          <w:color w:val="auto"/>
        </w:rPr>
        <w:t>TEN COM -</w:t>
      </w:r>
      <w:r>
        <w:rPr>
          <w:sz w:val="20"/>
          <w:szCs w:val="20"/>
          <w:color w:val="auto"/>
        </w:rPr>
        <w:tab/>
      </w:r>
      <w:r>
        <w:rPr>
          <w:rFonts w:ascii="Arial" w:cs="Arial" w:eastAsia="Arial" w:hAnsi="Arial"/>
          <w:sz w:val="19"/>
          <w:szCs w:val="19"/>
          <w:color w:val="auto"/>
        </w:rPr>
        <w:t>as tenants in common</w:t>
      </w:r>
    </w:p>
    <w:p>
      <w:pPr>
        <w:spacing w:after="0" w:line="22" w:lineRule="exact"/>
        <w:rPr>
          <w:sz w:val="20"/>
          <w:szCs w:val="20"/>
          <w:color w:val="auto"/>
        </w:rPr>
      </w:pPr>
    </w:p>
    <w:p>
      <w:pPr>
        <w:ind w:left="2600"/>
        <w:spacing w:after="0"/>
        <w:tabs>
          <w:tab w:leader="none" w:pos="3820" w:val="left"/>
        </w:tabs>
        <w:rPr>
          <w:sz w:val="20"/>
          <w:szCs w:val="20"/>
          <w:color w:val="auto"/>
        </w:rPr>
      </w:pPr>
      <w:r>
        <w:rPr>
          <w:rFonts w:ascii="Arial" w:cs="Arial" w:eastAsia="Arial" w:hAnsi="Arial"/>
          <w:sz w:val="22"/>
          <w:szCs w:val="22"/>
          <w:color w:val="auto"/>
        </w:rPr>
        <w:t>TEN ENT -</w:t>
      </w:r>
      <w:r>
        <w:rPr>
          <w:sz w:val="20"/>
          <w:szCs w:val="20"/>
          <w:color w:val="auto"/>
        </w:rPr>
        <w:tab/>
      </w:r>
      <w:r>
        <w:rPr>
          <w:rFonts w:ascii="Arial" w:cs="Arial" w:eastAsia="Arial" w:hAnsi="Arial"/>
          <w:sz w:val="19"/>
          <w:szCs w:val="19"/>
          <w:color w:val="auto"/>
        </w:rPr>
        <w:t>as tenants by the entireties</w:t>
      </w:r>
    </w:p>
    <w:p>
      <w:pPr>
        <w:spacing w:after="0" w:line="4"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22"/>
          <w:szCs w:val="22"/>
          <w:color w:val="auto"/>
        </w:rPr>
        <w:t>JT TEN -</w:t>
      </w:r>
      <w:r>
        <w:rPr>
          <w:sz w:val="20"/>
          <w:szCs w:val="20"/>
          <w:color w:val="auto"/>
        </w:rPr>
        <w:tab/>
      </w:r>
      <w:r>
        <w:rPr>
          <w:rFonts w:ascii="Arial" w:cs="Arial" w:eastAsia="Arial" w:hAnsi="Arial"/>
          <w:sz w:val="19"/>
          <w:szCs w:val="19"/>
          <w:color w:val="auto"/>
        </w:rPr>
        <w:t>as joint tenants with right of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survivorship and not as tenants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common</w:t>
      </w:r>
    </w:p>
    <w:p>
      <w:pPr>
        <w:spacing w:after="0" w:line="202" w:lineRule="exact"/>
        <w:rPr>
          <w:sz w:val="20"/>
          <w:szCs w:val="20"/>
          <w:color w:val="auto"/>
        </w:rPr>
      </w:pPr>
    </w:p>
    <w:p>
      <w:pPr>
        <w:ind w:left="2600"/>
        <w:spacing w:after="0"/>
        <w:tabs>
          <w:tab w:leader="none" w:pos="4920" w:val="left"/>
        </w:tabs>
        <w:rPr>
          <w:sz w:val="20"/>
          <w:szCs w:val="20"/>
          <w:color w:val="auto"/>
        </w:rPr>
      </w:pPr>
      <w:r>
        <w:rPr>
          <w:rFonts w:ascii="Arial" w:cs="Arial" w:eastAsia="Arial" w:hAnsi="Arial"/>
          <w:sz w:val="22"/>
          <w:szCs w:val="22"/>
          <w:color w:val="auto"/>
        </w:rPr>
        <w:t>UNIF GIFT MIN ACT -</w:t>
      </w:r>
      <w:r>
        <w:rPr>
          <w:sz w:val="20"/>
          <w:szCs w:val="20"/>
          <w:color w:val="auto"/>
        </w:rPr>
        <w:tab/>
      </w:r>
      <w:r>
        <w:rPr>
          <w:rFonts w:ascii="Arial" w:cs="Arial" w:eastAsia="Arial" w:hAnsi="Arial"/>
          <w:sz w:val="19"/>
          <w:szCs w:val="19"/>
          <w:color w:val="auto"/>
        </w:rPr>
        <w:t>……….Custodian….…..</w:t>
      </w:r>
    </w:p>
    <w:p>
      <w:pPr>
        <w:spacing w:after="0" w:line="22" w:lineRule="exact"/>
        <w:rPr>
          <w:sz w:val="20"/>
          <w:szCs w:val="20"/>
          <w:color w:val="auto"/>
        </w:rPr>
      </w:pPr>
    </w:p>
    <w:p>
      <w:pPr>
        <w:ind w:left="4540"/>
        <w:spacing w:after="0"/>
        <w:tabs>
          <w:tab w:leader="none" w:pos="5500" w:val="left"/>
        </w:tabs>
        <w:rPr>
          <w:sz w:val="20"/>
          <w:szCs w:val="20"/>
          <w:color w:val="auto"/>
        </w:rPr>
      </w:pPr>
      <w:r>
        <w:rPr>
          <w:rFonts w:ascii="Arial" w:cs="Arial" w:eastAsia="Arial" w:hAnsi="Arial"/>
          <w:sz w:val="22"/>
          <w:szCs w:val="22"/>
          <w:color w:val="auto"/>
        </w:rPr>
        <w:t>(Cust)</w:t>
      </w:r>
      <w:r>
        <w:rPr>
          <w:sz w:val="20"/>
          <w:szCs w:val="20"/>
          <w:color w:val="auto"/>
        </w:rPr>
        <w:tab/>
      </w:r>
      <w:r>
        <w:rPr>
          <w:rFonts w:ascii="Arial" w:cs="Arial" w:eastAsia="Arial" w:hAnsi="Arial"/>
          <w:sz w:val="22"/>
          <w:szCs w:val="22"/>
          <w:color w:val="auto"/>
        </w:rPr>
        <w:t>(Minor)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Uniform Gifts to Minors Act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(State)</w:t>
      </w:r>
    </w:p>
    <w:p>
      <w:pPr>
        <w:sectPr>
          <w:pgSz w:w="11900" w:h="16838" w:orient="portrait"/>
          <w:cols w:equalWidth="0" w:num="1">
            <w:col w:w="11420"/>
          </w:cols>
          <w:pgMar w:left="240" w:top="132" w:right="239" w:bottom="717" w:gutter="0" w:footer="0" w:header="0"/>
        </w:sect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Additional abbreviations may also be used though not in the list above.</w:t>
      </w:r>
    </w:p>
    <w:p>
      <w:pPr>
        <w:sectPr>
          <w:pgSz w:w="11900" w:h="16838" w:orient="portrait"/>
          <w:cols w:equalWidth="0" w:num="1">
            <w:col w:w="11420"/>
          </w:cols>
          <w:pgMar w:left="240" w:top="132" w:right="239" w:bottom="717" w:gutter="0" w:footer="0" w:header="0"/>
          <w:type w:val="continuous"/>
        </w:sectPr>
      </w:pPr>
    </w:p>
    <w:bookmarkStart w:id="272" w:name="page273"/>
    <w:bookmarkEnd w:id="272"/>
    <w:p>
      <w:pPr>
        <w:jc w:val="center"/>
        <w:spacing w:after="0"/>
        <w:rPr>
          <w:sz w:val="20"/>
          <w:szCs w:val="20"/>
          <w:color w:val="auto"/>
        </w:rPr>
      </w:pPr>
      <w:r>
        <w:rPr>
          <w:rFonts w:ascii="Arial" w:cs="Arial" w:eastAsia="Arial" w:hAnsi="Arial"/>
          <w:sz w:val="19"/>
          <w:szCs w:val="19"/>
          <w:color w:val="auto"/>
        </w:rPr>
        <w:t>B-11</w:t>
      </w:r>
    </w:p>
    <w:p>
      <w:pPr>
        <w:sectPr>
          <w:pgSz w:w="11900" w:h="16838" w:orient="portrait"/>
          <w:cols w:equalWidth="0" w:num="1">
            <w:col w:w="9019"/>
          </w:cols>
          <w:pgMar w:left="1440" w:top="389" w:right="1440" w:bottom="1440" w:gutter="0" w:footer="0" w:header="0"/>
        </w:sectPr>
      </w:pPr>
    </w:p>
    <w:bookmarkStart w:id="273" w:name="page274"/>
    <w:bookmarkEnd w:id="273"/>
    <w:p>
      <w:pPr>
        <w:jc w:val="center"/>
        <w:ind w:right="40"/>
        <w:spacing w:after="0"/>
        <w:rPr>
          <w:sz w:val="20"/>
          <w:szCs w:val="20"/>
          <w:color w:val="auto"/>
        </w:rPr>
      </w:pPr>
      <w:r>
        <w:rPr>
          <w:rFonts w:ascii="Arial" w:cs="Arial" w:eastAsia="Arial" w:hAnsi="Arial"/>
          <w:sz w:val="22"/>
          <w:szCs w:val="22"/>
          <w:u w:val="single" w:color="auto"/>
          <w:color w:val="auto"/>
        </w:rPr>
        <w:t>EXHIBIT D</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FORM OF BOND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(FIXED RATE)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OF FACE OF BOND)</w:t>
      </w:r>
    </w:p>
    <w:p>
      <w:pPr>
        <w:sectPr>
          <w:pgSz w:w="11900" w:h="16838" w:orient="portrait"/>
          <w:cols w:equalWidth="0" w:num="1">
            <w:col w:w="11420"/>
          </w:cols>
          <w:pgMar w:left="240" w:top="631"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Registered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No. FR-_____</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Registered</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$_________</w:t>
      </w:r>
    </w:p>
    <w:p>
      <w:pPr>
        <w:spacing w:after="0" w:line="200" w:lineRule="exact"/>
        <w:rPr>
          <w:sz w:val="20"/>
          <w:szCs w:val="20"/>
          <w:color w:val="auto"/>
        </w:rPr>
      </w:pPr>
    </w:p>
    <w:p>
      <w:pPr>
        <w:sectPr>
          <w:pgSz w:w="11900" w:h="16838" w:orient="portrait"/>
          <w:cols w:equalWidth="0" w:num="2">
            <w:col w:w="2380" w:space="720"/>
            <w:col w:w="8320"/>
          </w:cols>
          <w:pgMar w:left="240" w:top="631" w:right="239" w:bottom="1440" w:gutter="0" w:footer="0" w:header="0"/>
          <w:type w:val="continuous"/>
        </w:sectPr>
      </w:pPr>
    </w:p>
    <w:p>
      <w:pPr>
        <w:spacing w:after="0" w:line="36"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UNITED STATES OF AMERICA</w:t>
      </w:r>
    </w:p>
    <w:p>
      <w:pPr>
        <w:spacing w:after="0" w:line="5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STATE OF TEXAS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COUNTY OF JEFFERSON</w:t>
      </w:r>
    </w:p>
    <w:p>
      <w:pPr>
        <w:sectPr>
          <w:pgSz w:w="11900" w:h="16838" w:orient="portrait"/>
          <w:cols w:equalWidth="0" w:num="1">
            <w:col w:w="11420"/>
          </w:cols>
          <w:pgMar w:left="240" w:top="631" w:right="2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color w:val="auto"/>
        </w:rPr>
        <w:t>PORT OF BEAUMONT NAVIGATION DISTRICT OF JEFFERSON COUNTY, TEXAS DOCK AND WHARF FACILITY REVENUE BONDS, SERIES 2016 (JEFFERSON ENERGY COMPANIES PROJECT)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0"/>
                <w:szCs w:val="20"/>
                <w:color w:val="auto"/>
              </w:rPr>
            </w:pPr>
            <w:r>
              <w:rPr>
                <w:rFonts w:ascii="Arial" w:cs="Arial" w:eastAsia="Arial" w:hAnsi="Arial"/>
                <w:sz w:val="22"/>
                <w:szCs w:val="22"/>
                <w:color w:val="auto"/>
              </w:rPr>
              <w:t>Interest Rate:  _______%</w:t>
            </w:r>
          </w:p>
        </w:tc>
        <w:tc>
          <w:tcPr>
            <w:tcW w:w="4640" w:type="dxa"/>
            <w:vAlign w:val="bottom"/>
            <w:gridSpan w:val="7"/>
          </w:tcPr>
          <w:p>
            <w:pPr>
              <w:ind w:left="100"/>
              <w:spacing w:after="0"/>
              <w:rPr>
                <w:sz w:val="20"/>
                <w:szCs w:val="20"/>
                <w:color w:val="auto"/>
              </w:rPr>
            </w:pPr>
            <w:r>
              <w:rPr>
                <w:rFonts w:ascii="Arial" w:cs="Arial" w:eastAsia="Arial" w:hAnsi="Arial"/>
                <w:sz w:val="22"/>
                <w:szCs w:val="22"/>
                <w:color w:val="auto"/>
              </w:rPr>
              <w:t>Principal Amount: $</w:t>
            </w:r>
          </w:p>
        </w:tc>
      </w:tr>
      <w:tr>
        <w:trPr>
          <w:trHeight w:val="20"/>
        </w:trPr>
        <w:tc>
          <w:tcPr>
            <w:tcW w:w="3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03"/>
        </w:trPr>
        <w:tc>
          <w:tcPr>
            <w:tcW w:w="3300" w:type="dxa"/>
            <w:vAlign w:val="bottom"/>
          </w:tcPr>
          <w:p>
            <w:pPr>
              <w:spacing w:after="0"/>
              <w:rPr>
                <w:sz w:val="20"/>
                <w:szCs w:val="20"/>
                <w:color w:val="auto"/>
              </w:rPr>
            </w:pPr>
            <w:r>
              <w:rPr>
                <w:rFonts w:ascii="Arial" w:cs="Arial" w:eastAsia="Arial" w:hAnsi="Arial"/>
                <w:sz w:val="22"/>
                <w:szCs w:val="22"/>
                <w:color w:val="auto"/>
                <w:w w:val="90"/>
              </w:rPr>
              <w:t>Interest Mode Commencement Date:</w:t>
            </w:r>
          </w:p>
        </w:tc>
        <w:tc>
          <w:tcPr>
            <w:tcW w:w="1520" w:type="dxa"/>
            <w:vAlign w:val="bottom"/>
            <w:gridSpan w:val="2"/>
          </w:tcPr>
          <w:p>
            <w:pPr>
              <w:ind w:left="120"/>
              <w:spacing w:after="0"/>
              <w:rPr>
                <w:sz w:val="20"/>
                <w:szCs w:val="20"/>
                <w:color w:val="auto"/>
              </w:rPr>
            </w:pPr>
            <w:r>
              <w:rPr>
                <w:rFonts w:ascii="Arial" w:cs="Arial" w:eastAsia="Arial" w:hAnsi="Arial"/>
                <w:sz w:val="22"/>
                <w:szCs w:val="22"/>
                <w:color w:val="auto"/>
              </w:rPr>
              <w:t>______, 20__</w:t>
            </w:r>
          </w:p>
        </w:tc>
        <w:tc>
          <w:tcPr>
            <w:tcW w:w="3120" w:type="dxa"/>
            <w:vAlign w:val="bottom"/>
            <w:gridSpan w:val="5"/>
          </w:tcPr>
          <w:p>
            <w:pPr>
              <w:ind w:left="220"/>
              <w:spacing w:after="0"/>
              <w:rPr>
                <w:sz w:val="20"/>
                <w:szCs w:val="20"/>
                <w:color w:val="auto"/>
              </w:rPr>
            </w:pPr>
            <w:r>
              <w:rPr>
                <w:rFonts w:ascii="Arial" w:cs="Arial" w:eastAsia="Arial" w:hAnsi="Arial"/>
                <w:sz w:val="22"/>
                <w:szCs w:val="22"/>
                <w:color w:val="auto"/>
                <w:w w:val="95"/>
              </w:rPr>
              <w:t>Maturity Date:   ____________</w:t>
            </w:r>
          </w:p>
        </w:tc>
      </w:tr>
      <w:tr>
        <w:trPr>
          <w:trHeight w:val="422"/>
        </w:trPr>
        <w:tc>
          <w:tcPr>
            <w:tcW w:w="3960" w:type="dxa"/>
            <w:vAlign w:val="bottom"/>
            <w:gridSpan w:val="2"/>
          </w:tcPr>
          <w:p>
            <w:pPr>
              <w:spacing w:after="0"/>
              <w:rPr>
                <w:sz w:val="20"/>
                <w:szCs w:val="20"/>
                <w:color w:val="auto"/>
              </w:rPr>
            </w:pPr>
            <w:r>
              <w:rPr>
                <w:rFonts w:ascii="Arial" w:cs="Arial" w:eastAsia="Arial" w:hAnsi="Arial"/>
                <w:sz w:val="22"/>
                <w:szCs w:val="22"/>
                <w:color w:val="auto"/>
                <w:w w:val="96"/>
              </w:rPr>
              <w:t>Registered Holder: __________________</w:t>
            </w:r>
          </w:p>
        </w:tc>
        <w:tc>
          <w:tcPr>
            <w:tcW w:w="1380" w:type="dxa"/>
            <w:vAlign w:val="bottom"/>
            <w:gridSpan w:val="3"/>
          </w:tcPr>
          <w:p>
            <w:pPr>
              <w:ind w:left="340"/>
              <w:spacing w:after="0"/>
              <w:rPr>
                <w:sz w:val="20"/>
                <w:szCs w:val="20"/>
                <w:color w:val="auto"/>
              </w:rPr>
            </w:pPr>
            <w:r>
              <w:rPr>
                <w:rFonts w:ascii="Arial" w:cs="Arial" w:eastAsia="Arial" w:hAnsi="Arial"/>
                <w:sz w:val="22"/>
                <w:szCs w:val="22"/>
                <w:color w:val="auto"/>
                <w:w w:val="89"/>
              </w:rPr>
              <w:t>CUSIP No.:</w:t>
            </w:r>
          </w:p>
        </w:tc>
        <w:tc>
          <w:tcPr>
            <w:tcW w:w="640" w:type="dxa"/>
            <w:vAlign w:val="bottom"/>
            <w:tcBorders>
              <w:bottom w:val="single" w:sz="8" w:color="auto"/>
            </w:tcBorders>
            <w:gridSpan w:val="2"/>
          </w:tcPr>
          <w:p>
            <w:pPr>
              <w:spacing w:after="0"/>
              <w:rPr>
                <w:sz w:val="24"/>
                <w:szCs w:val="24"/>
                <w:color w:val="auto"/>
              </w:rPr>
            </w:pPr>
          </w:p>
        </w:tc>
        <w:tc>
          <w:tcPr>
            <w:tcW w:w="1960" w:type="dxa"/>
            <w:vAlign w:val="bottom"/>
          </w:tcPr>
          <w:p>
            <w:pPr>
              <w:spacing w:after="0"/>
              <w:rPr>
                <w:sz w:val="24"/>
                <w:szCs w:val="24"/>
                <w:color w:val="auto"/>
              </w:rPr>
            </w:pPr>
          </w:p>
        </w:tc>
      </w:tr>
    </w:tbl>
    <w:p>
      <w:pPr>
        <w:spacing w:after="0" w:line="2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PORT OF BEAUMONT NAVIGATION DISTRICT OF JEFFERSON COUNTY, TEXAS (the “District”), being a political subdivision of the State of Texas (the “State”) organized and existing pursuant to Article XVI, Section 59 of the Texas Constitution, for value received, hereby promises to pay to the Registered Holder named above, or registered assigns, but solely from the sources and in the manner herein provided, the Principal Amount set forth above on the Maturity Date set forth above (or earlier as herein described and indicated hereon). The District also promises to pay interest thereon from the same sources, from the Interest Mode Commencement Date set forth above, or from the Interest Payment Date to which interest has been paid or duly provided for, semiannually on February 1 and August 1 in each year at the per annum Interest Rate set forth above, until the principal hereof is paid or made available for payment, calculated on the basis of a 360-day year of twelve 30-day months.</w:t>
      </w:r>
    </w:p>
    <w:p>
      <w:pPr>
        <w:spacing w:after="0" w:line="1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BOND AND ALL OF THE BONDS OF THIS SERIES are special limited obligations of the District, payable by the District solely out of the “Pledged Revenues”, as defined in the Indenture (hereinafter defined), which Pledged Revenues are pledged to the payment of the Series 2016 Bonds and all Additional Bonds issued on a parity therewith, and all money and investments held for the credit of the funds and accounts established by or under the Indenture (except the Rebate Fund), all as more fully described and provided for in and subject to the restrictions and limitations imposed by the Indenture. This Bond and the series of which it is a part, together with the interest thereon, are payable solely from such Pledged Revenues and do not constitute a general obligation of the District.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1</w:t>
      </w:r>
    </w:p>
    <w:p>
      <w:pPr>
        <w:sectPr>
          <w:pgSz w:w="11900" w:h="16838" w:orient="portrait"/>
          <w:cols w:equalWidth="0" w:num="1">
            <w:col w:w="11420"/>
          </w:cols>
          <w:pgMar w:left="240" w:top="631" w:right="239" w:bottom="1440" w:gutter="0" w:footer="0" w:header="0"/>
          <w:type w:val="continuous"/>
        </w:sectPr>
      </w:pPr>
    </w:p>
    <w:bookmarkStart w:id="274" w:name="page275"/>
    <w:bookmarkEnd w:id="274"/>
    <w:p>
      <w:pPr>
        <w:jc w:val="both"/>
        <w:ind w:firstLine="648"/>
        <w:spacing w:after="0" w:line="248" w:lineRule="auto"/>
        <w:rPr>
          <w:sz w:val="20"/>
          <w:szCs w:val="20"/>
          <w:color w:val="auto"/>
        </w:rPr>
      </w:pPr>
      <w:r>
        <w:rPr>
          <w:rFonts w:ascii="Arial" w:cs="Arial" w:eastAsia="Arial" w:hAnsi="Arial"/>
          <w:sz w:val="22"/>
          <w:szCs w:val="22"/>
          <w:b w:val="1"/>
          <w:bCs w:val="1"/>
          <w:color w:val="auto"/>
        </w:rPr>
        <w:t>THE BONDS DO NOT CONSTITUTE GENERAL OBLIGATIONS OF THE DISTRICT, THE STATE OF TEXAS OR ANY POLITICAL SUBDIVISION THEREOF. THE DISTRICT HAS PLEDGED NEITHER ITS TAXING POWER NOR THE CREDIT OF ITS TAXING POWER AS SECURITY FOR THE PAYMENT OF THE BONDS. THE OWNER HEREOF SHALL NEVER HAVE THE RIGHT TO DEMAND PAYMENT OF THIS OBLIGATION OUT OF ANY FUNDS RAISED OR TO BE RAISED BY TAXATION, OR FROM ANY SOURCE WHATSOEVER OTHER THAN THE AFORESAID PLEDGED REVENUES.</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BOND shall not be valid or obligatory for any purpose or be entitled to any benefit under the Indenture until the certificate of authentication hereon shall have been executed by the Trustee or its agent appointed pursuant to the Indenture.</w:t>
      </w:r>
    </w:p>
    <w:p>
      <w:pPr>
        <w:spacing w:after="0" w:line="1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IT IS HEREBY CERTIFIED, RECITED AND REPRESENTED that the issuance of this Bond and the Bonds is duly authorized by law; that all acts, conditions and things required to exist and necessary to be done or performed precedent to and in the issuance of this Bond and the Bonds to render the same lawful, valid and binding have been properly done and performed and have happened in regular and due time, form and manner as required by law; that all acts, conditions and things necessary to be done or performed by the District or to have happened precedent to and in the execution and delivery of the Indenture have been done and performed and have happened in regular and due form as required by law; that due provision has been made for the payment of the principal of, premium, if any, and interest on this Bond and the Bonds by irrevocably pledging the described revenues as provided in the Indenture; that payment in full for the Bonds has been received; and that the issuance of the Bonds does not contravene or violate any constitutional or statutory limitation.</w:t>
      </w:r>
    </w:p>
    <w:p>
      <w:pPr>
        <w:spacing w:after="0" w:line="180" w:lineRule="exact"/>
        <w:rPr>
          <w:sz w:val="20"/>
          <w:szCs w:val="20"/>
          <w:color w:val="auto"/>
        </w:rPr>
      </w:pPr>
    </w:p>
    <w:p>
      <w:pPr>
        <w:jc w:val="both"/>
        <w:ind w:firstLine="656"/>
        <w:spacing w:after="0" w:line="246" w:lineRule="auto"/>
        <w:tabs>
          <w:tab w:leader="none" w:pos="104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Description of Series</w:t>
      </w:r>
      <w:r>
        <w:rPr>
          <w:rFonts w:ascii="Arial" w:cs="Arial" w:eastAsia="Arial" w:hAnsi="Arial"/>
          <w:sz w:val="22"/>
          <w:szCs w:val="22"/>
          <w:color w:val="auto"/>
        </w:rPr>
        <w:t>. This Bond is one of the duly authorized issue of the District’s Dock and Wharf Facility Revenue Bonds, Series 2016 (Jefferson Energy Companies Project) (the “Bonds”), aggregating in principal amount $144,200,000, authorized by a resolution adopted by the Board of Commissioners of the District on November 23, 2015 and February 22, 2016, all issued or to be issued under a Trust Indenture and Security Agreement, dated as of February 1, 2016 (the “Indenture”), between the District and The Bank of New York Mellon Trust Company, National Association (the “Trustee”), pursuant to and in full conformity with the Constitution and the laws of the State. The Bonds are issued in order to provide funds for the District to lend to finance Project Costs.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Reference is hereby made to the Indenture and the other Bond Documents (as such term is defined in the Indenture), copies of which are filed with the Trustee, for the full provisions thereof (including, among others, those with respect to the nature and extent of the rights, duties and obligations of the parties to the Bond Documents and the Holders of the Bonds, the terms upon which the Bonds are issued and secured and the modification or amendment of the Bond Documents), to all of which the holders of the Bonds assent by the acceptance of the Bonds. Reference is also made to the “Bond Documents,” which term shall mean the Bond Documents and all other agreements, certificates, documents and instruments ever delivered in connection with any of the Bond Documents.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275" w:name="page276"/>
    <w:bookmarkEnd w:id="275"/>
    <w:p>
      <w:pPr>
        <w:ind w:right="20" w:firstLine="656"/>
        <w:spacing w:after="0" w:line="263" w:lineRule="auto"/>
        <w:tabs>
          <w:tab w:leader="none" w:pos="1134"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Certain Additional Definitions</w:t>
      </w:r>
      <w:r>
        <w:rPr>
          <w:rFonts w:ascii="Arial" w:cs="Arial" w:eastAsia="Arial" w:hAnsi="Arial"/>
          <w:sz w:val="22"/>
          <w:szCs w:val="22"/>
          <w:color w:val="auto"/>
        </w:rPr>
        <w:t>. In addition to the definitions contained in Section 1.01 of the Indenture which are incorporated herein, the following terms used herein shall have the following meanings:</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“Business Day” means any day other than (a) a Saturday or a Sunday; (b) a legal holiday or the equivalent on which banking institutions generally are authorized or required to be closed in Houston, Texas, New York, New York, the designated office of the Trustee and Tender Agent or the primary office of the Bank; or (c) a day on which the New York Stock Exchange is closed.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“Fixed Rate” means the rate determined by the Remarketing Agent pursuant to Section 2.08(f) of the Indenture.</w:t>
      </w:r>
    </w:p>
    <w:p>
      <w:pPr>
        <w:spacing w:after="0" w:line="254"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“Holders or Registered Holders” means the person registered on the books of the registration for the Bonds maintained by the Trustee.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Mode Commencement Date” means the appropriate date displayed on the face of this Bond.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Payment Date” means each February 1, August 1, and the Maturity Date.</w:t>
      </w:r>
    </w:p>
    <w:p>
      <w:pPr>
        <w:spacing w:after="0" w:line="220" w:lineRule="exact"/>
        <w:rPr>
          <w:sz w:val="20"/>
          <w:szCs w:val="20"/>
          <w:color w:val="auto"/>
        </w:rPr>
      </w:pPr>
    </w:p>
    <w:p>
      <w:pPr>
        <w:jc w:val="both"/>
        <w:ind w:left="660" w:firstLine="648"/>
        <w:spacing w:after="0" w:line="343" w:lineRule="auto"/>
        <w:rPr>
          <w:sz w:val="20"/>
          <w:szCs w:val="20"/>
          <w:color w:val="auto"/>
        </w:rPr>
      </w:pPr>
      <w:r>
        <w:rPr>
          <w:rFonts w:ascii="Arial" w:cs="Arial" w:eastAsia="Arial" w:hAnsi="Arial"/>
          <w:sz w:val="19"/>
          <w:szCs w:val="19"/>
          <w:color w:val="auto"/>
        </w:rPr>
        <w:t>“Regular Record Date” means, with respect to the Fixed Rate Bonds, the close of business for the Trustee on the first day of the calendar month preceding any interest Payment Date regardless of whether such day is a Business Day.</w:t>
      </w:r>
    </w:p>
    <w:p>
      <w:pPr>
        <w:spacing w:after="0" w:line="105" w:lineRule="exact"/>
        <w:rPr>
          <w:sz w:val="20"/>
          <w:szCs w:val="20"/>
          <w:color w:val="auto"/>
        </w:rPr>
      </w:pPr>
    </w:p>
    <w:p>
      <w:pPr>
        <w:jc w:val="both"/>
        <w:ind w:firstLine="656"/>
        <w:spacing w:after="0" w:line="259" w:lineRule="auto"/>
        <w:tabs>
          <w:tab w:leader="none" w:pos="1067"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Interest on this Bond payable prior to or on the Maturity Date shall be paid by check or draft mailed to the Registered Holder of this Bond at its address as it appears on the registration books of the Trustee (in such capacity, the “Bond Registrar”) or in such other manner as may be mutually acceptable to the Trustee and the Registered Holder of this Bond. Interest on this Bond that is payable, and is punctually paid or duly provided for, on any Interest Payment Date shall be paid to the Registered Holder of this Bond as of the applicable Regular Record Date. In order to make payment of defaulted interest, the District shall pay the defaulted interest to the person who is the Registered Holder on a subsequent special record date. The Trustee shall fix the special record date and special interest payment date. At least 10 days before the special record date, the Trustee shall mail to the Registered Holder a notice that states the special record date, the special interest payment date, and the amount of interest to be paid.</w:t>
      </w:r>
    </w:p>
    <w:p>
      <w:pPr>
        <w:spacing w:after="0" w:line="18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Principal of (and premium, if any, on) of this Bond payable on the Maturity Date shall be payable to the Registered Holder of this Bond at the payment office of the Trustee in Houston, Texas upon the surrender for cancellation of this Bond.</w:t>
      </w:r>
    </w:p>
    <w:p>
      <w:pPr>
        <w:spacing w:after="0" w:line="10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u w:val="single" w:color="auto"/>
          <w:color w:val="auto"/>
        </w:rPr>
        <w:t>Redemption</w:t>
      </w:r>
      <w:r>
        <w:rPr>
          <w:rFonts w:ascii="Arial" w:cs="Arial" w:eastAsia="Arial" w:hAnsi="Arial"/>
          <w:sz w:val="19"/>
          <w:szCs w:val="19"/>
          <w:color w:val="auto"/>
        </w:rPr>
        <w:t>. The Bonds are subject to redemption prior to maturity as follows:</w:t>
      </w:r>
    </w:p>
    <w:p>
      <w:pPr>
        <w:spacing w:after="0" w:line="220" w:lineRule="exact"/>
        <w:rPr>
          <w:sz w:val="20"/>
          <w:szCs w:val="20"/>
          <w:color w:val="auto"/>
        </w:rPr>
      </w:pPr>
    </w:p>
    <w:p>
      <w:pPr>
        <w:ind w:firstLine="656"/>
        <w:spacing w:after="0" w:line="263" w:lineRule="auto"/>
        <w:tabs>
          <w:tab w:leader="none" w:pos="1104"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 The Bonds shall be subject to optional redemption by the District from time to time on any date as set forth below, in whole or in part in any order, at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276" w:name="page277"/>
    <w:bookmarkEnd w:id="276"/>
    <w:p>
      <w:pPr>
        <w:ind w:right="20"/>
        <w:spacing w:after="0" w:line="263" w:lineRule="auto"/>
        <w:rPr>
          <w:sz w:val="20"/>
          <w:szCs w:val="20"/>
          <w:color w:val="auto"/>
        </w:rPr>
      </w:pPr>
      <w:r>
        <w:rPr>
          <w:rFonts w:ascii="Arial" w:cs="Arial" w:eastAsia="Arial" w:hAnsi="Arial"/>
          <w:sz w:val="22"/>
          <w:szCs w:val="22"/>
          <w:color w:val="auto"/>
        </w:rPr>
        <w:t>redemption prices (expressed as a percentage of the principal amount of Bonds to be redeemed) set forth below, together with accrued interest to the redemption date:</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[Actual Optional Redemption Schedule to Be Inserted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Based Upon Following Formula]</w:t>
      </w: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36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20"/>
                <w:szCs w:val="20"/>
                <w:b w:val="1"/>
                <w:bCs w:val="1"/>
                <w:color w:val="auto"/>
              </w:rPr>
              <w:t>Fixed Rate Period (Years)</w:t>
            </w:r>
          </w:p>
        </w:tc>
        <w:tc>
          <w:tcPr>
            <w:tcW w:w="31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b w:val="1"/>
                <w:bCs w:val="1"/>
                <w:color w:val="auto"/>
              </w:rPr>
              <w:t>Commencement of</w:t>
            </w:r>
          </w:p>
        </w:tc>
        <w:tc>
          <w:tcPr>
            <w:tcW w:w="428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20"/>
                <w:szCs w:val="20"/>
                <w:b w:val="1"/>
                <w:bCs w:val="1"/>
                <w:color w:val="auto"/>
              </w:rPr>
              <w:t>Redemption Price as</w:t>
            </w:r>
          </w:p>
        </w:tc>
      </w:tr>
      <w:tr>
        <w:trPr>
          <w:trHeight w:val="256"/>
        </w:trPr>
        <w:tc>
          <w:tcPr>
            <w:tcW w:w="3360" w:type="dxa"/>
            <w:vAlign w:val="bottom"/>
            <w:tcBorders>
              <w:left w:val="single" w:sz="8" w:color="auto"/>
              <w:right w:val="single" w:sz="8" w:color="auto"/>
            </w:tcBorders>
          </w:tcPr>
          <w:p>
            <w:pPr>
              <w:spacing w:after="0"/>
              <w:rPr>
                <w:sz w:val="22"/>
                <w:szCs w:val="22"/>
                <w:color w:val="auto"/>
              </w:rPr>
            </w:pPr>
          </w:p>
        </w:tc>
        <w:tc>
          <w:tcPr>
            <w:tcW w:w="3120" w:type="dxa"/>
            <w:vAlign w:val="bottom"/>
            <w:tcBorders>
              <w:right w:val="single" w:sz="8" w:color="auto"/>
            </w:tcBorders>
          </w:tcPr>
          <w:p>
            <w:pPr>
              <w:ind w:left="720"/>
              <w:spacing w:after="0"/>
              <w:rPr>
                <w:sz w:val="20"/>
                <w:szCs w:val="20"/>
                <w:color w:val="auto"/>
              </w:rPr>
            </w:pPr>
            <w:r>
              <w:rPr>
                <w:rFonts w:ascii="Arial" w:cs="Arial" w:eastAsia="Arial" w:hAnsi="Arial"/>
                <w:sz w:val="20"/>
                <w:szCs w:val="20"/>
                <w:b w:val="1"/>
                <w:bCs w:val="1"/>
                <w:color w:val="auto"/>
              </w:rPr>
              <w:t>Redemption Period</w:t>
            </w:r>
          </w:p>
        </w:tc>
        <w:tc>
          <w:tcPr>
            <w:tcW w:w="4280" w:type="dxa"/>
            <w:vAlign w:val="bottom"/>
            <w:tcBorders>
              <w:right w:val="single" w:sz="8" w:color="auto"/>
            </w:tcBorders>
          </w:tcPr>
          <w:p>
            <w:pPr>
              <w:ind w:left="1120"/>
              <w:spacing w:after="0"/>
              <w:rPr>
                <w:sz w:val="20"/>
                <w:szCs w:val="20"/>
                <w:color w:val="auto"/>
              </w:rPr>
            </w:pPr>
            <w:r>
              <w:rPr>
                <w:rFonts w:ascii="Arial" w:cs="Arial" w:eastAsia="Arial" w:hAnsi="Arial"/>
                <w:sz w:val="20"/>
                <w:szCs w:val="20"/>
                <w:b w:val="1"/>
                <w:bCs w:val="1"/>
                <w:color w:val="auto"/>
              </w:rPr>
              <w:t>Percentage of Principal</w:t>
            </w:r>
          </w:p>
        </w:tc>
      </w:tr>
      <w:tr>
        <w:trPr>
          <w:trHeight w:val="2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18 years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Eighth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102%, declining by 1% on each</w:t>
            </w:r>
          </w:p>
        </w:tc>
      </w:tr>
      <w:tr>
        <w:trPr>
          <w:trHeight w:val="263"/>
        </w:trPr>
        <w:tc>
          <w:tcPr>
            <w:tcW w:w="3360" w:type="dxa"/>
            <w:vAlign w:val="bottom"/>
            <w:tcBorders>
              <w:left w:val="single" w:sz="8" w:color="auto"/>
              <w:right w:val="single" w:sz="8" w:color="auto"/>
            </w:tcBorders>
          </w:tcPr>
          <w:p>
            <w:pPr>
              <w:spacing w:after="0"/>
              <w:rPr>
                <w:sz w:val="22"/>
                <w:szCs w:val="22"/>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succeeding anniversary of the first</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 of the redemption period until</w:t>
            </w: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reaching 100% and thereafter</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12"/>
        </w:trPr>
        <w:tc>
          <w:tcPr>
            <w:tcW w:w="336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12, but not more</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Sixth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102%, declining by 1% on each</w:t>
            </w:r>
          </w:p>
        </w:tc>
      </w:tr>
      <w:tr>
        <w:trPr>
          <w:trHeight w:val="263"/>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than 18 years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succeeding anniversary of the first</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 of the redemption period until</w:t>
            </w: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reaching 100% and thereafter</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12"/>
        </w:trPr>
        <w:tc>
          <w:tcPr>
            <w:tcW w:w="336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9 years, but not</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Fourth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102%, declining by 1% on each</w:t>
            </w:r>
          </w:p>
        </w:tc>
      </w:tr>
      <w:tr>
        <w:trPr>
          <w:trHeight w:val="263"/>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12 years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succeeding anniversary of the first</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 of the redemption period until</w:t>
            </w: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reaching 100% and thereafter</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12"/>
        </w:trPr>
        <w:tc>
          <w:tcPr>
            <w:tcW w:w="336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6 years, but not</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Third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101%, declining by 1% on each</w:t>
            </w:r>
          </w:p>
        </w:tc>
      </w:tr>
      <w:tr>
        <w:trPr>
          <w:trHeight w:val="263"/>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9 years succeeding</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succeeding anniversary of the first</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 of the redemption period until</w:t>
            </w: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reaching 100% and thereafter</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12"/>
        </w:trPr>
        <w:tc>
          <w:tcPr>
            <w:tcW w:w="336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3 years, but not</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Second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101%, declining by 1% on each</w:t>
            </w:r>
          </w:p>
        </w:tc>
      </w:tr>
      <w:tr>
        <w:trPr>
          <w:trHeight w:val="263"/>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more than 6 years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succeeding anniversary of the first</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 of the redemption period until</w:t>
            </w: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reaching 100% and thereafter</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12"/>
        </w:trPr>
        <w:tc>
          <w:tcPr>
            <w:tcW w:w="336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r>
        <w:trPr>
          <w:trHeight w:val="254"/>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 years or less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First anniversary of</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r>
      <w:tr>
        <w:trPr>
          <w:trHeight w:val="284"/>
        </w:trPr>
        <w:tc>
          <w:tcPr>
            <w:tcW w:w="33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Conversion Date</w:t>
            </w:r>
          </w:p>
        </w:tc>
        <w:tc>
          <w:tcPr>
            <w:tcW w:w="4280" w:type="dxa"/>
            <w:vAlign w:val="bottom"/>
            <w:tcBorders>
              <w:right w:val="single" w:sz="8" w:color="auto"/>
            </w:tcBorders>
          </w:tcPr>
          <w:p>
            <w:pPr>
              <w:spacing w:after="0"/>
              <w:rPr>
                <w:sz w:val="24"/>
                <w:szCs w:val="24"/>
                <w:color w:val="auto"/>
              </w:rPr>
            </w:pPr>
          </w:p>
        </w:tc>
      </w:tr>
      <w:tr>
        <w:trPr>
          <w:trHeight w:val="2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656"/>
        <w:spacing w:after="0" w:line="302" w:lineRule="auto"/>
        <w:tabs>
          <w:tab w:leader="none" w:pos="1143"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Extraordinary Optional Redemption</w:t>
      </w:r>
      <w:r>
        <w:rPr>
          <w:rFonts w:ascii="Arial" w:cs="Arial" w:eastAsia="Arial" w:hAnsi="Arial"/>
          <w:sz w:val="19"/>
          <w:szCs w:val="19"/>
          <w:color w:val="auto"/>
        </w:rPr>
        <w:t>. The Bonds shall be subject to optional redemption by the District in whole or in part in any order specified by the District prior to stated maturity on any date at a redemption price of par plus accrued interest to the redemption date, within 365 days following the occurrence of any one of the following events (or, if later, in the case of (i) and (ii), below, at the option of the District, within 60 days following the receipt of any proceeds relating to such event):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277" w:name="page278"/>
    <w:bookmarkEnd w:id="277"/>
    <w:p>
      <w:pPr>
        <w:jc w:val="both"/>
        <w:ind w:left="660" w:firstLine="1293"/>
        <w:spacing w:after="0" w:line="247" w:lineRule="auto"/>
        <w:tabs>
          <w:tab w:leader="none" w:pos="2424"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properties of the District or a substantial portion thereof shall have been damaged or destroyed to such an extent that, in the opinion of the District, (x) the required restoration and repair could not reasonably be expected to be completed within a period of six months after commencement of restoration or repair, (y) the District is prevented or would likely be prevented from using the properties of the District or a substantial portion thereof for its normal purposes for a period of six months or more or (z) the cost of restoration and repair would not be economically practical or desirable; or</w:t>
      </w:r>
    </w:p>
    <w:p>
      <w:pPr>
        <w:spacing w:after="0" w:line="193" w:lineRule="exact"/>
        <w:rPr>
          <w:rFonts w:ascii="Arial" w:cs="Arial" w:eastAsia="Arial" w:hAnsi="Arial"/>
          <w:sz w:val="22"/>
          <w:szCs w:val="22"/>
          <w:color w:val="auto"/>
        </w:rPr>
      </w:pPr>
    </w:p>
    <w:p>
      <w:pPr>
        <w:jc w:val="both"/>
        <w:ind w:left="660" w:firstLine="1293"/>
        <w:spacing w:after="0" w:line="250" w:lineRule="auto"/>
        <w:tabs>
          <w:tab w:leader="none" w:pos="2455"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title to the whole or any part of the properties of the District or the use or possession thereof shall have been taken or condemned by a competent authority to such an extent that, in the opinion of the District, the District is prevented or would likely be prevented from using such properties or a substantial portion thereof for its normal purposes for a period of six months or more; or</w:t>
      </w:r>
    </w:p>
    <w:p>
      <w:pPr>
        <w:spacing w:after="0" w:line="188" w:lineRule="exact"/>
        <w:rPr>
          <w:rFonts w:ascii="Arial" w:cs="Arial" w:eastAsia="Arial" w:hAnsi="Arial"/>
          <w:sz w:val="22"/>
          <w:szCs w:val="22"/>
          <w:color w:val="auto"/>
        </w:rPr>
      </w:pPr>
    </w:p>
    <w:p>
      <w:pPr>
        <w:jc w:val="both"/>
        <w:ind w:left="660" w:firstLine="1293"/>
        <w:spacing w:after="0" w:line="297" w:lineRule="auto"/>
        <w:tabs>
          <w:tab w:leader="none" w:pos="2505" w:val="left"/>
        </w:tabs>
        <w:numPr>
          <w:ilvl w:val="1"/>
          <w:numId w:val="208"/>
        </w:numPr>
        <w:rPr>
          <w:rFonts w:ascii="Arial" w:cs="Arial" w:eastAsia="Arial" w:hAnsi="Arial"/>
          <w:sz w:val="19"/>
          <w:szCs w:val="19"/>
          <w:color w:val="auto"/>
        </w:rPr>
      </w:pPr>
      <w:r>
        <w:rPr>
          <w:rFonts w:ascii="Arial" w:cs="Arial" w:eastAsia="Arial" w:hAnsi="Arial"/>
          <w:sz w:val="19"/>
          <w:szCs w:val="19"/>
          <w:color w:val="auto"/>
        </w:rPr>
        <w:t>as a result of any changes in the Constitution or laws of the State or of the United States of America or of any legislative, executive or administrative action (whether state or federal) or of any final decree, judgment or order of any court or administrative body (whether state or federal), the obligations of the Company under the Facilities Lease shall have become, as established by an opinion of counsel, void or unenforceable, in each case in any material respect in accordance with the intent and purpose of the parties as expressed in the Facilities Lease.</w:t>
      </w:r>
    </w:p>
    <w:p>
      <w:pPr>
        <w:spacing w:after="0" w:line="147" w:lineRule="exact"/>
        <w:rPr>
          <w:rFonts w:ascii="Arial" w:cs="Arial" w:eastAsia="Arial" w:hAnsi="Arial"/>
          <w:sz w:val="19"/>
          <w:szCs w:val="19"/>
          <w:color w:val="auto"/>
        </w:rPr>
      </w:pPr>
    </w:p>
    <w:p>
      <w:pPr>
        <w:jc w:val="both"/>
        <w:ind w:firstLine="656"/>
        <w:spacing w:after="0" w:line="253" w:lineRule="auto"/>
        <w:tabs>
          <w:tab w:leader="none" w:pos="1158"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Mandatory Sinking Fund Redemption</w:t>
      </w:r>
      <w:r>
        <w:rPr>
          <w:rFonts w:ascii="Arial" w:cs="Arial" w:eastAsia="Arial" w:hAnsi="Arial"/>
          <w:sz w:val="22"/>
          <w:szCs w:val="22"/>
          <w:color w:val="auto"/>
        </w:rPr>
        <w:t>. The Bonds shall be subject to mandatory redemption prior to maturity in the following amounts, on the following dates, in each case at a redemption price equal to 100% of their principal amount plus accrued interest to the date fixed for redemption, if 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5</w:t>
      </w:r>
    </w:p>
    <w:p>
      <w:pPr>
        <w:sectPr>
          <w:pgSz w:w="11900" w:h="16838" w:orient="portrait"/>
          <w:cols w:equalWidth="0" w:num="1">
            <w:col w:w="11420"/>
          </w:cols>
          <w:pgMar w:left="240" w:top="632" w:right="239" w:bottom="1440" w:gutter="0" w:footer="0" w:header="0"/>
        </w:sectPr>
      </w:pPr>
    </w:p>
    <w:bookmarkStart w:id="278" w:name="page279"/>
    <w:bookmarkEnd w:id="278"/>
    <w:tbl>
      <w:tblPr>
        <w:tblLayout w:type="fixed"/>
        <w:tblInd w:w="1560" w:type="dxa"/>
        <w:tblCellMar>
          <w:top w:w="0" w:type="dxa"/>
          <w:left w:w="0" w:type="dxa"/>
          <w:bottom w:w="0" w:type="dxa"/>
          <w:right w:w="0" w:type="dxa"/>
        </w:tblCellMar>
      </w:tblPr>
      <w:tr>
        <w:trPr>
          <w:trHeight w:val="253"/>
        </w:trPr>
        <w:tc>
          <w:tcPr>
            <w:tcW w:w="3820" w:type="dxa"/>
            <w:vAlign w:val="bottom"/>
          </w:tcPr>
          <w:p>
            <w:pPr>
              <w:spacing w:after="0"/>
              <w:rPr>
                <w:sz w:val="20"/>
                <w:szCs w:val="20"/>
                <w:color w:val="auto"/>
              </w:rPr>
            </w:pPr>
            <w:r>
              <w:rPr>
                <w:rFonts w:ascii="Arial" w:cs="Arial" w:eastAsia="Arial" w:hAnsi="Arial"/>
                <w:sz w:val="22"/>
                <w:szCs w:val="22"/>
                <w:b w:val="1"/>
                <w:bCs w:val="1"/>
                <w:color w:val="auto"/>
              </w:rPr>
              <w:t>Mandatory Redemption Dates</w:t>
            </w:r>
          </w:p>
        </w:tc>
        <w:tc>
          <w:tcPr>
            <w:tcW w:w="3220" w:type="dxa"/>
            <w:vAlign w:val="bottom"/>
          </w:tcPr>
          <w:p>
            <w:pPr>
              <w:ind w:left="1020"/>
              <w:spacing w:after="0"/>
              <w:rPr>
                <w:sz w:val="20"/>
                <w:szCs w:val="20"/>
                <w:color w:val="auto"/>
              </w:rPr>
            </w:pPr>
            <w:r>
              <w:rPr>
                <w:rFonts w:ascii="Arial" w:cs="Arial" w:eastAsia="Arial" w:hAnsi="Arial"/>
                <w:sz w:val="22"/>
                <w:szCs w:val="22"/>
                <w:b w:val="1"/>
                <w:bCs w:val="1"/>
                <w:color w:val="auto"/>
                <w:w w:val="88"/>
              </w:rPr>
              <w:t>Principal Requirements</w:t>
            </w:r>
          </w:p>
        </w:tc>
      </w:tr>
      <w:tr>
        <w:trPr>
          <w:trHeight w:val="281"/>
        </w:trPr>
        <w:tc>
          <w:tcPr>
            <w:tcW w:w="3820" w:type="dxa"/>
            <w:vAlign w:val="bottom"/>
          </w:tcPr>
          <w:p>
            <w:pPr>
              <w:ind w:left="820"/>
              <w:spacing w:after="0"/>
              <w:rPr>
                <w:sz w:val="20"/>
                <w:szCs w:val="20"/>
                <w:color w:val="auto"/>
              </w:rPr>
            </w:pPr>
            <w:r>
              <w:rPr>
                <w:rFonts w:ascii="Arial" w:cs="Arial" w:eastAsia="Arial" w:hAnsi="Arial"/>
                <w:sz w:val="22"/>
                <w:szCs w:val="22"/>
                <w:b w:val="1"/>
                <w:bCs w:val="1"/>
                <w:color w:val="auto"/>
              </w:rPr>
              <w:t>(February 1)</w:t>
            </w:r>
          </w:p>
        </w:tc>
        <w:tc>
          <w:tcPr>
            <w:tcW w:w="3220" w:type="dxa"/>
            <w:vAlign w:val="bottom"/>
          </w:tcPr>
          <w:p>
            <w:pPr>
              <w:spacing w:after="0"/>
              <w:rPr>
                <w:sz w:val="24"/>
                <w:szCs w:val="24"/>
                <w:color w:val="auto"/>
              </w:rPr>
            </w:pP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2021</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$4,950,000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2022</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5,320,000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2023</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5,720,000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2024</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6,155,000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2025</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6,615,000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2026</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7,115,000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2027</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7,650,000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2028</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8,225,000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2029</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8,840,000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2030</w:t>
            </w:r>
          </w:p>
        </w:tc>
        <w:tc>
          <w:tcPr>
            <w:tcW w:w="3220" w:type="dxa"/>
            <w:vAlign w:val="bottom"/>
          </w:tcPr>
          <w:p>
            <w:pPr>
              <w:jc w:val="center"/>
              <w:ind w:left="892"/>
              <w:spacing w:after="0"/>
              <w:rPr>
                <w:sz w:val="20"/>
                <w:szCs w:val="20"/>
                <w:color w:val="auto"/>
              </w:rPr>
            </w:pPr>
            <w:r>
              <w:rPr>
                <w:rFonts w:ascii="Arial" w:cs="Arial" w:eastAsia="Arial" w:hAnsi="Arial"/>
                <w:sz w:val="22"/>
                <w:szCs w:val="22"/>
                <w:color w:val="auto"/>
                <w:w w:val="87"/>
              </w:rPr>
              <w:t>9,510,000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2031</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10,225,000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2032</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10,990,000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2033</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11,820,000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2034</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12,710,000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2035</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13,665,000</w:t>
            </w:r>
          </w:p>
        </w:tc>
      </w:tr>
      <w:tr>
        <w:trPr>
          <w:trHeight w:val="297"/>
        </w:trPr>
        <w:tc>
          <w:tcPr>
            <w:tcW w:w="3820" w:type="dxa"/>
            <w:vAlign w:val="bottom"/>
          </w:tcPr>
          <w:p>
            <w:pPr>
              <w:ind w:left="620"/>
              <w:spacing w:after="0"/>
              <w:rPr>
                <w:sz w:val="20"/>
                <w:szCs w:val="20"/>
                <w:color w:val="auto"/>
              </w:rPr>
            </w:pPr>
            <w:r>
              <w:rPr>
                <w:rFonts w:ascii="Arial" w:cs="Arial" w:eastAsia="Arial" w:hAnsi="Arial"/>
                <w:sz w:val="22"/>
                <w:szCs w:val="22"/>
                <w:color w:val="auto"/>
              </w:rPr>
              <w:t>2036 (Maturity)</w:t>
            </w:r>
          </w:p>
        </w:tc>
        <w:tc>
          <w:tcPr>
            <w:tcW w:w="3220" w:type="dxa"/>
            <w:vAlign w:val="bottom"/>
          </w:tcPr>
          <w:p>
            <w:pPr>
              <w:jc w:val="center"/>
              <w:ind w:left="912"/>
              <w:spacing w:after="0"/>
              <w:rPr>
                <w:sz w:val="20"/>
                <w:szCs w:val="20"/>
                <w:color w:val="auto"/>
              </w:rPr>
            </w:pPr>
            <w:r>
              <w:rPr>
                <w:rFonts w:ascii="Arial" w:cs="Arial" w:eastAsia="Arial" w:hAnsi="Arial"/>
                <w:sz w:val="22"/>
                <w:szCs w:val="22"/>
                <w:color w:val="auto"/>
                <w:w w:val="87"/>
              </w:rPr>
              <w:t>14,690,000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20" w:firstLine="656"/>
        <w:spacing w:after="0" w:line="265" w:lineRule="auto"/>
        <w:tabs>
          <w:tab w:leader="none" w:pos="1074"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Authorized Denominations and Transfer</w:t>
      </w:r>
      <w:r>
        <w:rPr>
          <w:rFonts w:ascii="Arial" w:cs="Arial" w:eastAsia="Arial" w:hAnsi="Arial"/>
          <w:sz w:val="21"/>
          <w:szCs w:val="21"/>
          <w:color w:val="auto"/>
        </w:rPr>
        <w:t>. The Bonds are issuable only as fully registered Bonds in denominations of $5,000 or any larger integral multiple thereof. This Bond is transferable by the Registered Holder hereof in person or by his attorney duly authorized in writing at the principal payment office of the Bond Registrar in Houston, Texas upon presentation hereof to the Bond Registrar, all subject to the terms and conditions provided in the Indenture.</w:t>
      </w:r>
    </w:p>
    <w:p>
      <w:pPr>
        <w:spacing w:after="0" w:line="175" w:lineRule="exact"/>
        <w:rPr>
          <w:rFonts w:ascii="Arial" w:cs="Arial" w:eastAsia="Arial" w:hAnsi="Arial"/>
          <w:sz w:val="21"/>
          <w:szCs w:val="21"/>
          <w:color w:val="auto"/>
        </w:rPr>
      </w:pPr>
    </w:p>
    <w:p>
      <w:pPr>
        <w:jc w:val="both"/>
        <w:ind w:left="-20" w:firstLine="656"/>
        <w:spacing w:after="0" w:line="246" w:lineRule="auto"/>
        <w:tabs>
          <w:tab w:leader="none" w:pos="102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No Recourse</w:t>
      </w:r>
      <w:r>
        <w:rPr>
          <w:rFonts w:ascii="Arial" w:cs="Arial" w:eastAsia="Arial" w:hAnsi="Arial"/>
          <w:sz w:val="22"/>
          <w:szCs w:val="22"/>
          <w:color w:val="auto"/>
        </w:rPr>
        <w:t>. No recourse shall be had for the payment of the principal of or premium, if any, or interest on this Bond, or for any claim based hereon, or otherwise in respect hereof or of the Indenture, to or against any incorporator, director, officer or employee, past, present or future, as such, of the District or of any predecessor or successor corporation, either directly or through the District or any such predecessor or successor corporation, under and by virtue of any constitution or statute or rule of law or by the enforcement of any assessment or penalty, or otherwise, all such liability of incorporators, directors, officers and employees, as such, being waived and released by the holder and owner hereof by the acceptance of this Bond; all as more fully provided in the Indenture.</w:t>
      </w:r>
    </w:p>
    <w:p>
      <w:pPr>
        <w:spacing w:after="0" w:line="197" w:lineRule="exact"/>
        <w:rPr>
          <w:rFonts w:ascii="Arial" w:cs="Arial" w:eastAsia="Arial" w:hAnsi="Arial"/>
          <w:sz w:val="22"/>
          <w:szCs w:val="22"/>
          <w:color w:val="auto"/>
        </w:rPr>
      </w:pPr>
    </w:p>
    <w:p>
      <w:pPr>
        <w:jc w:val="both"/>
        <w:ind w:left="-20" w:firstLine="656"/>
        <w:spacing w:after="0" w:line="247" w:lineRule="auto"/>
        <w:tabs>
          <w:tab w:leader="none" w:pos="102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The Holder of this Bond shall have no right to enforce the provisions of the Indenture or to institute an action to enforce the covenants therein, or to take any action with respect to any Event of Default under the Indenture, or to institute, appear in or defend any suit or other proceeding with respect thereto, except as provided in the Indenture. It is also provided in the Indenture that the Trustee at, in certain cases, the written request of the Holders of the applicable percentage of Bonds specified in the Indenture on behalf of the Holders of all the Bonds, may waive any past default or Event of Default under the Indenture and its consequences except a default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6</w:t>
      </w:r>
    </w:p>
    <w:p>
      <w:pPr>
        <w:sectPr>
          <w:pgSz w:w="11900" w:h="16838" w:orient="portrait"/>
          <w:cols w:equalWidth="0" w:num="1">
            <w:col w:w="11400"/>
          </w:cols>
          <w:pgMar w:left="260" w:top="764" w:right="239" w:bottom="1440" w:gutter="0" w:footer="0" w:header="0"/>
        </w:sectPr>
      </w:pPr>
    </w:p>
    <w:bookmarkStart w:id="279" w:name="page280"/>
    <w:bookmarkEnd w:id="279"/>
    <w:p>
      <w:pPr>
        <w:jc w:val="both"/>
        <w:spacing w:after="0" w:line="259" w:lineRule="auto"/>
        <w:rPr>
          <w:sz w:val="20"/>
          <w:szCs w:val="20"/>
          <w:color w:val="auto"/>
        </w:rPr>
      </w:pPr>
      <w:r>
        <w:rPr>
          <w:rFonts w:ascii="Arial" w:cs="Arial" w:eastAsia="Arial" w:hAnsi="Arial"/>
          <w:sz w:val="21"/>
          <w:szCs w:val="21"/>
          <w:color w:val="auto"/>
        </w:rPr>
        <w:t>the payment of principal of or premium, if any, or interest on any of the Bonds. The Indenture further provides that if, after a declaration of the acceleration of the maturity of the principal amount of the Bonds, but prior to the entry of a final judgment for such amount, all amounts which would then be payable thereunder by the District if such default had not occurred and were not continuing and certain other amounts shall have been paid by or on behalf of the District and the parties to the Bond Documents shall have also performed all other obligations in respect of which any of them is then in default under the Bond Documents and shall have paid the reasonable charges and expenses of the Trustee and the Holders of the Bonds, including reasonable attorneys’ fees paid or incurred, then and in every case the Trustee shall, in certain cases, upon request of the Holders of the applicable percentage of Bonds specified in the Indenture, waive such Event of Default and rescind and annul any remedial step theretofore taken by it in respect of such default and its consequences.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7</w:t>
      </w:r>
    </w:p>
    <w:p>
      <w:pPr>
        <w:sectPr>
          <w:pgSz w:w="11900" w:h="16838" w:orient="portrait"/>
          <w:cols w:equalWidth="0" w:num="1">
            <w:col w:w="11420"/>
          </w:cols>
          <w:pgMar w:left="240" w:top="632" w:right="239" w:bottom="1440" w:gutter="0" w:footer="0" w:header="0"/>
        </w:sectPr>
      </w:pPr>
    </w:p>
    <w:bookmarkStart w:id="280" w:name="page281"/>
    <w:bookmarkEnd w:id="280"/>
    <w:p>
      <w:pPr>
        <w:ind w:firstLine="648"/>
        <w:spacing w:after="0" w:line="263" w:lineRule="auto"/>
        <w:rPr>
          <w:sz w:val="20"/>
          <w:szCs w:val="20"/>
          <w:color w:val="auto"/>
        </w:rPr>
      </w:pPr>
      <w:r>
        <w:rPr>
          <w:rFonts w:ascii="Arial" w:cs="Arial" w:eastAsia="Arial" w:hAnsi="Arial"/>
          <w:sz w:val="22"/>
          <w:szCs w:val="22"/>
          <w:color w:val="auto"/>
        </w:rPr>
        <w:t>IN WITNESS WHEREOF, the District has caused this Bond to be executed by its President and to be attested to by its Secretary both by their manual or facsimile signatures all as of the Issue Date.</w:t>
      </w:r>
    </w:p>
    <w:p>
      <w:pPr>
        <w:spacing w:after="0" w:line="175" w:lineRule="exact"/>
        <w:rPr>
          <w:sz w:val="20"/>
          <w:szCs w:val="20"/>
          <w:color w:val="auto"/>
        </w:rPr>
      </w:pPr>
    </w:p>
    <w:p>
      <w:pPr>
        <w:ind w:left="3900" w:right="44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8</w:t>
      </w:r>
    </w:p>
    <w:p>
      <w:pPr>
        <w:sectPr>
          <w:pgSz w:w="11900" w:h="16838" w:orient="portrait"/>
          <w:cols w:equalWidth="0" w:num="1">
            <w:col w:w="11420"/>
          </w:cols>
          <w:pgMar w:left="240" w:top="888" w:right="239" w:bottom="1440" w:gutter="0" w:footer="0" w:header="0"/>
        </w:sectPr>
      </w:pPr>
    </w:p>
    <w:bookmarkStart w:id="281" w:name="page282"/>
    <w:bookmarkEnd w:id="281"/>
    <w:p>
      <w:pPr>
        <w:jc w:val="center"/>
        <w:ind w:right="-1160"/>
        <w:spacing w:after="0"/>
        <w:rPr>
          <w:sz w:val="20"/>
          <w:szCs w:val="20"/>
          <w:color w:val="auto"/>
        </w:rPr>
      </w:pPr>
      <w:r>
        <w:rPr>
          <w:rFonts w:ascii="Arial" w:cs="Arial" w:eastAsia="Arial" w:hAnsi="Arial"/>
          <w:sz w:val="19"/>
          <w:szCs w:val="19"/>
          <w:color w:val="auto"/>
        </w:rPr>
        <w:t>(FORM OF CERTIFICATE OF AUTHENTICATION TO</w:t>
      </w:r>
    </w:p>
    <w:p>
      <w:pPr>
        <w:spacing w:after="0" w:line="56"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APPEAR ON EACH BOND)</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CERTIFICATE OF AUTHENTICATION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is one of the Bonds referred to in the within mentioned Indenture.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Authenticating Agent, or its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of Authentication: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-17780</wp:posOffset>
            </wp:positionV>
            <wp:extent cx="960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9</w:t>
      </w:r>
    </w:p>
    <w:p>
      <w:pPr>
        <w:sectPr>
          <w:pgSz w:w="11900" w:h="16838" w:orient="portrait"/>
          <w:cols w:equalWidth="0" w:num="1">
            <w:col w:w="10219"/>
          </w:cols>
          <w:pgMar w:left="240" w:top="631" w:right="1440" w:bottom="1440" w:gutter="0" w:footer="0" w:header="0"/>
        </w:sectPr>
      </w:pPr>
    </w:p>
    <w:bookmarkStart w:id="282" w:name="page283"/>
    <w:bookmarkEnd w:id="282"/>
    <w:p>
      <w:pPr>
        <w:jc w:val="center"/>
        <w:spacing w:after="0"/>
        <w:rPr>
          <w:sz w:val="20"/>
          <w:szCs w:val="20"/>
          <w:color w:val="auto"/>
        </w:rPr>
      </w:pPr>
      <w:r>
        <w:rPr>
          <w:rFonts w:ascii="Arial" w:cs="Arial" w:eastAsia="Arial" w:hAnsi="Arial"/>
          <w:sz w:val="22"/>
          <w:szCs w:val="22"/>
          <w:color w:val="auto"/>
        </w:rPr>
        <w:t>(FORM OF ASSIGNMENT TO APPEAR ON EACH BOND)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w:t>
      </w:r>
    </w:p>
    <w:p>
      <w:pPr>
        <w:spacing w:after="0" w:line="200" w:lineRule="exact"/>
        <w:rPr>
          <w:sz w:val="20"/>
          <w:szCs w:val="20"/>
          <w:color w:val="auto"/>
        </w:rPr>
      </w:pPr>
    </w:p>
    <w:p>
      <w:pPr>
        <w:spacing w:after="0" w:line="236"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For value received, the undersigned hereby sells, assigns and transfers unto (Print or typewrite name, address, and zip code of transferee) __________________________________ ___________________________________________________________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(Social Security or other tax identifying number: ____________________) the within Bond and does hereby irrevocably constitute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appoint _______________________, as attorney, to transfer the within Bond on the books kept for registration of the within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Bond, with full power of substitution in the premises.</w:t>
      </w:r>
    </w:p>
    <w:p>
      <w:pPr>
        <w:sectPr>
          <w:pgSz w:w="11900" w:h="16838" w:orient="portrait"/>
          <w:cols w:equalWidth="0" w:num="1">
            <w:col w:w="11420"/>
          </w:cols>
          <w:pgMar w:left="240" w:top="632" w:right="239" w:bottom="580" w:gutter="0" w:footer="0" w:header="0"/>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w:t>
      </w:r>
    </w:p>
    <w:p>
      <w:pPr>
        <w:spacing w:after="0" w:line="79" w:lineRule="exact"/>
        <w:rPr>
          <w:sz w:val="20"/>
          <w:szCs w:val="20"/>
          <w:color w:val="auto"/>
        </w:rPr>
      </w:pPr>
    </w:p>
    <w:p>
      <w:pPr>
        <w:sectPr>
          <w:pgSz w:w="11900" w:h="16838" w:orient="portrait"/>
          <w:cols w:equalWidth="0" w:num="2">
            <w:col w:w="5020" w:space="720"/>
            <w:col w:w="5680"/>
          </w:cols>
          <w:pgMar w:left="240" w:top="632" w:right="239" w:bottom="580" w:gutter="0" w:footer="0" w:header="0"/>
          <w:type w:val="continuous"/>
        </w:sectPr>
      </w:pPr>
    </w:p>
    <w:p>
      <w:pPr>
        <w:ind w:left="40"/>
        <w:spacing w:after="0"/>
        <w:rPr>
          <w:sz w:val="20"/>
          <w:szCs w:val="20"/>
          <w:color w:val="auto"/>
        </w:rPr>
      </w:pPr>
      <w:r>
        <w:rPr>
          <w:rFonts w:ascii="Arial" w:cs="Arial" w:eastAsia="Arial" w:hAnsi="Arial"/>
          <w:sz w:val="19"/>
          <w:szCs w:val="19"/>
          <w:color w:val="auto"/>
        </w:rPr>
        <w:t>_____________________________________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guaranteed by:</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21"/>
          <w:szCs w:val="21"/>
          <w:color w:val="auto"/>
        </w:rPr>
        <w:t>NOTICE: NOTICE: The signature(s) on this assignment must correspond with the name(s) of the registered holder(s) appearing on the face of the within Bond in every particular.</w:t>
      </w:r>
    </w:p>
    <w:p>
      <w:pPr>
        <w:spacing w:after="0" w:line="194" w:lineRule="exact"/>
        <w:rPr>
          <w:sz w:val="20"/>
          <w:szCs w:val="20"/>
          <w:color w:val="auto"/>
        </w:rPr>
      </w:pPr>
    </w:p>
    <w:p>
      <w:pPr>
        <w:sectPr>
          <w:pgSz w:w="11900" w:h="16838" w:orient="portrait"/>
          <w:cols w:equalWidth="0" w:num="2">
            <w:col w:w="5020" w:space="720"/>
            <w:col w:w="5680"/>
          </w:cols>
          <w:pgMar w:left="240" w:top="632" w:right="239" w:bottom="580" w:gutter="0" w:footer="0" w:header="0"/>
          <w:type w:val="continuous"/>
        </w:sectPr>
      </w:pPr>
    </w:p>
    <w:p>
      <w:pPr>
        <w:ind w:left="4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NOTICE: Signature must be guaranteed by a member firm of the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National Association of Securities Dealers or a commercial bank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or a trust company which is a participant in an official medallion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program.</w:t>
      </w:r>
    </w:p>
    <w:p>
      <w:pPr>
        <w:sectPr>
          <w:pgSz w:w="11900" w:h="16838" w:orient="portrait"/>
          <w:cols w:equalWidth="0" w:num="1">
            <w:col w:w="11420"/>
          </w:cols>
          <w:pgMar w:left="240" w:top="632" w:right="239" w:bottom="580" w:gutter="0" w:footer="0" w:header="0"/>
          <w:type w:val="continuous"/>
        </w:sect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assignment above or on the face of the within Bond, shall be construed as though they were written out in full according to applicable laws or regulations:</w:t>
      </w:r>
    </w:p>
    <w:p>
      <w:pPr>
        <w:spacing w:after="0" w:line="175" w:lineRule="exact"/>
        <w:rPr>
          <w:sz w:val="20"/>
          <w:szCs w:val="20"/>
          <w:color w:val="auto"/>
        </w:rPr>
      </w:pPr>
    </w:p>
    <w:p>
      <w:pPr>
        <w:ind w:left="2600"/>
        <w:spacing w:after="0"/>
        <w:tabs>
          <w:tab w:leader="none" w:pos="3880" w:val="left"/>
        </w:tabs>
        <w:rPr>
          <w:sz w:val="20"/>
          <w:szCs w:val="20"/>
          <w:color w:val="auto"/>
        </w:rPr>
      </w:pPr>
      <w:r>
        <w:rPr>
          <w:rFonts w:ascii="Arial" w:cs="Arial" w:eastAsia="Arial" w:hAnsi="Arial"/>
          <w:sz w:val="22"/>
          <w:szCs w:val="22"/>
          <w:color w:val="auto"/>
        </w:rPr>
        <w:t>TEN COM -</w:t>
      </w:r>
      <w:r>
        <w:rPr>
          <w:sz w:val="20"/>
          <w:szCs w:val="20"/>
          <w:color w:val="auto"/>
        </w:rPr>
        <w:tab/>
      </w:r>
      <w:r>
        <w:rPr>
          <w:rFonts w:ascii="Arial" w:cs="Arial" w:eastAsia="Arial" w:hAnsi="Arial"/>
          <w:sz w:val="19"/>
          <w:szCs w:val="19"/>
          <w:color w:val="auto"/>
        </w:rPr>
        <w:t>as tenants in common</w:t>
      </w:r>
    </w:p>
    <w:p>
      <w:pPr>
        <w:spacing w:after="0" w:line="22" w:lineRule="exact"/>
        <w:rPr>
          <w:sz w:val="20"/>
          <w:szCs w:val="20"/>
          <w:color w:val="auto"/>
        </w:rPr>
      </w:pPr>
    </w:p>
    <w:p>
      <w:pPr>
        <w:ind w:left="2600"/>
        <w:spacing w:after="0"/>
        <w:tabs>
          <w:tab w:leader="none" w:pos="3820" w:val="left"/>
        </w:tabs>
        <w:rPr>
          <w:sz w:val="20"/>
          <w:szCs w:val="20"/>
          <w:color w:val="auto"/>
        </w:rPr>
      </w:pPr>
      <w:r>
        <w:rPr>
          <w:rFonts w:ascii="Arial" w:cs="Arial" w:eastAsia="Arial" w:hAnsi="Arial"/>
          <w:sz w:val="22"/>
          <w:szCs w:val="22"/>
          <w:color w:val="auto"/>
        </w:rPr>
        <w:t>TEN ENT -</w:t>
      </w:r>
      <w:r>
        <w:rPr>
          <w:sz w:val="20"/>
          <w:szCs w:val="20"/>
          <w:color w:val="auto"/>
        </w:rPr>
        <w:tab/>
      </w:r>
      <w:r>
        <w:rPr>
          <w:rFonts w:ascii="Arial" w:cs="Arial" w:eastAsia="Arial" w:hAnsi="Arial"/>
          <w:sz w:val="19"/>
          <w:szCs w:val="19"/>
          <w:color w:val="auto"/>
        </w:rPr>
        <w:t>as tenants by the entireties</w:t>
      </w:r>
    </w:p>
    <w:p>
      <w:pPr>
        <w:spacing w:after="0" w:line="4"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22"/>
          <w:szCs w:val="22"/>
          <w:color w:val="auto"/>
        </w:rPr>
        <w:t>JT TEN -</w:t>
      </w:r>
      <w:r>
        <w:rPr>
          <w:sz w:val="20"/>
          <w:szCs w:val="20"/>
          <w:color w:val="auto"/>
        </w:rPr>
        <w:tab/>
      </w:r>
      <w:r>
        <w:rPr>
          <w:rFonts w:ascii="Arial" w:cs="Arial" w:eastAsia="Arial" w:hAnsi="Arial"/>
          <w:sz w:val="19"/>
          <w:szCs w:val="19"/>
          <w:color w:val="auto"/>
        </w:rPr>
        <w:t>as joint tenants with right of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survivorship and not as tenants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common</w:t>
      </w:r>
    </w:p>
    <w:p>
      <w:pPr>
        <w:spacing w:after="0" w:line="202" w:lineRule="exact"/>
        <w:rPr>
          <w:sz w:val="20"/>
          <w:szCs w:val="20"/>
          <w:color w:val="auto"/>
        </w:rPr>
      </w:pPr>
    </w:p>
    <w:p>
      <w:pPr>
        <w:ind w:left="2600"/>
        <w:spacing w:after="0"/>
        <w:tabs>
          <w:tab w:leader="none" w:pos="4920" w:val="left"/>
        </w:tabs>
        <w:rPr>
          <w:sz w:val="20"/>
          <w:szCs w:val="20"/>
          <w:color w:val="auto"/>
        </w:rPr>
      </w:pPr>
      <w:r>
        <w:rPr>
          <w:rFonts w:ascii="Arial" w:cs="Arial" w:eastAsia="Arial" w:hAnsi="Arial"/>
          <w:sz w:val="22"/>
          <w:szCs w:val="22"/>
          <w:color w:val="auto"/>
        </w:rPr>
        <w:t>UNIF GIFT MIN ACT -</w:t>
      </w:r>
      <w:r>
        <w:rPr>
          <w:sz w:val="20"/>
          <w:szCs w:val="20"/>
          <w:color w:val="auto"/>
        </w:rPr>
        <w:tab/>
      </w:r>
      <w:r>
        <w:rPr>
          <w:rFonts w:ascii="Arial" w:cs="Arial" w:eastAsia="Arial" w:hAnsi="Arial"/>
          <w:sz w:val="19"/>
          <w:szCs w:val="19"/>
          <w:color w:val="auto"/>
        </w:rPr>
        <w:t>……….Custodian….…..</w:t>
      </w:r>
    </w:p>
    <w:p>
      <w:pPr>
        <w:spacing w:after="0" w:line="22" w:lineRule="exact"/>
        <w:rPr>
          <w:sz w:val="20"/>
          <w:szCs w:val="20"/>
          <w:color w:val="auto"/>
        </w:rPr>
      </w:pPr>
    </w:p>
    <w:p>
      <w:pPr>
        <w:ind w:left="4540"/>
        <w:spacing w:after="0"/>
        <w:tabs>
          <w:tab w:leader="none" w:pos="5500" w:val="left"/>
        </w:tabs>
        <w:rPr>
          <w:sz w:val="20"/>
          <w:szCs w:val="20"/>
          <w:color w:val="auto"/>
        </w:rPr>
      </w:pPr>
      <w:r>
        <w:rPr>
          <w:rFonts w:ascii="Arial" w:cs="Arial" w:eastAsia="Arial" w:hAnsi="Arial"/>
          <w:sz w:val="22"/>
          <w:szCs w:val="22"/>
          <w:color w:val="auto"/>
        </w:rPr>
        <w:t>(Cust)</w:t>
      </w:r>
      <w:r>
        <w:rPr>
          <w:sz w:val="20"/>
          <w:szCs w:val="20"/>
          <w:color w:val="auto"/>
        </w:rPr>
        <w:tab/>
      </w:r>
      <w:r>
        <w:rPr>
          <w:rFonts w:ascii="Arial" w:cs="Arial" w:eastAsia="Arial" w:hAnsi="Arial"/>
          <w:sz w:val="22"/>
          <w:szCs w:val="22"/>
          <w:color w:val="auto"/>
        </w:rPr>
        <w:t>(Minor)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Uniform Gifts to Minors Act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(State)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abbreviations may also be used though not in the list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EXHIBIT E</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FORM OF BOND</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(WEEKLY RATE)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FACE OF BOND)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20" w:type="dxa"/>
            <w:vAlign w:val="bottom"/>
          </w:tcPr>
          <w:p>
            <w:pPr>
              <w:spacing w:after="0"/>
              <w:rPr>
                <w:sz w:val="20"/>
                <w:szCs w:val="20"/>
                <w:color w:val="auto"/>
              </w:rPr>
            </w:pPr>
            <w:r>
              <w:rPr>
                <w:rFonts w:ascii="Arial" w:cs="Arial" w:eastAsia="Arial" w:hAnsi="Arial"/>
                <w:sz w:val="22"/>
                <w:szCs w:val="22"/>
                <w:color w:val="auto"/>
              </w:rPr>
              <w:t>Registered</w:t>
            </w:r>
          </w:p>
        </w:tc>
        <w:tc>
          <w:tcPr>
            <w:tcW w:w="1800" w:type="dxa"/>
            <w:vAlign w:val="bottom"/>
            <w:gridSpan w:val="3"/>
          </w:tcPr>
          <w:p>
            <w:pPr>
              <w:ind w:left="880"/>
              <w:spacing w:after="0"/>
              <w:rPr>
                <w:sz w:val="20"/>
                <w:szCs w:val="20"/>
                <w:color w:val="auto"/>
              </w:rPr>
            </w:pPr>
            <w:r>
              <w:rPr>
                <w:rFonts w:ascii="Arial" w:cs="Arial" w:eastAsia="Arial" w:hAnsi="Arial"/>
                <w:sz w:val="22"/>
                <w:szCs w:val="22"/>
                <w:color w:val="auto"/>
                <w:w w:val="84"/>
              </w:rPr>
              <w:t>Registered</w:t>
            </w:r>
          </w:p>
        </w:tc>
      </w:tr>
      <w:tr>
        <w:trPr>
          <w:trHeight w:val="224"/>
        </w:trPr>
        <w:tc>
          <w:tcPr>
            <w:tcW w:w="2220" w:type="dxa"/>
            <w:vAlign w:val="bottom"/>
          </w:tcPr>
          <w:p>
            <w:pPr>
              <w:spacing w:after="0" w:line="224" w:lineRule="exact"/>
              <w:rPr>
                <w:sz w:val="20"/>
                <w:szCs w:val="20"/>
                <w:color w:val="auto"/>
              </w:rPr>
            </w:pPr>
            <w:r>
              <w:rPr>
                <w:rFonts w:ascii="Arial" w:cs="Arial" w:eastAsia="Arial" w:hAnsi="Arial"/>
                <w:sz w:val="22"/>
                <w:szCs w:val="22"/>
                <w:color w:val="auto"/>
              </w:rPr>
              <w:t>No. WR-_____</w:t>
            </w:r>
          </w:p>
        </w:tc>
        <w:tc>
          <w:tcPr>
            <w:tcW w:w="1180" w:type="dxa"/>
            <w:vAlign w:val="bottom"/>
          </w:tcPr>
          <w:p>
            <w:pPr>
              <w:jc w:val="right"/>
              <w:spacing w:after="0" w:line="224" w:lineRule="exact"/>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bl>
    <w:p>
      <w:pPr>
        <w:spacing w:after="0" w:line="23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UNITED STATES OF AMERICA</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STATE OF TEXAS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COUNTY OF JEFFERSON</w:t>
      </w:r>
    </w:p>
    <w:p>
      <w:pPr>
        <w:spacing w:after="0" w:line="202"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color w:val="auto"/>
        </w:rPr>
        <w:t>PORT OF BEAUMONT NAVIGATION DISTRICT OF JEFFERSON COUNTY, TEXAS DOCK AND WHARF FACILITY REVENUE BONDS, SERIES 2016 (JEFFERSON ENERGY COMPANIES PROJECT)</w:t>
      </w:r>
    </w:p>
    <w:p>
      <w:pPr>
        <w:sectPr>
          <w:pgSz w:w="11900" w:h="16838" w:orient="portrait"/>
          <w:cols w:equalWidth="0" w:num="1">
            <w:col w:w="11420"/>
          </w:cols>
          <w:pgMar w:left="240" w:top="632" w:right="239" w:bottom="580" w:gutter="0" w:footer="0" w:header="0"/>
          <w:type w:val="continuous"/>
        </w:sectPr>
      </w:pPr>
    </w:p>
    <w:bookmarkStart w:id="283" w:name="page284"/>
    <w:bookmarkEnd w:id="283"/>
    <w:p>
      <w:pPr>
        <w:jc w:val="both"/>
        <w:ind w:firstLine="648"/>
        <w:spacing w:after="0" w:line="253" w:lineRule="auto"/>
        <w:rPr>
          <w:sz w:val="20"/>
          <w:szCs w:val="20"/>
          <w:color w:val="auto"/>
        </w:rPr>
      </w:pPr>
      <w:r>
        <w:rPr>
          <w:rFonts w:ascii="Arial" w:cs="Arial" w:eastAsia="Arial" w:hAnsi="Arial"/>
          <w:sz w:val="22"/>
          <w:szCs w:val="22"/>
          <w:color w:val="auto"/>
        </w:rPr>
        <w:t>THIS BOND IS SUBJECT TO MANDATORY TENDER FOR PURCHASE UPON THE OCCURRENCE OF THE EVENTS AND IN THE MANNER HEREINAFTER DESCRIBED, AND MUST BE SO TENDERED OR WILL BE DEEMED TO HAVE BEEN SO TENDERED AS DESCRIBED HEREIN.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Interest Rate: Weekly Rate</w:t>
            </w:r>
          </w:p>
        </w:tc>
        <w:tc>
          <w:tcPr>
            <w:tcW w:w="4360" w:type="dxa"/>
            <w:vAlign w:val="bottom"/>
            <w:gridSpan w:val="5"/>
          </w:tcPr>
          <w:p>
            <w:pPr>
              <w:ind w:left="40"/>
              <w:spacing w:after="0"/>
              <w:rPr>
                <w:sz w:val="20"/>
                <w:szCs w:val="20"/>
                <w:color w:val="auto"/>
              </w:rPr>
            </w:pPr>
            <w:r>
              <w:rPr>
                <w:rFonts w:ascii="Arial" w:cs="Arial" w:eastAsia="Arial" w:hAnsi="Arial"/>
                <w:sz w:val="22"/>
                <w:szCs w:val="22"/>
                <w:color w:val="auto"/>
              </w:rPr>
              <w:t>Principal Amount: $</w:t>
            </w:r>
          </w:p>
        </w:tc>
      </w:tr>
      <w:tr>
        <w:trPr>
          <w:trHeight w:val="287"/>
        </w:trPr>
        <w:tc>
          <w:tcPr>
            <w:tcW w:w="3360" w:type="dxa"/>
            <w:vAlign w:val="bottom"/>
          </w:tcPr>
          <w:p>
            <w:pPr>
              <w:ind w:left="1300"/>
              <w:spacing w:after="0"/>
              <w:rPr>
                <w:sz w:val="20"/>
                <w:szCs w:val="20"/>
                <w:color w:val="auto"/>
              </w:rPr>
            </w:pPr>
            <w:r>
              <w:rPr>
                <w:rFonts w:ascii="Arial" w:cs="Arial" w:eastAsia="Arial" w:hAnsi="Arial"/>
                <w:sz w:val="22"/>
                <w:szCs w:val="22"/>
                <w:color w:val="auto"/>
                <w:w w:val="98"/>
              </w:rPr>
              <w:t>(as herein described)</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513"/>
        </w:trPr>
        <w:tc>
          <w:tcPr>
            <w:tcW w:w="3360" w:type="dxa"/>
            <w:vAlign w:val="bottom"/>
          </w:tcPr>
          <w:p>
            <w:pPr>
              <w:spacing w:after="0"/>
              <w:rPr>
                <w:sz w:val="20"/>
                <w:szCs w:val="20"/>
                <w:color w:val="auto"/>
              </w:rPr>
            </w:pPr>
            <w:r>
              <w:rPr>
                <w:rFonts w:ascii="Arial" w:cs="Arial" w:eastAsia="Arial" w:hAnsi="Arial"/>
                <w:sz w:val="22"/>
                <w:szCs w:val="22"/>
                <w:color w:val="auto"/>
                <w:w w:val="92"/>
              </w:rPr>
              <w:t>Interest Mode Commencement Date:</w:t>
            </w:r>
          </w:p>
        </w:tc>
        <w:tc>
          <w:tcPr>
            <w:tcW w:w="1660" w:type="dxa"/>
            <w:vAlign w:val="bottom"/>
          </w:tcPr>
          <w:p>
            <w:pPr>
              <w:ind w:left="60"/>
              <w:spacing w:after="0"/>
              <w:rPr>
                <w:sz w:val="20"/>
                <w:szCs w:val="20"/>
                <w:color w:val="auto"/>
              </w:rPr>
            </w:pPr>
            <w:r>
              <w:rPr>
                <w:rFonts w:ascii="Arial" w:cs="Arial" w:eastAsia="Arial" w:hAnsi="Arial"/>
                <w:sz w:val="22"/>
                <w:szCs w:val="22"/>
                <w:color w:val="auto"/>
              </w:rPr>
              <w:t>______, 20__</w:t>
            </w:r>
          </w:p>
        </w:tc>
        <w:tc>
          <w:tcPr>
            <w:tcW w:w="2700" w:type="dxa"/>
            <w:vAlign w:val="bottom"/>
            <w:gridSpan w:val="4"/>
          </w:tcPr>
          <w:p>
            <w:pPr>
              <w:ind w:left="20"/>
              <w:spacing w:after="0"/>
              <w:rPr>
                <w:sz w:val="20"/>
                <w:szCs w:val="20"/>
                <w:color w:val="auto"/>
              </w:rPr>
            </w:pPr>
            <w:r>
              <w:rPr>
                <w:rFonts w:ascii="Arial" w:cs="Arial" w:eastAsia="Arial" w:hAnsi="Arial"/>
                <w:sz w:val="22"/>
                <w:szCs w:val="22"/>
                <w:color w:val="auto"/>
                <w:w w:val="95"/>
              </w:rPr>
              <w:t>Maturity Date:   __________</w:t>
            </w:r>
          </w:p>
        </w:tc>
      </w:tr>
      <w:tr>
        <w:trPr>
          <w:trHeight w:val="422"/>
        </w:trPr>
        <w:tc>
          <w:tcPr>
            <w:tcW w:w="3360" w:type="dxa"/>
            <w:vAlign w:val="bottom"/>
          </w:tcPr>
          <w:p>
            <w:pPr>
              <w:spacing w:after="0"/>
              <w:rPr>
                <w:sz w:val="20"/>
                <w:szCs w:val="20"/>
                <w:color w:val="auto"/>
              </w:rPr>
            </w:pPr>
            <w:r>
              <w:rPr>
                <w:rFonts w:ascii="Arial" w:cs="Arial" w:eastAsia="Arial" w:hAnsi="Arial"/>
                <w:sz w:val="22"/>
                <w:szCs w:val="22"/>
                <w:color w:val="auto"/>
                <w:w w:val="89"/>
              </w:rPr>
              <w:t>Registered Holder: _______________</w:t>
            </w:r>
          </w:p>
        </w:tc>
        <w:tc>
          <w:tcPr>
            <w:tcW w:w="1660" w:type="dxa"/>
            <w:vAlign w:val="bottom"/>
          </w:tcPr>
          <w:p>
            <w:pPr>
              <w:ind w:left="600"/>
              <w:spacing w:after="0"/>
              <w:rPr>
                <w:sz w:val="20"/>
                <w:szCs w:val="20"/>
                <w:color w:val="auto"/>
              </w:rPr>
            </w:pPr>
            <w:r>
              <w:rPr>
                <w:rFonts w:ascii="Arial" w:cs="Arial" w:eastAsia="Arial" w:hAnsi="Arial"/>
                <w:sz w:val="22"/>
                <w:szCs w:val="22"/>
                <w:color w:val="auto"/>
                <w:w w:val="91"/>
              </w:rPr>
              <w:t>CUSIP No.:</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PORT OF BEAUMONT NAVIGATION DISTRICT OF JEFFERSON COUNTY, TEXAS (the “District”), being a political subdivision of the State of Texas (the “State”) organized and existing pursuant to Article XVI, Section 59 of the Texas Constitution, for value received, hereby promises to pay to the Registered Holder named above, or registered assigns, but solely from the sources and in the manner herein provided, the Principal Amount set forth above on the Maturity Date set forth above (or earlier as herein described and indicated hereon). The District also promises to pay interest at the Weekly Rate on the unpaid principal balance of this Bond from and including the Interest Mode Commencement Date set forth above, or from and including the most recent date to which interest on this Bond (or any Bond in exchange for, or in lieu of which this Bond was issued) has been paid, to but excluding the Maturity Date or the date on which the payment of such Principal Amount shall have been made or provided for (if the date of such provision is on or after the date on which the payment of such Principal Amount is due). Interest accrued hereon shall be paid on the immediately succeeding Interest Payment Date (or next Business Day if such date is not a Business Day); provided that to the extent principal of this Bond is paid on any date (whether the Maturity Date or otherwise) interest accrued hereon to but excluding such payment date shall be paid on such payment date.</w:t>
      </w:r>
    </w:p>
    <w:p>
      <w:pPr>
        <w:spacing w:after="0" w:line="1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BOND AND ALL OF THE BONDS OF THIS SERIES are special limited obligations of the District, payable by the District solely out of the “Pledged Revenues”, as defined in the Indenture (hereinafter defined), which Pledged Revenues are pledged to the payment of the Series 2016 Bonds and all Additional Bonds issued on a parity therewith, and all money and investments held for the credit of the funds and accounts established by or under the Indenture (except the Rebate Fund), all as more fully described and provided for in and subject to the restrictions and limitations imposed by the Indenture. This Bond and the series of which it is a part, together with the interest thereon, are payable solely from such Pledged Revenues and do not constitute a general obligation of the District.</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THE BONDS DO NOT CONSTITUTE GENERAL OBLIGATIONS OF THE DISTRICT, THE STATE OF TEXAS OR ANY POLITICAL SUBDIVISION THEREOF. THE DISTRICT HAS PLEDGED NEITHER ITS TAXING POWER NOR THE CREDIT OF ITS TAXING POWER AS SECURITY FOR THE PAYMENT OF THE BONDS. THE OWNER HEREOF SHALL NEVER HAVE THE RIGHT TO DEMAND PAYMENT OF THIS OBLIGATION OUT OF ANY FUNDS RAISED OR TO BE RAISED BY TAXATION, OR FROM ANY SOURCE WHATSOEVER OTHER THAN THE AFORESAID PLEDGED 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BOND shall not be valid or obligatory for any purpose or be entitled to any benefit under the Indenture until the certificate of authentication hereon shall have been executed by the Authenticating Agent or its agent appointed pursuant to the Indenture.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IT IS HEREBY CERTIFIED, RECITED AND REPRESENTED that the issuance of this Bond and the Bonds is duly authorized by law; that all acts, conditions and things required to exist and necessary to be done or performed precedent to and in the issuance of this Bond and the Bonds to render the same lawful, valid and binding have been properly done and performed and have happened in regular and due time, form and manner as required by law; that all acts, conditions and things necessary to be done or performed by the District or to have happened precedent to and in the execution and delivery of the Indenture have been done and performed and have happened in regular and due form as required by law; that due provision has been made for the payment of the principal of (premium, if any) and interest on this Bond and the Bonds by irrevocably pledging the described revenues as provided in the Indenture; that payment in full for the Bonds has been received; and that the issuance of the Bonds does not contravene or violate any constitutional or statutory limitation.</w:t>
      </w:r>
    </w:p>
    <w:p>
      <w:pPr>
        <w:spacing w:after="0" w:line="180" w:lineRule="exact"/>
        <w:rPr>
          <w:sz w:val="20"/>
          <w:szCs w:val="20"/>
          <w:color w:val="auto"/>
        </w:rPr>
      </w:pPr>
    </w:p>
    <w:p>
      <w:pPr>
        <w:jc w:val="both"/>
        <w:ind w:firstLine="656"/>
        <w:spacing w:after="0" w:line="246" w:lineRule="auto"/>
        <w:tabs>
          <w:tab w:leader="none" w:pos="104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Description of Series</w:t>
      </w:r>
      <w:r>
        <w:rPr>
          <w:rFonts w:ascii="Arial" w:cs="Arial" w:eastAsia="Arial" w:hAnsi="Arial"/>
          <w:sz w:val="22"/>
          <w:szCs w:val="22"/>
          <w:color w:val="auto"/>
        </w:rPr>
        <w:t>. This Bond is one of the duly authorized issue of the District’s Dock and Wharf Facility Revenue Bonds, Series 2016 (Jefferson Energy Companies Project) (the “Bonds”), aggregating in principal amount $144,200,000, authorized by a resolution adopted by the Board of Commissioners of the District on November 23, 2015 and February 22, 2016 all issued or to be issued under a Trust Indenture and Security Agreement, dated as of February 1, 2016 (the “Indenture”), between the District and The Bank of New York Mellon Trust Company, National Association (the “Trustee”), pursuant to and in full conformity with the Constitution and the laws of the State. The Bonds are issued in order to provide funds for the District to finance Project Costs.</w:t>
      </w:r>
    </w:p>
    <w:p>
      <w:pPr>
        <w:spacing w:after="0" w:line="197"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In addition, pursuant to the terms of the Indenture, the Trustee may appoint agents for the performance of certain duties under the Indenture, including the authentication, registration, transfer, exchange and payment of the Bonds.</w:t>
      </w:r>
    </w:p>
    <w:p>
      <w:pPr>
        <w:sectPr>
          <w:pgSz w:w="11900" w:h="16838" w:orient="portrait"/>
          <w:cols w:equalWidth="0" w:num="1">
            <w:col w:w="11420"/>
          </w:cols>
          <w:pgMar w:left="240" w:top="132" w:right="239" w:bottom="60" w:gutter="0" w:footer="0" w:header="0"/>
        </w:sectPr>
      </w:pPr>
    </w:p>
    <w:bookmarkStart w:id="284" w:name="page285"/>
    <w:bookmarkEnd w:id="284"/>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and the other Bond Documents (as such term is defined in the Indenture), copies of which are filed with the Trustee, for the full provisions thereof (including, among others, those with respect to the nature and extent of the rights, duties and obligations of the parties to the Bond Documents and the holders of the Bonds, the terms upon which the Bonds are issued and secured and the modification or amendment of the Bond Documents), to all of which the holders of the Bonds assent by the acceptance of the Bonds.</w:t>
      </w:r>
    </w:p>
    <w:p>
      <w:pPr>
        <w:spacing w:after="0" w:line="192" w:lineRule="exact"/>
        <w:rPr>
          <w:sz w:val="20"/>
          <w:szCs w:val="20"/>
          <w:color w:val="auto"/>
        </w:rPr>
      </w:pPr>
    </w:p>
    <w:p>
      <w:pPr>
        <w:ind w:right="20" w:firstLine="656"/>
        <w:spacing w:after="0" w:line="263" w:lineRule="auto"/>
        <w:tabs>
          <w:tab w:leader="none" w:pos="1134"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Certain Additional Definitions</w:t>
      </w:r>
      <w:r>
        <w:rPr>
          <w:rFonts w:ascii="Arial" w:cs="Arial" w:eastAsia="Arial" w:hAnsi="Arial"/>
          <w:sz w:val="22"/>
          <w:szCs w:val="22"/>
          <w:color w:val="auto"/>
        </w:rPr>
        <w:t>. In addition to the definitions contained in Section 1.01 of the Indenture which are incorporated herein, the following terms used herein shall have the following meanings.</w:t>
      </w:r>
    </w:p>
    <w:p>
      <w:pPr>
        <w:spacing w:after="0" w:line="175"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“Annual Period” as of any date means the period commencing on the 365th day preceding such date and ending on such date.</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“Business Day” means any day other than (a) a Saturday or a Sunday; (b) a legal holiday or the equivalent on which banking institutions generally are authorized or required to be closed in Houston, Texas, New York, New York, the designated office of the Trustee and Tender Agent or the primary office of the Bank; or (c) a day on which the New York Stock Exchange is closed.</w:t>
      </w:r>
    </w:p>
    <w:p>
      <w:pPr>
        <w:spacing w:after="0" w:line="188"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“Conversion Date” means, with respect to the Weekly Rate Bonds, any Business Day which follows, by not less than 45 days, the delivery to the Trustee, the Tender Agent and the Remarketing Agent by the District of an irrevocable election on the part of the District that on and after the Conversion Date, the Weekly Rate Bonds shall bear interest at the Commercial Paper Rate, Fixed Rate or Daily Rate, as applicable, therefor.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Mode Commencement Date” means the appropriate date displayed on the face of this Bond.</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“Interest Payment Date” means, with respect to the Weekly Rate Bonds, the 15th day (or next Business Day if the 15th is not a Business Day) of each month, the Conversion Date and the Maturity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“Maximum Rate” means 15% per annum.</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“Net effective interest rate” and “net interest cost” have the meanings given to them, respectively, in Texas Government Code, Chapter 1204, as amended.</w:t>
      </w:r>
    </w:p>
    <w:p>
      <w:pPr>
        <w:spacing w:after="0" w:line="17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“Purchase Date” means, with respect to the Weekly Rate Bonds, (1) each date on which an Optional Tender of such Weekly Rate Bonds occurs, (2) each date on which a Mandatory Tender of such Weekly Rate Bonds occurs due to a conversion to the Fixed Rate, (3) the Business Day prior to each Credit Facility Termination Date (other than as described in clause (5)), (4) the Business Day prior to each Liquidity Facility Termination Date (other than as described in clause (5)),</w:t>
      </w:r>
    </w:p>
    <w:p>
      <w:pPr>
        <w:spacing w:after="0" w:line="3" w:lineRule="exact"/>
        <w:rPr>
          <w:sz w:val="20"/>
          <w:szCs w:val="20"/>
          <w:color w:val="auto"/>
        </w:rPr>
      </w:pPr>
    </w:p>
    <w:p>
      <w:pPr>
        <w:jc w:val="both"/>
        <w:ind w:left="660" w:hanging="4"/>
        <w:spacing w:after="0" w:line="244" w:lineRule="auto"/>
        <w:tabs>
          <w:tab w:leader="none" w:pos="96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on the day on which any alternate Credit Facility or any alternate Liquidity Facility becomes effective, (6) the applicable Conversion Date, and (7) the first Business Day following the Business Day on which the Trustee receives written notice of an Event of Default under Section 7.01(5) of the Indenture and direction from the Credit Enhancer to effect a Mandatory Tender</w:t>
      </w:r>
    </w:p>
    <w:p>
      <w:pPr>
        <w:spacing w:after="0" w:line="19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“Purchase Price” means an amount equal to 100% of the principal amount of any Bond tendered or deemed tendered for purchase pursuant to the provisions of paragraphs 5 or 7 hereof, plus any accrued and unpaid Stated Interest to the date of purchase.</w:t>
      </w:r>
    </w:p>
    <w:p>
      <w:pPr>
        <w:spacing w:after="0" w:line="18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“Regular Record Date” means, with respect to the Weekly Rate Bonds, the close of business for the Trustee on the Business Day preceding any Interest Payment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“Stated Interest” means interest calculated pursuant to paragraph 3(a) of this Bond.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“Weekly Rate” means the rate determined by the Remarketing Agent pursuant to Section 2.08(g) of the Indenture.</w:t>
      </w:r>
    </w:p>
    <w:p>
      <w:pPr>
        <w:spacing w:after="0" w:line="254" w:lineRule="exact"/>
        <w:rPr>
          <w:sz w:val="20"/>
          <w:szCs w:val="20"/>
          <w:color w:val="auto"/>
        </w:rPr>
      </w:pPr>
    </w:p>
    <w:p>
      <w:pPr>
        <w:jc w:val="both"/>
        <w:ind w:firstLine="656"/>
        <w:spacing w:after="0" w:line="253" w:lineRule="auto"/>
        <w:tabs>
          <w:tab w:leader="none" w:pos="1094"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(a) This Bond shall bear interest for each day at the Weekly Rate for such day; provided that the “net effective interest rate” from the date of issuance of the Bonds through any subsequent date of calculation shall never exceed the Maximum Rate.</w:t>
      </w:r>
    </w:p>
    <w:p>
      <w:pPr>
        <w:spacing w:after="0" w:line="186" w:lineRule="exact"/>
        <w:rPr>
          <w:sz w:val="20"/>
          <w:szCs w:val="20"/>
          <w:color w:val="auto"/>
        </w:rPr>
      </w:pPr>
    </w:p>
    <w:p>
      <w:pPr>
        <w:jc w:val="both"/>
        <w:ind w:firstLine="656"/>
        <w:spacing w:after="0" w:line="289" w:lineRule="auto"/>
        <w:tabs>
          <w:tab w:leader="none" w:pos="1126" w:val="left"/>
        </w:tabs>
        <w:numPr>
          <w:ilvl w:val="0"/>
          <w:numId w:val="215"/>
        </w:numPr>
        <w:rPr>
          <w:rFonts w:ascii="Arial" w:cs="Arial" w:eastAsia="Arial" w:hAnsi="Arial"/>
          <w:sz w:val="19"/>
          <w:szCs w:val="19"/>
          <w:color w:val="auto"/>
        </w:rPr>
      </w:pPr>
      <w:r>
        <w:rPr>
          <w:rFonts w:ascii="Arial" w:cs="Arial" w:eastAsia="Arial" w:hAnsi="Arial"/>
          <w:sz w:val="19"/>
          <w:szCs w:val="19"/>
          <w:color w:val="auto"/>
        </w:rPr>
        <w:t>Notwithstanding the foregoing paragraph 3(a), this Bond shall bear interest for each day it is a Liquidity Bank Bond at the Liquidity Bank Bond Rate for such day; provided, however, that with respect to any Bond which is a Liquidity Bank Bond (i) the “net effective interest rate” from the date of issuance of the Bonds through any subsequent date of calculation shall never exceed the Maximum Rate, and (ii) if this Bond cannot bear interest at the Liquidity Bank Bond Rate for any day because the “net effective interest rate” calculated from the date of issuance of the Bonds through such day would thereby exceed the Highest Lawful Rate, this Bond shall bear interest for such day at the Maximum Rate and shall continue to bear interest at the Maximum Rate for each day that it is a Liquidity Bank Bond until this Bond is paid in full or until such earlier date as the payment of interest at the Maximum Rate results in the payment or accrual of the cumulative amount of interest which would have been paid and accrued at the Liquidity Bank Bond Rate for the period for which this Bond has borne interest at the Liquidity Bank Bond Rate,</w:t>
      </w:r>
    </w:p>
    <w:p>
      <w:pPr>
        <w:sectPr>
          <w:pgSz w:w="11900" w:h="16838" w:orient="portrait"/>
          <w:cols w:equalWidth="0" w:num="1">
            <w:col w:w="11420"/>
          </w:cols>
          <w:pgMar w:left="240" w:top="132" w:right="239" w:bottom="12" w:gutter="0" w:footer="0" w:header="0"/>
        </w:sectPr>
      </w:pPr>
    </w:p>
    <w:bookmarkStart w:id="285" w:name="page286"/>
    <w:bookmarkEnd w:id="285"/>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after which date the interest rate on this Bond shall revert to the Liquidity Bank Bond Rate until this proviso again becomes applicable. Only the Liquidity Bank will be entitled to earn the Liquidity Bank Bond Rate.</w:t>
      </w:r>
    </w:p>
    <w:p>
      <w:pPr>
        <w:spacing w:after="0" w:line="175" w:lineRule="exact"/>
        <w:rPr>
          <w:sz w:val="20"/>
          <w:szCs w:val="20"/>
          <w:color w:val="auto"/>
        </w:rPr>
      </w:pPr>
    </w:p>
    <w:p>
      <w:pPr>
        <w:jc w:val="both"/>
        <w:ind w:firstLine="656"/>
        <w:spacing w:after="0" w:line="248" w:lineRule="auto"/>
        <w:tabs>
          <w:tab w:leader="none" w:pos="114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In case of any default in the payment of the principal hereof, this Bond shall thereafter bear interest for each day at a rate equal to the Weekly Rate (unless this Bond is a Liquidity Bank Bond and the rate payable pursuant to paragraph 3(b) above shall be greater than the Weekly Rate, then in such event the rate payable pursuant to such paragraph 3(b) shall be payable); provided, that the “net effective interest rate” from the date of issuance of the Bonds through any subsequent date of calculation shall never exceed the Maximum Rate.</w:t>
      </w:r>
    </w:p>
    <w:p>
      <w:pPr>
        <w:spacing w:after="0" w:line="192" w:lineRule="exact"/>
        <w:rPr>
          <w:rFonts w:ascii="Arial" w:cs="Arial" w:eastAsia="Arial" w:hAnsi="Arial"/>
          <w:sz w:val="22"/>
          <w:szCs w:val="22"/>
          <w:color w:val="auto"/>
        </w:rPr>
      </w:pPr>
    </w:p>
    <w:p>
      <w:pPr>
        <w:jc w:val="both"/>
        <w:ind w:firstLine="656"/>
        <w:spacing w:after="0" w:line="312" w:lineRule="auto"/>
        <w:tabs>
          <w:tab w:leader="none" w:pos="111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Interest on this Bond shall be calculated on the basis of a 365-day or 366-day year, as the case may be, using the actual number of days elapsed; provided, however, that this method of calculation does not cause the “net effective interest rate” from the date of issuance of the Bonds through any subsequent date of calculation to exceed the Maximum Rate.</w:t>
      </w:r>
    </w:p>
    <w:p>
      <w:pPr>
        <w:spacing w:after="0" w:line="134" w:lineRule="exact"/>
        <w:rPr>
          <w:sz w:val="20"/>
          <w:szCs w:val="20"/>
          <w:color w:val="auto"/>
        </w:rPr>
      </w:pPr>
    </w:p>
    <w:p>
      <w:pPr>
        <w:jc w:val="both"/>
        <w:ind w:firstLine="656"/>
        <w:spacing w:after="0" w:line="263" w:lineRule="auto"/>
        <w:tabs>
          <w:tab w:leader="none" w:pos="1053"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Notices to Bondholders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Conversion Dates</w:t>
      </w:r>
      <w:r>
        <w:rPr>
          <w:rFonts w:ascii="Arial" w:cs="Arial" w:eastAsia="Arial" w:hAnsi="Arial"/>
          <w:sz w:val="21"/>
          <w:szCs w:val="21"/>
          <w:color w:val="auto"/>
        </w:rPr>
        <w:t>. At least 30 days prior to any Conversion Date, the Trustee shall give to each Registered Holder of a Weekly Rate Bond to be converted to a Fixed Rate, Daily Rate or Commercial Paper Rate Bond notice in the manner provided in the Indenture stating the applicable Conversion Date and that if there has been irrevocably deposited in trust with the Tender Agent an amount of money to pay the Purchase Price of all Untendered Bonds, such Holders will be deemed to have tendered such Weekly Rate Bonds for purchase on the Conversion Date.</w:t>
      </w:r>
    </w:p>
    <w:p>
      <w:pPr>
        <w:spacing w:after="0" w:line="176" w:lineRule="exact"/>
        <w:rPr>
          <w:sz w:val="20"/>
          <w:szCs w:val="20"/>
          <w:color w:val="auto"/>
        </w:rPr>
      </w:pPr>
    </w:p>
    <w:p>
      <w:pPr>
        <w:jc w:val="both"/>
        <w:ind w:firstLine="656"/>
        <w:spacing w:after="0" w:line="290" w:lineRule="auto"/>
        <w:tabs>
          <w:tab w:leader="none" w:pos="1197"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Credit Facility Termination Date or Liquidity Facility Termination Date</w:t>
      </w:r>
      <w:r>
        <w:rPr>
          <w:rFonts w:ascii="Arial" w:cs="Arial" w:eastAsia="Arial" w:hAnsi="Arial"/>
          <w:sz w:val="19"/>
          <w:szCs w:val="19"/>
          <w:color w:val="auto"/>
        </w:rPr>
        <w:t>. At least 10 days prior to a Credit Facility Termination Date or a Liquidity Facility Termination Date, the Trustee shall give to each Registered Holder of a Weekly Rate Bond notice in the manner provided in the Indenture that after the Credit Facility Termination Date or the Liquidity Facility Termination Date, as applicable, the Credit Enhancer or Liquidity Bank will no longer be obligated to pay the principal and interest on, or the Purchase Price of, as applicable, Weekly Rate Bonds and that if there has been irrevocably deposited in trust with the Tender Agent an amount of money to pay the principal and interest on or the Purchase Price of, as applicable, all Untendered Bonds, all Registered Holders who have not tendered their Weekly Rate Bonds on or before the Credit Facility Termination Date or the Liquidity Facility Termination Date will be deemed to have tendered such Weekly Rate Bonds for purchase on such Purchase Date.</w:t>
      </w:r>
    </w:p>
    <w:p>
      <w:pPr>
        <w:spacing w:after="0" w:line="156" w:lineRule="exact"/>
        <w:rPr>
          <w:rFonts w:ascii="Arial" w:cs="Arial" w:eastAsia="Arial" w:hAnsi="Arial"/>
          <w:sz w:val="19"/>
          <w:szCs w:val="19"/>
          <w:color w:val="auto"/>
        </w:rPr>
      </w:pPr>
    </w:p>
    <w:p>
      <w:pPr>
        <w:jc w:val="both"/>
        <w:ind w:firstLine="656"/>
        <w:spacing w:after="0" w:line="294" w:lineRule="auto"/>
        <w:tabs>
          <w:tab w:leader="none" w:pos="114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Substitution of Alternate Credit Facility or Alternate Liquidity Facility</w:t>
      </w:r>
      <w:r>
        <w:rPr>
          <w:rFonts w:ascii="Arial" w:cs="Arial" w:eastAsia="Arial" w:hAnsi="Arial"/>
          <w:sz w:val="19"/>
          <w:szCs w:val="19"/>
          <w:color w:val="auto"/>
        </w:rPr>
        <w:t>. At least 10 days prior to the effective date of an alternate Credit Facility or an alternate Liquidity Facility, the Trustee shall give to each Registered Holder of a Weekly Rate Bond notice in the manner provided in the Indenture of the date an alternate Credit Facility or alternate Liquidity Facility shall become effective, and if there has been irrevocably deposited in trust with the Tender Agent an amount of money to pay the Purchase Price of all Untendered Bonds, such Holders will be deemed to have tendered such Weekly Rate Bonds for purchase on the effective date of such alternate Credit Facility or alternate Liquidity Facility at the Purchase Price.</w:t>
      </w:r>
    </w:p>
    <w:p>
      <w:pPr>
        <w:spacing w:after="0" w:line="149" w:lineRule="exact"/>
        <w:rPr>
          <w:rFonts w:ascii="Arial" w:cs="Arial" w:eastAsia="Arial" w:hAnsi="Arial"/>
          <w:sz w:val="19"/>
          <w:szCs w:val="19"/>
          <w:color w:val="auto"/>
        </w:rPr>
      </w:pPr>
    </w:p>
    <w:p>
      <w:pPr>
        <w:jc w:val="both"/>
        <w:ind w:firstLine="656"/>
        <w:spacing w:after="0" w:line="297" w:lineRule="auto"/>
        <w:tabs>
          <w:tab w:leader="none" w:pos="1157"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Mandatory Tender after Event of Default</w:t>
      </w:r>
      <w:r>
        <w:rPr>
          <w:rFonts w:ascii="Arial" w:cs="Arial" w:eastAsia="Arial" w:hAnsi="Arial"/>
          <w:sz w:val="19"/>
          <w:szCs w:val="19"/>
          <w:color w:val="auto"/>
        </w:rPr>
        <w:t>. The Trustee shall notify the Registered Holders on the same Business Day the Trustee receives receipt of notice from a Credit Enhancer of an Event of Default under Section 7.01(5) and direction from the Credit Enhancer to effect a Mandatory Tender of the Bonds secured by the Credit Facility issued by such Credit Enhancer if the Trustee receives such notice by 2:00 p.m. New York, New York time on a Business Day, and not later than 10:00 a.m. New York, New York time on the next Business Day if the Trustee receives such notice after 2:00 p.m. on a Business Day.</w:t>
      </w:r>
    </w:p>
    <w:p>
      <w:pPr>
        <w:spacing w:after="0" w:line="147" w:lineRule="exact"/>
        <w:rPr>
          <w:sz w:val="20"/>
          <w:szCs w:val="20"/>
          <w:color w:val="auto"/>
        </w:rPr>
      </w:pPr>
    </w:p>
    <w:p>
      <w:pPr>
        <w:ind w:left="1040" w:hanging="384"/>
        <w:spacing w:after="0"/>
        <w:tabs>
          <w:tab w:leader="none" w:pos="104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Mandatory Tender of Bonds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0" w:lineRule="auto"/>
        <w:tabs>
          <w:tab w:leader="none" w:pos="1145"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Conversion Date</w:t>
      </w:r>
      <w:r>
        <w:rPr>
          <w:rFonts w:ascii="Arial" w:cs="Arial" w:eastAsia="Arial" w:hAnsi="Arial"/>
          <w:sz w:val="22"/>
          <w:szCs w:val="22"/>
          <w:color w:val="auto"/>
        </w:rPr>
        <w:t>. Holders of Weekly Rate Bonds which are to be converted to a Fixed Rate, Commercial Paper Rate or Daily Rate shall be required to tender their Weekly Rate Bonds to the Tender Agent for purchase on the applicable Conversion Date at the Purchase Price whether or not such Weekly Rate Bonds actually convert to Fixed Rate Bonds, Commercial Paper Rate Bonds or Daily Rate Bonds.</w:t>
      </w:r>
    </w:p>
    <w:p>
      <w:pPr>
        <w:spacing w:after="0" w:line="188" w:lineRule="exact"/>
        <w:rPr>
          <w:rFonts w:ascii="Arial" w:cs="Arial" w:eastAsia="Arial" w:hAnsi="Arial"/>
          <w:sz w:val="22"/>
          <w:szCs w:val="22"/>
          <w:color w:val="auto"/>
        </w:rPr>
      </w:pPr>
    </w:p>
    <w:p>
      <w:pPr>
        <w:jc w:val="both"/>
        <w:ind w:firstLine="656"/>
        <w:spacing w:after="0" w:line="265" w:lineRule="auto"/>
        <w:tabs>
          <w:tab w:leader="none" w:pos="1238"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Credit Facility Termination Date or Liquidity Facility Termination Date</w:t>
      </w:r>
      <w:r>
        <w:rPr>
          <w:rFonts w:ascii="Arial" w:cs="Arial" w:eastAsia="Arial" w:hAnsi="Arial"/>
          <w:sz w:val="21"/>
          <w:szCs w:val="21"/>
          <w:color w:val="auto"/>
        </w:rPr>
        <w:t>. All Registered Holders of Weekly Rate Bonds shall be required to tender their Weekly Rate Bonds to the Tender Agent for purchase on the Business Day prior to the Credit Facility Termination Date with respect to such Bonds or Liquidity Facility Termination Date with respect to such Bonds (except in the case of substitution of a Credit Facility or Liquidity Facility), as applicable, at the Purchase Price.</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118"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Alternate Credit Facility or Alternate Liquidity Facility</w:t>
      </w:r>
      <w:r>
        <w:rPr>
          <w:rFonts w:ascii="Arial" w:cs="Arial" w:eastAsia="Arial" w:hAnsi="Arial"/>
          <w:sz w:val="22"/>
          <w:szCs w:val="22"/>
          <w:color w:val="auto"/>
        </w:rPr>
        <w:t>. Holders of Weekly Rate Bonds shall be required to tender the Weekly Rate Bonds to the Tender Agent for purchase at the Purchase Price on the effective date of an alternate Credit Facility or alternate Liquidity Facility unless the Trustee has received written confirmation from each Rating Service that the rating on the Bonds will not be reduced or withdrawn as a result of such substitution.</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143"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Mandatory Tender after Event of Default</w:t>
      </w:r>
      <w:r>
        <w:rPr>
          <w:rFonts w:ascii="Arial" w:cs="Arial" w:eastAsia="Arial" w:hAnsi="Arial"/>
          <w:sz w:val="22"/>
          <w:szCs w:val="22"/>
          <w:color w:val="auto"/>
        </w:rPr>
        <w:t>. Holders of Weekly Rate Bonds shall be required to tender the Weekly Rate Bonds to the Tender Agent for purchase at the Purchase Price on the Business Day following the day the Trustee gives notice of mandatory tender as a result of an Event of Default under Section 7.01(5) of the Indenture and direction from the Liquidity Bank to effect a Mandatory Tender of the Weekly Rate Bonds.</w:t>
      </w:r>
    </w:p>
    <w:p>
      <w:pPr>
        <w:spacing w:after="0" w:line="188" w:lineRule="exact"/>
        <w:rPr>
          <w:sz w:val="20"/>
          <w:szCs w:val="20"/>
          <w:color w:val="auto"/>
        </w:rPr>
      </w:pPr>
    </w:p>
    <w:p>
      <w:pPr>
        <w:jc w:val="both"/>
        <w:ind w:firstLine="656"/>
        <w:spacing w:after="0" w:line="312" w:lineRule="auto"/>
        <w:tabs>
          <w:tab w:leader="none" w:pos="1067"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Interest on this Bond payable prior to or on the Maturity Date shall be paid by check or draft mailed to the Registered Holder of this Bond (provided, that any Registered Holder of $1,000,000 or more in Bonds may, upon written notice to the Trustee containing the appropriate information, elect to be paid by wire transfer of immediately available funds to an account in</w:t>
      </w:r>
    </w:p>
    <w:p>
      <w:pPr>
        <w:sectPr>
          <w:pgSz w:w="11900" w:h="16864" w:orient="portrait"/>
          <w:cols w:equalWidth="0" w:num="1">
            <w:col w:w="11420"/>
          </w:cols>
          <w:pgMar w:left="240" w:top="132" w:right="239" w:bottom="0" w:gutter="0" w:footer="0" w:header="0"/>
        </w:sectPr>
      </w:pPr>
    </w:p>
    <w:bookmarkStart w:id="286" w:name="page287"/>
    <w:bookmarkEnd w:id="286"/>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United States) at its address as it appears on the registration books of the Trustee (in such capacity, the “Bond Registrar”). Interest on this Bond which is payable, and is punctually paid or duly provided for, on any Interest Payment Date shall be paid to the Registered Holder of this Bond as of the applicable Regular Record Date. In order to make payment of defaulted interest, the District shall pay the defaulted interest to the person who is the Registered Holder on a subsequent special record date. The Trustee shall fix the special record date and special interest payment date. At least 10 days before the special record date, the Trustee shall mail to the Registered Holder a notice that states the special record date, the special interest payment date, and the amount of interest to be paid.</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Principal of (and premium, if any, on) this Bond payable on the Maturity Date or other final payment hereof shall be payable to the Registered Holder of this Bond at the payment office of the Trustee in Houston, Texas, upon the surrender for cancellation of this Bond.</w:t>
      </w:r>
    </w:p>
    <w:p>
      <w:pPr>
        <w:spacing w:after="0" w:line="186" w:lineRule="exact"/>
        <w:rPr>
          <w:sz w:val="20"/>
          <w:szCs w:val="20"/>
          <w:color w:val="auto"/>
        </w:rPr>
      </w:pPr>
    </w:p>
    <w:p>
      <w:pPr>
        <w:jc w:val="both"/>
        <w:ind w:firstLine="656"/>
        <w:spacing w:after="0" w:line="288" w:lineRule="auto"/>
        <w:tabs>
          <w:tab w:leader="none" w:pos="1094"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Optional Tender of Bonds</w:t>
      </w:r>
      <w:r>
        <w:rPr>
          <w:rFonts w:ascii="Arial" w:cs="Arial" w:eastAsia="Arial" w:hAnsi="Arial"/>
          <w:sz w:val="19"/>
          <w:szCs w:val="19"/>
          <w:color w:val="auto"/>
        </w:rPr>
        <w:t>. This Bond, or any portion hereof in authorized denominations, shall be purchased, at the option of the Registered Holder hereof, on any Business Day at the Purchase Price (payable in immediately available funds at the principal office of the Tender Agent) (the “Optional Purchase Date”), if the Registered Holder hereof gives notice (a “Demand Notice”) to the Remarketing Agent at or prior to 11:00 A.M., New York, New York time, on a Business Day which is at least seven calendar days prior to such Optional Purchase Date by telephone to (205) 949-3667, or such other number designated for such purpose by the Remarketing Agent, stating the Holder’s irrevocable and unconditional election to tender this Bond on such Optional Purchase Date and tenders such Bond to the Remarketing Agent prior to 11:00 A.M. New York, New York time on such Optional Purchase Date. Such Demand Notice must include the name of such Registered Holder and the aggregate principal amount of Bonds to be tendered. The Remarketing Agent shall immediately notify the Trustee as to the amount of Bonds tendered and the amount, if any, required to be drawn on the Liquidity Facility within the time and in the manner required by the Indenture.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Registered Holder of this Bond, by its acceptance hereof, appoints the Remarketing Agent and the Tender Agent to act as its agents in effecting the purchase of the Bonds pursuant to the provisions of this paragraph. The Purchase Price shall be paid with amounts received pursuant to the Remarketing Agreement or the Liquidity Facility or, if amounts from such sources are inadequate, with amounts received from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foregoing, the provisions of this paragraph 7 shall not be applicable with respect to Liquidity Bank</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Bonds.</w:t>
      </w:r>
    </w:p>
    <w:p>
      <w:pPr>
        <w:spacing w:after="0" w:line="202" w:lineRule="exact"/>
        <w:rPr>
          <w:sz w:val="20"/>
          <w:szCs w:val="20"/>
          <w:color w:val="auto"/>
        </w:rPr>
      </w:pPr>
    </w:p>
    <w:p>
      <w:pPr>
        <w:jc w:val="both"/>
        <w:ind w:firstLine="656"/>
        <w:spacing w:after="0" w:line="257" w:lineRule="auto"/>
        <w:tabs>
          <w:tab w:leader="none" w:pos="1040" w:val="left"/>
        </w:tabs>
        <w:numPr>
          <w:ilvl w:val="0"/>
          <w:numId w:val="223"/>
        </w:numPr>
        <w:rPr>
          <w:rFonts w:ascii="Arial" w:cs="Arial" w:eastAsia="Arial" w:hAnsi="Arial"/>
          <w:sz w:val="21"/>
          <w:szCs w:val="21"/>
          <w:color w:val="auto"/>
        </w:rPr>
      </w:pPr>
      <w:r>
        <w:rPr>
          <w:rFonts w:ascii="Arial" w:cs="Arial" w:eastAsia="Arial" w:hAnsi="Arial"/>
          <w:sz w:val="21"/>
          <w:szCs w:val="21"/>
          <w:u w:val="single" w:color="auto"/>
          <w:color w:val="auto"/>
        </w:rPr>
        <w:t>Deemed Tender of Weekly Rate Bonds</w:t>
      </w:r>
      <w:r>
        <w:rPr>
          <w:rFonts w:ascii="Arial" w:cs="Arial" w:eastAsia="Arial" w:hAnsi="Arial"/>
          <w:sz w:val="21"/>
          <w:szCs w:val="21"/>
          <w:color w:val="auto"/>
        </w:rPr>
        <w:t>. ANY WEEKLY RATE BOND (OR PORTION THEREOF) FOR WHICH AN OPTIONAL TENDER HAS BEEN EXERCISED, OR WHICH IS SUBJECT TO MANDATORY TENDER, ON ANY PURCHASE DATE IN ACCORDANCE WITH THE PROVISIONS HEREOF AND THE INDENTURE, BUT WHICH IS NOT TENDERED FOR PURCHASE BY 12:00, NOON, NEW YORK, NEW YORK TIME, ON THE APPLICABLE PURCHASE DATE (SUCH BONDS OR PORTIONS HEREIN REFERRED TO AS “UNTENDERED BONDS”) SHALL, UPON DEPOSIT IN THE PURCHASE FUND OF AN AMOUNT SUFFICIENT TO PAY THE PURCHASE PRICE OF SUCH BOND ON SUCH PURCHASE DATE, BE DEEMED TO’ HAVE BEEN TENDERED AND SOLD FOR THE PURCHASE PRICE ON SUCH PURCHASE DATE, REGARDLESS OF WHETHER (i) IN THE CASE OF A MANDATORY TENDER, THE HOLDER THEREOF SHALL HAVE RECEIVED THE NOTICES DESCRIBED IN PARAGRAPH 4 HEREOF, AND (ii) IN CONNECTION WITH A CONVERSION DATE, SUCH WEEKLY RATE BOND ACTUALLY CONVERTS TO A FIXED RATE BOND OR A COMMERCIAL PAPER RATE BOND, AND THEREAFTER THE HOLDER THEREOF SHALL NOT BE ENTITLED TO ANY PAYMENT (INCLUDING ANY INTEREST ACCRUED SUBSEQUENT TO SUCH PURCHASE DATE) IN RESPECT THEREOF OTHER THAN THE PURCHASE PRICE FOR SUCH UNTENDERED BOND, AND SUCH UNTENDERED BOND SHALL NO LONGER BE ENTITLED TO THE BENEFIT OF THE INDENTURE OR THE LIQUIDITY FACILITY, EXCEPT FOR THE PURPOSE OF PAYMENT OF THE PURCHASE PRICE THEREFOR. UNTENDERED BONDS MUST BE SURRENDERED TO THE TENDER AGENT FOR PAYMENT OF THE PURCHASE PRICE DUE THEREON.</w:t>
      </w:r>
    </w:p>
    <w:p>
      <w:pPr>
        <w:spacing w:after="0" w:line="182" w:lineRule="exact"/>
        <w:rPr>
          <w:rFonts w:ascii="Arial" w:cs="Arial" w:eastAsia="Arial" w:hAnsi="Arial"/>
          <w:sz w:val="21"/>
          <w:szCs w:val="21"/>
          <w:color w:val="auto"/>
        </w:rPr>
      </w:pPr>
    </w:p>
    <w:p>
      <w:pPr>
        <w:jc w:val="both"/>
        <w:ind w:firstLine="656"/>
        <w:spacing w:after="0" w:line="253" w:lineRule="auto"/>
        <w:tabs>
          <w:tab w:leader="none" w:pos="1040"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 The Weekly Rate Bonds may be redeemed in whole or in part prior to maturity on any Business Day, at the option of the District, at a price equal to the unpaid principal amount of the Bonds so redeemed, plus accrued interest to the redemption date, without premium.</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256"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Authorized Denominations and Transfer</w:t>
      </w:r>
      <w:r>
        <w:rPr>
          <w:rFonts w:ascii="Arial" w:cs="Arial" w:eastAsia="Arial" w:hAnsi="Arial"/>
          <w:sz w:val="19"/>
          <w:szCs w:val="19"/>
          <w:color w:val="auto"/>
        </w:rPr>
        <w:t>. The Weekly Rate Bonds are issuable only as fully registered Bonds in denominations of $100,000 and multiples of $5,000 in excess of $100,000. This Bond is transferable by the Registered Holder hereof in person or by his attorney duly authorized in writing at the principal payment office of the Bond Registrar in Houston, Texas upon presentation hereof to the Bond Registrar, all subject to the terms and conditions provided in the Indenture.</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194"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Additional Provisions</w:t>
      </w:r>
      <w:r>
        <w:rPr>
          <w:rFonts w:ascii="Arial" w:cs="Arial" w:eastAsia="Arial" w:hAnsi="Arial"/>
          <w:sz w:val="22"/>
          <w:szCs w:val="22"/>
          <w:color w:val="auto"/>
        </w:rPr>
        <w:t>. Subject to the restrictions set forth therein, the Indenture permits, with certain exceptions as therein provided, the District and the Trustee, with the consent of the Holders of the percentage in principal amount of Bonds outstanding specified in the Indenture and/or the Credit Enhancer and the Liquidity Bank, to execute supplemental indentures amending, adding to or eliminating any provisions of the Indenture.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Holder of this Bond shall have no right to enforce the provisions of the Indenture or to institute an action to enforce the covenants therein, or to take any action with respect to any Event of Default under the Indenture, or to institute, appear in or defend any suit or other proceeding with respect thereto, except as provided in the Indenture. It is also provided in the Indenture that the</w:t>
      </w:r>
    </w:p>
    <w:p>
      <w:pPr>
        <w:sectPr>
          <w:pgSz w:w="11900" w:h="16986" w:orient="portrait"/>
          <w:cols w:equalWidth="0" w:num="1">
            <w:col w:w="11420"/>
          </w:cols>
          <w:pgMar w:left="240" w:top="132" w:right="239" w:bottom="0" w:gutter="0" w:footer="0" w:header="0"/>
        </w:sectPr>
      </w:pPr>
    </w:p>
    <w:bookmarkStart w:id="287" w:name="page288"/>
    <w:bookmarkEnd w:id="287"/>
    <w:p>
      <w:pPr>
        <w:jc w:val="both"/>
        <w:spacing w:after="0" w:line="286" w:lineRule="auto"/>
        <w:rPr>
          <w:sz w:val="20"/>
          <w:szCs w:val="20"/>
          <w:color w:val="auto"/>
        </w:rPr>
      </w:pPr>
      <w:r>
        <w:rPr>
          <w:rFonts w:ascii="Arial" w:cs="Arial" w:eastAsia="Arial" w:hAnsi="Arial"/>
          <w:sz w:val="19"/>
          <w:szCs w:val="19"/>
          <w:color w:val="auto"/>
        </w:rPr>
        <w:t>Trustee at, in certain cases, the written request of the Holders of the applicable percentage of Bonds specified in the Indenture, or in certain cases, the written request of the Credit Enhancer and the Liquidity Bank, may waive any past default or Event of Default under the Indenture and its consequences except a default (i) in the payment of principal of or premium, if any, or interest on any of the Bonds, (ii) default under the Credit Facility, or (iii) default under the Liquidity Facility; provided, however, the Trustee must receive prior written notice that any Liquidity Facility and Credit Facility has been reinstated in full and is in full force and effect. The Indenture further provides that if, after a declaration of the acceleration of the maturity of the principal amount of the Bonds, but prior to the entry of a final judgment for such amount, all amounts which would then be payable thereunder by the District if such default had not occurred and were not continuing and certain other amounts shall have been paid by or on behalf of the District and the parties to the Bond Documents shall have also performed all other obligations in respect of which any of them is then in default under the Bond Documents and shall have paid the reasonable charges and expenses of the Trustee and the Holders of the Bonds, including reasonable attorneys’ fees paid or incurred, then the Trustee shall, in certain cases, upon request of the Holders of the applicable percentage of Bonds specified in the Indenture, and in certain cases, upon request of the Credit Enhancer and the Liquidity Bank, waive such Event of Default and rescind and annul any remedial step theretofore taken by it in respect of such default and its consequences.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Anything to the contrary herein, any right of demand, authorization, direction, consent, waiver, or similar action (other than optional tender rights and other than rights in connection with the failure of payment of the Purchase Price when due) granted to Bondholders whose Bonds are secured by a Credit Facility shall be exercised by the Credit Enhancer for such Credit Facility, so long as such Credit Facility is in effect and such Credit Enhancer is not in default thereunder to the exclusion of such Bondholders.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Weekly Rate Bond shall be governed, in all respects including validity, interpretation and effect by, and shall be enforceable in accordance with, the laws of the United States of America and of the State.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District has caused this Bond to be executed by its President and to be attested to by its Secretary both by their manual or facsimile signatures, all as of the Issue Date.</w:t>
      </w:r>
    </w:p>
    <w:p>
      <w:pPr>
        <w:spacing w:after="0" w:line="175" w:lineRule="exact"/>
        <w:rPr>
          <w:sz w:val="20"/>
          <w:szCs w:val="20"/>
          <w:color w:val="auto"/>
        </w:rPr>
      </w:pPr>
    </w:p>
    <w:p>
      <w:pPr>
        <w:ind w:left="3900" w:right="44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419100</wp:posOffset>
            </wp:positionV>
            <wp:extent cx="823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OF AUTHENTICATION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APPEAR ON EACH BOND)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AUTHENTICATION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is one of the Bonds referred to in the within mentioned Indenture.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Authenticating Agent, or its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of Authentication: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-17780</wp:posOffset>
            </wp:positionV>
            <wp:extent cx="960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420"/>
          </w:cols>
          <w:pgMar w:left="240" w:top="132"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ASSIGNMENT TO APPEAR ON EACH BOND)</w:t>
      </w:r>
    </w:p>
    <w:p>
      <w:pPr>
        <w:sectPr>
          <w:pgSz w:w="11900" w:h="16838" w:orient="portrait"/>
          <w:cols w:equalWidth="0" w:num="1">
            <w:col w:w="11420"/>
          </w:cols>
          <w:pgMar w:left="240" w:top="132" w:right="239" w:bottom="1" w:gutter="0" w:footer="0" w:header="0"/>
          <w:type w:val="continuous"/>
        </w:sectPr>
      </w:pPr>
    </w:p>
    <w:bookmarkStart w:id="288" w:name="page289"/>
    <w:bookmarkEnd w:id="288"/>
    <w:p>
      <w:pPr>
        <w:jc w:val="center"/>
        <w:spacing w:after="0"/>
        <w:rPr>
          <w:sz w:val="20"/>
          <w:szCs w:val="20"/>
          <w:color w:val="auto"/>
        </w:rPr>
      </w:pPr>
      <w:r>
        <w:rPr>
          <w:rFonts w:ascii="Arial" w:cs="Arial" w:eastAsia="Arial" w:hAnsi="Arial"/>
          <w:sz w:val="22"/>
          <w:szCs w:val="22"/>
          <w:color w:val="auto"/>
        </w:rPr>
        <w:t>FORM OF ASSIGNMENT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hereby sells, assigns and transfers unto (Print or typewrite name, address, and zip code</w:t>
      </w:r>
    </w:p>
    <w:p>
      <w:pPr>
        <w:spacing w:after="0" w:line="56" w:lineRule="exact"/>
        <w:rPr>
          <w:sz w:val="20"/>
          <w:szCs w:val="20"/>
          <w:color w:val="auto"/>
        </w:rPr>
      </w:pPr>
    </w:p>
    <w:p>
      <w:pPr>
        <w:spacing w:after="0"/>
        <w:tabs>
          <w:tab w:leader="none" w:pos="3600" w:val="left"/>
          <w:tab w:leader="none" w:pos="7940" w:val="left"/>
        </w:tabs>
        <w:rPr>
          <w:sz w:val="20"/>
          <w:szCs w:val="20"/>
          <w:color w:val="auto"/>
        </w:rPr>
      </w:pP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transferee)</w:t>
      </w:r>
      <w:r>
        <w:rPr>
          <w:sz w:val="20"/>
          <w:szCs w:val="20"/>
          <w:color w:val="auto"/>
        </w:rPr>
        <w:tab/>
      </w:r>
      <w:r>
        <w:rPr>
          <w:rFonts w:ascii="Arial" w:cs="Arial" w:eastAsia="Arial" w:hAnsi="Arial"/>
          <w:sz w:val="19"/>
          <w:szCs w:val="19"/>
          <w:color w:val="auto"/>
        </w:rPr>
        <w:t>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 (Social Security or other tax identifying number: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the within Bond and does hereby irrevocably constitute and appoint ______________________, as attorney,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transfer the within Bond on the books kept for registration of the within Bond, with full power of substitution in the premises.</w:t>
      </w:r>
    </w:p>
    <w:p>
      <w:pPr>
        <w:sectPr>
          <w:pgSz w:w="11900" w:h="16838" w:orient="portrait"/>
          <w:cols w:equalWidth="0" w:num="1">
            <w:col w:w="11420"/>
          </w:cols>
          <w:pgMar w:left="240" w:top="132" w:right="239" w:bottom="236" w:gutter="0" w:footer="0" w:header="0"/>
        </w:sect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w:t>
      </w:r>
    </w:p>
    <w:p>
      <w:pPr>
        <w:spacing w:after="0" w:line="79" w:lineRule="exact"/>
        <w:rPr>
          <w:sz w:val="20"/>
          <w:szCs w:val="20"/>
          <w:color w:val="auto"/>
        </w:rPr>
      </w:pPr>
    </w:p>
    <w:p>
      <w:pPr>
        <w:sectPr>
          <w:pgSz w:w="11900" w:h="16838" w:orient="portrait"/>
          <w:cols w:equalWidth="0" w:num="2">
            <w:col w:w="5020" w:space="720"/>
            <w:col w:w="5680"/>
          </w:cols>
          <w:pgMar w:left="240" w:top="132" w:right="239" w:bottom="236" w:gutter="0" w:footer="0" w:header="0"/>
          <w:type w:val="continuous"/>
        </w:sectPr>
      </w:pPr>
    </w:p>
    <w:p>
      <w:pPr>
        <w:ind w:left="40"/>
        <w:spacing w:after="0"/>
        <w:rPr>
          <w:sz w:val="20"/>
          <w:szCs w:val="20"/>
          <w:color w:val="auto"/>
        </w:rPr>
      </w:pPr>
      <w:r>
        <w:rPr>
          <w:rFonts w:ascii="Arial" w:cs="Arial" w:eastAsia="Arial" w:hAnsi="Arial"/>
          <w:sz w:val="19"/>
          <w:szCs w:val="19"/>
          <w:color w:val="auto"/>
        </w:rPr>
        <w:t>_____________________________________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guaranteed by:</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21"/>
          <w:szCs w:val="21"/>
          <w:color w:val="auto"/>
        </w:rPr>
        <w:t>NOTICE: The signature(s) on this assignment must correspond with the name(s) of the registered holder(s) appearing on the face of the within Bond in every particular.</w:t>
      </w:r>
    </w:p>
    <w:p>
      <w:pPr>
        <w:spacing w:after="0" w:line="194" w:lineRule="exact"/>
        <w:rPr>
          <w:sz w:val="20"/>
          <w:szCs w:val="20"/>
          <w:color w:val="auto"/>
        </w:rPr>
      </w:pPr>
    </w:p>
    <w:p>
      <w:pPr>
        <w:sectPr>
          <w:pgSz w:w="11900" w:h="16838" w:orient="portrait"/>
          <w:cols w:equalWidth="0" w:num="2">
            <w:col w:w="5020" w:space="720"/>
            <w:col w:w="5680"/>
          </w:cols>
          <w:pgMar w:left="240" w:top="132" w:right="239" w:bottom="236" w:gutter="0" w:footer="0" w:header="0"/>
          <w:type w:val="continuous"/>
        </w:sectPr>
      </w:pPr>
    </w:p>
    <w:p>
      <w:pPr>
        <w:ind w:left="4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NOTICE: Signature must be guaranteed by a member firm of the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National Association of Securities Dealers or a commercial bank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or a trust company which is a participant in an official medallion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program.</w:t>
      </w:r>
    </w:p>
    <w:p>
      <w:pPr>
        <w:sectPr>
          <w:pgSz w:w="11900" w:h="16838" w:orient="portrait"/>
          <w:cols w:equalWidth="0" w:num="1">
            <w:col w:w="11420"/>
          </w:cols>
          <w:pgMar w:left="240" w:top="132" w:right="239" w:bottom="236" w:gutter="0" w:footer="0" w:header="0"/>
          <w:type w:val="continuous"/>
        </w:sect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assignment above or on the face of the within Bond, shall be construed as though they were written out in full according to applicable laws or regulations:</w:t>
      </w:r>
    </w:p>
    <w:p>
      <w:pPr>
        <w:spacing w:after="0" w:line="175" w:lineRule="exact"/>
        <w:rPr>
          <w:sz w:val="20"/>
          <w:szCs w:val="20"/>
          <w:color w:val="auto"/>
        </w:rPr>
      </w:pPr>
    </w:p>
    <w:p>
      <w:pPr>
        <w:ind w:left="2600"/>
        <w:spacing w:after="0"/>
        <w:tabs>
          <w:tab w:leader="none" w:pos="3880" w:val="left"/>
        </w:tabs>
        <w:rPr>
          <w:sz w:val="20"/>
          <w:szCs w:val="20"/>
          <w:color w:val="auto"/>
        </w:rPr>
      </w:pPr>
      <w:r>
        <w:rPr>
          <w:rFonts w:ascii="Arial" w:cs="Arial" w:eastAsia="Arial" w:hAnsi="Arial"/>
          <w:sz w:val="22"/>
          <w:szCs w:val="22"/>
          <w:color w:val="auto"/>
        </w:rPr>
        <w:t>TEN COM -</w:t>
      </w:r>
      <w:r>
        <w:rPr>
          <w:sz w:val="20"/>
          <w:szCs w:val="20"/>
          <w:color w:val="auto"/>
        </w:rPr>
        <w:tab/>
      </w:r>
      <w:r>
        <w:rPr>
          <w:rFonts w:ascii="Arial" w:cs="Arial" w:eastAsia="Arial" w:hAnsi="Arial"/>
          <w:sz w:val="19"/>
          <w:szCs w:val="19"/>
          <w:color w:val="auto"/>
        </w:rPr>
        <w:t>as tenants in common</w:t>
      </w:r>
    </w:p>
    <w:p>
      <w:pPr>
        <w:spacing w:after="0" w:line="22" w:lineRule="exact"/>
        <w:rPr>
          <w:sz w:val="20"/>
          <w:szCs w:val="20"/>
          <w:color w:val="auto"/>
        </w:rPr>
      </w:pPr>
    </w:p>
    <w:p>
      <w:pPr>
        <w:ind w:left="2600"/>
        <w:spacing w:after="0"/>
        <w:tabs>
          <w:tab w:leader="none" w:pos="3820" w:val="left"/>
        </w:tabs>
        <w:rPr>
          <w:sz w:val="20"/>
          <w:szCs w:val="20"/>
          <w:color w:val="auto"/>
        </w:rPr>
      </w:pPr>
      <w:r>
        <w:rPr>
          <w:rFonts w:ascii="Arial" w:cs="Arial" w:eastAsia="Arial" w:hAnsi="Arial"/>
          <w:sz w:val="22"/>
          <w:szCs w:val="22"/>
          <w:color w:val="auto"/>
        </w:rPr>
        <w:t>TEN ENT -</w:t>
      </w:r>
      <w:r>
        <w:rPr>
          <w:sz w:val="20"/>
          <w:szCs w:val="20"/>
          <w:color w:val="auto"/>
        </w:rPr>
        <w:tab/>
      </w:r>
      <w:r>
        <w:rPr>
          <w:rFonts w:ascii="Arial" w:cs="Arial" w:eastAsia="Arial" w:hAnsi="Arial"/>
          <w:sz w:val="19"/>
          <w:szCs w:val="19"/>
          <w:color w:val="auto"/>
        </w:rPr>
        <w:t>as tenants by the entireties</w:t>
      </w:r>
    </w:p>
    <w:p>
      <w:pPr>
        <w:spacing w:after="0" w:line="4"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22"/>
          <w:szCs w:val="22"/>
          <w:color w:val="auto"/>
        </w:rPr>
        <w:t>JT TEN -</w:t>
      </w:r>
      <w:r>
        <w:rPr>
          <w:sz w:val="20"/>
          <w:szCs w:val="20"/>
          <w:color w:val="auto"/>
        </w:rPr>
        <w:tab/>
      </w:r>
      <w:r>
        <w:rPr>
          <w:rFonts w:ascii="Arial" w:cs="Arial" w:eastAsia="Arial" w:hAnsi="Arial"/>
          <w:sz w:val="19"/>
          <w:szCs w:val="19"/>
          <w:color w:val="auto"/>
        </w:rPr>
        <w:t>as joint tenants with right of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survivorship and not as tenants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common</w:t>
      </w:r>
    </w:p>
    <w:p>
      <w:pPr>
        <w:spacing w:after="0" w:line="202" w:lineRule="exact"/>
        <w:rPr>
          <w:sz w:val="20"/>
          <w:szCs w:val="20"/>
          <w:color w:val="auto"/>
        </w:rPr>
      </w:pPr>
    </w:p>
    <w:p>
      <w:pPr>
        <w:ind w:left="2600"/>
        <w:spacing w:after="0"/>
        <w:tabs>
          <w:tab w:leader="none" w:pos="4920" w:val="left"/>
        </w:tabs>
        <w:rPr>
          <w:sz w:val="20"/>
          <w:szCs w:val="20"/>
          <w:color w:val="auto"/>
        </w:rPr>
      </w:pPr>
      <w:r>
        <w:rPr>
          <w:rFonts w:ascii="Arial" w:cs="Arial" w:eastAsia="Arial" w:hAnsi="Arial"/>
          <w:sz w:val="22"/>
          <w:szCs w:val="22"/>
          <w:color w:val="auto"/>
        </w:rPr>
        <w:t>UNIF GIFT MIN ACT -</w:t>
      </w:r>
      <w:r>
        <w:rPr>
          <w:sz w:val="20"/>
          <w:szCs w:val="20"/>
          <w:color w:val="auto"/>
        </w:rPr>
        <w:tab/>
      </w:r>
      <w:r>
        <w:rPr>
          <w:rFonts w:ascii="Arial" w:cs="Arial" w:eastAsia="Arial" w:hAnsi="Arial"/>
          <w:sz w:val="19"/>
          <w:szCs w:val="19"/>
          <w:color w:val="auto"/>
        </w:rPr>
        <w:t>……….Custodian….…..</w:t>
      </w:r>
    </w:p>
    <w:p>
      <w:pPr>
        <w:spacing w:after="0" w:line="22" w:lineRule="exact"/>
        <w:rPr>
          <w:sz w:val="20"/>
          <w:szCs w:val="20"/>
          <w:color w:val="auto"/>
        </w:rPr>
      </w:pPr>
    </w:p>
    <w:p>
      <w:pPr>
        <w:ind w:left="4540"/>
        <w:spacing w:after="0"/>
        <w:tabs>
          <w:tab w:leader="none" w:pos="5500" w:val="left"/>
        </w:tabs>
        <w:rPr>
          <w:sz w:val="20"/>
          <w:szCs w:val="20"/>
          <w:color w:val="auto"/>
        </w:rPr>
      </w:pPr>
      <w:r>
        <w:rPr>
          <w:rFonts w:ascii="Arial" w:cs="Arial" w:eastAsia="Arial" w:hAnsi="Arial"/>
          <w:sz w:val="22"/>
          <w:szCs w:val="22"/>
          <w:color w:val="auto"/>
        </w:rPr>
        <w:t>(Cust)</w:t>
      </w:r>
      <w:r>
        <w:rPr>
          <w:sz w:val="20"/>
          <w:szCs w:val="20"/>
          <w:color w:val="auto"/>
        </w:rPr>
        <w:tab/>
      </w:r>
      <w:r>
        <w:rPr>
          <w:rFonts w:ascii="Arial" w:cs="Arial" w:eastAsia="Arial" w:hAnsi="Arial"/>
          <w:sz w:val="22"/>
          <w:szCs w:val="22"/>
          <w:color w:val="auto"/>
        </w:rPr>
        <w:t>(Minor)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Uniform Gifts to Minors Act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(State)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abbreviations may also be used though not in the list above.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REQUISITION CERTIFICATE</w:t>
      </w:r>
    </w:p>
    <w:p>
      <w:pPr>
        <w:spacing w:after="0" w:line="22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Request No.: _________</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___________, 20_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Trust Company,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601 Travis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Corporate Trust Department</w:t>
      </w:r>
    </w:p>
    <w:p>
      <w:pPr>
        <w:spacing w:after="0" w:line="2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Disbursement from the Project Fund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Request is provided to you pursuant to Section 4.06 of the Trust Indenture and Security Agreement, dated as of February 1, 2016 (the “Indenture”), between the Port of Beaumont Navigation District of Jefferson County, Texas (the “Issuer”) and you, as Trustee, relating to the Port of Beaumont Navigation District of Jefferson County, Texas Dock and Wharf Facility Revenue Bonds, Series 2016 (Jefferson Energy Companies Project). The capitalized terms used in this Request have the same meanings given such terms in the Indenture.</w:t>
      </w:r>
    </w:p>
    <w:p>
      <w:pPr>
        <w:sectPr>
          <w:pgSz w:w="11900" w:h="16838" w:orient="portrait"/>
          <w:cols w:equalWidth="0" w:num="1">
            <w:col w:w="11420"/>
          </w:cols>
          <w:pgMar w:left="240" w:top="132" w:right="239" w:bottom="236" w:gutter="0" w:footer="0" w:header="0"/>
          <w:type w:val="continuous"/>
        </w:sectPr>
      </w:pPr>
    </w:p>
    <w:bookmarkStart w:id="289" w:name="page290"/>
    <w:bookmarkEnd w:id="289"/>
    <w:p>
      <w:pPr>
        <w:ind w:left="660"/>
        <w:spacing w:after="0"/>
        <w:rPr>
          <w:sz w:val="20"/>
          <w:szCs w:val="20"/>
          <w:color w:val="auto"/>
        </w:rPr>
      </w:pPr>
      <w:r>
        <w:rPr>
          <w:rFonts w:ascii="Arial" w:cs="Arial" w:eastAsia="Arial" w:hAnsi="Arial"/>
          <w:sz w:val="19"/>
          <w:szCs w:val="19"/>
          <w:color w:val="auto"/>
        </w:rPr>
        <w:t>You are hereby directed to pay the amount of $________ from the Project Fund to _________________________________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ind w:left="1300"/>
        <w:spacing w:after="0"/>
        <w:tabs>
          <w:tab w:leader="none" w:pos="2720" w:val="left"/>
        </w:tabs>
        <w:rPr>
          <w:sz w:val="20"/>
          <w:szCs w:val="20"/>
          <w:color w:val="auto"/>
        </w:rPr>
      </w:pPr>
      <w:r>
        <w:rPr>
          <w:rFonts w:ascii="Arial" w:cs="Arial" w:eastAsia="Arial" w:hAnsi="Arial"/>
          <w:sz w:val="18"/>
          <w:szCs w:val="18"/>
          <w:color w:val="auto"/>
        </w:rPr>
        <w:t>(payee)</w:t>
      </w:r>
      <w:r>
        <w:rPr>
          <w:sz w:val="20"/>
          <w:szCs w:val="20"/>
          <w:color w:val="auto"/>
        </w:rPr>
        <w:tab/>
      </w:r>
      <w:r>
        <w:rPr>
          <w:rFonts w:ascii="Arial" w:cs="Arial" w:eastAsia="Arial" w:hAnsi="Arial"/>
          <w:sz w:val="18"/>
          <w:szCs w:val="18"/>
          <w:color w:val="auto"/>
        </w:rPr>
        <w:t>(method of payment)</w:t>
      </w:r>
    </w:p>
    <w:p>
      <w:pPr>
        <w:spacing w:after="0" w:line="216" w:lineRule="exact"/>
        <w:rPr>
          <w:sz w:val="20"/>
          <w:szCs w:val="20"/>
          <w:color w:val="auto"/>
        </w:rPr>
      </w:pPr>
    </w:p>
    <w:p>
      <w:pPr>
        <w:ind w:left="3900" w:right="440"/>
        <w:spacing w:after="0" w:line="263" w:lineRule="auto"/>
        <w:rPr>
          <w:sz w:val="20"/>
          <w:szCs w:val="20"/>
          <w:color w:val="auto"/>
        </w:rPr>
      </w:pPr>
      <w:r>
        <w:rPr>
          <w:rFonts w:ascii="Arial" w:cs="Arial" w:eastAsia="Arial" w:hAnsi="Arial"/>
          <w:sz w:val="22"/>
          <w:szCs w:val="22"/>
          <w:color w:val="auto"/>
        </w:rPr>
        <w:t>PORT OF BEAUMONT NAVIGATION DISTRICT OF JEFFERSON COUNTY, TEXAS</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By executing below Jefferson Railport Terminal II LLC hereby certifies as follows:</w:t>
      </w:r>
    </w:p>
    <w:p>
      <w:pPr>
        <w:spacing w:after="0" w:line="220" w:lineRule="exact"/>
        <w:rPr>
          <w:sz w:val="20"/>
          <w:szCs w:val="20"/>
          <w:color w:val="auto"/>
        </w:rPr>
      </w:pPr>
    </w:p>
    <w:p>
      <w:pPr>
        <w:ind w:left="660" w:right="20" w:firstLine="1293"/>
        <w:spacing w:after="0" w:line="287" w:lineRule="auto"/>
        <w:tabs>
          <w:tab w:leader="none" w:pos="2469"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There has been expended, or is being expended concurrently with the delivery of this certificate for Project Costs an amount at least equal to the amount requisitioned above for disbursement as set forth below;</w:t>
      </w:r>
    </w:p>
    <w:p>
      <w:pPr>
        <w:spacing w:after="0" w:line="151" w:lineRule="exact"/>
        <w:rPr>
          <w:rFonts w:ascii="Arial" w:cs="Arial" w:eastAsia="Arial" w:hAnsi="Arial"/>
          <w:sz w:val="21"/>
          <w:szCs w:val="21"/>
          <w:color w:val="auto"/>
        </w:rPr>
      </w:pPr>
    </w:p>
    <w:p>
      <w:pPr>
        <w:jc w:val="both"/>
        <w:ind w:firstLine="1953"/>
        <w:spacing w:after="0" w:line="249" w:lineRule="auto"/>
        <w:tabs>
          <w:tab w:leader="none" w:pos="268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Such amount being requisitioned, including amounts for capitalized interest, represent capital expenditures (amounts chargeable to capital account) and satisfy the requirements set forth in the Tax Certificate regarding such expenditures;</w:t>
      </w:r>
    </w:p>
    <w:p>
      <w:pPr>
        <w:ind w:left="2480" w:hanging="527"/>
        <w:spacing w:after="0"/>
        <w:tabs>
          <w:tab w:leader="none" w:pos="248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requirements set forth in Exhibit E, Section 1.3 of the Facilities Lease have been satisfied;</w:t>
      </w:r>
    </w:p>
    <w:p>
      <w:pPr>
        <w:spacing w:after="0" w:line="213" w:lineRule="exact"/>
        <w:rPr>
          <w:rFonts w:ascii="Arial" w:cs="Arial" w:eastAsia="Arial" w:hAnsi="Arial"/>
          <w:sz w:val="21"/>
          <w:szCs w:val="21"/>
          <w:color w:val="auto"/>
        </w:rPr>
      </w:pPr>
    </w:p>
    <w:p>
      <w:pPr>
        <w:ind w:left="660" w:firstLine="1293"/>
        <w:spacing w:after="0" w:line="263" w:lineRule="auto"/>
        <w:tabs>
          <w:tab w:leader="none" w:pos="251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No Event of Default under the Indenture has occurred and is continuing, and the disbursement hereby requested complies with the restrictions in the Tax Certificate;</w:t>
      </w:r>
    </w:p>
    <w:p>
      <w:pPr>
        <w:spacing w:after="0" w:line="174" w:lineRule="exact"/>
        <w:rPr>
          <w:rFonts w:ascii="Arial" w:cs="Arial" w:eastAsia="Arial" w:hAnsi="Arial"/>
          <w:sz w:val="22"/>
          <w:szCs w:val="22"/>
          <w:color w:val="auto"/>
        </w:rPr>
      </w:pPr>
    </w:p>
    <w:p>
      <w:pPr>
        <w:ind w:left="660" w:right="20" w:firstLine="1293"/>
        <w:spacing w:after="0" w:line="263" w:lineRule="auto"/>
        <w:tabs>
          <w:tab w:leader="none" w:pos="245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No other Request in respect of the expenditures set forth in clause (i) above is being or has previously been delivered to the Trustee.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JEFFERSON RAILPORT TERMINAL II LLC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960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INVESTOR LETTER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Port of Beaumont Navigation District of Jefferson County, Texas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1225 Main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Beaumont, Texas 77704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Trust Company,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601 Travis Street, Floor 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77002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w:t>
      </w:r>
    </w:p>
    <w:p>
      <w:pPr>
        <w:spacing w:after="0" w:line="207" w:lineRule="auto"/>
        <w:rPr>
          <w:sz w:val="20"/>
          <w:szCs w:val="20"/>
          <w:color w:val="auto"/>
        </w:rPr>
      </w:pPr>
      <w:r>
        <w:rPr>
          <w:rFonts w:ascii="Arial" w:cs="Arial" w:eastAsia="Arial" w:hAnsi="Arial"/>
          <w:sz w:val="22"/>
          <w:szCs w:val="22"/>
          <w:color w:val="auto"/>
        </w:rPr>
        <w:t>100 NE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Avenue, Suite 500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Fort Lauderdale, Florida 33301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One Montgomery Street, 35th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94104</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$144,200,000</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Port of Beaumont Navigation District of Jefferson County, Texas</w:t>
      </w:r>
    </w:p>
    <w:p>
      <w:pPr>
        <w:sectPr>
          <w:pgSz w:w="11900" w:h="16838" w:orient="portrait"/>
          <w:cols w:equalWidth="0" w:num="1">
            <w:col w:w="11420"/>
          </w:cols>
          <w:pgMar w:left="240" w:top="131" w:right="239" w:bottom="0" w:gutter="0" w:footer="0" w:header="0"/>
        </w:sectPr>
      </w:pPr>
    </w:p>
    <w:bookmarkStart w:id="290" w:name="page291"/>
    <w:bookmarkEnd w:id="290"/>
    <w:p>
      <w:pPr>
        <w:ind w:left="1300"/>
        <w:spacing w:after="0"/>
        <w:rPr>
          <w:sz w:val="20"/>
          <w:szCs w:val="20"/>
          <w:color w:val="auto"/>
        </w:rPr>
      </w:pPr>
      <w:r>
        <w:rPr>
          <w:rFonts w:ascii="Arial" w:cs="Arial" w:eastAsia="Arial" w:hAnsi="Arial"/>
          <w:sz w:val="22"/>
          <w:szCs w:val="22"/>
          <w:color w:val="auto"/>
        </w:rPr>
        <w:t>Dock and Wharf Facility Revenue Bonds, Series 2016</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(Jefferson Energy Companies Project)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(the “</w:t>
      </w:r>
      <w:r>
        <w:rPr>
          <w:rFonts w:ascii="Arial" w:cs="Arial" w:eastAsia="Arial" w:hAnsi="Arial"/>
          <w:sz w:val="19"/>
          <w:szCs w:val="19"/>
          <w:u w:val="single" w:color="auto"/>
          <w:color w:val="auto"/>
        </w:rPr>
        <w:t>Purchaser</w:t>
      </w:r>
      <w:r>
        <w:rPr>
          <w:rFonts w:ascii="Arial" w:cs="Arial" w:eastAsia="Arial" w:hAnsi="Arial"/>
          <w:sz w:val="19"/>
          <w:szCs w:val="19"/>
          <w:color w:val="auto"/>
        </w:rPr>
        <w:t>”) hereby acknowledges receipt of $___________ principal amount of the referenced</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bonds (the “</w:t>
      </w:r>
      <w:r>
        <w:rPr>
          <w:rFonts w:ascii="Arial" w:cs="Arial" w:eastAsia="Arial" w:hAnsi="Arial"/>
          <w:sz w:val="19"/>
          <w:szCs w:val="19"/>
          <w:u w:val="single" w:color="auto"/>
          <w:color w:val="auto"/>
        </w:rPr>
        <w:t>Bonds</w:t>
      </w:r>
      <w:r>
        <w:rPr>
          <w:rFonts w:ascii="Arial" w:cs="Arial" w:eastAsia="Arial" w:hAnsi="Arial"/>
          <w:sz w:val="19"/>
          <w:szCs w:val="19"/>
          <w:color w:val="auto"/>
        </w:rPr>
        <w:t>”), issued pursuant to a Trust Indenture and Security Agreement, dated as of February 1, 2016 (the “</w:t>
      </w:r>
      <w:r>
        <w:rPr>
          <w:rFonts w:ascii="Arial" w:cs="Arial" w:eastAsia="Arial" w:hAnsi="Arial"/>
          <w:sz w:val="19"/>
          <w:szCs w:val="19"/>
          <w:u w:val="single" w:color="auto"/>
          <w:color w:val="auto"/>
        </w:rPr>
        <w:t>Indenture</w:t>
      </w:r>
      <w:r>
        <w:rPr>
          <w:rFonts w:ascii="Arial" w:cs="Arial" w:eastAsia="Arial" w:hAnsi="Arial"/>
          <w:sz w:val="19"/>
          <w:szCs w:val="19"/>
          <w:color w:val="auto"/>
        </w:rPr>
        <w:t>”), between the Port of Beaumont Navigation District of Jefferson County, Texas, a conservation and reclamation district (the “</w:t>
      </w:r>
      <w:r>
        <w:rPr>
          <w:rFonts w:ascii="Arial" w:cs="Arial" w:eastAsia="Arial" w:hAnsi="Arial"/>
          <w:sz w:val="19"/>
          <w:szCs w:val="19"/>
          <w:u w:val="single" w:color="auto"/>
          <w:color w:val="auto"/>
        </w:rPr>
        <w:t>District</w:t>
      </w:r>
      <w:r>
        <w:rPr>
          <w:rFonts w:ascii="Arial" w:cs="Arial" w:eastAsia="Arial" w:hAnsi="Arial"/>
          <w:sz w:val="19"/>
          <w:szCs w:val="19"/>
          <w:color w:val="auto"/>
        </w:rPr>
        <w:t>”), and The Bank of New York Mellon Trust Company, National Association, a national banking association,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Capitalized terms not otherwise defined herein shall have the meanings ascribed thereto in the Indenture.</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undersigned acknowledges that the Bonds were delivered for the purpose of (i) paying for the development, construction and acquisition of certain facilities for the transport, loading, unloading and storage of petroleum products on behalf of the District, and paying costs incurred in connection therewith; (ii) funding capitalized interest with respect to the Bonds; and (iii) paying certain costs of issuance (together, the “</w:t>
      </w:r>
      <w:r>
        <w:rPr>
          <w:rFonts w:ascii="Arial" w:cs="Arial" w:eastAsia="Arial" w:hAnsi="Arial"/>
          <w:sz w:val="22"/>
          <w:szCs w:val="22"/>
          <w:u w:val="single" w:color="auto"/>
          <w:color w:val="auto"/>
        </w:rPr>
        <w:t>Project</w:t>
      </w:r>
      <w:r>
        <w:rPr>
          <w:rFonts w:ascii="Arial" w:cs="Arial" w:eastAsia="Arial" w:hAnsi="Arial"/>
          <w:sz w:val="22"/>
          <w:szCs w:val="22"/>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undersigned further acknowledges that the District and Jefferson Railport Terminal II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(i) have entered into that certain First Amended and Restated Agreement and Lease, dated as of February 1, 2016 (the “</w:t>
      </w:r>
      <w:r>
        <w:rPr>
          <w:rFonts w:ascii="Arial" w:cs="Arial" w:eastAsia="Arial" w:hAnsi="Arial"/>
          <w:sz w:val="21"/>
          <w:szCs w:val="21"/>
          <w:u w:val="single" w:color="auto"/>
          <w:color w:val="auto"/>
        </w:rPr>
        <w:t>Ground Lease</w:t>
      </w:r>
      <w:r>
        <w:rPr>
          <w:rFonts w:ascii="Arial" w:cs="Arial" w:eastAsia="Arial" w:hAnsi="Arial"/>
          <w:sz w:val="21"/>
          <w:szCs w:val="21"/>
          <w:color w:val="auto"/>
        </w:rPr>
        <w:t>”), pursuant to which, inter alia, the Company has constructed certain improvements, consisting of facilities for the transport, loading, unloading and storage of petroleum products; and (ii) are to enter into that certain Lease and Development Agreement (Facilities Lease), dated as of February 1, 2016 (the “</w:t>
      </w:r>
      <w:r>
        <w:rPr>
          <w:rFonts w:ascii="Arial" w:cs="Arial" w:eastAsia="Arial" w:hAnsi="Arial"/>
          <w:sz w:val="21"/>
          <w:szCs w:val="21"/>
          <w:u w:val="single" w:color="auto"/>
          <w:color w:val="auto"/>
        </w:rPr>
        <w:t>Facilities Lease</w:t>
      </w:r>
      <w:r>
        <w:rPr>
          <w:rFonts w:ascii="Arial" w:cs="Arial" w:eastAsia="Arial" w:hAnsi="Arial"/>
          <w:sz w:val="21"/>
          <w:szCs w:val="21"/>
          <w:color w:val="auto"/>
        </w:rPr>
        <w:t>”), pursuant to which, inter alia, the Company will construct additional improvements on behalf of the District (together with certain improvements constructed under the Ground Lease, the “</w:t>
      </w:r>
      <w:r>
        <w:rPr>
          <w:rFonts w:ascii="Arial" w:cs="Arial" w:eastAsia="Arial" w:hAnsi="Arial"/>
          <w:sz w:val="21"/>
          <w:szCs w:val="21"/>
          <w:u w:val="single" w:color="auto"/>
          <w:color w:val="auto"/>
        </w:rPr>
        <w:t>Facilities</w:t>
      </w:r>
      <w:r>
        <w:rPr>
          <w:rFonts w:ascii="Arial" w:cs="Arial" w:eastAsia="Arial" w:hAnsi="Arial"/>
          <w:sz w:val="21"/>
          <w:szCs w:val="21"/>
          <w:color w:val="auto"/>
        </w:rPr>
        <w:t>”).</w:t>
      </w: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undersigned further acknowledges that (i) the Bonds will initially be issued as fixed rate bonds bearing interest at the Initial Rate and will be subject to mandatory tender for purchase on February 13, 2020 (the “</w:t>
      </w:r>
      <w:r>
        <w:rPr>
          <w:rFonts w:ascii="Arial" w:cs="Arial" w:eastAsia="Arial" w:hAnsi="Arial"/>
          <w:sz w:val="19"/>
          <w:szCs w:val="19"/>
          <w:u w:val="single" w:color="auto"/>
          <w:color w:val="auto"/>
        </w:rPr>
        <w:t>First Initial Bonds Remarketing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(ii) the District, the Company, Jefferson Railport Terminal II Holdings LLC, a Delaware limited liability company and the parent company of the Company (“</w:t>
      </w:r>
      <w:r>
        <w:rPr>
          <w:rFonts w:ascii="Arial" w:cs="Arial" w:eastAsia="Arial" w:hAnsi="Arial"/>
          <w:sz w:val="19"/>
          <w:szCs w:val="19"/>
          <w:u w:val="single" w:color="auto"/>
          <w:color w:val="auto"/>
        </w:rPr>
        <w:t>Jefferson Holdings</w:t>
      </w:r>
      <w:r>
        <w:rPr>
          <w:rFonts w:ascii="Arial" w:cs="Arial" w:eastAsia="Arial" w:hAnsi="Arial"/>
          <w:sz w:val="19"/>
          <w:szCs w:val="19"/>
          <w:color w:val="auto"/>
        </w:rPr>
        <w:t>”), and the Trustee are to enter into that certain Standby Bond Purchase Agreement, dated as of February 1, 2016 (the “</w:t>
      </w:r>
      <w:r>
        <w:rPr>
          <w:rFonts w:ascii="Arial" w:cs="Arial" w:eastAsia="Arial" w:hAnsi="Arial"/>
          <w:sz w:val="19"/>
          <w:szCs w:val="19"/>
          <w:u w:val="single" w:color="auto"/>
          <w:color w:val="auto"/>
        </w:rPr>
        <w:t>Standby Bond Purchase Agreement</w:t>
      </w:r>
      <w:r>
        <w:rPr>
          <w:rFonts w:ascii="Arial" w:cs="Arial" w:eastAsia="Arial" w:hAnsi="Arial"/>
          <w:sz w:val="19"/>
          <w:szCs w:val="19"/>
          <w:color w:val="auto"/>
        </w:rPr>
        <w:t>”), pursuant to which, in the event any of the Bonds have not been repurchased from proceeds of a remarketing or redeemed, or defeased to a date, on or prior to the First Initial Bonds Remarketing Date, Jefferson Holdings and the Company shall be obligated to purchase the Bonds on the First Initial Bonds Remarketing Date at the Purchase Price for Initial Bonds equal to the principal amount thereof and unpaid accrued interest (the “</w:t>
      </w:r>
      <w:r>
        <w:rPr>
          <w:rFonts w:ascii="Arial" w:cs="Arial" w:eastAsia="Arial" w:hAnsi="Arial"/>
          <w:sz w:val="19"/>
          <w:szCs w:val="19"/>
          <w:u w:val="single" w:color="auto"/>
          <w:color w:val="auto"/>
        </w:rPr>
        <w:t>Purchase Price</w:t>
      </w:r>
      <w:r>
        <w:rPr>
          <w:rFonts w:ascii="Arial" w:cs="Arial" w:eastAsia="Arial" w:hAnsi="Arial"/>
          <w:sz w:val="19"/>
          <w:szCs w:val="19"/>
          <w:color w:val="auto"/>
        </w:rPr>
        <w:t>”). In addition, the undersigned acknowledges that, pursuant to the Standby Bond Purchase Agreement, Jefferson Holdings is to guarantee the payment of all Rent (as defined in the Indenture) and all principal of and premium (if any) and interest on the Bonds payable prior to repurchase of the Bonds from proceeds of a remarketing or redemption of the Bonds or defeasance of the Bonds to a date, in each case, on or prior to the First Initial Bonds Remarketing Date.</w:t>
      </w:r>
    </w:p>
    <w:p>
      <w:pPr>
        <w:spacing w:after="0" w:line="20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undersigned further acknowledges that Fortress Transportation and Infrastructure Investors LLC, a Delaware limited liability company (“</w:t>
      </w:r>
      <w:r>
        <w:rPr>
          <w:rFonts w:ascii="Arial" w:cs="Arial" w:eastAsia="Arial" w:hAnsi="Arial"/>
          <w:sz w:val="19"/>
          <w:szCs w:val="19"/>
          <w:u w:val="single" w:color="auto"/>
          <w:color w:val="auto"/>
        </w:rPr>
        <w:t>FTAI</w:t>
      </w:r>
      <w:r>
        <w:rPr>
          <w:rFonts w:ascii="Arial" w:cs="Arial" w:eastAsia="Arial" w:hAnsi="Arial"/>
          <w:sz w:val="19"/>
          <w:szCs w:val="19"/>
          <w:color w:val="auto"/>
        </w:rPr>
        <w:t>”), certain of FTAI’s subsidiaries and Jefferson Holdings are to enter into that certain Capital Call Agreement, dated as of February 1, 2016 (the “</w:t>
      </w:r>
      <w:r>
        <w:rPr>
          <w:rFonts w:ascii="Arial" w:cs="Arial" w:eastAsia="Arial" w:hAnsi="Arial"/>
          <w:sz w:val="19"/>
          <w:szCs w:val="19"/>
          <w:u w:val="single" w:color="auto"/>
          <w:color w:val="auto"/>
        </w:rPr>
        <w:t>Capital Call Agreement</w:t>
      </w:r>
      <w:r>
        <w:rPr>
          <w:rFonts w:ascii="Arial" w:cs="Arial" w:eastAsia="Arial" w:hAnsi="Arial"/>
          <w:sz w:val="19"/>
          <w:szCs w:val="19"/>
          <w:color w:val="auto"/>
        </w:rPr>
        <w:t>”), pursuant to which FTAI or such subsidiaries will provide funds to Jefferson Holdings to permit Jefferson Holdings to satisfy its obligations under the Standby Bond Purchase Agreement.</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connection with the sale of the Bonds to the Purchaser, the Purchaser hereby makes the following representations upon which you may rely:</w:t>
      </w:r>
    </w:p>
    <w:p>
      <w:pPr>
        <w:spacing w:after="0" w:line="215" w:lineRule="exact"/>
        <w:rPr>
          <w:sz w:val="20"/>
          <w:szCs w:val="20"/>
          <w:color w:val="auto"/>
        </w:rPr>
      </w:pPr>
    </w:p>
    <w:p>
      <w:pPr>
        <w:ind w:left="660" w:hanging="328"/>
        <w:spacing w:after="0" w:line="343" w:lineRule="auto"/>
        <w:tabs>
          <w:tab w:leader="none" w:pos="6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Purchaser has authority and is duly authorized to purchase the Bonds and to execute this letter and any other instruments and documents required to be executed by the Purchaser in connection with the purchase of the Bonds.</w:t>
      </w:r>
    </w:p>
    <w:p>
      <w:pPr>
        <w:spacing w:after="0" w:line="145" w:lineRule="exact"/>
        <w:rPr>
          <w:rFonts w:ascii="Arial" w:cs="Arial" w:eastAsia="Arial" w:hAnsi="Arial"/>
          <w:sz w:val="19"/>
          <w:szCs w:val="19"/>
          <w:color w:val="auto"/>
        </w:rPr>
      </w:pPr>
    </w:p>
    <w:p>
      <w:pPr>
        <w:jc w:val="both"/>
        <w:ind w:left="660" w:hanging="328"/>
        <w:spacing w:after="0" w:line="271" w:lineRule="auto"/>
        <w:tabs>
          <w:tab w:leader="none" w:pos="6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The Purchaser is (i) a “Qualified Institutional Buyer” (a “</w:t>
      </w:r>
      <w:r>
        <w:rPr>
          <w:rFonts w:ascii="Arial" w:cs="Arial" w:eastAsia="Arial" w:hAnsi="Arial"/>
          <w:sz w:val="21"/>
          <w:szCs w:val="21"/>
          <w:u w:val="single" w:color="auto"/>
          <w:color w:val="auto"/>
        </w:rPr>
        <w:t>QIB</w:t>
      </w:r>
      <w:r>
        <w:rPr>
          <w:rFonts w:ascii="Arial" w:cs="Arial" w:eastAsia="Arial" w:hAnsi="Arial"/>
          <w:sz w:val="21"/>
          <w:szCs w:val="21"/>
          <w:color w:val="auto"/>
        </w:rPr>
        <w:t>”) within the meaning of Rule 144A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(ii) not a “substantial user” of the Facilities, or a “related person,” within the meaning of Section 147(a) of the Internal Revenue Code of 1986, as amended (a “</w:t>
      </w:r>
      <w:r>
        <w:rPr>
          <w:rFonts w:ascii="Arial" w:cs="Arial" w:eastAsia="Arial" w:hAnsi="Arial"/>
          <w:sz w:val="21"/>
          <w:szCs w:val="21"/>
          <w:u w:val="single" w:color="auto"/>
          <w:color w:val="auto"/>
        </w:rPr>
        <w:t>Substantial User</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Purchaser understands that beneficial ownership interests in the Bonds may be sold or transferred only to (i) a QIB and (ii) prior to the First Initial Bonds Remarketing Date, purchasers who are not a Substantial User.</w:t>
      </w:r>
    </w:p>
    <w:p>
      <w:pPr>
        <w:spacing w:after="0" w:line="215" w:lineRule="exact"/>
        <w:rPr>
          <w:rFonts w:ascii="Arial" w:cs="Arial" w:eastAsia="Arial" w:hAnsi="Arial"/>
          <w:sz w:val="22"/>
          <w:szCs w:val="22"/>
          <w:color w:val="auto"/>
        </w:rPr>
      </w:pPr>
    </w:p>
    <w:p>
      <w:pPr>
        <w:jc w:val="both"/>
        <w:ind w:left="660" w:hanging="328"/>
        <w:spacing w:after="0" w:line="260" w:lineRule="auto"/>
        <w:tabs>
          <w:tab w:leader="none" w:pos="6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The Purchaser acknowledges that it has either been supplied with or been given access to information, including financial statements and other financial information, to which a reasonable investor would attach significance in making investment decisions, and that the Purchaser has had the opportunity to ask questions and receive answers from knowledgeable individuals concerning the District, the Company, Jefferson Holdings, FTAI, the Facilities and the Bonds and the security therefor so that, as a reasonable investor, the Purchaser has been able to make its decision to purchase the Bonds. The Purchaser has received and relied upon a copy of the Limited Offering Memorandum dated February __, 2016, relating to the Bonds (the “</w:t>
      </w:r>
      <w:r>
        <w:rPr>
          <w:rFonts w:ascii="Arial" w:cs="Arial" w:eastAsia="Arial" w:hAnsi="Arial"/>
          <w:sz w:val="21"/>
          <w:szCs w:val="21"/>
          <w:u w:val="single" w:color="auto"/>
          <w:color w:val="auto"/>
        </w:rPr>
        <w:t>Limited Offering Memorandum</w:t>
      </w:r>
      <w:r>
        <w:rPr>
          <w:rFonts w:ascii="Arial" w:cs="Arial" w:eastAsia="Arial" w:hAnsi="Arial"/>
          <w:sz w:val="21"/>
          <w:szCs w:val="21"/>
          <w:color w:val="auto"/>
        </w:rPr>
        <w:t>”).</w:t>
      </w:r>
    </w:p>
    <w:p>
      <w:pPr>
        <w:spacing w:after="0" w:line="221" w:lineRule="exact"/>
        <w:rPr>
          <w:rFonts w:ascii="Arial" w:cs="Arial" w:eastAsia="Arial" w:hAnsi="Arial"/>
          <w:sz w:val="21"/>
          <w:szCs w:val="21"/>
          <w:color w:val="auto"/>
        </w:rPr>
      </w:pPr>
    </w:p>
    <w:p>
      <w:pPr>
        <w:ind w:left="660" w:hanging="328"/>
        <w:spacing w:after="0"/>
        <w:tabs>
          <w:tab w:leader="none" w:pos="6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Purchaser has made its own inquiry and analysis with respect to the Bonds and the security therefor, and other material</w:t>
      </w:r>
    </w:p>
    <w:p>
      <w:pPr>
        <w:sectPr>
          <w:pgSz w:w="11900" w:h="16838" w:orient="portrait"/>
          <w:cols w:equalWidth="0" w:num="1">
            <w:col w:w="11420"/>
          </w:cols>
          <w:pgMar w:left="240" w:top="132" w:right="239" w:bottom="0" w:gutter="0" w:footer="0" w:header="0"/>
        </w:sectPr>
      </w:pPr>
    </w:p>
    <w:bookmarkStart w:id="291" w:name="page292"/>
    <w:bookmarkEnd w:id="291"/>
    <w:p>
      <w:pPr>
        <w:jc w:val="both"/>
        <w:ind w:left="660"/>
        <w:spacing w:after="0" w:line="297" w:lineRule="auto"/>
        <w:rPr>
          <w:sz w:val="20"/>
          <w:szCs w:val="20"/>
          <w:color w:val="auto"/>
        </w:rPr>
      </w:pPr>
      <w:r>
        <w:rPr>
          <w:rFonts w:ascii="Arial" w:cs="Arial" w:eastAsia="Arial" w:hAnsi="Arial"/>
          <w:sz w:val="19"/>
          <w:szCs w:val="19"/>
          <w:color w:val="auto"/>
        </w:rPr>
        <w:t>factors affecting the security for and payment of the Bonds. The Purchaser is aware that the businesses of the Company, Jefferson Holdings and FTAI involve certain economic and regulatory variables and risks that could adversely affect the security for the Bonds, and the Purchaser represents and warrants that (i) it is sufficiently knowledgeable and experienced in financial and business matters to be able to evaluate the risks and merits of the investment represented by the purchase of the Bonds, and (ii) it is not purchasing Bonds for more than one account or with a view to distributing the Bonds.</w:t>
      </w:r>
    </w:p>
    <w:p>
      <w:pPr>
        <w:spacing w:after="0" w:line="188" w:lineRule="exact"/>
        <w:rPr>
          <w:sz w:val="20"/>
          <w:szCs w:val="20"/>
          <w:color w:val="auto"/>
        </w:rPr>
      </w:pPr>
    </w:p>
    <w:p>
      <w:pPr>
        <w:jc w:val="both"/>
        <w:ind w:left="660" w:hanging="328"/>
        <w:spacing w:after="0" w:line="250" w:lineRule="auto"/>
        <w:tabs>
          <w:tab w:leader="none" w:pos="66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Purchaser understands that the Bonds are not registered under the Securities Act and that such registration is not legally required; and further understands that the Bonds (a) are not being registered or otherwise qualified for sale under the “Blue Sky” laws and regulations of any state, (b) will not be listed in any stock or other securities exchange and (c) will be delivered in a form which may not be readily marketable.</w:t>
      </w:r>
    </w:p>
    <w:p>
      <w:pPr>
        <w:spacing w:after="0" w:line="228" w:lineRule="exact"/>
        <w:rPr>
          <w:rFonts w:ascii="Arial" w:cs="Arial" w:eastAsia="Arial" w:hAnsi="Arial"/>
          <w:sz w:val="22"/>
          <w:szCs w:val="22"/>
          <w:color w:val="auto"/>
        </w:rPr>
      </w:pPr>
    </w:p>
    <w:p>
      <w:pPr>
        <w:jc w:val="both"/>
        <w:ind w:left="660" w:hanging="328"/>
        <w:spacing w:after="0" w:line="287" w:lineRule="auto"/>
        <w:tabs>
          <w:tab w:leader="none" w:pos="6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Purchaser understands that (i) Bonds and interest thereon are special limited obligations of the District, payable solely from and secured by a pledge of the Trust Estate, including the Pledged Revenues, as provided for in the Indenture; (ii) the District shall be under no obligation to pay any portion of the Purchase Price of Bonds subject to tender on the First Initial Bonds Remarketing Date, other than from funds provided from a successful remarketing of the Bonds or funds provided under the Standby Bond Purchase Agreement; (iii) the Bonds shall not constitute a general obligation indebtedness of the District or of the State or any political subdivision thereof, within the meaning of any State constitutional provision or statutory limitation, and shall not constitute a pledge of the full faith and credit of the District, its members, the State or any political subdivision thereof; (iv) the issuance of the Bonds shall not directly, indirectly or contingently obligate the State or any political subdivision thereof, including the District, to levy or to pledge any form of taxation whatever therefor or to make any appropriation for their payment; and (v) revenues securing the District’s other outstanding revenue bonds or general obligation bonds will not be pledged and should not be anticipated to be available for payment of principal of, or premium or interest on, or the Purchase Price of the Bonds.</w:t>
      </w:r>
    </w:p>
    <w:p>
      <w:pPr>
        <w:spacing w:after="0" w:line="200" w:lineRule="exact"/>
        <w:rPr>
          <w:rFonts w:ascii="Arial" w:cs="Arial" w:eastAsia="Arial" w:hAnsi="Arial"/>
          <w:sz w:val="19"/>
          <w:szCs w:val="19"/>
          <w:color w:val="auto"/>
        </w:rPr>
      </w:pPr>
    </w:p>
    <w:p>
      <w:pPr>
        <w:jc w:val="both"/>
        <w:ind w:left="660" w:hanging="328"/>
        <w:spacing w:after="0" w:line="248" w:lineRule="auto"/>
        <w:tabs>
          <w:tab w:leader="none" w:pos="66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Purchaser agrees that the Purchaser is bound by and will abide by the provisions of the Indenture regarding transfer restrictions, the transfer restrictions noted on the face of the Bonds and this Investor Letter. The Purchaser will comply with all applicable federal and state securities laws, rules and regulations in connection with any resale or transfer of the Bonds by the Purchaser. The Purchaser acknowledges that any purported transfer of Bonds in violation of the transfer restrictions in the Indenture shall be null and void.</w:t>
      </w:r>
    </w:p>
    <w:p>
      <w:pPr>
        <w:spacing w:after="0" w:line="232"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interpretation of the provisions hereof shall be governed and construed in accordance with Texas law without regard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set my hand on __________, 20__.</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[PURCHASER]</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By:_________________________</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______________________</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WITHDRAWALS FROM INTEREST ACCOUNT OF DEBT SERVICE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22"/>
                <w:szCs w:val="22"/>
                <w:b w:val="1"/>
                <w:bCs w:val="1"/>
                <w:color w:val="auto"/>
                <w:w w:val="92"/>
              </w:rPr>
              <w:t>Amount Withdrawn from</w:t>
            </w:r>
          </w:p>
        </w:tc>
        <w:tc>
          <w:tcPr>
            <w:tcW w:w="2860" w:type="dxa"/>
            <w:vAlign w:val="bottom"/>
          </w:tcPr>
          <w:p>
            <w:pPr>
              <w:jc w:val="center"/>
              <w:spacing w:after="0"/>
              <w:rPr>
                <w:sz w:val="20"/>
                <w:szCs w:val="20"/>
                <w:color w:val="auto"/>
              </w:rPr>
            </w:pPr>
            <w:r>
              <w:rPr>
                <w:rFonts w:ascii="Arial" w:cs="Arial" w:eastAsia="Arial" w:hAnsi="Arial"/>
                <w:sz w:val="22"/>
                <w:szCs w:val="22"/>
                <w:b w:val="1"/>
                <w:bCs w:val="1"/>
                <w:color w:val="auto"/>
                <w:w w:val="92"/>
              </w:rPr>
              <w:t>Amount Withdrawn from</w:t>
            </w:r>
          </w:p>
        </w:tc>
        <w:tc>
          <w:tcPr>
            <w:tcW w:w="2800" w:type="dxa"/>
            <w:vAlign w:val="bottom"/>
          </w:tcPr>
          <w:p>
            <w:pPr>
              <w:spacing w:after="0"/>
              <w:rPr>
                <w:sz w:val="21"/>
                <w:szCs w:val="21"/>
                <w:color w:val="auto"/>
              </w:rPr>
            </w:pPr>
          </w:p>
        </w:tc>
      </w:tr>
      <w:tr>
        <w:trPr>
          <w:trHeight w:val="243"/>
        </w:trPr>
        <w:tc>
          <w:tcPr>
            <w:tcW w:w="28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Date of Interest Payment</w:t>
            </w:r>
          </w:p>
        </w:tc>
        <w:tc>
          <w:tcPr>
            <w:tcW w:w="29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Bond Proceeds Subaccount</w:t>
            </w:r>
          </w:p>
        </w:tc>
        <w:tc>
          <w:tcPr>
            <w:tcW w:w="28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Prepaid Rent Subaccount</w:t>
            </w:r>
          </w:p>
        </w:tc>
        <w:tc>
          <w:tcPr>
            <w:tcW w:w="28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Total Interest Paid from</w:t>
            </w:r>
          </w:p>
        </w:tc>
      </w:tr>
      <w:tr>
        <w:trPr>
          <w:trHeight w:val="291"/>
        </w:trPr>
        <w:tc>
          <w:tcPr>
            <w:tcW w:w="2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3"/>
              </w:rPr>
              <w:t>Subaccounts</w:t>
            </w:r>
          </w:p>
        </w:tc>
      </w:tr>
      <w:tr>
        <w:trPr>
          <w:trHeight w:val="280"/>
        </w:trPr>
        <w:tc>
          <w:tcPr>
            <w:tcW w:w="2820" w:type="dxa"/>
            <w:vAlign w:val="bottom"/>
          </w:tcPr>
          <w:p>
            <w:pPr>
              <w:jc w:val="right"/>
              <w:ind w:right="892"/>
              <w:spacing w:after="0"/>
              <w:rPr>
                <w:sz w:val="20"/>
                <w:szCs w:val="20"/>
                <w:color w:val="auto"/>
              </w:rPr>
            </w:pPr>
            <w:r>
              <w:rPr>
                <w:rFonts w:ascii="Arial" w:cs="Arial" w:eastAsia="Arial" w:hAnsi="Arial"/>
                <w:sz w:val="22"/>
                <w:szCs w:val="22"/>
                <w:color w:val="auto"/>
              </w:rPr>
              <w:t>8/1/2016</w:t>
            </w:r>
          </w:p>
        </w:tc>
        <w:tc>
          <w:tcPr>
            <w:tcW w:w="2940" w:type="dxa"/>
            <w:vAlign w:val="bottom"/>
          </w:tcPr>
          <w:p>
            <w:pPr>
              <w:jc w:val="center"/>
              <w:spacing w:after="0"/>
              <w:rPr>
                <w:sz w:val="20"/>
                <w:szCs w:val="20"/>
                <w:color w:val="auto"/>
              </w:rPr>
            </w:pPr>
            <w:r>
              <w:rPr>
                <w:rFonts w:ascii="Arial" w:cs="Arial" w:eastAsia="Arial" w:hAnsi="Arial"/>
                <w:sz w:val="22"/>
                <w:szCs w:val="22"/>
                <w:color w:val="auto"/>
                <w:w w:val="88"/>
              </w:rPr>
              <w:t>$987,291.13</w:t>
            </w:r>
          </w:p>
        </w:tc>
        <w:tc>
          <w:tcPr>
            <w:tcW w:w="2860" w:type="dxa"/>
            <w:vAlign w:val="bottom"/>
          </w:tcPr>
          <w:p>
            <w:pPr>
              <w:jc w:val="center"/>
              <w:spacing w:after="0"/>
              <w:rPr>
                <w:sz w:val="20"/>
                <w:szCs w:val="20"/>
                <w:color w:val="auto"/>
              </w:rPr>
            </w:pPr>
            <w:r>
              <w:rPr>
                <w:rFonts w:ascii="Arial" w:cs="Arial" w:eastAsia="Arial" w:hAnsi="Arial"/>
                <w:sz w:val="22"/>
                <w:szCs w:val="22"/>
                <w:color w:val="auto"/>
                <w:w w:val="88"/>
              </w:rPr>
              <w:t>3,194,308.87</w:t>
            </w:r>
          </w:p>
        </w:tc>
        <w:tc>
          <w:tcPr>
            <w:tcW w:w="2800" w:type="dxa"/>
            <w:vAlign w:val="bottom"/>
          </w:tcPr>
          <w:p>
            <w:pPr>
              <w:jc w:val="center"/>
              <w:spacing w:after="0"/>
              <w:rPr>
                <w:sz w:val="20"/>
                <w:szCs w:val="20"/>
                <w:color w:val="auto"/>
              </w:rPr>
            </w:pPr>
            <w:r>
              <w:rPr>
                <w:rFonts w:ascii="Arial" w:cs="Arial" w:eastAsia="Arial" w:hAnsi="Arial"/>
                <w:sz w:val="22"/>
                <w:szCs w:val="22"/>
                <w:color w:val="auto"/>
                <w:w w:val="88"/>
              </w:rPr>
              <w:t>$4,181,600.00</w:t>
            </w:r>
          </w:p>
        </w:tc>
      </w:tr>
    </w:tbl>
    <w:p>
      <w:pPr>
        <w:sectPr>
          <w:pgSz w:w="11900" w:h="16838" w:orient="portrait"/>
          <w:cols w:equalWidth="0" w:num="1">
            <w:col w:w="11420"/>
          </w:cols>
          <w:pgMar w:left="240" w:top="132" w:right="239" w:bottom="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20" w:type="dxa"/>
            <w:vAlign w:val="bottom"/>
          </w:tcPr>
          <w:p>
            <w:pPr>
              <w:jc w:val="center"/>
              <w:ind w:right="1752"/>
              <w:spacing w:after="0"/>
              <w:rPr>
                <w:sz w:val="20"/>
                <w:szCs w:val="20"/>
                <w:color w:val="auto"/>
              </w:rPr>
            </w:pPr>
            <w:r>
              <w:rPr>
                <w:rFonts w:ascii="Arial" w:cs="Arial" w:eastAsia="Arial" w:hAnsi="Arial"/>
                <w:sz w:val="22"/>
                <w:szCs w:val="22"/>
                <w:color w:val="auto"/>
                <w:w w:val="88"/>
              </w:rPr>
              <w:t>2/1/2017</w:t>
            </w:r>
          </w:p>
        </w:tc>
        <w:tc>
          <w:tcPr>
            <w:tcW w:w="1240" w:type="dxa"/>
            <w:vAlign w:val="bottom"/>
          </w:tcPr>
          <w:p>
            <w:pPr>
              <w:jc w:val="center"/>
              <w:spacing w:after="0"/>
              <w:rPr>
                <w:sz w:val="20"/>
                <w:szCs w:val="20"/>
                <w:color w:val="auto"/>
              </w:rPr>
            </w:pPr>
            <w:r>
              <w:rPr>
                <w:rFonts w:ascii="Arial" w:cs="Arial" w:eastAsia="Arial" w:hAnsi="Arial"/>
                <w:sz w:val="22"/>
                <w:szCs w:val="22"/>
                <w:color w:val="auto"/>
                <w:w w:val="88"/>
              </w:rPr>
              <w:t>1,234,172.93</w:t>
            </w:r>
          </w:p>
        </w:tc>
        <w:tc>
          <w:tcPr>
            <w:tcW w:w="2900" w:type="dxa"/>
            <w:vAlign w:val="bottom"/>
            <w:gridSpan w:val="2"/>
          </w:tcPr>
          <w:p>
            <w:pPr>
              <w:jc w:val="center"/>
              <w:ind w:left="1452"/>
              <w:spacing w:after="0"/>
              <w:rPr>
                <w:sz w:val="20"/>
                <w:szCs w:val="20"/>
                <w:color w:val="auto"/>
              </w:rPr>
            </w:pPr>
            <w:r>
              <w:rPr>
                <w:rFonts w:ascii="Arial" w:cs="Arial" w:eastAsia="Arial" w:hAnsi="Arial"/>
                <w:sz w:val="22"/>
                <w:szCs w:val="22"/>
                <w:color w:val="auto"/>
                <w:w w:val="88"/>
              </w:rPr>
              <w:t>3,993,077.07</w:t>
            </w:r>
          </w:p>
        </w:tc>
        <w:tc>
          <w:tcPr>
            <w:tcW w:w="2860" w:type="dxa"/>
            <w:vAlign w:val="bottom"/>
            <w:gridSpan w:val="2"/>
          </w:tcPr>
          <w:p>
            <w:pPr>
              <w:jc w:val="center"/>
              <w:ind w:left="1372"/>
              <w:spacing w:after="0"/>
              <w:rPr>
                <w:sz w:val="20"/>
                <w:szCs w:val="20"/>
                <w:color w:val="auto"/>
              </w:rPr>
            </w:pPr>
            <w:r>
              <w:rPr>
                <w:rFonts w:ascii="Arial" w:cs="Arial" w:eastAsia="Arial" w:hAnsi="Arial"/>
                <w:sz w:val="22"/>
                <w:szCs w:val="22"/>
                <w:color w:val="auto"/>
                <w:w w:val="88"/>
              </w:rPr>
              <w:t>5,227,250.00</w:t>
            </w:r>
          </w:p>
        </w:tc>
      </w:tr>
      <w:tr>
        <w:trPr>
          <w:trHeight w:val="297"/>
        </w:trPr>
        <w:tc>
          <w:tcPr>
            <w:tcW w:w="2620" w:type="dxa"/>
            <w:vAlign w:val="bottom"/>
          </w:tcPr>
          <w:p>
            <w:pPr>
              <w:jc w:val="center"/>
              <w:ind w:right="1752"/>
              <w:spacing w:after="0"/>
              <w:rPr>
                <w:sz w:val="20"/>
                <w:szCs w:val="20"/>
                <w:color w:val="auto"/>
              </w:rPr>
            </w:pPr>
            <w:r>
              <w:rPr>
                <w:rFonts w:ascii="Arial" w:cs="Arial" w:eastAsia="Arial" w:hAnsi="Arial"/>
                <w:sz w:val="22"/>
                <w:szCs w:val="22"/>
                <w:color w:val="auto"/>
                <w:w w:val="88"/>
              </w:rPr>
              <w:t>8/1/2017</w:t>
            </w:r>
          </w:p>
        </w:tc>
        <w:tc>
          <w:tcPr>
            <w:tcW w:w="1240" w:type="dxa"/>
            <w:vAlign w:val="bottom"/>
          </w:tcPr>
          <w:p>
            <w:pPr>
              <w:jc w:val="center"/>
              <w:spacing w:after="0"/>
              <w:rPr>
                <w:sz w:val="20"/>
                <w:szCs w:val="20"/>
                <w:color w:val="auto"/>
              </w:rPr>
            </w:pPr>
            <w:r>
              <w:rPr>
                <w:rFonts w:ascii="Arial" w:cs="Arial" w:eastAsia="Arial" w:hAnsi="Arial"/>
                <w:sz w:val="22"/>
                <w:szCs w:val="22"/>
                <w:color w:val="auto"/>
                <w:w w:val="88"/>
              </w:rPr>
              <w:t>1,234,172.93</w:t>
            </w:r>
          </w:p>
        </w:tc>
        <w:tc>
          <w:tcPr>
            <w:tcW w:w="2900" w:type="dxa"/>
            <w:vAlign w:val="bottom"/>
            <w:gridSpan w:val="2"/>
          </w:tcPr>
          <w:p>
            <w:pPr>
              <w:jc w:val="center"/>
              <w:ind w:left="1452"/>
              <w:spacing w:after="0"/>
              <w:rPr>
                <w:sz w:val="20"/>
                <w:szCs w:val="20"/>
                <w:color w:val="auto"/>
              </w:rPr>
            </w:pPr>
            <w:r>
              <w:rPr>
                <w:rFonts w:ascii="Arial" w:cs="Arial" w:eastAsia="Arial" w:hAnsi="Arial"/>
                <w:sz w:val="22"/>
                <w:szCs w:val="22"/>
                <w:color w:val="auto"/>
                <w:w w:val="88"/>
              </w:rPr>
              <w:t>3,993,077.07</w:t>
            </w:r>
          </w:p>
        </w:tc>
        <w:tc>
          <w:tcPr>
            <w:tcW w:w="2860" w:type="dxa"/>
            <w:vAlign w:val="bottom"/>
            <w:gridSpan w:val="2"/>
          </w:tcPr>
          <w:p>
            <w:pPr>
              <w:jc w:val="center"/>
              <w:ind w:left="1372"/>
              <w:spacing w:after="0"/>
              <w:rPr>
                <w:sz w:val="20"/>
                <w:szCs w:val="20"/>
                <w:color w:val="auto"/>
              </w:rPr>
            </w:pPr>
            <w:r>
              <w:rPr>
                <w:rFonts w:ascii="Arial" w:cs="Arial" w:eastAsia="Arial" w:hAnsi="Arial"/>
                <w:sz w:val="22"/>
                <w:szCs w:val="22"/>
                <w:color w:val="auto"/>
                <w:w w:val="88"/>
              </w:rPr>
              <w:t>5,227,250.00</w:t>
            </w:r>
          </w:p>
        </w:tc>
      </w:tr>
      <w:tr>
        <w:trPr>
          <w:trHeight w:val="297"/>
        </w:trPr>
        <w:tc>
          <w:tcPr>
            <w:tcW w:w="2620" w:type="dxa"/>
            <w:vAlign w:val="bottom"/>
          </w:tcPr>
          <w:p>
            <w:pPr>
              <w:jc w:val="center"/>
              <w:ind w:right="1752"/>
              <w:spacing w:after="0"/>
              <w:rPr>
                <w:sz w:val="20"/>
                <w:szCs w:val="20"/>
                <w:color w:val="auto"/>
              </w:rPr>
            </w:pPr>
            <w:r>
              <w:rPr>
                <w:rFonts w:ascii="Arial" w:cs="Arial" w:eastAsia="Arial" w:hAnsi="Arial"/>
                <w:sz w:val="22"/>
                <w:szCs w:val="22"/>
                <w:color w:val="auto"/>
                <w:w w:val="88"/>
              </w:rPr>
              <w:t>2/1/2018</w:t>
            </w:r>
          </w:p>
        </w:tc>
        <w:tc>
          <w:tcPr>
            <w:tcW w:w="1240" w:type="dxa"/>
            <w:vAlign w:val="bottom"/>
          </w:tcPr>
          <w:p>
            <w:pPr>
              <w:jc w:val="center"/>
              <w:spacing w:after="0"/>
              <w:rPr>
                <w:sz w:val="20"/>
                <w:szCs w:val="20"/>
                <w:color w:val="auto"/>
              </w:rPr>
            </w:pPr>
            <w:r>
              <w:rPr>
                <w:rFonts w:ascii="Arial" w:cs="Arial" w:eastAsia="Arial" w:hAnsi="Arial"/>
                <w:sz w:val="22"/>
                <w:szCs w:val="22"/>
                <w:color w:val="auto"/>
                <w:w w:val="88"/>
              </w:rPr>
              <w:t>1,234,172.93</w:t>
            </w:r>
          </w:p>
        </w:tc>
        <w:tc>
          <w:tcPr>
            <w:tcW w:w="2900" w:type="dxa"/>
            <w:vAlign w:val="bottom"/>
            <w:gridSpan w:val="2"/>
          </w:tcPr>
          <w:p>
            <w:pPr>
              <w:jc w:val="center"/>
              <w:ind w:left="1452"/>
              <w:spacing w:after="0"/>
              <w:rPr>
                <w:sz w:val="20"/>
                <w:szCs w:val="20"/>
                <w:color w:val="auto"/>
              </w:rPr>
            </w:pPr>
            <w:r>
              <w:rPr>
                <w:rFonts w:ascii="Arial" w:cs="Arial" w:eastAsia="Arial" w:hAnsi="Arial"/>
                <w:sz w:val="22"/>
                <w:szCs w:val="22"/>
                <w:color w:val="auto"/>
                <w:w w:val="88"/>
              </w:rPr>
              <w:t>3,993,077.07</w:t>
            </w:r>
          </w:p>
        </w:tc>
        <w:tc>
          <w:tcPr>
            <w:tcW w:w="2860" w:type="dxa"/>
            <w:vAlign w:val="bottom"/>
            <w:gridSpan w:val="2"/>
          </w:tcPr>
          <w:p>
            <w:pPr>
              <w:jc w:val="center"/>
              <w:ind w:left="1372"/>
              <w:spacing w:after="0"/>
              <w:rPr>
                <w:sz w:val="20"/>
                <w:szCs w:val="20"/>
                <w:color w:val="auto"/>
              </w:rPr>
            </w:pPr>
            <w:r>
              <w:rPr>
                <w:rFonts w:ascii="Arial" w:cs="Arial" w:eastAsia="Arial" w:hAnsi="Arial"/>
                <w:sz w:val="22"/>
                <w:szCs w:val="22"/>
                <w:color w:val="auto"/>
                <w:w w:val="88"/>
              </w:rPr>
              <w:t>5,227,250.00</w:t>
            </w:r>
          </w:p>
        </w:tc>
      </w:tr>
      <w:tr>
        <w:trPr>
          <w:trHeight w:val="400"/>
        </w:trPr>
        <w:tc>
          <w:tcPr>
            <w:tcW w:w="2620" w:type="dxa"/>
            <w:vAlign w:val="bottom"/>
          </w:tcPr>
          <w:p>
            <w:pPr>
              <w:jc w:val="center"/>
              <w:ind w:right="1752"/>
              <w:spacing w:after="0"/>
              <w:rPr>
                <w:sz w:val="20"/>
                <w:szCs w:val="20"/>
                <w:color w:val="auto"/>
              </w:rPr>
            </w:pPr>
            <w:r>
              <w:rPr>
                <w:rFonts w:ascii="Arial" w:cs="Arial" w:eastAsia="Arial" w:hAnsi="Arial"/>
                <w:sz w:val="22"/>
                <w:szCs w:val="22"/>
                <w:color w:val="auto"/>
                <w:w w:val="88"/>
              </w:rPr>
              <w:t>8/1/2018</w:t>
            </w:r>
          </w:p>
        </w:tc>
        <w:tc>
          <w:tcPr>
            <w:tcW w:w="1240" w:type="dxa"/>
            <w:vAlign w:val="bottom"/>
          </w:tcPr>
          <w:p>
            <w:pPr>
              <w:jc w:val="center"/>
              <w:spacing w:after="0"/>
              <w:rPr>
                <w:sz w:val="20"/>
                <w:szCs w:val="20"/>
                <w:color w:val="auto"/>
              </w:rPr>
            </w:pPr>
            <w:r>
              <w:rPr>
                <w:rFonts w:ascii="Arial" w:cs="Arial" w:eastAsia="Arial" w:hAnsi="Arial"/>
                <w:sz w:val="22"/>
                <w:szCs w:val="22"/>
                <w:color w:val="auto"/>
                <w:w w:val="88"/>
              </w:rPr>
              <w:t>662,592.62</w:t>
            </w:r>
          </w:p>
        </w:tc>
        <w:tc>
          <w:tcPr>
            <w:tcW w:w="2900" w:type="dxa"/>
            <w:vAlign w:val="bottom"/>
            <w:gridSpan w:val="2"/>
          </w:tcPr>
          <w:p>
            <w:pPr>
              <w:jc w:val="center"/>
              <w:ind w:left="1432"/>
              <w:spacing w:after="0"/>
              <w:rPr>
                <w:sz w:val="20"/>
                <w:szCs w:val="20"/>
                <w:color w:val="auto"/>
              </w:rPr>
            </w:pPr>
            <w:r>
              <w:rPr>
                <w:rFonts w:ascii="Arial" w:cs="Arial" w:eastAsia="Arial" w:hAnsi="Arial"/>
                <w:sz w:val="22"/>
                <w:szCs w:val="22"/>
                <w:color w:val="auto"/>
                <w:w w:val="88"/>
              </w:rPr>
              <w:t>383,057.382</w:t>
            </w:r>
          </w:p>
        </w:tc>
        <w:tc>
          <w:tcPr>
            <w:tcW w:w="15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22"/>
                <w:szCs w:val="22"/>
                <w:color w:val="auto"/>
                <w:w w:val="93"/>
              </w:rPr>
              <w:t>1,045,650.00</w:t>
            </w:r>
            <w:r>
              <w:rPr>
                <w:rFonts w:ascii="Arial" w:cs="Arial" w:eastAsia="Arial" w:hAnsi="Arial"/>
                <w:sz w:val="28"/>
                <w:szCs w:val="28"/>
                <w:color w:val="auto"/>
                <w:w w:val="93"/>
                <w:vertAlign w:val="superscript"/>
              </w:rPr>
              <w:t>ii</w:t>
            </w:r>
          </w:p>
        </w:tc>
      </w:tr>
      <w:tr>
        <w:trPr>
          <w:trHeight w:val="441"/>
        </w:trPr>
        <w:tc>
          <w:tcPr>
            <w:tcW w:w="2620" w:type="dxa"/>
            <w:vAlign w:val="bottom"/>
          </w:tcPr>
          <w:p>
            <w:pPr>
              <w:jc w:val="center"/>
              <w:ind w:right="1752"/>
              <w:spacing w:after="0"/>
              <w:rPr>
                <w:sz w:val="20"/>
                <w:szCs w:val="20"/>
                <w:color w:val="auto"/>
              </w:rPr>
            </w:pPr>
            <w:r>
              <w:rPr>
                <w:rFonts w:ascii="Arial" w:cs="Arial" w:eastAsia="Arial" w:hAnsi="Arial"/>
                <w:sz w:val="22"/>
                <w:szCs w:val="22"/>
                <w:color w:val="auto"/>
                <w:w w:val="95"/>
              </w:rPr>
              <w:t>TOTAL</w:t>
            </w:r>
          </w:p>
        </w:tc>
        <w:tc>
          <w:tcPr>
            <w:tcW w:w="1240" w:type="dxa"/>
            <w:vAlign w:val="bottom"/>
          </w:tcPr>
          <w:p>
            <w:pPr>
              <w:jc w:val="center"/>
              <w:spacing w:after="0"/>
              <w:rPr>
                <w:sz w:val="20"/>
                <w:szCs w:val="20"/>
                <w:color w:val="auto"/>
              </w:rPr>
            </w:pPr>
            <w:r>
              <w:rPr>
                <w:rFonts w:ascii="Arial" w:cs="Arial" w:eastAsia="Arial" w:hAnsi="Arial"/>
                <w:sz w:val="22"/>
                <w:szCs w:val="22"/>
                <w:u w:val="single" w:color="auto"/>
                <w:color w:val="auto"/>
                <w:w w:val="88"/>
              </w:rPr>
              <w:t>$</w:t>
            </w:r>
            <w:r>
              <w:rPr>
                <w:rFonts w:ascii="Arial" w:cs="Arial" w:eastAsia="Arial" w:hAnsi="Arial"/>
                <w:sz w:val="22"/>
                <w:szCs w:val="22"/>
                <w:color w:val="auto"/>
                <w:w w:val="88"/>
              </w:rPr>
              <w:t>5,352,402.54</w:t>
            </w:r>
          </w:p>
        </w:tc>
        <w:tc>
          <w:tcPr>
            <w:tcW w:w="2900" w:type="dxa"/>
            <w:vAlign w:val="bottom"/>
            <w:gridSpan w:val="2"/>
          </w:tcPr>
          <w:p>
            <w:pPr>
              <w:jc w:val="center"/>
              <w:ind w:left="1452"/>
              <w:spacing w:after="0"/>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15,556,597.46</w:t>
            </w:r>
          </w:p>
        </w:tc>
        <w:tc>
          <w:tcPr>
            <w:tcW w:w="2860" w:type="dxa"/>
            <w:vAlign w:val="bottom"/>
            <w:gridSpan w:val="2"/>
          </w:tcPr>
          <w:p>
            <w:pPr>
              <w:jc w:val="center"/>
              <w:ind w:left="1392"/>
              <w:spacing w:after="0"/>
              <w:rPr>
                <w:sz w:val="20"/>
                <w:szCs w:val="20"/>
                <w:color w:val="auto"/>
              </w:rPr>
            </w:pPr>
            <w:r>
              <w:rPr>
                <w:rFonts w:ascii="Arial" w:cs="Arial" w:eastAsia="Arial" w:hAnsi="Arial"/>
                <w:sz w:val="22"/>
                <w:szCs w:val="22"/>
                <w:u w:val="single" w:color="auto"/>
                <w:color w:val="auto"/>
                <w:w w:val="88"/>
              </w:rPr>
              <w:t>$</w:t>
            </w:r>
            <w:r>
              <w:rPr>
                <w:rFonts w:ascii="Arial" w:cs="Arial" w:eastAsia="Arial" w:hAnsi="Arial"/>
                <w:sz w:val="22"/>
                <w:szCs w:val="22"/>
                <w:color w:val="auto"/>
                <w:w w:val="88"/>
              </w:rPr>
              <w:t>20,909,000.00</w:t>
            </w:r>
          </w:p>
        </w:tc>
      </w:tr>
      <w:tr>
        <w:trPr>
          <w:trHeight w:val="20"/>
        </w:trPr>
        <w:tc>
          <w:tcPr>
            <w:tcW w:w="2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10</w:t>
      </w:r>
    </w:p>
    <w:p>
      <w:pPr>
        <w:sectPr>
          <w:pgSz w:w="11900" w:h="16838" w:orient="portrait"/>
          <w:cols w:equalWidth="0" w:num="1">
            <w:col w:w="9620"/>
          </w:cols>
          <w:pgMar w:left="1300" w:top="118" w:right="97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69"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148590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STANDBY BOND PURCHASE AGREEMENT</w:t>
      </w:r>
    </w:p>
    <w:p>
      <w:pPr>
        <w:spacing w:after="0" w:line="200" w:lineRule="exact"/>
        <w:rPr>
          <w:sz w:val="20"/>
          <w:szCs w:val="20"/>
          <w:color w:val="auto"/>
        </w:rPr>
      </w:pPr>
    </w:p>
    <w:p>
      <w:pPr>
        <w:spacing w:after="0" w:line="32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among</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PORT OF BEAUMONT NAVIGATION DISTRICT OF JEFFERSON COUNTY, TEXAS,</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THE BANK OF NEW YORK MELLON TRUST COMPANY, NATIONAL ASSOCIATION,</w:t>
      </w:r>
    </w:p>
    <w:p>
      <w:pPr>
        <w:spacing w:after="0" w:line="27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JEFFERSON RAILPORT TERMINAL II LLC</w:t>
      </w:r>
    </w:p>
    <w:p>
      <w:pPr>
        <w:spacing w:after="0" w:line="26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and</w:t>
      </w:r>
    </w:p>
    <w:p>
      <w:pPr>
        <w:spacing w:after="0" w:line="254"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JEFFERSON RAILPORT TERMINAL II HOLDINGS LLC</w:t>
      </w:r>
    </w:p>
    <w:p>
      <w:pPr>
        <w:spacing w:after="0" w:line="200" w:lineRule="exact"/>
        <w:rPr>
          <w:sz w:val="20"/>
          <w:szCs w:val="20"/>
          <w:color w:val="auto"/>
        </w:rPr>
      </w:pPr>
    </w:p>
    <w:p>
      <w:pPr>
        <w:spacing w:after="0" w:line="317"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Dated as of February 1, 2016</w:t>
      </w:r>
    </w:p>
    <w:p>
      <w:pPr>
        <w:spacing w:after="0" w:line="26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Relating to</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$144,200,000</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Port of Beaumont Navigation District of Jefferson County, Texas</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Dock and Wharf Facility Revenue Bonds, Series 2016</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Jefferson Energy Companies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784860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56"/>
        </w:trPr>
        <w:tc>
          <w:tcPr>
            <w:tcW w:w="9960" w:type="dxa"/>
            <w:vAlign w:val="bottom"/>
          </w:tcPr>
          <w:p>
            <w:pPr>
              <w:ind w:left="4620"/>
              <w:spacing w:after="0"/>
              <w:rPr>
                <w:sz w:val="20"/>
                <w:szCs w:val="20"/>
                <w:color w:val="auto"/>
              </w:rPr>
            </w:pPr>
            <w:r>
              <w:rPr>
                <w:rFonts w:ascii="Arial" w:cs="Arial" w:eastAsia="Arial" w:hAnsi="Arial"/>
                <w:sz w:val="20"/>
                <w:szCs w:val="20"/>
                <w:b w:val="1"/>
                <w:bCs w:val="1"/>
                <w:color w:val="auto"/>
              </w:rPr>
              <w:t>TABLE OF CONTENTS</w:t>
            </w:r>
          </w:p>
        </w:tc>
        <w:tc>
          <w:tcPr>
            <w:tcW w:w="1400" w:type="dxa"/>
            <w:vAlign w:val="bottom"/>
          </w:tcPr>
          <w:p>
            <w:pPr>
              <w:spacing w:after="0"/>
              <w:rPr>
                <w:sz w:val="22"/>
                <w:szCs w:val="22"/>
                <w:color w:val="auto"/>
              </w:rPr>
            </w:pPr>
          </w:p>
        </w:tc>
      </w:tr>
      <w:tr>
        <w:trPr>
          <w:trHeight w:val="284"/>
        </w:trPr>
        <w:tc>
          <w:tcPr>
            <w:tcW w:w="99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Page No.</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ARTICLE I DEFINITIONS</w:t>
            </w:r>
          </w:p>
        </w:tc>
        <w:tc>
          <w:tcPr>
            <w:tcW w:w="1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1.01. Specific Terms.</w:t>
            </w:r>
          </w:p>
        </w:tc>
        <w:tc>
          <w:tcPr>
            <w:tcW w:w="1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1.02. Incorporation of Certain Definitions by Reference</w:t>
            </w: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1.03. Accounting Matters</w:t>
            </w: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1.04. Computation of Time Periods</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1.05. New York City Time Presumption</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1.06. Relation to Other Documents</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1.07. Interpretation</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608"/>
        </w:trPr>
        <w:tc>
          <w:tcPr>
            <w:tcW w:w="9960" w:type="dxa"/>
            <w:vAlign w:val="bottom"/>
          </w:tcPr>
          <w:p>
            <w:pPr>
              <w:spacing w:after="0"/>
              <w:rPr>
                <w:sz w:val="20"/>
                <w:szCs w:val="20"/>
                <w:color w:val="auto"/>
              </w:rPr>
            </w:pPr>
            <w:r>
              <w:rPr>
                <w:rFonts w:ascii="Arial" w:cs="Arial" w:eastAsia="Arial" w:hAnsi="Arial"/>
                <w:sz w:val="20"/>
                <w:szCs w:val="20"/>
                <w:color w:val="auto"/>
              </w:rPr>
              <w:t>ARTICLE II THE COMMITMENT</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2.01. Commitment to Purchase Series 2016 Bonds</w:t>
            </w:r>
          </w:p>
        </w:tc>
        <w:tc>
          <w:tcPr>
            <w:tcW w:w="1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2.02. Method of Purchasing.</w:t>
            </w:r>
          </w:p>
        </w:tc>
        <w:tc>
          <w:tcPr>
            <w:tcW w:w="1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2.03. Mandatory Reductions of Available Principal Commitment.</w:t>
            </w:r>
          </w:p>
        </w:tc>
        <w:tc>
          <w:tcPr>
            <w:tcW w:w="1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2.04. Guaranty of the Series 2016 Bonds and Rent</w:t>
            </w:r>
          </w:p>
        </w:tc>
        <w:tc>
          <w:tcPr>
            <w:tcW w:w="1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2.05. Rights as Bondholders.</w:t>
            </w:r>
          </w:p>
        </w:tc>
        <w:tc>
          <w:tcPr>
            <w:tcW w:w="14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608"/>
        </w:trPr>
        <w:tc>
          <w:tcPr>
            <w:tcW w:w="9960" w:type="dxa"/>
            <w:vAlign w:val="bottom"/>
          </w:tcPr>
          <w:p>
            <w:pPr>
              <w:spacing w:after="0"/>
              <w:rPr>
                <w:sz w:val="20"/>
                <w:szCs w:val="20"/>
                <w:color w:val="auto"/>
              </w:rPr>
            </w:pPr>
            <w:r>
              <w:rPr>
                <w:rFonts w:ascii="Arial" w:cs="Arial" w:eastAsia="Arial" w:hAnsi="Arial"/>
                <w:sz w:val="20"/>
                <w:szCs w:val="20"/>
                <w:color w:val="auto"/>
              </w:rPr>
              <w:t>ARTICLE III CONDITIONS PRECEDENT TO EFFECTIVENESS</w:t>
            </w:r>
          </w:p>
        </w:tc>
        <w:tc>
          <w:tcPr>
            <w:tcW w:w="14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3.01. Conditions Precedent to Effectiveness.</w:t>
            </w:r>
          </w:p>
        </w:tc>
        <w:tc>
          <w:tcPr>
            <w:tcW w:w="14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63"/>
        </w:trPr>
        <w:tc>
          <w:tcPr>
            <w:tcW w:w="9960" w:type="dxa"/>
            <w:vAlign w:val="bottom"/>
          </w:tcPr>
          <w:p>
            <w:pPr>
              <w:spacing w:after="0"/>
              <w:rPr>
                <w:sz w:val="20"/>
                <w:szCs w:val="20"/>
                <w:color w:val="auto"/>
              </w:rPr>
            </w:pPr>
            <w:r>
              <w:rPr>
                <w:rFonts w:ascii="Arial" w:cs="Arial" w:eastAsia="Arial" w:hAnsi="Arial"/>
                <w:sz w:val="20"/>
                <w:szCs w:val="20"/>
                <w:color w:val="auto"/>
                <w:w w:val="95"/>
              </w:rPr>
              <w:t>Section 3.02. Conditions Precedent to Purchasers’ Obligation to Purchase Series 2016 Bonds and Jefferson Holdings’</w:t>
            </w:r>
          </w:p>
        </w:tc>
        <w:tc>
          <w:tcPr>
            <w:tcW w:w="1400" w:type="dxa"/>
            <w:vAlign w:val="bottom"/>
          </w:tcPr>
          <w:p>
            <w:pPr>
              <w:spacing w:after="0"/>
              <w:rPr>
                <w:sz w:val="22"/>
                <w:szCs w:val="22"/>
                <w:color w:val="auto"/>
              </w:rPr>
            </w:pPr>
          </w:p>
        </w:tc>
      </w:tr>
      <w:tr>
        <w:trPr>
          <w:trHeight w:val="250"/>
        </w:trPr>
        <w:tc>
          <w:tcPr>
            <w:tcW w:w="9960" w:type="dxa"/>
            <w:vAlign w:val="bottom"/>
          </w:tcPr>
          <w:p>
            <w:pPr>
              <w:spacing w:after="0"/>
              <w:rPr>
                <w:sz w:val="20"/>
                <w:szCs w:val="20"/>
                <w:color w:val="auto"/>
              </w:rPr>
            </w:pPr>
            <w:r>
              <w:rPr>
                <w:rFonts w:ascii="Arial" w:cs="Arial" w:eastAsia="Arial" w:hAnsi="Arial"/>
                <w:sz w:val="20"/>
                <w:szCs w:val="20"/>
                <w:color w:val="auto"/>
              </w:rPr>
              <w:t>Obligation to Make Payments in Respect of the Jefferson Holdings Obligations.</w:t>
            </w:r>
          </w:p>
        </w:tc>
        <w:tc>
          <w:tcPr>
            <w:tcW w:w="1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608"/>
        </w:trPr>
        <w:tc>
          <w:tcPr>
            <w:tcW w:w="9960" w:type="dxa"/>
            <w:vAlign w:val="bottom"/>
          </w:tcPr>
          <w:p>
            <w:pPr>
              <w:spacing w:after="0"/>
              <w:rPr>
                <w:sz w:val="20"/>
                <w:szCs w:val="20"/>
                <w:color w:val="auto"/>
              </w:rPr>
            </w:pPr>
            <w:r>
              <w:rPr>
                <w:rFonts w:ascii="Arial" w:cs="Arial" w:eastAsia="Arial" w:hAnsi="Arial"/>
                <w:sz w:val="20"/>
                <w:szCs w:val="20"/>
                <w:color w:val="auto"/>
              </w:rPr>
              <w:t>ARTICLE IV PURCHASER REPRESENTATIONS AND WARRANTIES</w:t>
            </w:r>
          </w:p>
        </w:tc>
        <w:tc>
          <w:tcPr>
            <w:tcW w:w="1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4.01. Existence and Power.</w:t>
            </w:r>
          </w:p>
        </w:tc>
        <w:tc>
          <w:tcPr>
            <w:tcW w:w="1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4.02. Noncontravention.</w:t>
            </w:r>
          </w:p>
        </w:tc>
        <w:tc>
          <w:tcPr>
            <w:tcW w:w="1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4.03. Due Authorization.</w:t>
            </w: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4.04. Valid and Binding Obligations.</w:t>
            </w: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4.05. Pending Litigation and Other Proceedings.</w:t>
            </w: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4.06. Consideration.</w:t>
            </w: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4.07. Completion of the Bond Financed Property.</w:t>
            </w: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608"/>
        </w:trPr>
        <w:tc>
          <w:tcPr>
            <w:tcW w:w="9960" w:type="dxa"/>
            <w:vAlign w:val="bottom"/>
          </w:tcPr>
          <w:p>
            <w:pPr>
              <w:spacing w:after="0"/>
              <w:rPr>
                <w:sz w:val="20"/>
                <w:szCs w:val="20"/>
                <w:color w:val="auto"/>
              </w:rPr>
            </w:pPr>
            <w:r>
              <w:rPr>
                <w:rFonts w:ascii="Arial" w:cs="Arial" w:eastAsia="Arial" w:hAnsi="Arial"/>
                <w:sz w:val="20"/>
                <w:szCs w:val="20"/>
                <w:color w:val="auto"/>
              </w:rPr>
              <w:t>ARTICLE V DISTRICT REPRESENTATIONS AND WARRANTIES</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5.01. Existence and Power.</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5.02. Regulatory Authority</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5.03. Noncontravention.</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5.04. Due Authorization.</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5.05. Valid and Binding Obligations.</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960" w:type="dxa"/>
            <w:vAlign w:val="bottom"/>
          </w:tcPr>
          <w:p>
            <w:pPr>
              <w:spacing w:after="0"/>
              <w:rPr>
                <w:sz w:val="20"/>
                <w:szCs w:val="20"/>
                <w:color w:val="auto"/>
              </w:rPr>
            </w:pPr>
            <w:r>
              <w:rPr>
                <w:rFonts w:ascii="Arial" w:cs="Arial" w:eastAsia="Arial" w:hAnsi="Arial"/>
                <w:sz w:val="20"/>
                <w:szCs w:val="20"/>
                <w:color w:val="auto"/>
              </w:rPr>
              <w:t>Section 5.06. Pending Litigation and Other Proceedings.</w:t>
            </w:r>
          </w:p>
        </w:tc>
        <w:tc>
          <w:tcPr>
            <w:tcW w:w="1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608"/>
        </w:trPr>
        <w:tc>
          <w:tcPr>
            <w:tcW w:w="9960" w:type="dxa"/>
            <w:vAlign w:val="bottom"/>
          </w:tcPr>
          <w:p>
            <w:pPr>
              <w:spacing w:after="0"/>
              <w:rPr>
                <w:sz w:val="20"/>
                <w:szCs w:val="20"/>
                <w:color w:val="auto"/>
              </w:rPr>
            </w:pPr>
            <w:r>
              <w:rPr>
                <w:rFonts w:ascii="Arial" w:cs="Arial" w:eastAsia="Arial" w:hAnsi="Arial"/>
                <w:sz w:val="20"/>
                <w:szCs w:val="20"/>
                <w:color w:val="auto"/>
              </w:rPr>
              <w:t>ARTICLE VI PURCHASER COVENANTS</w:t>
            </w:r>
          </w:p>
        </w:tc>
        <w:tc>
          <w:tcPr>
            <w:tcW w:w="140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60"/>
          </w:cols>
          <w:pgMar w:left="280" w:top="522" w:right="259" w:bottom="1440" w:gutter="0" w:footer="0" w:header="0"/>
        </w:sectPr>
      </w:pPr>
    </w:p>
    <w:bookmarkStart w:id="295" w:name="page296"/>
    <w:bookmarkEnd w:id="295"/>
    <w:tbl>
      <w:tblPr>
        <w:tblLayout w:type="fixed"/>
        <w:tblInd w:w="40" w:type="dxa"/>
        <w:tblCellMar>
          <w:top w:w="0" w:type="dxa"/>
          <w:left w:w="0" w:type="dxa"/>
          <w:bottom w:w="0" w:type="dxa"/>
          <w:right w:w="0" w:type="dxa"/>
        </w:tblCellMar>
      </w:tblPr>
      <w:tr>
        <w:trPr>
          <w:trHeight w:val="250"/>
        </w:trPr>
        <w:tc>
          <w:tcPr>
            <w:tcW w:w="8440" w:type="dxa"/>
            <w:vAlign w:val="bottom"/>
          </w:tcPr>
          <w:p>
            <w:pPr>
              <w:spacing w:after="0"/>
              <w:rPr>
                <w:sz w:val="20"/>
                <w:szCs w:val="20"/>
                <w:color w:val="auto"/>
              </w:rPr>
            </w:pPr>
            <w:r>
              <w:rPr>
                <w:rFonts w:ascii="Arial" w:cs="Arial" w:eastAsia="Arial" w:hAnsi="Arial"/>
                <w:sz w:val="20"/>
                <w:szCs w:val="20"/>
                <w:color w:val="auto"/>
              </w:rPr>
              <w:t>Section 6.01. Amendments</w:t>
            </w:r>
          </w:p>
        </w:tc>
        <w:tc>
          <w:tcPr>
            <w:tcW w:w="29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6.02. Corporate Existence.</w:t>
            </w:r>
          </w:p>
        </w:tc>
        <w:tc>
          <w:tcPr>
            <w:tcW w:w="29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6.03. Nature of Business of Jefferson Holdings.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6.04. Special Purpose Entity Covenant.</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6.05. Jefferson Railport Deed of Trust.</w:t>
            </w:r>
          </w:p>
        </w:tc>
        <w:tc>
          <w:tcPr>
            <w:tcW w:w="2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6.06. Reserve Fund.</w:t>
            </w:r>
          </w:p>
        </w:tc>
        <w:tc>
          <w:tcPr>
            <w:tcW w:w="2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608"/>
        </w:trPr>
        <w:tc>
          <w:tcPr>
            <w:tcW w:w="8440" w:type="dxa"/>
            <w:vAlign w:val="bottom"/>
          </w:tcPr>
          <w:p>
            <w:pPr>
              <w:spacing w:after="0"/>
              <w:rPr>
                <w:sz w:val="20"/>
                <w:szCs w:val="20"/>
                <w:color w:val="auto"/>
              </w:rPr>
            </w:pPr>
            <w:r>
              <w:rPr>
                <w:rFonts w:ascii="Arial" w:cs="Arial" w:eastAsia="Arial" w:hAnsi="Arial"/>
                <w:sz w:val="20"/>
                <w:szCs w:val="20"/>
                <w:color w:val="auto"/>
              </w:rPr>
              <w:t>ARTICLE VII MISCELLANEOUS</w:t>
            </w:r>
          </w:p>
        </w:tc>
        <w:tc>
          <w:tcPr>
            <w:tcW w:w="2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7.01. Obligations Absolute.</w:t>
            </w:r>
          </w:p>
        </w:tc>
        <w:tc>
          <w:tcPr>
            <w:tcW w:w="2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7.02. Notices.</w:t>
            </w:r>
          </w:p>
        </w:tc>
        <w:tc>
          <w:tcPr>
            <w:tcW w:w="2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7.03. Successors and Assigns.</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7.04. Governing Law; Forum Selection; Consent to Jurisdiction.</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7.05. Service of Process.</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7.06. Counterparts.</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7.07. Use of Funds.</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7.08. Trustee’s Rights.</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7.09. Amendments and Waivers; Termination.</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7.10. Severability.</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7.11. Headings.</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7.12. Complete and Controlling Agreement.</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7.13. Waiver Of Jury Trial.</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7.14. Indemnification</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7.15. No Recourse Against Others</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8440" w:type="dxa"/>
            <w:vAlign w:val="bottom"/>
          </w:tcPr>
          <w:p>
            <w:pPr>
              <w:spacing w:after="0"/>
              <w:rPr>
                <w:sz w:val="20"/>
                <w:szCs w:val="20"/>
                <w:color w:val="auto"/>
              </w:rPr>
            </w:pPr>
            <w:r>
              <w:rPr>
                <w:rFonts w:ascii="Arial" w:cs="Arial" w:eastAsia="Arial" w:hAnsi="Arial"/>
                <w:sz w:val="20"/>
                <w:szCs w:val="20"/>
                <w:color w:val="auto"/>
              </w:rPr>
              <w:t>Section 7.16. Specific Performance</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PURCHASE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00"/>
          </w:cols>
          <w:pgMar w:left="240" w:top="528" w:right="259" w:bottom="1440" w:gutter="0" w:footer="0" w:header="0"/>
        </w:sectPr>
      </w:pPr>
    </w:p>
    <w:bookmarkStart w:id="296" w:name="page297"/>
    <w:bookmarkEnd w:id="296"/>
    <w:p>
      <w:pPr>
        <w:jc w:val="center"/>
        <w:spacing w:after="0"/>
        <w:rPr>
          <w:sz w:val="20"/>
          <w:szCs w:val="20"/>
          <w:color w:val="auto"/>
        </w:rPr>
      </w:pPr>
      <w:r>
        <w:rPr>
          <w:rFonts w:ascii="Arial" w:cs="Arial" w:eastAsia="Arial" w:hAnsi="Arial"/>
          <w:sz w:val="25"/>
          <w:szCs w:val="25"/>
          <w:b w:val="1"/>
          <w:bCs w:val="1"/>
          <w:color w:val="auto"/>
        </w:rPr>
        <w:t>STANDBY BOND PURCHASE AGREEMENT</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STANDBY BOND PURCHASE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is dated as of February 1, 2016, by and among the </w:t>
      </w:r>
      <w:r>
        <w:rPr>
          <w:rFonts w:ascii="Arial" w:cs="Arial" w:eastAsia="Arial" w:hAnsi="Arial"/>
          <w:sz w:val="19"/>
          <w:szCs w:val="19"/>
          <w:b w:val="1"/>
          <w:bCs w:val="1"/>
          <w:color w:val="auto"/>
        </w:rPr>
        <w:t>PORT OF BEAUMONT NAVIGATION DISTRICT OF JEFFERSON COUNTY, TEXAS</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District</w:t>
      </w:r>
      <w:r>
        <w:rPr>
          <w:rFonts w:ascii="Arial" w:cs="Arial" w:eastAsia="Arial" w:hAnsi="Arial"/>
          <w:sz w:val="19"/>
          <w:szCs w:val="19"/>
          <w:color w:val="auto"/>
        </w:rPr>
        <w:t xml:space="preserve">”), a political subdivision of the State of Texas, </w:t>
      </w:r>
      <w:r>
        <w:rPr>
          <w:rFonts w:ascii="Arial" w:cs="Arial" w:eastAsia="Arial" w:hAnsi="Arial"/>
          <w:sz w:val="19"/>
          <w:szCs w:val="19"/>
          <w:b w:val="1"/>
          <w:bCs w:val="1"/>
          <w:color w:val="auto"/>
        </w:rPr>
        <w:t>THE BANK OF NEW YORK MELLON TRUST COMPANY, NATIONAL</w:t>
      </w:r>
      <w:r>
        <w:rPr>
          <w:rFonts w:ascii="Arial" w:cs="Arial" w:eastAsia="Arial" w:hAnsi="Arial"/>
          <w:sz w:val="19"/>
          <w:szCs w:val="19"/>
          <w:color w:val="auto"/>
        </w:rPr>
        <w:t xml:space="preserve"> </w:t>
      </w:r>
      <w:r>
        <w:rPr>
          <w:rFonts w:ascii="Arial" w:cs="Arial" w:eastAsia="Arial" w:hAnsi="Arial"/>
          <w:sz w:val="19"/>
          <w:szCs w:val="19"/>
          <w:b w:val="1"/>
          <w:bCs w:val="1"/>
          <w:color w:val="auto"/>
        </w:rPr>
        <w:t>ASSOCIATION</w:t>
      </w:r>
      <w:r>
        <w:rPr>
          <w:rFonts w:ascii="Arial" w:cs="Arial" w:eastAsia="Arial" w:hAnsi="Arial"/>
          <w:sz w:val="19"/>
          <w:szCs w:val="19"/>
          <w:color w:val="auto"/>
        </w:rPr>
        <w:t>, a national banking association duly organized and existing under the laws of the United States of America, as</w:t>
      </w:r>
      <w:r>
        <w:rPr>
          <w:rFonts w:ascii="Arial" w:cs="Arial" w:eastAsia="Arial" w:hAnsi="Arial"/>
          <w:sz w:val="19"/>
          <w:szCs w:val="19"/>
          <w:b w:val="1"/>
          <w:bCs w:val="1"/>
          <w:color w:val="auto"/>
        </w:rPr>
        <w:t xml:space="preserve"> </w:t>
      </w:r>
      <w:r>
        <w:rPr>
          <w:rFonts w:ascii="Arial" w:cs="Arial" w:eastAsia="Arial" w:hAnsi="Arial"/>
          <w:sz w:val="19"/>
          <w:szCs w:val="19"/>
          <w:color w:val="auto"/>
        </w:rPr>
        <w:t>trustee under the Indenture referred to below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xml:space="preserve">”), </w:t>
      </w:r>
      <w:r>
        <w:rPr>
          <w:rFonts w:ascii="Arial" w:cs="Arial" w:eastAsia="Arial" w:hAnsi="Arial"/>
          <w:sz w:val="19"/>
          <w:szCs w:val="19"/>
          <w:b w:val="1"/>
          <w:bCs w:val="1"/>
          <w:color w:val="auto"/>
        </w:rPr>
        <w:t>JEFFERSON RAILPORT TERMINAL II LLC</w:t>
      </w:r>
      <w:r>
        <w:rPr>
          <w:rFonts w:ascii="Arial" w:cs="Arial" w:eastAsia="Arial" w:hAnsi="Arial"/>
          <w:sz w:val="19"/>
          <w:szCs w:val="19"/>
          <w:color w:val="auto"/>
        </w:rPr>
        <w:t>, a limited liability company organized under the laws of the State of Delaware (“</w:t>
      </w:r>
      <w:r>
        <w:rPr>
          <w:rFonts w:ascii="Arial" w:cs="Arial" w:eastAsia="Arial" w:hAnsi="Arial"/>
          <w:sz w:val="19"/>
          <w:szCs w:val="19"/>
          <w:b w:val="1"/>
          <w:bCs w:val="1"/>
          <w:i w:val="1"/>
          <w:iCs w:val="1"/>
          <w:color w:val="auto"/>
        </w:rPr>
        <w:t>Jefferson Railport</w:t>
      </w:r>
      <w:r>
        <w:rPr>
          <w:rFonts w:ascii="Arial" w:cs="Arial" w:eastAsia="Arial" w:hAnsi="Arial"/>
          <w:sz w:val="19"/>
          <w:szCs w:val="19"/>
          <w:color w:val="auto"/>
        </w:rPr>
        <w:t xml:space="preserve">”), and </w:t>
      </w:r>
      <w:r>
        <w:rPr>
          <w:rFonts w:ascii="Arial" w:cs="Arial" w:eastAsia="Arial" w:hAnsi="Arial"/>
          <w:sz w:val="19"/>
          <w:szCs w:val="19"/>
          <w:b w:val="1"/>
          <w:bCs w:val="1"/>
          <w:color w:val="auto"/>
        </w:rPr>
        <w:t>JEFFERSON RAILPORT TERMINAL</w:t>
      </w:r>
    </w:p>
    <w:p>
      <w:pPr>
        <w:spacing w:after="0" w:line="1" w:lineRule="exact"/>
        <w:rPr>
          <w:sz w:val="20"/>
          <w:szCs w:val="20"/>
          <w:color w:val="auto"/>
        </w:rPr>
      </w:pPr>
    </w:p>
    <w:p>
      <w:pPr>
        <w:jc w:val="both"/>
        <w:ind w:firstLine="8"/>
        <w:spacing w:after="0" w:line="244" w:lineRule="auto"/>
        <w:tabs>
          <w:tab w:leader="none" w:pos="249"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HOLDINGS LLC</w:t>
      </w:r>
      <w:r>
        <w:rPr>
          <w:rFonts w:ascii="Arial" w:cs="Arial" w:eastAsia="Arial" w:hAnsi="Arial"/>
          <w:sz w:val="22"/>
          <w:szCs w:val="22"/>
          <w:color w:val="auto"/>
        </w:rPr>
        <w:t>, a limited liability company organized under the laws of the State of Delaware (“</w:t>
      </w:r>
      <w:r>
        <w:rPr>
          <w:rFonts w:ascii="Arial" w:cs="Arial" w:eastAsia="Arial" w:hAnsi="Arial"/>
          <w:sz w:val="22"/>
          <w:szCs w:val="22"/>
          <w:b w:val="1"/>
          <w:bCs w:val="1"/>
          <w:i w:val="1"/>
          <w:iCs w:val="1"/>
          <w:color w:val="auto"/>
        </w:rPr>
        <w:t>Jefferson Holdings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Jefferson Railport and Jefferson Holdings are sometimes referred to herein individually as a “</w:t>
      </w:r>
      <w:r>
        <w:rPr>
          <w:rFonts w:ascii="Arial" w:cs="Arial" w:eastAsia="Arial" w:hAnsi="Arial"/>
          <w:sz w:val="22"/>
          <w:szCs w:val="22"/>
          <w:b w:val="1"/>
          <w:bCs w:val="1"/>
          <w:i w:val="1"/>
          <w:iCs w:val="1"/>
          <w:color w:val="auto"/>
        </w:rPr>
        <w:t>Purchaser</w:t>
      </w:r>
      <w:r>
        <w:rPr>
          <w:rFonts w:ascii="Arial" w:cs="Arial" w:eastAsia="Arial" w:hAnsi="Arial"/>
          <w:sz w:val="22"/>
          <w:szCs w:val="22"/>
          <w:i w:val="1"/>
          <w:iCs w:val="1"/>
          <w:color w:val="auto"/>
        </w:rPr>
        <w:t>”</w:t>
      </w:r>
      <w:r>
        <w:rPr>
          <w:rFonts w:ascii="Arial" w:cs="Arial" w:eastAsia="Arial" w:hAnsi="Arial"/>
          <w:sz w:val="22"/>
          <w:szCs w:val="22"/>
          <w:color w:val="auto"/>
        </w:rPr>
        <w:t xml:space="preserve"> and together as the “</w:t>
      </w:r>
      <w:r>
        <w:rPr>
          <w:rFonts w:ascii="Arial" w:cs="Arial" w:eastAsia="Arial" w:hAnsi="Arial"/>
          <w:sz w:val="22"/>
          <w:szCs w:val="22"/>
          <w:b w:val="1"/>
          <w:bCs w:val="1"/>
          <w:i w:val="1"/>
          <w:iCs w:val="1"/>
          <w:color w:val="auto"/>
        </w:rPr>
        <w:t>Purchasers</w:t>
      </w:r>
      <w:r>
        <w:rPr>
          <w:rFonts w:ascii="Arial" w:cs="Arial" w:eastAsia="Arial" w:hAnsi="Arial"/>
          <w:sz w:val="22"/>
          <w:szCs w:val="22"/>
          <w:color w:val="auto"/>
        </w:rPr>
        <w:t>.” All capitalized terms used herein and not otherwise defined, including in the recitals hereto, shall have the meaning assigned in Section 1.01 or as otherwise provided in Section 1.02.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applicable Texas law, particularly Chapter 147, Acts of the 51</w:t>
      </w:r>
      <w:r>
        <w:rPr>
          <w:rFonts w:ascii="Arial" w:cs="Arial" w:eastAsia="Arial" w:hAnsi="Arial"/>
          <w:sz w:val="27"/>
          <w:szCs w:val="27"/>
          <w:color w:val="auto"/>
          <w:vertAlign w:val="superscript"/>
        </w:rPr>
        <w:t>st</w:t>
      </w:r>
      <w:r>
        <w:rPr>
          <w:rFonts w:ascii="Arial" w:cs="Arial" w:eastAsia="Arial" w:hAnsi="Arial"/>
          <w:sz w:val="21"/>
          <w:szCs w:val="21"/>
          <w:b w:val="1"/>
          <w:bCs w:val="1"/>
          <w:color w:val="auto"/>
        </w:rPr>
        <w:t xml:space="preserve"> </w:t>
      </w:r>
      <w:r>
        <w:rPr>
          <w:rFonts w:ascii="Arial" w:cs="Arial" w:eastAsia="Arial" w:hAnsi="Arial"/>
          <w:sz w:val="21"/>
          <w:szCs w:val="21"/>
          <w:color w:val="auto"/>
        </w:rPr>
        <w:t>Legislature of Texas, Regular</w:t>
      </w:r>
      <w:r>
        <w:rPr>
          <w:rFonts w:ascii="Arial" w:cs="Arial" w:eastAsia="Arial" w:hAnsi="Arial"/>
          <w:sz w:val="21"/>
          <w:szCs w:val="21"/>
          <w:b w:val="1"/>
          <w:bCs w:val="1"/>
          <w:color w:val="auto"/>
        </w:rPr>
        <w:t xml:space="preserve"> </w:t>
      </w:r>
      <w:r>
        <w:rPr>
          <w:rFonts w:ascii="Arial" w:cs="Arial" w:eastAsia="Arial" w:hAnsi="Arial"/>
          <w:sz w:val="21"/>
          <w:szCs w:val="21"/>
          <w:color w:val="auto"/>
        </w:rPr>
        <w:t>Session, 1949, as amended, Chapter 60, Texas Water Code, as amended, and Chapter 1201, Texas Government Code, as amended (together,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the terms and conditions of a resolution of the District’s Board of Commissioners, dated as of November 23, 2015 (the “</w:t>
      </w:r>
      <w:r>
        <w:rPr>
          <w:rFonts w:ascii="Arial" w:cs="Arial" w:eastAsia="Arial" w:hAnsi="Arial"/>
          <w:sz w:val="21"/>
          <w:szCs w:val="21"/>
          <w:b w:val="1"/>
          <w:bCs w:val="1"/>
          <w:i w:val="1"/>
          <w:iCs w:val="1"/>
          <w:color w:val="auto"/>
        </w:rPr>
        <w:t>Resolution</w:t>
      </w:r>
      <w:r>
        <w:rPr>
          <w:rFonts w:ascii="Arial" w:cs="Arial" w:eastAsia="Arial" w:hAnsi="Arial"/>
          <w:sz w:val="21"/>
          <w:szCs w:val="21"/>
          <w:color w:val="auto"/>
        </w:rPr>
        <w:t>”) and a Trust Indenture and Security Agreement, dated as of February 1, 2016, (the “</w:t>
      </w:r>
      <w:r>
        <w:rPr>
          <w:rFonts w:ascii="Arial" w:cs="Arial" w:eastAsia="Arial" w:hAnsi="Arial"/>
          <w:sz w:val="21"/>
          <w:szCs w:val="21"/>
          <w:b w:val="1"/>
          <w:bCs w:val="1"/>
          <w:i w:val="1"/>
          <w:iCs w:val="1"/>
          <w:color w:val="auto"/>
        </w:rPr>
        <w:t>Indenture</w:t>
      </w:r>
      <w:r>
        <w:rPr>
          <w:rFonts w:ascii="Arial" w:cs="Arial" w:eastAsia="Arial" w:hAnsi="Arial"/>
          <w:sz w:val="21"/>
          <w:szCs w:val="21"/>
          <w:color w:val="auto"/>
        </w:rPr>
        <w:t>”), between the District and the Trustee, the District is issuing a series of bonds designated Port of Beaumont Navigation District of Jefferson County, Texas Dock and Wharf Facility Revenue Bonds, Series 2016 (Jefferson Energy Companies Project), in the principal amount of $144,200,000 (the “</w:t>
      </w:r>
      <w:r>
        <w:rPr>
          <w:rFonts w:ascii="Arial" w:cs="Arial" w:eastAsia="Arial" w:hAnsi="Arial"/>
          <w:sz w:val="21"/>
          <w:szCs w:val="21"/>
          <w:b w:val="1"/>
          <w:bCs w:val="1"/>
          <w:i w:val="1"/>
          <w:iCs w:val="1"/>
          <w:color w:val="auto"/>
        </w:rPr>
        <w:t>Series 2016 Bonds</w:t>
      </w:r>
      <w:r>
        <w:rPr>
          <w:rFonts w:ascii="Arial" w:cs="Arial" w:eastAsia="Arial" w:hAnsi="Arial"/>
          <w:sz w:val="21"/>
          <w:szCs w:val="21"/>
          <w:color w:val="auto"/>
        </w:rPr>
        <w:t>”); and</w:t>
      </w:r>
    </w:p>
    <w:p>
      <w:pPr>
        <w:spacing w:after="0" w:line="184" w:lineRule="exact"/>
        <w:rPr>
          <w:sz w:val="20"/>
          <w:szCs w:val="20"/>
          <w:color w:val="auto"/>
        </w:rPr>
      </w:pPr>
    </w:p>
    <w:p>
      <w:pPr>
        <w:ind w:right="420" w:firstLine="648"/>
        <w:spacing w:after="0" w:line="267"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proceeds of the Series 2016 Bonds will be applied to (i) reimburse and pay Jefferson Railport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construction and acquisition of certain facilities for the transport, loading, unloading, and storage of petroleum products on behalf of the District (the “</w:t>
      </w:r>
      <w:r>
        <w:rPr>
          <w:rFonts w:ascii="Arial" w:cs="Arial" w:eastAsia="Arial" w:hAnsi="Arial"/>
          <w:sz w:val="21"/>
          <w:szCs w:val="21"/>
          <w:b w:val="1"/>
          <w:bCs w:val="1"/>
          <w:i w:val="1"/>
          <w:iCs w:val="1"/>
          <w:color w:val="auto"/>
        </w:rPr>
        <w:t>Bond Financed Facilities</w:t>
      </w:r>
      <w:r>
        <w:rPr>
          <w:rFonts w:ascii="Arial" w:cs="Arial" w:eastAsia="Arial" w:hAnsi="Arial"/>
          <w:sz w:val="21"/>
          <w:szCs w:val="21"/>
          <w:color w:val="auto"/>
        </w:rPr>
        <w:t>”); (ii) pay capitalized interest on a portion of the Series 2016 Bonds; and (iii) pay certain costs of issuance of the Series 2016 Bonds; and</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certain improvements have been or will be constructed by Jefferson Railport on behalf of the District, on</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leased to Jefferson Railport by the District pursuant to a First Amended and Restated Agreement and Lease, dated as of February 1, 2016 (the “</w:t>
      </w:r>
      <w:r>
        <w:rPr>
          <w:rFonts w:ascii="Arial" w:cs="Arial" w:eastAsia="Arial" w:hAnsi="Arial"/>
          <w:sz w:val="22"/>
          <w:szCs w:val="22"/>
          <w:b w:val="1"/>
          <w:bCs w:val="1"/>
          <w:i w:val="1"/>
          <w:iCs w:val="1"/>
          <w:color w:val="auto"/>
        </w:rPr>
        <w:t>Ground Lease</w:t>
      </w:r>
      <w:r>
        <w:rPr>
          <w:rFonts w:ascii="Arial" w:cs="Arial" w:eastAsia="Arial" w:hAnsi="Arial"/>
          <w:sz w:val="22"/>
          <w:szCs w:val="22"/>
          <w:color w:val="auto"/>
        </w:rPr>
        <w:t>”), by and between Jefferson Railport, as successor to Port of Beaumont Petroleum Transload Terminal II, LLC and the District; and</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to achieve the purposes for which the Series 2016 Bonds will be issued, (i) the District will reimburse</w:t>
      </w:r>
      <w:r>
        <w:rPr>
          <w:rFonts w:ascii="Arial" w:cs="Arial" w:eastAsia="Arial" w:hAnsi="Arial"/>
          <w:sz w:val="21"/>
          <w:szCs w:val="21"/>
          <w:b w:val="1"/>
          <w:bCs w:val="1"/>
          <w:color w:val="auto"/>
        </w:rPr>
        <w:t xml:space="preserve"> </w:t>
      </w:r>
      <w:r>
        <w:rPr>
          <w:rFonts w:ascii="Arial" w:cs="Arial" w:eastAsia="Arial" w:hAnsi="Arial"/>
          <w:sz w:val="21"/>
          <w:szCs w:val="21"/>
          <w:color w:val="auto"/>
        </w:rPr>
        <w:t>Jefferson Railport for certain of the improvements constructed by Jefferson Railport on behalf of the District under the Ground Lease (the “</w:t>
      </w:r>
      <w:r>
        <w:rPr>
          <w:rFonts w:ascii="Arial" w:cs="Arial" w:eastAsia="Arial" w:hAnsi="Arial"/>
          <w:sz w:val="21"/>
          <w:szCs w:val="21"/>
          <w:b w:val="1"/>
          <w:bCs w:val="1"/>
          <w:i w:val="1"/>
          <w:iCs w:val="1"/>
          <w:color w:val="auto"/>
        </w:rPr>
        <w:t>Existing Property</w:t>
      </w:r>
      <w:r>
        <w:rPr>
          <w:rFonts w:ascii="Arial" w:cs="Arial" w:eastAsia="Arial" w:hAnsi="Arial"/>
          <w:sz w:val="21"/>
          <w:szCs w:val="21"/>
          <w:color w:val="auto"/>
        </w:rPr>
        <w:t>”); (ii) Jefferson Railport, pursuant to a Lease and Development Agreement (Facilities Lease), dated as of February 1, 2016 (the “</w:t>
      </w:r>
      <w:r>
        <w:rPr>
          <w:rFonts w:ascii="Arial" w:cs="Arial" w:eastAsia="Arial" w:hAnsi="Arial"/>
          <w:sz w:val="21"/>
          <w:szCs w:val="21"/>
          <w:b w:val="1"/>
          <w:bCs w:val="1"/>
          <w:i w:val="1"/>
          <w:iCs w:val="1"/>
          <w:color w:val="auto"/>
        </w:rPr>
        <w:t>Facilities Lease”</w:t>
      </w:r>
      <w:r>
        <w:rPr>
          <w:rFonts w:ascii="Arial" w:cs="Arial" w:eastAsia="Arial" w:hAnsi="Arial"/>
          <w:sz w:val="21"/>
          <w:szCs w:val="21"/>
          <w:color w:val="auto"/>
        </w:rPr>
        <w:t>), between the District and Jefferson Railport, will construct additional improvements on behalf of the District (together with the Existing Property, the “</w:t>
      </w:r>
      <w:r>
        <w:rPr>
          <w:rFonts w:ascii="Arial" w:cs="Arial" w:eastAsia="Arial" w:hAnsi="Arial"/>
          <w:sz w:val="21"/>
          <w:szCs w:val="21"/>
          <w:b w:val="1"/>
          <w:bCs w:val="1"/>
          <w:i w:val="1"/>
          <w:iCs w:val="1"/>
          <w:color w:val="auto"/>
        </w:rPr>
        <w:t>Bond Financed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0" w:right="239" w:bottom="1440" w:gutter="0" w:footer="0" w:header="0"/>
        </w:sectPr>
      </w:pPr>
    </w:p>
    <w:bookmarkStart w:id="297" w:name="page298"/>
    <w:bookmarkEnd w:id="297"/>
    <w:p>
      <w:pPr>
        <w:jc w:val="both"/>
        <w:spacing w:after="0" w:line="287" w:lineRule="auto"/>
        <w:rPr>
          <w:sz w:val="20"/>
          <w:szCs w:val="20"/>
          <w:color w:val="auto"/>
        </w:rPr>
      </w:pPr>
      <w:r>
        <w:rPr>
          <w:rFonts w:ascii="Arial" w:cs="Arial" w:eastAsia="Arial" w:hAnsi="Arial"/>
          <w:sz w:val="21"/>
          <w:szCs w:val="21"/>
          <w:b w:val="1"/>
          <w:bCs w:val="1"/>
          <w:i w:val="1"/>
          <w:iCs w:val="1"/>
          <w:color w:val="auto"/>
        </w:rPr>
        <w:t>Property</w:t>
      </w:r>
      <w:r>
        <w:rPr>
          <w:rFonts w:ascii="Arial" w:cs="Arial" w:eastAsia="Arial" w:hAnsi="Arial"/>
          <w:sz w:val="21"/>
          <w:szCs w:val="21"/>
          <w:color w:val="auto"/>
        </w:rPr>
        <w:t>”), all of which property is subject to the terms of the Ground Lease; and (iii) Jefferson Railport will lease the Bond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Financed Property from the District pursuant to the terms and conditions of the Facilities Lease and the Ground Lease; and</w:t>
      </w:r>
    </w:p>
    <w:p>
      <w:pPr>
        <w:spacing w:after="0" w:line="14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Jefferson Railport is a wholly owned subsidiary of Jefferson Holdings, which has no material assets or</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other than the equity interests of Jefferson Railport; and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Series 2016 Bonds will be subject to mandatory tender for purchase on the First Initial Bonds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Remarketing Date (as defined below) at a purchase price (the </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equal to the principal amount of Series 2016 Bonds tendered or deemed tendered for purchase, plus interest thereon to, but not including, the First Initial Bonds Remarketing Date;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it is anticipated that the Purchase Price will be paid pursuant to a Remarketing of the Series 2016 Bonds; and</w:t>
      </w:r>
    </w:p>
    <w:p>
      <w:pPr>
        <w:spacing w:after="0" w:line="2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Jefferson Holdings and Jefferson Railport have proposed that, pursuant to this Agreement, (i) in the event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any Series 2016 Bonds are not repurchased with proceeds of a Remarketing, redeemed or defeased to a date on or before the First Initial Bonds Remarketing Date in whole, Jefferson Holdings and Jefferson Railport shall be committed to purchase such Series 2016 Bonds from the holders thereof on the First Initial Bonds Remarketing Date at the Purchase Price, and (ii) Jefferson Holdings shall guaranty the payment of all (A) principal of and premium and interest on the Series 2016 Bonds, including interest on the overdue principal of and, if lawful, interest on the Series 2016 Bonds, if any, and all other monetary obligations of the District under the Indenture and the Series 2016 Bonds in accordance with the terms of the Indenture, and (B) Rent (as defined below), in each case that is payable prior to repurchase of the Series 2016 Bonds with the proceeds of remarketing on the First Initial Bonds Remarketing Date or prior redemption or defeasance of the Series 2016 Bonds in whole; and</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pursuant to a Leasehold Deed of Trust and Security Agreement, dated as of the issuance date of the Series</w:t>
      </w:r>
      <w:r>
        <w:rPr>
          <w:rFonts w:ascii="Arial" w:cs="Arial" w:eastAsia="Arial" w:hAnsi="Arial"/>
          <w:sz w:val="19"/>
          <w:szCs w:val="19"/>
          <w:b w:val="1"/>
          <w:bCs w:val="1"/>
          <w:color w:val="auto"/>
        </w:rPr>
        <w:t xml:space="preserve"> </w:t>
      </w:r>
      <w:r>
        <w:rPr>
          <w:rFonts w:ascii="Arial" w:cs="Arial" w:eastAsia="Arial" w:hAnsi="Arial"/>
          <w:sz w:val="19"/>
          <w:szCs w:val="19"/>
          <w:color w:val="auto"/>
        </w:rPr>
        <w:t>2016 Bonds (the “</w:t>
      </w:r>
      <w:r>
        <w:rPr>
          <w:rFonts w:ascii="Arial" w:cs="Arial" w:eastAsia="Arial" w:hAnsi="Arial"/>
          <w:sz w:val="19"/>
          <w:szCs w:val="19"/>
          <w:b w:val="1"/>
          <w:bCs w:val="1"/>
          <w:i w:val="1"/>
          <w:iCs w:val="1"/>
          <w:color w:val="auto"/>
        </w:rPr>
        <w:t>Jefferson Railport Deed of Trust</w:t>
      </w:r>
      <w:r>
        <w:rPr>
          <w:rFonts w:ascii="Arial" w:cs="Arial" w:eastAsia="Arial" w:hAnsi="Arial"/>
          <w:sz w:val="19"/>
          <w:szCs w:val="19"/>
          <w:color w:val="auto"/>
        </w:rPr>
        <w:t>”), Jefferson Railport will grant a deed of trust lien on and security interest in its interest in the Ground Lease and in all buildings, fixtures, modifications, replacements, improvements, easements, rights-of-way, air/water/development rights, machinery and equipment thereon or with respect thereto to the Trustee for the benefit of the Trustee and the holders of the Series 2016 Bonds to secure its obligations hereunder; and</w:t>
      </w:r>
    </w:p>
    <w:p>
      <w:pPr>
        <w:spacing w:after="0" w:line="14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reliance upon, inter alia, the provisions hereof, the Purchasers are entering into this Agreement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and the Trustee.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valuable consideration the receipt and adequacy of which are hereby acknowledged,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agree as follows: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i w:val="1"/>
          <w:iCs w:val="1"/>
          <w:color w:val="auto"/>
        </w:rPr>
        <w:t>Specific Terms.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terms shall have the meanings indicated below or in the referenced Section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unless the context shall clearly indicate otherwise:</w:t>
      </w:r>
    </w:p>
    <w:p>
      <w:pPr>
        <w:spacing w:after="0" w:line="2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when used with respect to any specified Person, any other Person directly or indirectly controlling, controlled by or under common control with, such Person. “Control” shall mean the possession, direct or indirect, of the power to direct or cause the direction of the management and policies of a Person, whether through the ownership of voting securities, by contract or otherwise, and “controlling” and “controlled” shall have meanings correlative thereto.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Standby Bond Purchase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Commitment</w:t>
      </w:r>
      <w:r>
        <w:rPr>
          <w:rFonts w:ascii="Arial" w:cs="Arial" w:eastAsia="Arial" w:hAnsi="Arial"/>
          <w:sz w:val="22"/>
          <w:szCs w:val="22"/>
          <w:color w:val="auto"/>
        </w:rPr>
        <w:t>” means, as of any day, the sum of (i) the Available Principal Commitment, (ii) the Available Interest Commitment and (iii) all third-party costs, expenses and fees related to the Series 2016 Bonds payable as Rent, in each case as of such day.</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Available Interest Commitment</w:t>
      </w:r>
      <w:r>
        <w:rPr>
          <w:rFonts w:ascii="Arial" w:cs="Arial" w:eastAsia="Arial" w:hAnsi="Arial"/>
          <w:sz w:val="21"/>
          <w:szCs w:val="21"/>
          <w:color w:val="auto"/>
        </w:rPr>
        <w:t>” means an amount equal to interest that accrues pursuant to the Indenture on the Series 2016 Bonds to the First Initial Bonds Remarketing Date thereof (after the allowable application of capitalized interest with respect thereto and after giving effect to any interest previously paid) and, if not then repurchased with proceeds of a Remarketing in whole, thereafter until so purchased or redeemed or paid in full. The Available Interest Commitment may be adjusted from time to time downward by an amount that bears the same proportion to such amount as the amount of a reduction in the Available Principal Commitment pursuant to the definition of “Available Principal Commitment” bears to the Available Principal Commitment prior to such reduction. Any adjustments pursuant to the previous sentence shall occur simultaneously with the event requiring such adjustment.</w:t>
      </w:r>
    </w:p>
    <w:p>
      <w:pPr>
        <w:spacing w:after="0" w:line="18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Principal Commitment</w:t>
      </w:r>
      <w:r>
        <w:rPr>
          <w:rFonts w:ascii="Arial" w:cs="Arial" w:eastAsia="Arial" w:hAnsi="Arial"/>
          <w:sz w:val="19"/>
          <w:szCs w:val="19"/>
          <w:color w:val="auto"/>
        </w:rPr>
        <w:t>” means, initially, ONE HUNDRED FORTY-FOUR MILLION, TWO HUNDRED THOUSAND DOLLARS ($144,200,000), and thereafter shall mean such initial amount adjusted from time to time as follows:</w:t>
      </w:r>
    </w:p>
    <w:p>
      <w:pPr>
        <w:spacing w:after="0" w:line="105"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Upon any reduction in the Available Principal Commitment pursuant to Section 2.03, downward by the amount of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reduction;</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Downward by the principal amount of any Series 2016 Bonds purchased by a Purchaser pursuant to Section 2.01; and</w:t>
      </w:r>
    </w:p>
    <w:p>
      <w:pPr>
        <w:spacing w:after="0" w:line="267" w:lineRule="exact"/>
        <w:rPr>
          <w:rFonts w:ascii="Arial" w:cs="Arial" w:eastAsia="Arial" w:hAnsi="Arial"/>
          <w:sz w:val="19"/>
          <w:szCs w:val="19"/>
          <w:color w:val="auto"/>
        </w:rPr>
      </w:pPr>
    </w:p>
    <w:p>
      <w:pPr>
        <w:ind w:firstLine="656"/>
        <w:spacing w:after="0" w:line="276" w:lineRule="auto"/>
        <w:tabs>
          <w:tab w:leader="none" w:pos="109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Downward by the principal amount of any Series 2016 Bonds repurchased with proceeds of a Remarketing, redeemed or defeased to a date on or before the First Initial Bonds Remarketing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299" w:name="page300"/>
    <w:bookmarkEnd w:id="299"/>
    <w:p>
      <w:pPr>
        <w:jc w:val="both"/>
        <w:ind w:firstLine="648"/>
        <w:spacing w:after="0" w:line="263" w:lineRule="auto"/>
        <w:rPr>
          <w:sz w:val="20"/>
          <w:szCs w:val="20"/>
          <w:color w:val="auto"/>
        </w:rPr>
      </w:pPr>
      <w:r>
        <w:rPr>
          <w:rFonts w:ascii="Arial" w:cs="Arial" w:eastAsia="Arial" w:hAnsi="Arial"/>
          <w:sz w:val="22"/>
          <w:szCs w:val="22"/>
          <w:color w:val="auto"/>
        </w:rPr>
        <w:t>Any adjustment to the Available Principal Commitment pursuant to clause (a), (b) or (c) above shall occur simultaneously with the occurrence of the events described in such clauses.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Bond Financed Property</w:t>
      </w:r>
      <w:r>
        <w:rPr>
          <w:rFonts w:ascii="Arial" w:cs="Arial" w:eastAsia="Arial" w:hAnsi="Arial"/>
          <w:sz w:val="22"/>
          <w:szCs w:val="22"/>
          <w:color w:val="auto"/>
        </w:rPr>
        <w:t>” has the meaning assigned to that term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Bondholders</w:t>
      </w:r>
      <w:r>
        <w:rPr>
          <w:rFonts w:ascii="Arial" w:cs="Arial" w:eastAsia="Arial" w:hAnsi="Arial"/>
          <w:sz w:val="22"/>
          <w:szCs w:val="22"/>
          <w:color w:val="auto"/>
        </w:rPr>
        <w:t>” means the registered owners of the Series 2016 Bonds.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has the meaning assigned to that term in the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Call Agreement</w:t>
      </w:r>
      <w:r>
        <w:rPr>
          <w:rFonts w:ascii="Arial" w:cs="Arial" w:eastAsia="Arial" w:hAnsi="Arial"/>
          <w:sz w:val="22"/>
          <w:szCs w:val="22"/>
          <w:color w:val="auto"/>
        </w:rPr>
        <w:t>” means the Capital Call Agreement, dated as of February 1, 2016, among Fortress Transportation and Infrastructure Investors LLC, its subsidiaries party thereto and Jefferson Holdings.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means ___________, 2016, or such later date on which this Agreement is fully executed and delivered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 effective pursuant to Section 3.01.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Service Fund</w:t>
      </w:r>
      <w:r>
        <w:rPr>
          <w:rFonts w:ascii="Arial" w:cs="Arial" w:eastAsia="Arial" w:hAnsi="Arial"/>
          <w:sz w:val="22"/>
          <w:szCs w:val="22"/>
          <w:color w:val="auto"/>
        </w:rPr>
        <w:t>” has the meaning stated in the Indenture.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District</w:t>
      </w:r>
      <w:r>
        <w:rPr>
          <w:rFonts w:ascii="Arial" w:cs="Arial" w:eastAsia="Arial" w:hAnsi="Arial"/>
          <w:sz w:val="22"/>
          <w:szCs w:val="22"/>
          <w:color w:val="auto"/>
        </w:rPr>
        <w:t>” has the meaning assigned to that term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DTC</w:t>
      </w:r>
      <w:r>
        <w:rPr>
          <w:rFonts w:ascii="Arial" w:cs="Arial" w:eastAsia="Arial" w:hAnsi="Arial"/>
          <w:sz w:val="22"/>
          <w:szCs w:val="22"/>
          <w:color w:val="auto"/>
        </w:rPr>
        <w:t>” has the meaning assigned to that term in Section 2.02(a).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Initial Bonds Remarketing Date</w:t>
      </w:r>
      <w:r>
        <w:rPr>
          <w:rFonts w:ascii="Arial" w:cs="Arial" w:eastAsia="Arial" w:hAnsi="Arial"/>
          <w:sz w:val="22"/>
          <w:szCs w:val="22"/>
          <w:color w:val="auto"/>
        </w:rPr>
        <w:t>” has the meaning assigned to that term in the Indenture (as in effect on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has the meaning assigned to that term in the recitals to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Component</w:t>
      </w:r>
      <w:r>
        <w:rPr>
          <w:rFonts w:ascii="Arial" w:cs="Arial" w:eastAsia="Arial" w:hAnsi="Arial"/>
          <w:sz w:val="22"/>
          <w:szCs w:val="22"/>
          <w:color w:val="auto"/>
        </w:rPr>
        <w:t>” means that portion of the aggregate Purchase Price for all Series 2016 Bonds that constitutes accrued and unpaid interest on the Series 2016 Bonds.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Jefferson Holdings LLC Agreement</w:t>
      </w:r>
      <w:r>
        <w:rPr>
          <w:rFonts w:ascii="Arial" w:cs="Arial" w:eastAsia="Arial" w:hAnsi="Arial"/>
          <w:sz w:val="22"/>
          <w:szCs w:val="22"/>
          <w:color w:val="auto"/>
        </w:rPr>
        <w:t>” means the Amended and Restated Limited Liability Company Agreement of Jefferson Railport Terminal II Holdings LLC, dated as of the Closing Date, by and among FTAI Energy Partners LLC and the initial Independent Manager (as defined therein).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Jefferson Holdings Obligations</w:t>
      </w:r>
      <w:r>
        <w:rPr>
          <w:rFonts w:ascii="Arial" w:cs="Arial" w:eastAsia="Arial" w:hAnsi="Arial"/>
          <w:sz w:val="22"/>
          <w:szCs w:val="22"/>
          <w:color w:val="auto"/>
        </w:rPr>
        <w:t>” has the meaning assigned to that term in Section 2.04.</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 individual, a corporation, a partnership, an association, an agency, an authority, a joint venture, a trust, a business trust, a limited liability company or any other entity or organization, including a governmental entity or political subdivision or an agency or instrumentality thereof.</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Principal Component</w:t>
      </w:r>
      <w:r>
        <w:rPr>
          <w:rFonts w:ascii="Arial" w:cs="Arial" w:eastAsia="Arial" w:hAnsi="Arial"/>
          <w:sz w:val="22"/>
          <w:szCs w:val="22"/>
          <w:color w:val="auto"/>
        </w:rPr>
        <w:t>” means that portion of the aggregate Purchase Price for all Series 2016 Bonds that constitutes principal of the Series 2016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4" w:right="239" w:bottom="1440" w:gutter="0" w:footer="0" w:header="0"/>
        </w:sectPr>
      </w:pPr>
    </w:p>
    <w:bookmarkStart w:id="300" w:name="page301"/>
    <w:bookmarkEnd w:id="300"/>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 Notice</w:t>
      </w:r>
      <w:r>
        <w:rPr>
          <w:rFonts w:ascii="Arial" w:cs="Arial" w:eastAsia="Arial" w:hAnsi="Arial"/>
          <w:sz w:val="19"/>
          <w:szCs w:val="19"/>
          <w:color w:val="auto"/>
        </w:rPr>
        <w:t>” means the written notice to be provided by the Trustee to the Purchasers in accordance with Section 7.02 hereof and the provisions of the Indenture in the event that there are insufficient moneys on the First Initial Bonds Remarketing Date to provide for the purchase of the Series 2016 Bonds from the Bondholders at the Purchase Price.</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means, with respect to any Series 2016 Bond as of the First Initial Bonds Remarketing Date, one hundred percent of the principal amount of such Series 2016 Bond plus accrued and unpaid interest thereon to the First Initial Bonds Remarketing Date, but in no event to exceed the Available Commitment.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means each of Jefferson Railport and Jefferson Holdings in their respective capacities as purchasers under this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Documents</w:t>
      </w:r>
      <w:r>
        <w:rPr>
          <w:rFonts w:ascii="Arial" w:cs="Arial" w:eastAsia="Arial" w:hAnsi="Arial"/>
          <w:sz w:val="22"/>
          <w:szCs w:val="22"/>
          <w:color w:val="auto"/>
        </w:rPr>
        <w:t>” means this Agreement, the Resolution, the Series 2016 Bonds, the Indenture, the Tax Certificate (as defined in the Indenture), the Ground Lease, the Jefferson Railport Deed of Trust, the SNDA (as defined in the Indenture), the Facilities Lease, the Assignment (as defined in the Indenture) and the Capital Call Agreement, including any exhibits, instruments or certificates relating to any thereof.</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Remarketing</w:t>
      </w:r>
      <w:r>
        <w:rPr>
          <w:rFonts w:ascii="Arial" w:cs="Arial" w:eastAsia="Arial" w:hAnsi="Arial"/>
          <w:sz w:val="22"/>
          <w:szCs w:val="22"/>
          <w:color w:val="auto"/>
        </w:rPr>
        <w:t>” means a remarketing of the Series 2016 Bonds by a Remarketing Agent (as defined in the Indenture) on the First Initial Bonds Remarketing Date (as defined in the Indenture) in accordance with the terms of the Indenture and the Series 2016 Bonds.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Rent</w:t>
      </w:r>
      <w:r>
        <w:rPr>
          <w:rFonts w:ascii="Arial" w:cs="Arial" w:eastAsia="Arial" w:hAnsi="Arial"/>
          <w:sz w:val="22"/>
          <w:szCs w:val="22"/>
          <w:color w:val="auto"/>
        </w:rPr>
        <w:t>” has the meaning assigned to that term in the Facilities Lease.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Resolution</w:t>
      </w:r>
      <w:r>
        <w:rPr>
          <w:rFonts w:ascii="Arial" w:cs="Arial" w:eastAsia="Arial" w:hAnsi="Arial"/>
          <w:sz w:val="22"/>
          <w:szCs w:val="22"/>
          <w:color w:val="auto"/>
        </w:rPr>
        <w:t>” has the meaning assigned to that term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2016 Bonds</w:t>
      </w:r>
      <w:r>
        <w:rPr>
          <w:rFonts w:ascii="Arial" w:cs="Arial" w:eastAsia="Arial" w:hAnsi="Arial"/>
          <w:sz w:val="22"/>
          <w:szCs w:val="22"/>
          <w:color w:val="auto"/>
        </w:rPr>
        <w:t>” has the meaning assigned to that term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State</w:t>
      </w:r>
      <w:r>
        <w:rPr>
          <w:rFonts w:ascii="Arial" w:cs="Arial" w:eastAsia="Arial" w:hAnsi="Arial"/>
          <w:sz w:val="22"/>
          <w:szCs w:val="22"/>
          <w:color w:val="auto"/>
        </w:rPr>
        <w:t>” means the State of Texas.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 means The Bank of New York Mellon Trust Company, National Association, in its capacity as Trustee for the benefit of the owners of the Series 2016 Bonds under the Indenture, and any permitted successor thereunder.</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Written</w:t>
      </w:r>
      <w:r>
        <w:rPr>
          <w:rFonts w:ascii="Arial" w:cs="Arial" w:eastAsia="Arial" w:hAnsi="Arial"/>
          <w:sz w:val="22"/>
          <w:szCs w:val="22"/>
          <w:color w:val="auto"/>
        </w:rPr>
        <w:t>” or “</w:t>
      </w:r>
      <w:r>
        <w:rPr>
          <w:rFonts w:ascii="Arial" w:cs="Arial" w:eastAsia="Arial" w:hAnsi="Arial"/>
          <w:sz w:val="22"/>
          <w:szCs w:val="22"/>
          <w:b w:val="1"/>
          <w:bCs w:val="1"/>
          <w:i w:val="1"/>
          <w:iCs w:val="1"/>
          <w:color w:val="auto"/>
        </w:rPr>
        <w:t>in Writing</w:t>
      </w:r>
      <w:r>
        <w:rPr>
          <w:rFonts w:ascii="Arial" w:cs="Arial" w:eastAsia="Arial" w:hAnsi="Arial"/>
          <w:sz w:val="22"/>
          <w:szCs w:val="22"/>
          <w:color w:val="auto"/>
        </w:rPr>
        <w:t>” means any form of written communication or a communication by means of a scanned portable document file (pdf) attached to an e-mail with electronic confirmation of delivery.</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b w:val="1"/>
          <w:bCs w:val="1"/>
          <w:i w:val="1"/>
          <w:iCs w:val="1"/>
          <w:color w:val="auto"/>
        </w:rPr>
        <w:t>Incorporation of Certain Definitions by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Each capitalized term used herein and not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herein shall have the meaning provided therefor in the Indenture or the Series 2016 Bonds, as applicable, unless the context otherwise requires.</w:t>
      </w:r>
    </w:p>
    <w:p>
      <w:pPr>
        <w:spacing w:after="0" w:line="2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b w:val="1"/>
          <w:bCs w:val="1"/>
          <w:i w:val="1"/>
          <w:iCs w:val="1"/>
          <w:color w:val="auto"/>
        </w:rPr>
        <w:t>Accounting Matters</w:t>
      </w:r>
      <w:r>
        <w:rPr>
          <w:rFonts w:ascii="Arial" w:cs="Arial" w:eastAsia="Arial" w:hAnsi="Arial"/>
          <w:sz w:val="22"/>
          <w:szCs w:val="22"/>
          <w:color w:val="auto"/>
        </w:rPr>
        <w:t>. All accounting terms used herein without definition shall be interpreted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generally accepted accounting principles in the United States of America, consistently applied, and, except as otherwise expressly provided herein, all accounting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301" w:name="page302"/>
    <w:bookmarkEnd w:id="301"/>
    <w:p>
      <w:pPr>
        <w:jc w:val="both"/>
        <w:spacing w:after="0" w:line="263" w:lineRule="auto"/>
        <w:rPr>
          <w:sz w:val="20"/>
          <w:szCs w:val="20"/>
          <w:color w:val="auto"/>
        </w:rPr>
      </w:pPr>
      <w:r>
        <w:rPr>
          <w:rFonts w:ascii="Arial" w:cs="Arial" w:eastAsia="Arial" w:hAnsi="Arial"/>
          <w:sz w:val="22"/>
          <w:szCs w:val="22"/>
          <w:color w:val="auto"/>
        </w:rPr>
        <w:t>determinations required to be made pursuant to this Agreement shall be made in accordance with generally accepted accounting principles in the United States of America, consistently applied.</w:t>
      </w:r>
    </w:p>
    <w:p>
      <w:pPr>
        <w:spacing w:after="0" w:line="2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1.04. </w:t>
      </w:r>
      <w:r>
        <w:rPr>
          <w:rFonts w:ascii="Arial" w:cs="Arial" w:eastAsia="Arial" w:hAnsi="Arial"/>
          <w:sz w:val="22"/>
          <w:szCs w:val="22"/>
          <w:b w:val="1"/>
          <w:bCs w:val="1"/>
          <w:i w:val="1"/>
          <w:iCs w:val="1"/>
          <w:color w:val="auto"/>
        </w:rPr>
        <w:t>Computation of Time Periods</w:t>
      </w:r>
      <w:r>
        <w:rPr>
          <w:rFonts w:ascii="Arial" w:cs="Arial" w:eastAsia="Arial" w:hAnsi="Arial"/>
          <w:sz w:val="22"/>
          <w:szCs w:val="22"/>
          <w:color w:val="auto"/>
        </w:rPr>
        <w:t>. In this Agreement, in the computation of a period of time from a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date to a later specified date, unless otherwise specified herein, the word “from” means “from and including” and the words “to” and “until” each mean “to but excluding.”</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1.05. </w:t>
      </w:r>
      <w:r>
        <w:rPr>
          <w:rFonts w:ascii="Arial" w:cs="Arial" w:eastAsia="Arial" w:hAnsi="Arial"/>
          <w:sz w:val="22"/>
          <w:szCs w:val="22"/>
          <w:b w:val="1"/>
          <w:bCs w:val="1"/>
          <w:i w:val="1"/>
          <w:iCs w:val="1"/>
          <w:color w:val="auto"/>
        </w:rPr>
        <w:t>New York City Time Presumption</w:t>
      </w:r>
      <w:r>
        <w:rPr>
          <w:rFonts w:ascii="Arial" w:cs="Arial" w:eastAsia="Arial" w:hAnsi="Arial"/>
          <w:sz w:val="22"/>
          <w:szCs w:val="22"/>
          <w:color w:val="auto"/>
        </w:rPr>
        <w:t>. All references herein to times of the day shall be presumed to refer to</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City time unless otherwise specified.</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b w:val="1"/>
          <w:bCs w:val="1"/>
          <w:i w:val="1"/>
          <w:iCs w:val="1"/>
          <w:color w:val="auto"/>
        </w:rPr>
        <w:t>Relation to Other Documents</w:t>
      </w:r>
      <w:r>
        <w:rPr>
          <w:rFonts w:ascii="Arial" w:cs="Arial" w:eastAsia="Arial" w:hAnsi="Arial"/>
          <w:sz w:val="22"/>
          <w:szCs w:val="22"/>
          <w:color w:val="auto"/>
        </w:rPr>
        <w:t>. Nothing in this Agreement shall be deemed to amend or relieve any party</w:t>
      </w:r>
      <w:r>
        <w:rPr>
          <w:rFonts w:ascii="Arial" w:cs="Arial" w:eastAsia="Arial" w:hAnsi="Arial"/>
          <w:sz w:val="22"/>
          <w:szCs w:val="22"/>
          <w:b w:val="1"/>
          <w:bCs w:val="1"/>
          <w:color w:val="auto"/>
        </w:rPr>
        <w:t xml:space="preserve"> </w:t>
      </w:r>
      <w:r>
        <w:rPr>
          <w:rFonts w:ascii="Arial" w:cs="Arial" w:eastAsia="Arial" w:hAnsi="Arial"/>
          <w:sz w:val="22"/>
          <w:szCs w:val="22"/>
          <w:color w:val="auto"/>
        </w:rPr>
        <w:t>hereto of any of its obligations under any Related Document to which such party is a party.</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Section 1.07. </w:t>
      </w:r>
      <w:r>
        <w:rPr>
          <w:rFonts w:ascii="Arial" w:cs="Arial" w:eastAsia="Arial" w:hAnsi="Arial"/>
          <w:sz w:val="21"/>
          <w:szCs w:val="21"/>
          <w:b w:val="1"/>
          <w:bCs w:val="1"/>
          <w:i w:val="1"/>
          <w:iCs w:val="1"/>
          <w:color w:val="auto"/>
        </w:rPr>
        <w:t>Interpretation</w:t>
      </w:r>
      <w:r>
        <w:rPr>
          <w:rFonts w:ascii="Arial" w:cs="Arial" w:eastAsia="Arial" w:hAnsi="Arial"/>
          <w:sz w:val="21"/>
          <w:szCs w:val="21"/>
          <w:color w:val="auto"/>
        </w:rPr>
        <w:t>. All words used herein shall be construed to be of such gender or number as the</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require. Reference herein to any document means such document as amended, modified or supplemented from time to time as permitted under its terms and the terms hereof. Reference herein to an Article, Exhibit or Section shall constitute a reference to such Article, Exhibit or Section of or to this Agreement unless otherwise specified.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COMMITMENT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2.01. </w:t>
      </w:r>
      <w:r>
        <w:rPr>
          <w:rFonts w:ascii="Arial" w:cs="Arial" w:eastAsia="Arial" w:hAnsi="Arial"/>
          <w:sz w:val="19"/>
          <w:szCs w:val="19"/>
          <w:b w:val="1"/>
          <w:bCs w:val="1"/>
          <w:i w:val="1"/>
          <w:iCs w:val="1"/>
          <w:color w:val="auto"/>
        </w:rPr>
        <w:t>Commitment to Purchase Series 2016 Bonds</w:t>
      </w:r>
      <w:r>
        <w:rPr>
          <w:rFonts w:ascii="Arial" w:cs="Arial" w:eastAsia="Arial" w:hAnsi="Arial"/>
          <w:sz w:val="19"/>
          <w:szCs w:val="19"/>
          <w:color w:val="auto"/>
        </w:rPr>
        <w:t>. Subject to the terms and conditions of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Purchasers hereby agree jointly and severally to purchase all Series 2016 Bonds at the Purchase Price on the date specified in Section 2.02 below to the extent that the Series 2016 Bonds have not been repurchased with proceeds of a Remarketing, redeemed or defeased to a date on or before the First Initial Bonds Remarketing Date. The Principal Component of the Purchase Price so to be paid for Series 2016 Bonds on the First Initial Bonds Remarketing Date shall not exceed the lesser of (i) 100% of the principal amount of such Series 2016 Bonds and (ii) the Available Principal Commitment (calculated, in each case, without giving effect to any purchase of Series 2016 Bonds by a Purchaser on such date) at 11:00 a.m. (New York time) on such First Initial Bonds Remarketing Date. The Interest Component of the Purchase Price so to be paid for Series 2016 Bonds on the First Initial Bonds Remarketing Date shall not exceed the Available Interest Commitment (calculated, in each case, without giving effect to any purchase of Series 2016 Bonds by a Purchaser on such date) at 11:00 a.m. (New York time) on such First Initial Bonds Remarketing Date. The obligation to purchase the Series 2016 Bonds shall be absolute and unconditional, and shall not be deemed to be a best-efforts obligation. In no event shall the District be obligated to provide any additional funds for the payment of the Purchase Price of the Series 2016 Bonds.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302" w:name="page303"/>
    <w:bookmarkEnd w:id="302"/>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9"/>
          <w:szCs w:val="19"/>
          <w:b w:val="1"/>
          <w:bCs w:val="1"/>
          <w:i w:val="1"/>
          <w:iCs w:val="1"/>
          <w:color w:val="auto"/>
        </w:rPr>
        <w:t>Method of Purchasing.</w:t>
      </w:r>
    </w:p>
    <w:p>
      <w:pPr>
        <w:spacing w:after="0" w:line="347" w:lineRule="exact"/>
        <w:rPr>
          <w:sz w:val="20"/>
          <w:szCs w:val="20"/>
          <w:color w:val="auto"/>
        </w:rPr>
      </w:pPr>
    </w:p>
    <w:p>
      <w:pPr>
        <w:jc w:val="both"/>
        <w:ind w:firstLine="656"/>
        <w:spacing w:after="0" w:line="285" w:lineRule="auto"/>
        <w:tabs>
          <w:tab w:leader="none" w:pos="1095" w:val="left"/>
        </w:tabs>
        <w:numPr>
          <w:ilvl w:val="0"/>
          <w:numId w:val="229"/>
        </w:numPr>
        <w:rPr>
          <w:rFonts w:ascii="Arial" w:cs="Arial" w:eastAsia="Arial" w:hAnsi="Arial"/>
          <w:sz w:val="19"/>
          <w:szCs w:val="19"/>
          <w:color w:val="auto"/>
        </w:rPr>
      </w:pPr>
      <w:r>
        <w:rPr>
          <w:rFonts w:ascii="Arial" w:cs="Arial" w:eastAsia="Arial" w:hAnsi="Arial"/>
          <w:sz w:val="19"/>
          <w:szCs w:val="19"/>
          <w:b w:val="1"/>
          <w:bCs w:val="1"/>
          <w:i w:val="1"/>
          <w:iCs w:val="1"/>
          <w:color w:val="auto"/>
        </w:rPr>
        <w:t>Notice of Purchase</w:t>
      </w:r>
      <w:r>
        <w:rPr>
          <w:rFonts w:ascii="Arial" w:cs="Arial" w:eastAsia="Arial" w:hAnsi="Arial"/>
          <w:sz w:val="19"/>
          <w:szCs w:val="19"/>
          <w:color w:val="auto"/>
        </w:rPr>
        <w:t>. If the Purchasers receive from the Trustee a Purchase Notice pursuant to Section 7.02 hereof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provisions of the Indenture not later than 12:00 p.m. (New York time) on the First Initial Bonds Remarketing Date or any subsequent date, the Purchasers shall, subject to satisfaction of the requirements of Article III hereof, transfer to the Trustee not later than 2:00 p.m. (New York time) on the First Initial Bonds Remarketing Date or such subsequent date, as applicable, in immediately available funds, an amount equal to (i) the aggregate Purchase Price of all Series 2016 Bonds tendered or deemed tendered for purchase on or before such date, less (ii) proceeds deposited or to be deposited in the Remarketing Account (as such term is defined in the Indenture) from a Remarketing in accordance with the Indenture, if any, less (iii) any monies deposited in the Reserve Fund (as such term is defined in the Indenture) and transferred into the Initial Bonds Standby Bond Purchase Account (as such term is defined in the Indenture) pursuant to Section 2.17(d)(i) of the Indenture. If, pursuant to Section 7.02 hereof and the provisions of the Indenture, the Purchasers receive from the Trustee a Purchase Notice later than 12:00 p.m. (New York time) on the First Initial Bonds Remarketing Date or any subsequent date, the Purchasers shall, subject to satisfaction of the requirements of Article III hereof, transfer to the Trustee not later than 2:00 p.m. (New York time) on the immediately succeeding Business Day, in immediately available funds, an amount equal to (i) the aggregate Purchase Price of all Series 2016 Bonds tendered or deemed tendered for purchase on or before such date, less (ii) proceeds deposited or to be deposited in the Remarketing Account (as such term is defined in the Indenture) from a Remarketing in accordance with the Indenture, if any, less (iii) any monies deposited in the Reserve Fund (as such term is defined in the Indenture) and transferred into the Initial Bonds Standby Bond Purchase Account (as such term is defined in the Indenture) pursuant to Section 2.17(d)(i) of the Indenture. The Trustee shall also provide telephonic notice to the Purchasers of the delivery of such Purchase Notice at the telephone number for such notice set forth in Section 7.02. A Purchase Notice shall be irrevocable after delivery thereof by the Trustee. Neither the Purchasers nor the District shall have any responsibility for, nor incur any liability in respect of, any act or any failure to act by the Trustee that results in the Trustee’s failure to effect the purchase of Series 2016 Bonds with funds provided pursuant to this Section 2.02(a).</w:t>
      </w:r>
    </w:p>
    <w:p>
      <w:pPr>
        <w:spacing w:after="0" w:line="169" w:lineRule="exact"/>
        <w:rPr>
          <w:rFonts w:ascii="Arial" w:cs="Arial" w:eastAsia="Arial" w:hAnsi="Arial"/>
          <w:sz w:val="19"/>
          <w:szCs w:val="19"/>
          <w:color w:val="auto"/>
        </w:rPr>
      </w:pPr>
    </w:p>
    <w:p>
      <w:pPr>
        <w:jc w:val="both"/>
        <w:ind w:firstLine="656"/>
        <w:spacing w:after="0" w:line="254" w:lineRule="auto"/>
        <w:tabs>
          <w:tab w:leader="none" w:pos="1094" w:val="left"/>
        </w:tabs>
        <w:numPr>
          <w:ilvl w:val="0"/>
          <w:numId w:val="229"/>
        </w:numPr>
        <w:rPr>
          <w:rFonts w:ascii="Arial" w:cs="Arial" w:eastAsia="Arial" w:hAnsi="Arial"/>
          <w:sz w:val="22"/>
          <w:szCs w:val="22"/>
          <w:color w:val="auto"/>
        </w:rPr>
      </w:pPr>
      <w:r>
        <w:rPr>
          <w:rFonts w:ascii="Arial" w:cs="Arial" w:eastAsia="Arial" w:hAnsi="Arial"/>
          <w:sz w:val="22"/>
          <w:szCs w:val="22"/>
          <w:b w:val="1"/>
          <w:bCs w:val="1"/>
          <w:i w:val="1"/>
          <w:iCs w:val="1"/>
          <w:color w:val="auto"/>
        </w:rPr>
        <w:t>Remittance of Extra Funds</w:t>
      </w:r>
      <w:r>
        <w:rPr>
          <w:rFonts w:ascii="Arial" w:cs="Arial" w:eastAsia="Arial" w:hAnsi="Arial"/>
          <w:sz w:val="22"/>
          <w:szCs w:val="22"/>
          <w:color w:val="auto"/>
        </w:rPr>
        <w:t>. In the event that any funds paid by a Purchaser to the Trustee pursuant to Section 2.02(a)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not be required to be applied to purchase Series 2016 Bonds as provided herein, such funds shall be returned to the Purchaser by wiring such funds promptly by the Trustee and, until so returned, shall be held in trust by the Trustee for the account of such Purchaser.</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Section 2.03. </w:t>
      </w:r>
      <w:r>
        <w:rPr>
          <w:rFonts w:ascii="Arial" w:cs="Arial" w:eastAsia="Arial" w:hAnsi="Arial"/>
          <w:sz w:val="21"/>
          <w:szCs w:val="21"/>
          <w:b w:val="1"/>
          <w:bCs w:val="1"/>
          <w:i w:val="1"/>
          <w:iCs w:val="1"/>
          <w:color w:val="auto"/>
        </w:rPr>
        <w:t>Mandatory Reductions of Available Principal Commitment.</w:t>
      </w:r>
      <w:r>
        <w:rPr>
          <w:rFonts w:ascii="Arial" w:cs="Arial" w:eastAsia="Arial" w:hAnsi="Arial"/>
          <w:sz w:val="21"/>
          <w:szCs w:val="21"/>
          <w:b w:val="1"/>
          <w:bCs w:val="1"/>
          <w:color w:val="auto"/>
        </w:rPr>
        <w:t xml:space="preserve"> </w:t>
      </w:r>
      <w:r>
        <w:rPr>
          <w:rFonts w:ascii="Arial" w:cs="Arial" w:eastAsia="Arial" w:hAnsi="Arial"/>
          <w:sz w:val="21"/>
          <w:szCs w:val="21"/>
          <w:color w:val="auto"/>
        </w:rPr>
        <w:t>Upon any repurchase of Series 2016 Bonds</w:t>
      </w:r>
      <w:r>
        <w:rPr>
          <w:rFonts w:ascii="Arial" w:cs="Arial" w:eastAsia="Arial" w:hAnsi="Arial"/>
          <w:sz w:val="21"/>
          <w:szCs w:val="21"/>
          <w:b w:val="1"/>
          <w:bCs w:val="1"/>
          <w:color w:val="auto"/>
        </w:rPr>
        <w:t xml:space="preserve"> </w:t>
      </w:r>
      <w:r>
        <w:rPr>
          <w:rFonts w:ascii="Arial" w:cs="Arial" w:eastAsia="Arial" w:hAnsi="Arial"/>
          <w:sz w:val="21"/>
          <w:szCs w:val="21"/>
          <w:color w:val="auto"/>
        </w:rPr>
        <w:t>with proceeds of a Remarketing, a redemption of Series 2016 Bonds or a defeasance of Series 2016 Bonds to a date on or prior to the Initial Bonds Remarketing Date, the aggregate Available Principal Commitment shall be reduced, upon receipt by a Purchaser of Written notice of such occurrence from the Trustee, by the principal amount of the Series 2016 Bonds so repurchased, redeemed or defeased, as specified in such Written notice. Upon the Trustee obtaining knowledge of any of the foregoing, the Trustee shall promptly provide written notice of such occurrence to each Purchaser.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8" w:right="239" w:bottom="1440" w:gutter="0" w:footer="0" w:header="0"/>
        </w:sectPr>
      </w:pPr>
    </w:p>
    <w:bookmarkStart w:id="303" w:name="page304"/>
    <w:bookmarkEnd w:id="303"/>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2.04. </w:t>
      </w:r>
      <w:r>
        <w:rPr>
          <w:rFonts w:ascii="Arial" w:cs="Arial" w:eastAsia="Arial" w:hAnsi="Arial"/>
          <w:sz w:val="21"/>
          <w:szCs w:val="21"/>
          <w:b w:val="1"/>
          <w:bCs w:val="1"/>
          <w:i w:val="1"/>
          <w:iCs w:val="1"/>
          <w:color w:val="auto"/>
        </w:rPr>
        <w:t>Guaranty of the Series 2016 Bonds and Rent</w:t>
      </w:r>
      <w:r>
        <w:rPr>
          <w:rFonts w:ascii="Arial" w:cs="Arial" w:eastAsia="Arial" w:hAnsi="Arial"/>
          <w:sz w:val="21"/>
          <w:szCs w:val="21"/>
          <w:color w:val="auto"/>
        </w:rPr>
        <w:t>. (a) Jefferson Holdings hereby absolutely and unconditionally</w:t>
      </w:r>
      <w:r>
        <w:rPr>
          <w:rFonts w:ascii="Arial" w:cs="Arial" w:eastAsia="Arial" w:hAnsi="Arial"/>
          <w:sz w:val="21"/>
          <w:szCs w:val="21"/>
          <w:b w:val="1"/>
          <w:bCs w:val="1"/>
          <w:color w:val="auto"/>
        </w:rPr>
        <w:t xml:space="preserve"> </w:t>
      </w:r>
      <w:r>
        <w:rPr>
          <w:rFonts w:ascii="Arial" w:cs="Arial" w:eastAsia="Arial" w:hAnsi="Arial"/>
          <w:sz w:val="21"/>
          <w:szCs w:val="21"/>
          <w:color w:val="auto"/>
        </w:rPr>
        <w:t>guarantees to the District the prompt and punctual payment, when due, of (i) principal of and premium and interest on the Series 2016 Bonds, including interest on the overdue principal of and interest on the Series 2016 Bonds, if any, if lawful, and all other monetary obligations of the District under the Indenture and the Series 2016 Bonds, on the dates and in the amounts as therein provided and (ii) each Rent payment, as provided in the Facilities Lease, on the dates and in the amounts as therein provided, in each case that is payable prior to a repurchase with proceeds of a Remarketing, a redemption, or a defeasance of all Series 2016 Bonds on or prior to the First Initial Bonds Remarking Date (collectively, the “</w:t>
      </w:r>
      <w:r>
        <w:rPr>
          <w:rFonts w:ascii="Arial" w:cs="Arial" w:eastAsia="Arial" w:hAnsi="Arial"/>
          <w:sz w:val="21"/>
          <w:szCs w:val="21"/>
          <w:b w:val="1"/>
          <w:bCs w:val="1"/>
          <w:i w:val="1"/>
          <w:iCs w:val="1"/>
          <w:color w:val="auto"/>
        </w:rPr>
        <w:t>Jefferson Holdings Obligations</w:t>
      </w:r>
      <w:r>
        <w:rPr>
          <w:rFonts w:ascii="Arial" w:cs="Arial" w:eastAsia="Arial" w:hAnsi="Arial"/>
          <w:sz w:val="21"/>
          <w:szCs w:val="21"/>
          <w:color w:val="auto"/>
        </w:rPr>
        <w:t>”). Jefferson Holdings hereby acknowledges that it has reviewed the Indenture and the Facilities Lease, and hereby acknowledges adequate consideration for its obligations under this Section 2.04.</w:t>
      </w:r>
    </w:p>
    <w:p>
      <w:pPr>
        <w:spacing w:after="0" w:line="181" w:lineRule="exact"/>
        <w:rPr>
          <w:sz w:val="20"/>
          <w:szCs w:val="20"/>
          <w:color w:val="auto"/>
        </w:rPr>
      </w:pPr>
    </w:p>
    <w:p>
      <w:pPr>
        <w:jc w:val="both"/>
        <w:ind w:firstLine="656"/>
        <w:spacing w:after="0" w:line="294" w:lineRule="auto"/>
        <w:tabs>
          <w:tab w:leader="none" w:pos="110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This is an absolute and unconditional guaranty of payment and not of collection, by Jefferson Holdings, and Jefferson Holdings waives any right to require that (a) any action be brought against Jefferson Railport or any other person or entity, (b) the Trustee proceed or enforce its rights against or exhaust any security given to secure the Jefferson Holdings Obligations, (c) the Trustee has Jefferson Railport joined with Jefferson Holdings in any suit arising out of this Section 2.04, or (d) the Trustee pursue any other remedy in the Trustee’s powers whatsoever. Jefferson Holdings also waives all suretyship defenses and defenses in the nature thereof including, without limitation, any rights pursuant to Rule 31 of the Texas Rules of Civil Procedure, Section 17.001 of the Texas Civil Practice and Remedies Code, and Chapter 43 of the Texas Civil Practice and Remedies Code.</w:t>
      </w:r>
    </w:p>
    <w:p>
      <w:pPr>
        <w:spacing w:after="0" w:line="152" w:lineRule="exact"/>
        <w:rPr>
          <w:rFonts w:ascii="Arial" w:cs="Arial" w:eastAsia="Arial" w:hAnsi="Arial"/>
          <w:sz w:val="19"/>
          <w:szCs w:val="19"/>
          <w:color w:val="auto"/>
        </w:rPr>
      </w:pPr>
    </w:p>
    <w:p>
      <w:pPr>
        <w:jc w:val="both"/>
        <w:ind w:firstLine="656"/>
        <w:spacing w:after="0" w:line="251" w:lineRule="auto"/>
        <w:tabs>
          <w:tab w:leader="none" w:pos="1163"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obligations of Jefferson Holdings under this Section 2.04 are several from those of Jefferson Railport and are primary obligations concerning which Jefferson Holdings is the principal obligor. The payment by Jefferson Holdings of any amount pursuant to this Section 2.04 shall not in any way entitle Jefferson Holdings to any right, title or interest (whether by way of subrogation or otherwise) in and to any of the Jefferson Holdings Obligations or any proceeds thereof, or any security therefor prior to the full satisfaction of the Jefferson Holdings Obligations.</w:t>
      </w:r>
    </w:p>
    <w:p>
      <w:pPr>
        <w:spacing w:after="0" w:line="189" w:lineRule="exact"/>
        <w:rPr>
          <w:rFonts w:ascii="Arial" w:cs="Arial" w:eastAsia="Arial" w:hAnsi="Arial"/>
          <w:sz w:val="22"/>
          <w:szCs w:val="22"/>
          <w:color w:val="auto"/>
        </w:rPr>
      </w:pPr>
    </w:p>
    <w:p>
      <w:pPr>
        <w:jc w:val="both"/>
        <w:ind w:firstLine="656"/>
        <w:spacing w:after="0" w:line="292" w:lineRule="auto"/>
        <w:tabs>
          <w:tab w:leader="none" w:pos="117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If Jefferson Holdings receives from the Trustee notification pursuant to Section 4.04(g) of the Indenture, Jefferson Holdings shall, subject to satisfaction of the requirements of Article III hereof, transfer to the Trustee not later than 10:00 a.m. (New York time) on the day on which any payment of principal of or premium or interest on Series 2016 Bonds shall become due, or, if the Trustee provides such notice to Jefferson Holdings later than 10:00 a.m. (New York time) the Business Day before a payment of principal, premium or interest is due or any subsequent date, the Business Day following the day on which such payment is due or such later date on which such notice is provided, as applicable, in immediately available funds, an amount equal to the amount of the deficiency in the Debt Service Fund as of such date. The Trustee shall also provide telephonic notice to Jefferson Holdings of the delivery of such notification at the telephone number for such notice set forth in Section 7.02.</w:t>
      </w:r>
    </w:p>
    <w:p>
      <w:pPr>
        <w:spacing w:after="0" w:line="155" w:lineRule="exact"/>
        <w:rPr>
          <w:rFonts w:ascii="Arial" w:cs="Arial" w:eastAsia="Arial" w:hAnsi="Arial"/>
          <w:sz w:val="19"/>
          <w:szCs w:val="19"/>
          <w:color w:val="auto"/>
        </w:rPr>
      </w:pPr>
    </w:p>
    <w:p>
      <w:pPr>
        <w:jc w:val="both"/>
        <w:ind w:firstLine="656"/>
        <w:spacing w:after="0" w:line="260" w:lineRule="auto"/>
        <w:tabs>
          <w:tab w:leader="none" w:pos="109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 the event that any funds paid by Jefferson Holdings to the Trustee pursuant to Section 2.04(a) shall not be required to be applied to pay principal of and premium and interest on the Series 2016 Bonds or a Rent payment as provided herein, such funds shall be returned to Jefferson Holdings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9" w:right="239" w:bottom="1440" w:gutter="0" w:footer="0" w:header="0"/>
        </w:sectPr>
      </w:pPr>
    </w:p>
    <w:bookmarkStart w:id="304" w:name="page305"/>
    <w:bookmarkEnd w:id="304"/>
    <w:p>
      <w:pPr>
        <w:jc w:val="both"/>
        <w:spacing w:after="0" w:line="263" w:lineRule="auto"/>
        <w:rPr>
          <w:sz w:val="20"/>
          <w:szCs w:val="20"/>
          <w:color w:val="auto"/>
        </w:rPr>
      </w:pPr>
      <w:r>
        <w:rPr>
          <w:rFonts w:ascii="Arial" w:cs="Arial" w:eastAsia="Arial" w:hAnsi="Arial"/>
          <w:sz w:val="22"/>
          <w:szCs w:val="22"/>
          <w:color w:val="auto"/>
        </w:rPr>
        <w:t>by wiring such funds as promptly as practicable by the Trustee and, until so returned, shall be held in trust by the Trustee for the account of Jefferson Holdings.</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2.05. </w:t>
      </w:r>
      <w:r>
        <w:rPr>
          <w:rFonts w:ascii="Arial" w:cs="Arial" w:eastAsia="Arial" w:hAnsi="Arial"/>
          <w:sz w:val="19"/>
          <w:szCs w:val="19"/>
          <w:b w:val="1"/>
          <w:bCs w:val="1"/>
          <w:i w:val="1"/>
          <w:iCs w:val="1"/>
          <w:color w:val="auto"/>
        </w:rPr>
        <w:t>Rights as Bondholders.</w:t>
      </w:r>
      <w:r>
        <w:rPr>
          <w:rFonts w:ascii="Arial" w:cs="Arial" w:eastAsia="Arial" w:hAnsi="Arial"/>
          <w:sz w:val="19"/>
          <w:szCs w:val="19"/>
          <w:b w:val="1"/>
          <w:bCs w:val="1"/>
          <w:color w:val="auto"/>
        </w:rPr>
        <w:t xml:space="preserve"> </w:t>
      </w:r>
      <w:r>
        <w:rPr>
          <w:rFonts w:ascii="Arial" w:cs="Arial" w:eastAsia="Arial" w:hAnsi="Arial"/>
          <w:sz w:val="19"/>
          <w:szCs w:val="19"/>
          <w:color w:val="auto"/>
        </w:rPr>
        <w:t>Upon purchasing Series 2016 Bonds, the Purchasers shall be entitled to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assigned all rights, privileges and security accorded Bondholders as provided in the Series 2016 Bonds and the Indenture, other than the right to tender such Series 2016 Bonds for purchase on the First Initial Bonds Remarketing Date pursuant to the Indenture and have such Series 2016 Bonds purchased with amounts advanced hereunder. Upon purchasing Series 2016 Bonds and registration of such Series 2016 Bonds in the name of or at the direction of the Purchasers, as provided herein, the Purchasers or other such registered owner shall be recognized by the District and the Trustee as the true and lawful beneficial owners of the Series 2016 Bonds, free from any claims, liens, security interests, equitable interests and other interests of the District or the Trustee, except as otherwise provided herein and except as such interests might exist under the terms of the Series 2016 Bonds with respect to all Bondholders. Any Purchaser that or who is a “substantial user” of the Bond Financed Property or any “related person” within the meaning of Section 147(a)(1) of the Internal Revenue Code of 1986, as amended, and the applicable Treasury Regulations promulgated thereunder, hereby acknowledges and agrees that interest on the Series 2016 Bonds is not exempt from federal income taxation while owned by such a “substantial user or “related person.”</w:t>
      </w:r>
    </w:p>
    <w:p>
      <w:pPr>
        <w:spacing w:after="0" w:line="200" w:lineRule="exact"/>
        <w:rPr>
          <w:sz w:val="20"/>
          <w:szCs w:val="20"/>
          <w:color w:val="auto"/>
        </w:rPr>
      </w:pPr>
    </w:p>
    <w:p>
      <w:pPr>
        <w:spacing w:after="0" w:line="31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CONDITIONS PRECEDENT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EFFECTIVENESS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3.01. </w:t>
      </w:r>
      <w:r>
        <w:rPr>
          <w:rFonts w:ascii="Arial" w:cs="Arial" w:eastAsia="Arial" w:hAnsi="Arial"/>
          <w:sz w:val="22"/>
          <w:szCs w:val="22"/>
          <w:b w:val="1"/>
          <w:bCs w:val="1"/>
          <w:i w:val="1"/>
          <w:iCs w:val="1"/>
          <w:color w:val="auto"/>
        </w:rPr>
        <w:t>Conditions Precedent to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become effective on the date when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Purchasers and the District shall have received each of the following which are, in form and substance, satisfactory to the Purchasers and the District and their respective counsel:</w:t>
      </w:r>
    </w:p>
    <w:p>
      <w:pPr>
        <w:spacing w:after="0" w:line="285" w:lineRule="exact"/>
        <w:rPr>
          <w:sz w:val="20"/>
          <w:szCs w:val="20"/>
          <w:color w:val="auto"/>
        </w:rPr>
      </w:pPr>
    </w:p>
    <w:p>
      <w:pPr>
        <w:ind w:left="1080" w:hanging="424"/>
        <w:spacing w:after="0"/>
        <w:tabs>
          <w:tab w:leader="none" w:pos="108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true and complete original executed counterpart of this Agreement.</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Certified copies of the resolutions of the District, Jefferson Holdings and Jefferson Railport approving this Agreement, the other Related Documents to which such Person is a party and the other matters contemplated hereby (which certificate shall state that such resolutions are in full force and effect on the Closing Date).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3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certificate of each of the District, Jefferson Holdings, Jefferson Railport and the Trustee certifying the names and true signatures of the respective officers thereof authorized to sign this Agreement and the other documents to be delivered by it hereunder.</w:t>
      </w:r>
    </w:p>
    <w:p>
      <w:pPr>
        <w:spacing w:after="0" w:line="177" w:lineRule="exact"/>
        <w:rPr>
          <w:rFonts w:ascii="Arial" w:cs="Arial" w:eastAsia="Arial" w:hAnsi="Arial"/>
          <w:sz w:val="22"/>
          <w:szCs w:val="22"/>
          <w:color w:val="auto"/>
        </w:rPr>
      </w:pPr>
    </w:p>
    <w:p>
      <w:pPr>
        <w:ind w:firstLine="656"/>
        <w:spacing w:after="0" w:line="276" w:lineRule="auto"/>
        <w:tabs>
          <w:tab w:leader="none" w:pos="1121"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copy, certified on the Closing Date by the District, of each Related Document delivered on or prior to the Closing Date and an executed original of each Related Document delivered on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4" w:right="239" w:bottom="1440" w:gutter="0" w:footer="0" w:header="0"/>
        </w:sectPr>
      </w:pPr>
    </w:p>
    <w:bookmarkStart w:id="305" w:name="page306"/>
    <w:bookmarkEnd w:id="305"/>
    <w:p>
      <w:pPr>
        <w:ind w:right="20" w:firstLine="656"/>
        <w:spacing w:after="0" w:line="276" w:lineRule="auto"/>
        <w:tabs>
          <w:tab w:leader="none" w:pos="1082"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Copies of the legal opinions rendered in connection with the issuance of the Series 2016 Bonds and the delivery of the Related Documents, confirmed as of the Closing Date.</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Payment of all amounts due and owing to the District pursuant to any of the Related Documents as of the Closing Date.</w:t>
      </w:r>
    </w:p>
    <w:p>
      <w:pPr>
        <w:spacing w:after="0" w:line="267" w:lineRule="exact"/>
        <w:rPr>
          <w:rFonts w:ascii="Arial" w:cs="Arial" w:eastAsia="Arial" w:hAnsi="Arial"/>
          <w:sz w:val="19"/>
          <w:szCs w:val="19"/>
          <w:color w:val="auto"/>
        </w:rPr>
      </w:pPr>
    </w:p>
    <w:p>
      <w:pPr>
        <w:ind w:right="20" w:firstLine="656"/>
        <w:spacing w:after="0" w:line="276" w:lineRule="auto"/>
        <w:tabs>
          <w:tab w:leader="none" w:pos="122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Such other documents, instruments, approvals and, if requested by a Purchaser, certified duplicates of executed originals thereof, and opinions as a Purchaser may reasonably request.</w:t>
      </w:r>
    </w:p>
    <w:p>
      <w:pPr>
        <w:spacing w:after="0" w:line="16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If the Purchasers waive or acknowledge satisfaction of the foregoing conditions in Writing delivered to the Trustee, then such conditions shall be deemed to have been waived by the parties hereto or satisfied for all purposes, whether or not actually satisfied.</w:t>
      </w:r>
    </w:p>
    <w:p>
      <w:pPr>
        <w:spacing w:after="0" w:line="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3.02. </w:t>
      </w:r>
      <w:r>
        <w:rPr>
          <w:rFonts w:ascii="Arial" w:cs="Arial" w:eastAsia="Arial" w:hAnsi="Arial"/>
          <w:sz w:val="19"/>
          <w:szCs w:val="19"/>
          <w:b w:val="1"/>
          <w:bCs w:val="1"/>
          <w:i w:val="1"/>
          <w:iCs w:val="1"/>
          <w:color w:val="auto"/>
        </w:rPr>
        <w:t>Conditions Precedent to Purchasers’ Obligation to Purchase Series 2016 Bonds and Jefferson Holdings’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Obligation to Make Payments in Respect of the Jefferson Holdings Obligations. </w:t>
      </w:r>
      <w:r>
        <w:rPr>
          <w:rFonts w:ascii="Arial" w:cs="Arial" w:eastAsia="Arial" w:hAnsi="Arial"/>
          <w:sz w:val="19"/>
          <w:szCs w:val="19"/>
          <w:color w:val="auto"/>
        </w:rPr>
        <w:t>The obligation of the Purchasers to purchase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Series 2016 Bonds hereunder on the First Initial Bonds Remarketing Date is subject to the delivery to the Purchasers of a Purchase Notice in the manner described in Section 2.02(a), it being understood and agreed that there are no other conditions (implied or otherwise) to the commitments hereunder, including compliance with the terms of this Agreement. The obligation of Jefferson Holdings in respect of the Jefferson Holdings Obligations is subject to the delivery of notification to Jefferson Holdings in the manner described in Section 2.04(d) and the Indenture, it being understood and agreed that there are no other conditions (implied or otherwise) to the commitments hereunder, including compliance with the terms of this Agreement.</w:t>
      </w:r>
    </w:p>
    <w:p>
      <w:pPr>
        <w:spacing w:after="0" w:line="200" w:lineRule="exact"/>
        <w:rPr>
          <w:sz w:val="20"/>
          <w:szCs w:val="20"/>
          <w:color w:val="auto"/>
        </w:rPr>
      </w:pPr>
    </w:p>
    <w:p>
      <w:pPr>
        <w:spacing w:after="0" w:line="313"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PURCHASER REPRESENTATIONS AND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Purchaser represents and warrants as of the date hereof as follows:</w:t>
      </w:r>
    </w:p>
    <w:p>
      <w:pPr>
        <w:spacing w:after="0" w:line="21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color w:val="auto"/>
        </w:rPr>
        <w:t xml:space="preserve">Section 4.01. </w:t>
      </w:r>
      <w:r>
        <w:rPr>
          <w:rFonts w:ascii="Arial" w:cs="Arial" w:eastAsia="Arial" w:hAnsi="Arial"/>
          <w:sz w:val="22"/>
          <w:szCs w:val="22"/>
          <w:b w:val="1"/>
          <w:bCs w:val="1"/>
          <w:i w:val="1"/>
          <w:iCs w:val="1"/>
          <w:color w:val="auto"/>
        </w:rPr>
        <w:t>Existence and Power.</w:t>
      </w:r>
      <w:r>
        <w:rPr>
          <w:rFonts w:ascii="Arial" w:cs="Arial" w:eastAsia="Arial" w:hAnsi="Arial"/>
          <w:sz w:val="22"/>
          <w:szCs w:val="22"/>
          <w:b w:val="1"/>
          <w:bCs w:val="1"/>
          <w:color w:val="auto"/>
        </w:rPr>
        <w:t xml:space="preserve"> </w:t>
      </w:r>
      <w:r>
        <w:rPr>
          <w:rFonts w:ascii="Arial" w:cs="Arial" w:eastAsia="Arial" w:hAnsi="Arial"/>
          <w:sz w:val="22"/>
          <w:szCs w:val="22"/>
          <w:color w:val="auto"/>
        </w:rPr>
        <w:t>Such Purchaser is duly organized as a limited liability company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 all power and authority to conduct its business as currently conducted, to own its assets and to enter into and satisfy its obligations under this Agreement.</w:t>
      </w:r>
    </w:p>
    <w:p>
      <w:pPr>
        <w:spacing w:after="0" w:line="2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4.02. </w:t>
      </w:r>
      <w:r>
        <w:rPr>
          <w:rFonts w:ascii="Arial" w:cs="Arial" w:eastAsia="Arial" w:hAnsi="Arial"/>
          <w:sz w:val="22"/>
          <w:szCs w:val="22"/>
          <w:b w:val="1"/>
          <w:bCs w:val="1"/>
          <w:i w:val="1"/>
          <w:iCs w:val="1"/>
          <w:color w:val="auto"/>
        </w:rPr>
        <w:t>Noncontravention.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and delivery by such Purchaser of this Agreement and the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hereunder will not violate any existing law, rule, regulation, order, writ, judgment, injunction, decree or award binding on such Purchaser, or result in a breach of any of the terms of, or constitute a default under or result in the creation or imposition of any lien on any of its property pursuant to, any indenture, mortgage, deed of trust, lease or other agreement or instrument to which such Purchaser is a party or by which it or any of its property is bound or its organizational documents or any of the rules or regulations applicable to it or its property or any decree or order of any court or other governmental body, except to the extent that such</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4" w:right="239" w:bottom="1440" w:gutter="0" w:footer="0" w:header="0"/>
        </w:sectPr>
      </w:pPr>
    </w:p>
    <w:bookmarkStart w:id="306" w:name="page307"/>
    <w:bookmarkEnd w:id="306"/>
    <w:p>
      <w:pPr>
        <w:jc w:val="both"/>
        <w:spacing w:after="0" w:line="263" w:lineRule="auto"/>
        <w:rPr>
          <w:sz w:val="20"/>
          <w:szCs w:val="20"/>
          <w:color w:val="auto"/>
        </w:rPr>
      </w:pPr>
      <w:r>
        <w:rPr>
          <w:rFonts w:ascii="Arial" w:cs="Arial" w:eastAsia="Arial" w:hAnsi="Arial"/>
          <w:sz w:val="22"/>
          <w:szCs w:val="22"/>
          <w:color w:val="auto"/>
        </w:rPr>
        <w:t>violation, breach, default or lien could not reasonably be expected to have an adverse effect on the obligations or a material adverse effect on the ability of the Purchasers to perform their obligations hereunder.</w:t>
      </w:r>
    </w:p>
    <w:p>
      <w:pPr>
        <w:spacing w:after="0" w:line="2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4.03. </w:t>
      </w:r>
      <w:r>
        <w:rPr>
          <w:rFonts w:ascii="Arial" w:cs="Arial" w:eastAsia="Arial" w:hAnsi="Arial"/>
          <w:sz w:val="22"/>
          <w:szCs w:val="22"/>
          <w:b w:val="1"/>
          <w:bCs w:val="1"/>
          <w:i w:val="1"/>
          <w:iCs w:val="1"/>
          <w:color w:val="auto"/>
        </w:rPr>
        <w:t>Due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delivery and performance by such Purchaser of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within its corporate power and authority, and have been duly authorized and duly executed by all necessary action and will not contravene any provision of its organizational documents.</w:t>
      </w:r>
    </w:p>
    <w:p>
      <w:pPr>
        <w:spacing w:after="0" w:line="2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4.04. </w:t>
      </w:r>
      <w:r>
        <w:rPr>
          <w:rFonts w:ascii="Arial" w:cs="Arial" w:eastAsia="Arial" w:hAnsi="Arial"/>
          <w:sz w:val="22"/>
          <w:szCs w:val="22"/>
          <w:b w:val="1"/>
          <w:bCs w:val="1"/>
          <w:i w:val="1"/>
          <w:iCs w:val="1"/>
          <w:color w:val="auto"/>
        </w:rPr>
        <w:t>Valid and Binding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a valid and binding obligation of each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against each Purchaser in accordance with its terms, except as such enforceability may be limited by such Purchaser’s bankruptcy, insolvency, reorganization or moratorium or other laws or equitable principles relating to or limiting creditors’ rights generally.</w:t>
      </w:r>
    </w:p>
    <w:p>
      <w:pPr>
        <w:spacing w:after="0" w:line="2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Section 4.05. </w:t>
      </w:r>
      <w:r>
        <w:rPr>
          <w:rFonts w:ascii="Arial" w:cs="Arial" w:eastAsia="Arial" w:hAnsi="Arial"/>
          <w:sz w:val="22"/>
          <w:szCs w:val="22"/>
          <w:b w:val="1"/>
          <w:bCs w:val="1"/>
          <w:i w:val="1"/>
          <w:iCs w:val="1"/>
          <w:color w:val="auto"/>
        </w:rPr>
        <w:t>Pending Litigation and Other Proceedings.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There is no litigation of any nature pending 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knowledge of such Purchaser, threatened against such Purchaser to restrain or enjoin the operations of any property of such Purchaser, or in any way contesting or affecting the obligations of such Purchaser hereunder, except to the extent that such litigation could not reasonably be expected to have an adverse effect on the obligations or a material adverse effect on the ability of the Purchasers to perform their obligations hereunder.</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4.06. </w:t>
      </w:r>
      <w:r>
        <w:rPr>
          <w:rFonts w:ascii="Arial" w:cs="Arial" w:eastAsia="Arial" w:hAnsi="Arial"/>
          <w:sz w:val="22"/>
          <w:szCs w:val="22"/>
          <w:b w:val="1"/>
          <w:bCs w:val="1"/>
          <w:i w:val="1"/>
          <w:iCs w:val="1"/>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Purchaser acknowledges and agrees that it shall benefit from the District’s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construction of the Bond Financed Property, and has received adequate consideration for the obligations of the Purchaser undertaken hereunder.</w:t>
      </w:r>
    </w:p>
    <w:p>
      <w:pPr>
        <w:spacing w:after="0" w:line="2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4.07. </w:t>
      </w:r>
      <w:r>
        <w:rPr>
          <w:rFonts w:ascii="Arial" w:cs="Arial" w:eastAsia="Arial" w:hAnsi="Arial"/>
          <w:sz w:val="19"/>
          <w:szCs w:val="19"/>
          <w:b w:val="1"/>
          <w:bCs w:val="1"/>
          <w:i w:val="1"/>
          <w:iCs w:val="1"/>
          <w:color w:val="auto"/>
        </w:rPr>
        <w:t>Completion of the Bond Financed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THE DISTRICT DOES NOT, AND EACH PURCHASER</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THE DISTRICT DOES NOT, MAKE ANY WARRANTY, EITHER EXPRESS OR IMPLIED, (1) THAT THE FUNDS AVAILABLE TO THE DISTRICT FOR PAYMENT OF THE COSTS OF THE FACILITIES WILL BE SUFFICIENT TO PAY ALL THE COSTS WHICH WILL BE INCURRED IN CONNECTION THEREWITH; OR (2) AS TO THE CONDITION, TITLE, DESIGN, OPERATION, MERCHANTABILITY OR FITNESS OF THE FACILITIES OR THAT THE FACILITIES ARE OR WILL BE SUITABLE FOR JEFFERSON RAILPORT’S PURPOSES OR NEEDS.</w:t>
      </w:r>
    </w:p>
    <w:p>
      <w:pPr>
        <w:spacing w:after="0" w:line="200" w:lineRule="exact"/>
        <w:rPr>
          <w:sz w:val="20"/>
          <w:szCs w:val="20"/>
          <w:color w:val="auto"/>
        </w:rPr>
      </w:pPr>
    </w:p>
    <w:p>
      <w:pPr>
        <w:spacing w:after="0" w:line="30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DISTRICT REPRESENTATIONS AND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District represents and warrants as of the date hereof as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307" w:name="page308"/>
    <w:bookmarkEnd w:id="307"/>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5.01. </w:t>
      </w:r>
      <w:r>
        <w:rPr>
          <w:rFonts w:ascii="Arial" w:cs="Arial" w:eastAsia="Arial" w:hAnsi="Arial"/>
          <w:sz w:val="19"/>
          <w:szCs w:val="19"/>
          <w:b w:val="1"/>
          <w:bCs w:val="1"/>
          <w:i w:val="1"/>
          <w:iCs w:val="1"/>
          <w:color w:val="auto"/>
        </w:rPr>
        <w:t>Existence and Power.</w:t>
      </w:r>
      <w:r>
        <w:rPr>
          <w:rFonts w:ascii="Arial" w:cs="Arial" w:eastAsia="Arial" w:hAnsi="Arial"/>
          <w:sz w:val="19"/>
          <w:szCs w:val="19"/>
          <w:b w:val="1"/>
          <w:bCs w:val="1"/>
          <w:color w:val="auto"/>
        </w:rPr>
        <w:t xml:space="preserve"> </w:t>
      </w:r>
      <w:r>
        <w:rPr>
          <w:rFonts w:ascii="Arial" w:cs="Arial" w:eastAsia="Arial" w:hAnsi="Arial"/>
          <w:sz w:val="19"/>
          <w:szCs w:val="19"/>
          <w:color w:val="auto"/>
        </w:rPr>
        <w:t>The District is a governmental body corporate and politic duly organized and validly</w:t>
      </w:r>
      <w:r>
        <w:rPr>
          <w:rFonts w:ascii="Arial" w:cs="Arial" w:eastAsia="Arial" w:hAnsi="Arial"/>
          <w:sz w:val="19"/>
          <w:szCs w:val="19"/>
          <w:b w:val="1"/>
          <w:bCs w:val="1"/>
          <w:color w:val="auto"/>
        </w:rPr>
        <w:t xml:space="preserve"> </w:t>
      </w:r>
      <w:r>
        <w:rPr>
          <w:rFonts w:ascii="Arial" w:cs="Arial" w:eastAsia="Arial" w:hAnsi="Arial"/>
          <w:sz w:val="19"/>
          <w:szCs w:val="19"/>
          <w:color w:val="auto"/>
        </w:rPr>
        <w:t>existing under the laws of the State. The District has all power and authority to conduct its business as currently conducted, to own its assets and to enter into and satisfy its obligations under this Agreement and the other Related Documents to which it is a party.</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5.02. </w:t>
      </w:r>
      <w:r>
        <w:rPr>
          <w:rFonts w:ascii="Arial" w:cs="Arial" w:eastAsia="Arial" w:hAnsi="Arial"/>
          <w:sz w:val="22"/>
          <w:szCs w:val="22"/>
          <w:b w:val="1"/>
          <w:bCs w:val="1"/>
          <w:i w:val="1"/>
          <w:iCs w:val="1"/>
          <w:color w:val="auto"/>
        </w:rPr>
        <w:t>Regulatory Authority</w:t>
      </w:r>
      <w:r>
        <w:rPr>
          <w:rFonts w:ascii="Arial" w:cs="Arial" w:eastAsia="Arial" w:hAnsi="Arial"/>
          <w:sz w:val="22"/>
          <w:szCs w:val="22"/>
          <w:color w:val="auto"/>
        </w:rPr>
        <w:t>. The District is duly authorized to conduct its business and activities under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rulings, regulations and ordinances and the departments, agencies and political subdivisions governing it or regulating its business and activities.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5.03. </w:t>
      </w:r>
      <w:r>
        <w:rPr>
          <w:rFonts w:ascii="Arial" w:cs="Arial" w:eastAsia="Arial" w:hAnsi="Arial"/>
          <w:sz w:val="19"/>
          <w:szCs w:val="19"/>
          <w:b w:val="1"/>
          <w:bCs w:val="1"/>
          <w:i w:val="1"/>
          <w:iCs w:val="1"/>
          <w:color w:val="auto"/>
        </w:rPr>
        <w:t>Noncontravention.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and delivery by the District of this Agreement and the other Related</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to which it is a party and the performance of its obligations under the Related Documents will not violate any existing law, rule, regulation, order, writ, judgment, injunction, decree or award binding on the District, or result in a breach of any of the terms of, or constitute a default under or result in the creation or imposition of any lien on any of its property pursuant to, any indenture, mortgage, deed of trust, lease or other agreement or instrument to which the District is a party or by which it or any of its property is bound or its enabling legislation or any of the rules or regulations applicable to it or its property or any decree or order of any court or other governmental body, except to the extent such violation, breach, default or lien would not reasonably be expected to have a material adverse effect on the ability of the District to perform its obligations under any Related Document.</w:t>
      </w:r>
    </w:p>
    <w:p>
      <w:pPr>
        <w:spacing w:after="0" w:line="25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5.04. </w:t>
      </w:r>
      <w:r>
        <w:rPr>
          <w:rFonts w:ascii="Arial" w:cs="Arial" w:eastAsia="Arial" w:hAnsi="Arial"/>
          <w:sz w:val="19"/>
          <w:szCs w:val="19"/>
          <w:b w:val="1"/>
          <w:bCs w:val="1"/>
          <w:i w:val="1"/>
          <w:iCs w:val="1"/>
          <w:color w:val="auto"/>
        </w:rPr>
        <w:t>Due Authorization.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performance by the District of this Agreement and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Documents to which it is a party are within its corporate power and authority, and have been duly authorized and duly executed by all necessary action and will not contravene any provision of the Act or its organizational documents.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5.05. </w:t>
      </w:r>
      <w:r>
        <w:rPr>
          <w:rFonts w:ascii="Arial" w:cs="Arial" w:eastAsia="Arial" w:hAnsi="Arial"/>
          <w:sz w:val="22"/>
          <w:szCs w:val="22"/>
          <w:b w:val="1"/>
          <w:bCs w:val="1"/>
          <w:i w:val="1"/>
          <w:iCs w:val="1"/>
          <w:color w:val="auto"/>
        </w:rPr>
        <w:t>Valid and Binding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other Related Documents to which the District is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are valid and binding obligations of the District, enforceable against the District in accordance with their respective terms, except as such enforceability may be limited by the District’s bankruptcy, insolvency, reorganization or moratorium or other laws or equitable principles relating to or limiting creditors’ rights generally.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68" w:right="239" w:bottom="1440" w:gutter="0" w:footer="0" w:header="0"/>
        </w:sectPr>
      </w:pPr>
    </w:p>
    <w:bookmarkStart w:id="308" w:name="page309"/>
    <w:bookmarkEnd w:id="308"/>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5.06. </w:t>
      </w:r>
      <w:r>
        <w:rPr>
          <w:rFonts w:ascii="Arial" w:cs="Arial" w:eastAsia="Arial" w:hAnsi="Arial"/>
          <w:sz w:val="21"/>
          <w:szCs w:val="21"/>
          <w:b w:val="1"/>
          <w:bCs w:val="1"/>
          <w:i w:val="1"/>
          <w:iCs w:val="1"/>
          <w:color w:val="auto"/>
        </w:rPr>
        <w:t>Pending Litigation and Other Proceedings.</w:t>
      </w:r>
      <w:r>
        <w:rPr>
          <w:rFonts w:ascii="Arial" w:cs="Arial" w:eastAsia="Arial" w:hAnsi="Arial"/>
          <w:sz w:val="21"/>
          <w:szCs w:val="21"/>
          <w:b w:val="1"/>
          <w:bCs w:val="1"/>
          <w:color w:val="auto"/>
        </w:rPr>
        <w:t xml:space="preserve"> </w:t>
      </w:r>
      <w:r>
        <w:rPr>
          <w:rFonts w:ascii="Arial" w:cs="Arial" w:eastAsia="Arial" w:hAnsi="Arial"/>
          <w:sz w:val="21"/>
          <w:szCs w:val="21"/>
          <w:color w:val="auto"/>
        </w:rPr>
        <w:t>There is no action, suit, proceeding, inquiry or investigation, at</w:t>
      </w:r>
      <w:r>
        <w:rPr>
          <w:rFonts w:ascii="Arial" w:cs="Arial" w:eastAsia="Arial" w:hAnsi="Arial"/>
          <w:sz w:val="21"/>
          <w:szCs w:val="21"/>
          <w:b w:val="1"/>
          <w:bCs w:val="1"/>
          <w:color w:val="auto"/>
        </w:rPr>
        <w:t xml:space="preserve"> </w:t>
      </w:r>
      <w:r>
        <w:rPr>
          <w:rFonts w:ascii="Arial" w:cs="Arial" w:eastAsia="Arial" w:hAnsi="Arial"/>
          <w:sz w:val="21"/>
          <w:szCs w:val="21"/>
          <w:color w:val="auto"/>
        </w:rPr>
        <w:t>law or in equity, before or by any court, governmental agency, public board or body, pending or, to the knowledge of the District, threatened against the District seeking to restrain or enjoin the sale or issuance of the Series 2016 Bonds or the Series 2016 Bonds, or in any way contesting or affecting any proceedings of the District taken concerning the sale thereof, the pledge or application of any moneys or security provided for the payment of the Series 2016 Bonds or the Series 2016 Bonds, the validity or enforceability of the documents executed by the District in connection with the Series 2016 Bonds or the Series 2016 Bonds, or the existence or powers of the District relating to the sale of the Series 2016 Bonds or the Series 2016 Bonds, except to the extent such litigation would not reasonably be expected to have a material adverse effect on the ability of the District to perform its obligations hereunder.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PURCHASER COVENANTS</w:t>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The Purchasers covenant and agree as follows, unless the District and the Trustee shall otherwise consent in writing:</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6.01. </w:t>
      </w:r>
      <w:r>
        <w:rPr>
          <w:rFonts w:ascii="Arial" w:cs="Arial" w:eastAsia="Arial" w:hAnsi="Arial"/>
          <w:sz w:val="22"/>
          <w:szCs w:val="22"/>
          <w:b w:val="1"/>
          <w:bCs w:val="1"/>
          <w:i w:val="1"/>
          <w:iCs w:val="1"/>
          <w:color w:val="auto"/>
        </w:rPr>
        <w:t>Amendments</w:t>
      </w:r>
      <w:r>
        <w:rPr>
          <w:rFonts w:ascii="Arial" w:cs="Arial" w:eastAsia="Arial" w:hAnsi="Arial"/>
          <w:sz w:val="22"/>
          <w:szCs w:val="22"/>
          <w:color w:val="auto"/>
        </w:rPr>
        <w:t>. Neither Purchaser shall amend, modify or supplement, nor agree to any amendment or</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of, or supplement to, any of the Related Documents to which such Purchaser is a party, except as permitted by such Related Document, nor shall any Purchaser amend, modify or supplement its certificate of formation or other organizational documents in any manner which would have a material adverse effect on its obligations hereunder or the other Related Documents to which it is a party. In addition, Jefferson Holdings shall not amend, modify or supplement, nor agree to any amendment or modification of, or supplement to, (i) the Capital Call Agreement or (ii) Section 5(c), 7, 8, 9(a), 9(h), 9(j), 10, 19(e), 20, 21, 22, 23, 24 or 29 or Schedule A (with respect to any defined term used in the aforementioned Sections) of the Jefferson Holdings LLC Agreement in any material respect adverse to the Trustee or the Bondholders, in each case without the written consent of the Trustee.</w:t>
      </w:r>
    </w:p>
    <w:p>
      <w:pPr>
        <w:spacing w:after="0" w:line="2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6.02. </w:t>
      </w:r>
      <w:r>
        <w:rPr>
          <w:rFonts w:ascii="Arial" w:cs="Arial" w:eastAsia="Arial" w:hAnsi="Arial"/>
          <w:sz w:val="21"/>
          <w:szCs w:val="21"/>
          <w:b w:val="1"/>
          <w:bCs w:val="1"/>
          <w:i w:val="1"/>
          <w:iCs w:val="1"/>
          <w:color w:val="auto"/>
        </w:rPr>
        <w:t>Corporate Existence.</w:t>
      </w:r>
      <w:r>
        <w:rPr>
          <w:rFonts w:ascii="Arial" w:cs="Arial" w:eastAsia="Arial" w:hAnsi="Arial"/>
          <w:sz w:val="21"/>
          <w:szCs w:val="21"/>
          <w:b w:val="1"/>
          <w:bCs w:val="1"/>
          <w:color w:val="auto"/>
        </w:rPr>
        <w:t xml:space="preserve"> </w:t>
      </w:r>
      <w:r>
        <w:rPr>
          <w:rFonts w:ascii="Arial" w:cs="Arial" w:eastAsia="Arial" w:hAnsi="Arial"/>
          <w:sz w:val="21"/>
          <w:szCs w:val="21"/>
          <w:color w:val="auto"/>
        </w:rPr>
        <w:t>Each Purchaser shall maintain its existence and shall not merge or consolidate with</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Person or sell or dispose of all or substantially all of its assets, unless: (a) such Purchaser shall be the surviving entity in the case of a merger, or the surviving, resulting, or transferee entity, as the case may be, shall expressly and unconditionally assume, in a written instrument delivered to the other parties hereto, the punctual performance and observance of all of the covenants and conditions of this Agreement and the other Related Documents to be performed by such Purchaser; (b) such Purchaser or such surviving, resulting, or transferee entity, as the case may be, shall not, immediately after such merger or consolidation, or sale or disposition, be in default in the performance of any covenant or condition hereunder; (c) if such Purchaser is not the surviving or transferee entity, as the case may be, the surviving, resulting, or transferee entity shall take such action as may be reasonably necessary to grant or otherwise continue the effectiveness of all security interests created by such Purchaser under the Related Documents and shall take all reasonably necessary action so that such security interests are and remain perfected; (d) such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69" w:right="239" w:bottom="1440" w:gutter="0" w:footer="0" w:header="0"/>
        </w:sectPr>
      </w:pPr>
    </w:p>
    <w:bookmarkStart w:id="309" w:name="page310"/>
    <w:bookmarkEnd w:id="309"/>
    <w:p>
      <w:pPr>
        <w:jc w:val="both"/>
        <w:spacing w:after="0" w:line="247" w:lineRule="auto"/>
        <w:rPr>
          <w:sz w:val="20"/>
          <w:szCs w:val="20"/>
          <w:color w:val="auto"/>
        </w:rPr>
      </w:pPr>
      <w:r>
        <w:rPr>
          <w:rFonts w:ascii="Arial" w:cs="Arial" w:eastAsia="Arial" w:hAnsi="Arial"/>
          <w:sz w:val="22"/>
          <w:szCs w:val="22"/>
          <w:color w:val="auto"/>
        </w:rPr>
        <w:t>Purchaser or such surviving, resulting, or transferee entity, as the case may be, shall have a net worth at least equal to the net worth of such Purchaser immediately preceding such merger or consolidation, or sale or disposition, with net worth being determined in accordance with generally accepted accounting principles; and (d) if such Purchaser is Jefferson Holdings, Jefferson Holdings or such surviving, resulting, or transferee entity, as the case may be, shall continue to be the beneficiary of the Capital Call Agreement. Notwithstanding the foregoing, neither Purchaser may merge or consolidate into or sell or dispose of all or substantially all of its assets to the other Purchaser.</w:t>
      </w:r>
    </w:p>
    <w:p>
      <w:pPr>
        <w:spacing w:after="0" w:line="2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6.03. </w:t>
      </w:r>
      <w:r>
        <w:rPr>
          <w:rFonts w:ascii="Arial" w:cs="Arial" w:eastAsia="Arial" w:hAnsi="Arial"/>
          <w:sz w:val="22"/>
          <w:szCs w:val="22"/>
          <w:b w:val="1"/>
          <w:bCs w:val="1"/>
          <w:i w:val="1"/>
          <w:iCs w:val="1"/>
          <w:color w:val="auto"/>
        </w:rPr>
        <w:t>Nature of Business of Jefferson Holdings.</w:t>
      </w:r>
      <w:r>
        <w:rPr>
          <w:rFonts w:ascii="Arial" w:cs="Arial" w:eastAsia="Arial" w:hAnsi="Arial"/>
          <w:sz w:val="22"/>
          <w:szCs w:val="22"/>
          <w:b w:val="1"/>
          <w:bCs w:val="1"/>
          <w:color w:val="auto"/>
        </w:rPr>
        <w:t xml:space="preserve"> </w:t>
      </w:r>
      <w:r>
        <w:rPr>
          <w:rFonts w:ascii="Arial" w:cs="Arial" w:eastAsia="Arial" w:hAnsi="Arial"/>
          <w:sz w:val="22"/>
          <w:szCs w:val="22"/>
          <w:color w:val="auto"/>
        </w:rPr>
        <w:t>Jefferson Holdings shall not engage in any material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or have any material assets or liabilities other than (i) holding 100% of the equity interests of Jefferson Railport, (ii) performing its obligations under this Agreement and the other Related Documents to which it is a party, (iii) maintaining its legal existence, filing tax returns, paying taxes and providing reports to governmental authorities and its members and (iv) activities incidental to the foregoing. Jefferson Holdings shall comply (and shall cause its members and managers to comply) with the provisions of the Jefferson Holdings LLC Agreement specified in Section 6.01 above. Jefferson Holdings shall give prompt notice to the Trustee of any action taken with the required consent of the Independent Manager (as defined in the Jefferson Holdings LLC Agreement).</w:t>
      </w:r>
    </w:p>
    <w:p>
      <w:pPr>
        <w:spacing w:after="0" w:line="29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6.04.</w:t>
      </w:r>
      <w:r>
        <w:rPr>
          <w:sz w:val="20"/>
          <w:szCs w:val="20"/>
          <w:color w:val="auto"/>
        </w:rPr>
        <w:tab/>
      </w:r>
      <w:r>
        <w:rPr>
          <w:rFonts w:ascii="Arial" w:cs="Arial" w:eastAsia="Arial" w:hAnsi="Arial"/>
          <w:sz w:val="19"/>
          <w:szCs w:val="19"/>
          <w:b w:val="1"/>
          <w:bCs w:val="1"/>
          <w:i w:val="1"/>
          <w:iCs w:val="1"/>
          <w:color w:val="auto"/>
        </w:rPr>
        <w:t xml:space="preserve">Special Purpose Entity Covenant. </w:t>
      </w:r>
      <w:r>
        <w:rPr>
          <w:rFonts w:ascii="Arial" w:cs="Arial" w:eastAsia="Arial" w:hAnsi="Arial"/>
          <w:sz w:val="19"/>
          <w:szCs w:val="19"/>
          <w:color w:val="auto"/>
        </w:rPr>
        <w:t>Jefferson Railport shall:</w:t>
      </w:r>
    </w:p>
    <w:p>
      <w:pPr>
        <w:spacing w:after="0" w:line="347" w:lineRule="exact"/>
        <w:rPr>
          <w:sz w:val="20"/>
          <w:szCs w:val="20"/>
          <w:color w:val="auto"/>
        </w:rPr>
      </w:pPr>
    </w:p>
    <w:p>
      <w:pPr>
        <w:ind w:right="20" w:firstLine="656"/>
        <w:spacing w:after="0" w:line="276" w:lineRule="auto"/>
        <w:tabs>
          <w:tab w:leader="none" w:pos="113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maintain its own books and records and bank accounts separate and apart from those of its members, Affiliates and other Persons;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hold itself out at all times to the public and all other Persons as a legal entity separate from any other Person;</w:t>
      </w:r>
    </w:p>
    <w:p>
      <w:pPr>
        <w:spacing w:after="0" w:line="244" w:lineRule="exact"/>
        <w:rPr>
          <w:rFonts w:ascii="Arial" w:cs="Arial" w:eastAsia="Arial" w:hAnsi="Arial"/>
          <w:sz w:val="21"/>
          <w:szCs w:val="21"/>
          <w:color w:val="auto"/>
        </w:rPr>
      </w:pPr>
    </w:p>
    <w:p>
      <w:pPr>
        <w:jc w:val="both"/>
        <w:ind w:firstLine="656"/>
        <w:spacing w:after="0" w:line="320" w:lineRule="auto"/>
        <w:tabs>
          <w:tab w:leader="none" w:pos="1095" w:val="left"/>
        </w:tabs>
        <w:numPr>
          <w:ilvl w:val="0"/>
          <w:numId w:val="233"/>
        </w:numPr>
        <w:rPr>
          <w:rFonts w:ascii="Arial" w:cs="Arial" w:eastAsia="Arial" w:hAnsi="Arial"/>
          <w:sz w:val="19"/>
          <w:szCs w:val="19"/>
          <w:color w:val="auto"/>
        </w:rPr>
      </w:pPr>
      <w:r>
        <w:rPr>
          <w:rFonts w:ascii="Arial" w:cs="Arial" w:eastAsia="Arial" w:hAnsi="Arial"/>
          <w:sz w:val="19"/>
          <w:szCs w:val="19"/>
          <w:color w:val="auto"/>
        </w:rPr>
        <w:t>file all tax returns that Jefferson Railport is required to file, if any, as required by applicable law (except to the extent that Jefferson Railport (i) is treated as a “disregarded entity” for tax purposes and is not required to file tax returns under applicable law or (ii) files a consolidated federal income tax return with another Person as may be permitted by applicable law);</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not commingle its assets with assets of any other Person;</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7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conduct its business in its own name or a trade name registered, licensed to or trademarked by Jefferson Railport (except for services rendered under a management, service, operation or maintenance agreement, so long as the applicable party holds itself out as acting as an agent on behalf of Jefferson Railport) and strictly comply with all organizational formalities necessary to maintain its separate existence;</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09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maintain separate financial statements and, if consolidated with financial statements of one or more Affiliates, assure that such consolidated financial statements include footnotes to the effect that Jefferson Railport is a separate legal entity and that its assets are not (other than as provided in the Related Documents) available to satisfy the claims of Affiliates;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4" w:right="239" w:bottom="1440" w:gutter="0" w:footer="0" w:header="0"/>
        </w:sectPr>
      </w:pPr>
    </w:p>
    <w:bookmarkStart w:id="310" w:name="page311"/>
    <w:bookmarkEnd w:id="310"/>
    <w:p>
      <w:pPr>
        <w:jc w:val="both"/>
        <w:ind w:firstLine="656"/>
        <w:spacing w:after="0" w:line="264" w:lineRule="auto"/>
        <w:tabs>
          <w:tab w:leader="none" w:pos="1107" w:val="left"/>
        </w:tabs>
        <w:numPr>
          <w:ilvl w:val="0"/>
          <w:numId w:val="234"/>
        </w:numPr>
        <w:rPr>
          <w:rFonts w:ascii="Arial" w:cs="Arial" w:eastAsia="Arial" w:hAnsi="Arial"/>
          <w:sz w:val="21"/>
          <w:szCs w:val="21"/>
          <w:color w:val="auto"/>
        </w:rPr>
      </w:pPr>
      <w:r>
        <w:rPr>
          <w:rFonts w:ascii="Arial" w:cs="Arial" w:eastAsia="Arial" w:hAnsi="Arial"/>
          <w:sz w:val="21"/>
          <w:szCs w:val="21"/>
          <w:color w:val="auto"/>
        </w:rPr>
        <w:t>other than as provided in the Related Documents, account for and manage all of its liabilities separately from those of its Affiliates, pay its own liabilities only out of its own funds and assets (provided that there exists sufficient cash flow from the operation of its business activities to enable it to do so and, provided further, that no Person shall be required to make any direct or indirect additional capital contributions or loans to Jefferson Railport) and not incur any indebtedness for borrowed money or capital leases except to finance or refinance the development, maintenance and operation of its assets and business activities conducted with respect to the property subject to the Ground Lease;</w:t>
      </w:r>
    </w:p>
    <w:p>
      <w:pPr>
        <w:spacing w:after="0" w:line="175" w:lineRule="exact"/>
        <w:rPr>
          <w:rFonts w:ascii="Arial" w:cs="Arial" w:eastAsia="Arial" w:hAnsi="Arial"/>
          <w:sz w:val="21"/>
          <w:szCs w:val="21"/>
          <w:color w:val="auto"/>
        </w:rPr>
      </w:pPr>
    </w:p>
    <w:p>
      <w:pPr>
        <w:jc w:val="both"/>
        <w:ind w:firstLine="656"/>
        <w:spacing w:after="0" w:line="264" w:lineRule="auto"/>
        <w:tabs>
          <w:tab w:leader="none" w:pos="1107" w:val="left"/>
        </w:tabs>
        <w:numPr>
          <w:ilvl w:val="0"/>
          <w:numId w:val="234"/>
        </w:numPr>
        <w:rPr>
          <w:rFonts w:ascii="Arial" w:cs="Arial" w:eastAsia="Arial" w:hAnsi="Arial"/>
          <w:sz w:val="21"/>
          <w:szCs w:val="21"/>
          <w:color w:val="auto"/>
        </w:rPr>
      </w:pPr>
      <w:r>
        <w:rPr>
          <w:rFonts w:ascii="Arial" w:cs="Arial" w:eastAsia="Arial" w:hAnsi="Arial"/>
          <w:sz w:val="21"/>
          <w:szCs w:val="21"/>
          <w:color w:val="auto"/>
        </w:rPr>
        <w:t>other than as provided in the Related Documents, maintain an arm’s length relationship with its Affiliates and, except for capital contributions and capital distributions permitted under the terms and conditions of its organizational documents and properly reflected in its books and records, not enter into any transaction, contract or agreement with any general partner, member, shareholder, principal or Affiliate, except upon terms and conditions taken as a whole that are commercially reasonable and substantially similar to those that would be available on an arm’s-length basis with unaffiliated third parties, in each case, as reasonably determined by Jefferson Railport in good faith;</w:t>
      </w:r>
    </w:p>
    <w:p>
      <w:pPr>
        <w:spacing w:after="0" w:line="175" w:lineRule="exact"/>
        <w:rPr>
          <w:rFonts w:ascii="Arial" w:cs="Arial" w:eastAsia="Arial" w:hAnsi="Arial"/>
          <w:sz w:val="21"/>
          <w:szCs w:val="21"/>
          <w:color w:val="auto"/>
        </w:rPr>
      </w:pPr>
    </w:p>
    <w:p>
      <w:pPr>
        <w:jc w:val="both"/>
        <w:ind w:firstLine="656"/>
        <w:spacing w:after="0" w:line="260" w:lineRule="auto"/>
        <w:tabs>
          <w:tab w:leader="none" w:pos="105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not at any time guaranty, grant a security interest to secure, or hold out its credit or assets as being available to satisfy the obligations of any other Person, other than pursuant to this Agreement and the other Related Documents, or acquire any obligations or securities of Jefferson Holdings or any Affiliate;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9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to the fullest extent permitted by law, not seek or effect, or permit any constituent party to seek or effect, the liquidation, dissolution, winding up, liquidation, consolidation or merger, in whole or in part, of Jefferson Railport into another entity or transfer all or substantially all of its assets, except as permitted by Section 6.02 hereof; and</w:t>
      </w:r>
    </w:p>
    <w:p>
      <w:pPr>
        <w:spacing w:after="0" w:line="177" w:lineRule="exact"/>
        <w:rPr>
          <w:rFonts w:ascii="Arial" w:cs="Arial" w:eastAsia="Arial" w:hAnsi="Arial"/>
          <w:sz w:val="22"/>
          <w:szCs w:val="22"/>
          <w:color w:val="auto"/>
        </w:rPr>
      </w:pPr>
    </w:p>
    <w:p>
      <w:pPr>
        <w:ind w:firstLine="656"/>
        <w:spacing w:after="0" w:line="358" w:lineRule="auto"/>
        <w:tabs>
          <w:tab w:leader="none" w:pos="117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not engage in any business or operations other than the development, maintenance and operation of its assets and business activities conducted with respect to the property subject to the Ground Lease and activities incidental thereto.</w:t>
      </w:r>
    </w:p>
    <w:p>
      <w:pPr>
        <w:spacing w:after="0" w:line="85"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b w:val="1"/>
          <w:bCs w:val="1"/>
          <w:color w:val="auto"/>
        </w:rPr>
        <w:t xml:space="preserve">Section 6.05. </w:t>
      </w:r>
      <w:r>
        <w:rPr>
          <w:rFonts w:ascii="Arial" w:cs="Arial" w:eastAsia="Arial" w:hAnsi="Arial"/>
          <w:sz w:val="22"/>
          <w:szCs w:val="22"/>
          <w:b w:val="1"/>
          <w:bCs w:val="1"/>
          <w:i w:val="1"/>
          <w:iCs w:val="1"/>
          <w:color w:val="auto"/>
        </w:rPr>
        <w:t>Jefferson Railport Deed of Trust.</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Purchasers shall not hypothecate, pledge or grant a security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property subject to the Jefferson Railport Deed of Trust except as permitted therein.</w:t>
      </w:r>
    </w:p>
    <w:p>
      <w:pPr>
        <w:spacing w:after="0" w:line="25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6.06.</w:t>
      </w:r>
      <w:r>
        <w:rPr>
          <w:sz w:val="20"/>
          <w:szCs w:val="20"/>
          <w:color w:val="auto"/>
        </w:rPr>
        <w:tab/>
      </w:r>
      <w:r>
        <w:rPr>
          <w:rFonts w:ascii="Arial" w:cs="Arial" w:eastAsia="Arial" w:hAnsi="Arial"/>
          <w:sz w:val="19"/>
          <w:szCs w:val="19"/>
          <w:b w:val="1"/>
          <w:bCs w:val="1"/>
          <w:i w:val="1"/>
          <w:iCs w:val="1"/>
          <w:color w:val="auto"/>
        </w:rPr>
        <w:t xml:space="preserve">Reserve Fund. </w:t>
      </w:r>
      <w:r>
        <w:rPr>
          <w:rFonts w:ascii="Arial" w:cs="Arial" w:eastAsia="Arial" w:hAnsi="Arial"/>
          <w:sz w:val="19"/>
          <w:szCs w:val="19"/>
          <w:color w:val="auto"/>
        </w:rPr>
        <w:t>Jefferson Holdings shall promptly deposit in the Reserve Fund (as defined in the Indenture)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pledged to and held by the Trustee in favor of the Bondholders, all cash received by Jefferson Holdings pursuant to Section 21(a)</w:t>
      </w:r>
    </w:p>
    <w:p>
      <w:pPr>
        <w:spacing w:after="0" w:line="52" w:lineRule="exact"/>
        <w:rPr>
          <w:sz w:val="20"/>
          <w:szCs w:val="20"/>
          <w:color w:val="auto"/>
        </w:rPr>
      </w:pPr>
    </w:p>
    <w:p>
      <w:pPr>
        <w:ind w:firstLine="8"/>
        <w:spacing w:after="0" w:line="246" w:lineRule="auto"/>
        <w:tabs>
          <w:tab w:leader="none" w:pos="333" w:val="left"/>
        </w:tabs>
        <w:numPr>
          <w:ilvl w:val="0"/>
          <w:numId w:val="235"/>
        </w:numPr>
        <w:rPr>
          <w:rFonts w:ascii="Arial" w:cs="Arial" w:eastAsia="Arial" w:hAnsi="Arial"/>
          <w:sz w:val="22"/>
          <w:szCs w:val="22"/>
          <w:color w:val="auto"/>
        </w:rPr>
      </w:pPr>
      <w:r>
        <w:rPr>
          <w:rFonts w:ascii="Arial" w:cs="Arial" w:eastAsia="Arial" w:hAnsi="Arial"/>
          <w:sz w:val="22"/>
          <w:szCs w:val="22"/>
          <w:color w:val="auto"/>
        </w:rPr>
        <w:t>or Section 21(d) of the Capital Call Agreement, which cash shall be applied by the Trustee in accordance with the applicable provisions of the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4" w:right="239" w:bottom="1440" w:gutter="0" w:footer="0" w:header="0"/>
        </w:sectPr>
      </w:pPr>
    </w:p>
    <w:bookmarkStart w:id="311" w:name="page312"/>
    <w:bookmarkEnd w:id="311"/>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7.01. </w:t>
      </w:r>
      <w:r>
        <w:rPr>
          <w:rFonts w:ascii="Arial" w:cs="Arial" w:eastAsia="Arial" w:hAnsi="Arial"/>
          <w:sz w:val="22"/>
          <w:szCs w:val="22"/>
          <w:b w:val="1"/>
          <w:bCs w:val="1"/>
          <w:i w:val="1"/>
          <w:iCs w:val="1"/>
          <w:color w:val="auto"/>
        </w:rPr>
        <w:t>Obligations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The obligations of the Purchasers under this Agreement shall be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unconditional and irrevocable and shall be paid or performed strictly in accordance with the terms of this Agreement under all circumstances whatsoever, including but not limited to the following:</w:t>
      </w:r>
    </w:p>
    <w:p>
      <w:pPr>
        <w:spacing w:after="0" w:line="285" w:lineRule="exact"/>
        <w:rPr>
          <w:sz w:val="20"/>
          <w:szCs w:val="20"/>
          <w:color w:val="auto"/>
        </w:rPr>
      </w:pPr>
    </w:p>
    <w:p>
      <w:pPr>
        <w:ind w:right="20" w:firstLine="656"/>
        <w:spacing w:after="0" w:line="276" w:lineRule="auto"/>
        <w:tabs>
          <w:tab w:leader="none" w:pos="108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to the extent permitted by applicable law, any lack of validity or enforceability of this Agreement or any other Related Document or any other agreement or instrument delivered in connection herewith or therewith;</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amendment to, waiver of, consent to or departure from the terms of any of the Related Documents;</w:t>
      </w:r>
    </w:p>
    <w:p>
      <w:pPr>
        <w:spacing w:after="0" w:line="233" w:lineRule="exact"/>
        <w:rPr>
          <w:rFonts w:ascii="Arial" w:cs="Arial" w:eastAsia="Arial" w:hAnsi="Arial"/>
          <w:sz w:val="22"/>
          <w:szCs w:val="22"/>
          <w:color w:val="auto"/>
        </w:rPr>
      </w:pPr>
    </w:p>
    <w:p>
      <w:pPr>
        <w:ind w:firstLine="656"/>
        <w:spacing w:after="0" w:line="358" w:lineRule="auto"/>
        <w:tabs>
          <w:tab w:leader="none" w:pos="106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existence of any claim, set-off, defense or other right that a Purchaser may have at any time against the Trustee, the District or any other Person, whether in connection with this Agreement, the other Related Documents or otherwise;</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0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statement or any other document presented under this Agreement or any of the other Related Documents proving to be forged, fraudulent, invalid or insufficient in any respect or any statement therein being untrue or inaccurate in any respect whatsoever; or</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other circumstances or happening whatsoever, whether or not similar to any of the foregoing.</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69" w:right="239" w:bottom="1440" w:gutter="0" w:footer="0" w:header="0"/>
        </w:sectPr>
      </w:pPr>
    </w:p>
    <w:bookmarkStart w:id="312" w:name="page313"/>
    <w:bookmarkEnd w:id="312"/>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Section 7.02. </w:t>
      </w:r>
      <w:r>
        <w:rPr>
          <w:rFonts w:ascii="Arial" w:cs="Arial" w:eastAsia="Arial" w:hAnsi="Arial"/>
          <w:sz w:val="19"/>
          <w:szCs w:val="19"/>
          <w:b w:val="1"/>
          <w:bCs w:val="1"/>
          <w:i w:val="1"/>
          <w:iCs w:val="1"/>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specified herein, all notices, requests, demands or other communications to or</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respective parties hereto or referred to herein shall be deemed to have been given (a) when delivered by hand, or (b) when sent electronically as a scanned pdf attached to an e-mail with electronic confirmation of delivery, addressed to them as follows or at such other address as any of the parties hereto may designate by Written notice to the other parties hereto:</w:t>
      </w:r>
    </w:p>
    <w:p>
      <w:pPr>
        <w:sectPr>
          <w:pgSz w:w="11900" w:h="16838" w:orient="portrait"/>
          <w:cols w:equalWidth="0" w:num="1">
            <w:col w:w="11420"/>
          </w:cols>
          <w:pgMar w:left="240" w:top="368" w:right="239" w:bottom="1440" w:gutter="0" w:footer="0" w:header="0"/>
        </w:sectPr>
      </w:pPr>
    </w:p>
    <w:p>
      <w:pPr>
        <w:spacing w:after="0" w:line="393"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District: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District of Beaumont Navigation District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1225 Main Street</w:t>
      </w:r>
    </w:p>
    <w:p>
      <w:pPr>
        <w:spacing w:after="0" w:line="230" w:lineRule="auto"/>
        <w:rPr>
          <w:sz w:val="20"/>
          <w:szCs w:val="20"/>
          <w:color w:val="auto"/>
        </w:rPr>
      </w:pPr>
      <w:r>
        <w:rPr>
          <w:rFonts w:ascii="Arial" w:cs="Arial" w:eastAsia="Arial" w:hAnsi="Arial"/>
          <w:sz w:val="22"/>
          <w:szCs w:val="22"/>
          <w:color w:val="auto"/>
        </w:rPr>
        <w:t>Beaumont, TX 77704</w:t>
      </w:r>
    </w:p>
    <w:p>
      <w:pPr>
        <w:spacing w:after="0" w:line="231" w:lineRule="auto"/>
        <w:rPr>
          <w:sz w:val="20"/>
          <w:szCs w:val="20"/>
          <w:color w:val="auto"/>
        </w:rPr>
      </w:pPr>
      <w:r>
        <w:rPr>
          <w:rFonts w:ascii="Arial" w:cs="Arial" w:eastAsia="Arial" w:hAnsi="Arial"/>
          <w:sz w:val="22"/>
          <w:szCs w:val="22"/>
          <w:color w:val="auto"/>
        </w:rPr>
        <w:t>Tel: (409) 835-5367 ext. 222</w:t>
      </w:r>
    </w:p>
    <w:p>
      <w:pPr>
        <w:spacing w:after="0"/>
        <w:rPr>
          <w:sz w:val="20"/>
          <w:szCs w:val="20"/>
          <w:color w:val="auto"/>
        </w:rPr>
      </w:pPr>
      <w:r>
        <w:rPr>
          <w:rFonts w:ascii="Arial" w:cs="Arial" w:eastAsia="Arial" w:hAnsi="Arial"/>
          <w:sz w:val="22"/>
          <w:szCs w:val="22"/>
          <w:color w:val="auto"/>
        </w:rPr>
        <w:t>E-mail: dcf@portofbeaumont.com</w:t>
      </w:r>
    </w:p>
    <w:p>
      <w:pPr>
        <w:spacing w:after="0" w:line="200" w:lineRule="exact"/>
        <w:rPr>
          <w:sz w:val="20"/>
          <w:szCs w:val="20"/>
          <w:color w:val="auto"/>
        </w:rPr>
      </w:pPr>
    </w:p>
    <w:p>
      <w:pPr>
        <w:sectPr>
          <w:pgSz w:w="11900" w:h="16838" w:orient="portrait"/>
          <w:cols w:equalWidth="0" w:num="2">
            <w:col w:w="1920" w:space="720"/>
            <w:col w:w="8780"/>
          </w:cols>
          <w:pgMar w:left="240" w:top="368" w:right="239" w:bottom="1440" w:gutter="0" w:footer="0" w:header="0"/>
          <w:type w:val="continuous"/>
        </w:sectPr>
      </w:pPr>
    </w:p>
    <w:p>
      <w:pPr>
        <w:spacing w:after="0" w:line="69"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Guy N. Goodson</w:t>
      </w:r>
    </w:p>
    <w:p>
      <w:pPr>
        <w:ind w:left="2640"/>
        <w:spacing w:after="0" w:line="238" w:lineRule="auto"/>
        <w:rPr>
          <w:sz w:val="20"/>
          <w:szCs w:val="20"/>
          <w:color w:val="auto"/>
        </w:rPr>
      </w:pPr>
      <w:r>
        <w:rPr>
          <w:rFonts w:ascii="Arial" w:cs="Arial" w:eastAsia="Arial" w:hAnsi="Arial"/>
          <w:sz w:val="22"/>
          <w:szCs w:val="22"/>
          <w:color w:val="auto"/>
        </w:rPr>
        <w:t>Germer PLLC</w:t>
      </w:r>
    </w:p>
    <w:p>
      <w:pPr>
        <w:ind w:left="2640"/>
        <w:spacing w:after="0" w:line="230" w:lineRule="auto"/>
        <w:rPr>
          <w:sz w:val="20"/>
          <w:szCs w:val="20"/>
          <w:color w:val="auto"/>
        </w:rPr>
      </w:pPr>
      <w:r>
        <w:rPr>
          <w:rFonts w:ascii="Arial" w:cs="Arial" w:eastAsia="Arial" w:hAnsi="Arial"/>
          <w:sz w:val="22"/>
          <w:szCs w:val="22"/>
          <w:color w:val="auto"/>
        </w:rPr>
        <w:t>P.O. Box 4915</w:t>
      </w:r>
    </w:p>
    <w:p>
      <w:pPr>
        <w:ind w:left="2640"/>
        <w:spacing w:after="0" w:line="231" w:lineRule="auto"/>
        <w:rPr>
          <w:sz w:val="20"/>
          <w:szCs w:val="20"/>
          <w:color w:val="auto"/>
        </w:rPr>
      </w:pPr>
      <w:r>
        <w:rPr>
          <w:rFonts w:ascii="Arial" w:cs="Arial" w:eastAsia="Arial" w:hAnsi="Arial"/>
          <w:sz w:val="22"/>
          <w:szCs w:val="22"/>
          <w:color w:val="auto"/>
        </w:rPr>
        <w:t>Beaumont, TX 77704-4915</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Tel: (409) 654-6700 ext. 730</w:t>
      </w:r>
    </w:p>
    <w:p>
      <w:pPr>
        <w:spacing w:after="0" w:line="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E-mail: ggoodson@germer.com</w:t>
      </w:r>
    </w:p>
    <w:p>
      <w:pPr>
        <w:sectPr>
          <w:pgSz w:w="11900" w:h="16838" w:orient="portrait"/>
          <w:cols w:equalWidth="0" w:num="1">
            <w:col w:w="11420"/>
          </w:cols>
          <w:pgMar w:left="240" w:top="368" w:right="239" w:bottom="1440" w:gutter="0" w:footer="0" w:header="0"/>
          <w:type w:val="continuous"/>
        </w:sectPr>
      </w:pPr>
    </w:p>
    <w:p>
      <w:pPr>
        <w:spacing w:after="0" w:line="30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Trustee: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The Bank of New York Mellon Trust Company, National Association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601 Travis Street, Floor 16</w:t>
      </w:r>
    </w:p>
    <w:p>
      <w:pPr>
        <w:spacing w:after="0" w:line="230" w:lineRule="auto"/>
        <w:rPr>
          <w:sz w:val="20"/>
          <w:szCs w:val="20"/>
          <w:color w:val="auto"/>
        </w:rPr>
      </w:pPr>
      <w:r>
        <w:rPr>
          <w:rFonts w:ascii="Arial" w:cs="Arial" w:eastAsia="Arial" w:hAnsi="Arial"/>
          <w:sz w:val="22"/>
          <w:szCs w:val="22"/>
          <w:color w:val="auto"/>
        </w:rPr>
        <w:t>Houston, TX 77002</w:t>
      </w:r>
    </w:p>
    <w:p>
      <w:pPr>
        <w:spacing w:after="0" w:line="231" w:lineRule="auto"/>
        <w:rPr>
          <w:sz w:val="20"/>
          <w:szCs w:val="20"/>
          <w:color w:val="auto"/>
        </w:rPr>
      </w:pPr>
      <w:r>
        <w:rPr>
          <w:rFonts w:ascii="Arial" w:cs="Arial" w:eastAsia="Arial" w:hAnsi="Arial"/>
          <w:sz w:val="22"/>
          <w:szCs w:val="22"/>
          <w:color w:val="auto"/>
        </w:rPr>
        <w:t>Tel: (713) 483-6521</w:t>
      </w:r>
    </w:p>
    <w:p>
      <w:pPr>
        <w:spacing w:after="0"/>
        <w:rPr>
          <w:sz w:val="20"/>
          <w:szCs w:val="20"/>
          <w:color w:val="auto"/>
        </w:rPr>
      </w:pPr>
      <w:r>
        <w:rPr>
          <w:rFonts w:ascii="Arial" w:cs="Arial" w:eastAsia="Arial" w:hAnsi="Arial"/>
          <w:sz w:val="22"/>
          <w:szCs w:val="22"/>
          <w:color w:val="auto"/>
        </w:rPr>
        <w:t>E-mail: Germaine.Morgan@bnymellon.com</w:t>
      </w:r>
    </w:p>
    <w:p>
      <w:pPr>
        <w:spacing w:after="0" w:line="200" w:lineRule="exact"/>
        <w:rPr>
          <w:sz w:val="20"/>
          <w:szCs w:val="20"/>
          <w:color w:val="auto"/>
        </w:rPr>
      </w:pPr>
    </w:p>
    <w:p>
      <w:pPr>
        <w:sectPr>
          <w:pgSz w:w="11900" w:h="16838" w:orient="portrait"/>
          <w:cols w:equalWidth="0" w:num="2">
            <w:col w:w="1920" w:space="720"/>
            <w:col w:w="8780"/>
          </w:cols>
          <w:pgMar w:left="240" w:top="368" w:right="239" w:bottom="1440" w:gutter="0" w:footer="0" w:header="0"/>
          <w:type w:val="continuous"/>
        </w:sectPr>
      </w:pPr>
    </w:p>
    <w:p>
      <w:pPr>
        <w:spacing w:after="0" w:line="6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Purchasers: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Jefferson Railport Terminal II LLC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9595 Six Pines Drive, Suite 6370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Woodlands, TX 77380</w:t>
      </w:r>
    </w:p>
    <w:p>
      <w:pPr>
        <w:spacing w:after="0" w:line="230" w:lineRule="auto"/>
        <w:rPr>
          <w:sz w:val="20"/>
          <w:szCs w:val="20"/>
          <w:color w:val="auto"/>
        </w:rPr>
      </w:pPr>
      <w:r>
        <w:rPr>
          <w:rFonts w:ascii="Arial" w:cs="Arial" w:eastAsia="Arial" w:hAnsi="Arial"/>
          <w:sz w:val="22"/>
          <w:szCs w:val="22"/>
          <w:color w:val="auto"/>
        </w:rPr>
        <w:t>Tel: (281) 677-4900 ext. 210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_____________________</w:t>
      </w:r>
    </w:p>
    <w:p>
      <w:pPr>
        <w:spacing w:after="0" w:line="200" w:lineRule="exact"/>
        <w:rPr>
          <w:sz w:val="20"/>
          <w:szCs w:val="20"/>
          <w:color w:val="auto"/>
        </w:rPr>
      </w:pPr>
    </w:p>
    <w:p>
      <w:pPr>
        <w:sectPr>
          <w:pgSz w:w="11900" w:h="16838" w:orient="portrait"/>
          <w:cols w:equalWidth="0" w:num="2">
            <w:col w:w="2200" w:space="440"/>
            <w:col w:w="8780"/>
          </w:cols>
          <w:pgMar w:left="240" w:top="368" w:right="239" w:bottom="1440" w:gutter="0" w:footer="0" w:header="0"/>
          <w:type w:val="continuous"/>
        </w:sectPr>
      </w:pP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Jefferson Railport Terminal II Holdings LLC</w:t>
      </w:r>
    </w:p>
    <w:p>
      <w:pPr>
        <w:spacing w:after="0" w:line="3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1345 Avenue of the Americas</w:t>
      </w:r>
    </w:p>
    <w:p>
      <w:pPr>
        <w:ind w:left="2640"/>
        <w:spacing w:after="0" w:line="230" w:lineRule="auto"/>
        <w:rPr>
          <w:sz w:val="20"/>
          <w:szCs w:val="20"/>
          <w:color w:val="auto"/>
        </w:rPr>
      </w:pPr>
      <w:r>
        <w:rPr>
          <w:rFonts w:ascii="Arial" w:cs="Arial" w:eastAsia="Arial" w:hAnsi="Arial"/>
          <w:sz w:val="22"/>
          <w:szCs w:val="22"/>
          <w:color w:val="auto"/>
        </w:rPr>
        <w:t>New York, NY 10105</w:t>
      </w:r>
    </w:p>
    <w:p>
      <w:pPr>
        <w:ind w:left="2640"/>
        <w:spacing w:after="0" w:line="231" w:lineRule="auto"/>
        <w:rPr>
          <w:sz w:val="20"/>
          <w:szCs w:val="20"/>
          <w:color w:val="auto"/>
        </w:rPr>
      </w:pPr>
      <w:r>
        <w:rPr>
          <w:rFonts w:ascii="Arial" w:cs="Arial" w:eastAsia="Arial" w:hAnsi="Arial"/>
          <w:sz w:val="22"/>
          <w:szCs w:val="22"/>
          <w:color w:val="auto"/>
        </w:rPr>
        <w:t>Tel: (212) 798-6110</w:t>
      </w:r>
    </w:p>
    <w:p>
      <w:pPr>
        <w:ind w:left="2640"/>
        <w:spacing w:after="0"/>
        <w:rPr>
          <w:sz w:val="20"/>
          <w:szCs w:val="20"/>
          <w:color w:val="auto"/>
        </w:rPr>
      </w:pPr>
      <w:r>
        <w:rPr>
          <w:rFonts w:ascii="Arial" w:cs="Arial" w:eastAsia="Arial" w:hAnsi="Arial"/>
          <w:sz w:val="22"/>
          <w:szCs w:val="22"/>
          <w:color w:val="auto"/>
        </w:rPr>
        <w:t>E-mail: _____________________</w:t>
      </w:r>
    </w:p>
    <w:p>
      <w:pPr>
        <w:sectPr>
          <w:pgSz w:w="11900" w:h="16838" w:orient="portrait"/>
          <w:cols w:equalWidth="0" w:num="1">
            <w:col w:w="11420"/>
          </w:cols>
          <w:pgMar w:left="240" w:top="368"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Notwithstanding the foregoing, any Purchase Notice given hereunder shall be effective only when given in the manner provided in Section 2.02(a).</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7.03. </w:t>
      </w:r>
      <w:r>
        <w:rPr>
          <w:rFonts w:ascii="Arial" w:cs="Arial" w:eastAsia="Arial" w:hAnsi="Arial"/>
          <w:sz w:val="22"/>
          <w:szCs w:val="22"/>
          <w:b w:val="1"/>
          <w:bCs w:val="1"/>
          <w:i w:val="1"/>
          <w:iCs w:val="1"/>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binding upon and inure to the benefit of the Trustee,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and the Purchasers, and their respective successors, endorsees and assigns, except that neither the District nor a Purchaser may assign or transfer its rights or obligations hereunder without the prior written consent of the other and the Trustee, provided that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68" w:right="239"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22"/>
          <w:szCs w:val="22"/>
          <w:color w:val="auto"/>
        </w:rPr>
        <w:t>prior written consent shall not be required for any assignment or transfer permitted pursuant to Section 6.02.</w:t>
      </w:r>
    </w:p>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7.04. </w:t>
      </w:r>
      <w:r>
        <w:rPr>
          <w:rFonts w:ascii="Arial" w:cs="Arial" w:eastAsia="Arial" w:hAnsi="Arial"/>
          <w:sz w:val="21"/>
          <w:szCs w:val="21"/>
          <w:b w:val="1"/>
          <w:bCs w:val="1"/>
          <w:i w:val="1"/>
          <w:iCs w:val="1"/>
          <w:color w:val="auto"/>
        </w:rPr>
        <w:t>Governing Law; Forum Selection; Consent to Jurisdiction.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any dispute arising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therewith will be governed by and construed under the law of the State of Texas. EACH PARTY HERETO HEREBY IRREVOCABLY AND UNCONDITIONALLY SUBMITS, FOR ITSELF AND ITS PROPERTY, TO THE EXCLUSIVE JURISDICTION OF THE UNITED STATES DISTRICT COURT FOR THE EASTERN DISTRICT OF TEXAS AND OF ANY TEXAS STATE COURT AND ANY APPELLATE COURT FROM ANY THEREOF, IN ANY ACTION OR PROCEEDING ARISING OUT OF OR RELATING TO THIS AGREEMENT, OR FOR RECOGNITION OR ENFORCEMENT OF ANY JUDGMENT, AND EACH PARTY HERETO HEREBY IRREVOCABLY AND UNCONDITIONALLY AGREES THAT ALL CLAIMS IN RESPECT OF ANY SUCH ACTION OR PROCEEDING MAY BE HEARD AND DETERMINED IN SUCH TEXAS STATE COURT OR, TO THE EXTENT PERMITTED BY APPLICABLE LAW, IN SUCH FEDERAL COURT. EACH PARTY HERETO HEREBY AGREES THAT A FINAL JUDGMENT IN ANY SUCH ACTION OR PROCEEDING SHALL BE CONCLUSIVE AND MAY BE ENFORCED IN OTHER JURISDICTIONS BY SUIT ON THE JUDGMENT OR IN ANY OTHER MANNER PROVIDED BY APPLICABLE LAW.</w:t>
      </w:r>
    </w:p>
    <w:p>
      <w:pPr>
        <w:spacing w:after="0" w:line="2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Section 7.05. </w:t>
      </w:r>
      <w:r>
        <w:rPr>
          <w:rFonts w:ascii="Arial" w:cs="Arial" w:eastAsia="Arial" w:hAnsi="Arial"/>
          <w:sz w:val="21"/>
          <w:szCs w:val="21"/>
          <w:b w:val="1"/>
          <w:bCs w:val="1"/>
          <w:i w:val="1"/>
          <w:iCs w:val="1"/>
          <w:color w:val="auto"/>
        </w:rPr>
        <w:t>Service of Process.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District, the Purchasers and the Trustee also irrevocably consents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service of any and all process in any action or proceeding described in the foregoing Section by the mailing of copies of such process to the respective address set forth for such party in Section 7.02. Each of the District, the Purchasers and the Trustee agree that a final judgment in any suit, action or proceeding shall be conclusive and may be enforced in appropriate jurisdictions by suit on the judgment or in any other manner provided by law.</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7.06. </w:t>
      </w:r>
      <w:r>
        <w:rPr>
          <w:rFonts w:ascii="Arial" w:cs="Arial" w:eastAsia="Arial" w:hAnsi="Arial"/>
          <w:sz w:val="22"/>
          <w:szCs w:val="22"/>
          <w:b w:val="1"/>
          <w:bCs w:val="1"/>
          <w:i w:val="1"/>
          <w:iCs w:val="1"/>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several counterparts, each of which shall be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of which shall constitute but one and the same instrument. Delivery of a signature page by facsimile shall be as effective as delivery of an original thereof.</w:t>
      </w:r>
    </w:p>
    <w:p>
      <w:pPr>
        <w:spacing w:after="0" w:line="2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7.07. </w:t>
      </w:r>
      <w:r>
        <w:rPr>
          <w:rFonts w:ascii="Arial" w:cs="Arial" w:eastAsia="Arial" w:hAnsi="Arial"/>
          <w:sz w:val="22"/>
          <w:szCs w:val="22"/>
          <w:b w:val="1"/>
          <w:bCs w:val="1"/>
          <w:i w:val="1"/>
          <w:iCs w:val="1"/>
          <w:color w:val="auto"/>
        </w:rPr>
        <w:t>Use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Purchasers agree that all funds advanced by a Purchaser hereunder will be paid from</w:t>
      </w:r>
      <w:r>
        <w:rPr>
          <w:rFonts w:ascii="Arial" w:cs="Arial" w:eastAsia="Arial" w:hAnsi="Arial"/>
          <w:sz w:val="22"/>
          <w:szCs w:val="22"/>
          <w:b w:val="1"/>
          <w:bCs w:val="1"/>
          <w:color w:val="auto"/>
        </w:rPr>
        <w:t xml:space="preserve"> </w:t>
      </w:r>
      <w:r>
        <w:rPr>
          <w:rFonts w:ascii="Arial" w:cs="Arial" w:eastAsia="Arial" w:hAnsi="Arial"/>
          <w:sz w:val="22"/>
          <w:szCs w:val="22"/>
          <w:color w:val="auto"/>
        </w:rPr>
        <w:t>funds of such Purchaser not derived from a tax-exempt borrowing and not directly or indirectly from funds or collateral on deposit with or for the account of, or pledged with or for the account of, the District.</w:t>
      </w:r>
    </w:p>
    <w:p>
      <w:pPr>
        <w:spacing w:after="0" w:line="2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7.08. </w:t>
      </w:r>
      <w:r>
        <w:rPr>
          <w:rFonts w:ascii="Arial" w:cs="Arial" w:eastAsia="Arial" w:hAnsi="Arial"/>
          <w:sz w:val="22"/>
          <w:szCs w:val="22"/>
          <w:b w:val="1"/>
          <w:bCs w:val="1"/>
          <w:i w:val="1"/>
          <w:iCs w:val="1"/>
          <w:color w:val="auto"/>
        </w:rPr>
        <w:t>Trustee’s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District and the Purchasers agree that the rights and protections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in the Related Documents (including Article VIII of the Indenture) shall apply to the Trustee when acting as such under this Agreement.</w:t>
      </w:r>
    </w:p>
    <w:p>
      <w:pPr>
        <w:spacing w:after="0" w:line="27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Section 7.09. </w:t>
      </w:r>
      <w:r>
        <w:rPr>
          <w:rFonts w:ascii="Arial" w:cs="Arial" w:eastAsia="Arial" w:hAnsi="Arial"/>
          <w:sz w:val="19"/>
          <w:szCs w:val="19"/>
          <w:b w:val="1"/>
          <w:bCs w:val="1"/>
          <w:i w:val="1"/>
          <w:iCs w:val="1"/>
          <w:color w:val="auto"/>
        </w:rPr>
        <w:t>Amendments and Waivers;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No amendment or waiver of any provision of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 any event be effective unless the same shall be in writing and signed by the parties hereto. Any waiver or consent shall be effective only in the specific instance and for the specific purpose for which given. This Agreement shall terminate on the earliest of (i) the repurchase with proceeds of a Remarketing, a redemption or a defeasance of all, but not less than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4" w:right="239" w:bottom="1440" w:gutter="0" w:footer="0" w:header="0"/>
        </w:sectPr>
      </w:pPr>
    </w:p>
    <w:bookmarkStart w:id="314" w:name="page315"/>
    <w:bookmarkEnd w:id="314"/>
    <w:p>
      <w:pPr>
        <w:jc w:val="both"/>
        <w:spacing w:after="0" w:line="294" w:lineRule="auto"/>
        <w:rPr>
          <w:sz w:val="20"/>
          <w:szCs w:val="20"/>
          <w:color w:val="auto"/>
        </w:rPr>
      </w:pPr>
      <w:r>
        <w:rPr>
          <w:rFonts w:ascii="Arial" w:cs="Arial" w:eastAsia="Arial" w:hAnsi="Arial"/>
          <w:sz w:val="19"/>
          <w:szCs w:val="19"/>
          <w:color w:val="auto"/>
        </w:rPr>
        <w:t>all, Series 2016 Bonds, (ii) the date that there are no Series 2016 Bonds Outstanding (as defined in the Indenture) and (iii) the third Business Day after February 13, 2020 (provided no default by the Purchasers has occurred and is continuing hereunder). To the fullest extent permitted by law, this Agreement shall continue to be effective or shall be reinstated, as the case may be, if at any time any payment (or part thereof) made or caused to be made by any of the Purchasers pursuant to this Agreement, is rescinded or must otherwise be disgorged, restored or returned by any beneficiary of this Agreement, including any owner of Series 2016 Bonds, upon the insolvency, bankruptcy or reorganization of any Person or otherwise, all as though such payment had not been made.</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7.10. </w:t>
      </w:r>
      <w:r>
        <w:rPr>
          <w:rFonts w:ascii="Arial" w:cs="Arial" w:eastAsia="Arial" w:hAnsi="Arial"/>
          <w:sz w:val="22"/>
          <w:szCs w:val="22"/>
          <w:b w:val="1"/>
          <w:bCs w:val="1"/>
          <w:i w:val="1"/>
          <w:iCs w:val="1"/>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that is prohibited, unenforceable or not authorized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2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7.11. </w:t>
      </w:r>
      <w:r>
        <w:rPr>
          <w:rFonts w:ascii="Arial" w:cs="Arial" w:eastAsia="Arial" w:hAnsi="Arial"/>
          <w:sz w:val="22"/>
          <w:szCs w:val="22"/>
          <w:b w:val="1"/>
          <w:bCs w:val="1"/>
          <w:i w:val="1"/>
          <w:iCs w:val="1"/>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headings in this Agreement are included herein for convenience of reference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have any effect for purposes of interpretation or construction of the terms of this Agreement.</w:t>
      </w:r>
    </w:p>
    <w:p>
      <w:pPr>
        <w:spacing w:after="0" w:line="25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7.12. </w:t>
      </w:r>
      <w:r>
        <w:rPr>
          <w:rFonts w:ascii="Arial" w:cs="Arial" w:eastAsia="Arial" w:hAnsi="Arial"/>
          <w:sz w:val="19"/>
          <w:szCs w:val="19"/>
          <w:b w:val="1"/>
          <w:bCs w:val="1"/>
          <w:i w:val="1"/>
          <w:iCs w:val="1"/>
          <w:color w:val="auto"/>
        </w:rPr>
        <w:t>Complete and Controlling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the other Related Documents completely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the agreements among the Purchasers, the Trustee and the District and fully supersede all prior agreements, both written and oral, relating to all matters set forth herein and in the other Related Documents. The terms and provisions of this Agreement may be amended or superseded only as provided in Section 7.09, and no oral agreements, practices, standards or other extrinsic communications or facts shall have any bearing on the interpretation or enforcement of this Agreement or the other Related Documents except as otherwise expressly agreed to in writing by the Purchasers and the District.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Section 7.13. </w:t>
      </w:r>
      <w:r>
        <w:rPr>
          <w:rFonts w:ascii="Arial" w:cs="Arial" w:eastAsia="Arial" w:hAnsi="Arial"/>
          <w:sz w:val="22"/>
          <w:szCs w:val="22"/>
          <w:b w:val="1"/>
          <w:bCs w:val="1"/>
          <w:i w:val="1"/>
          <w:iCs w:val="1"/>
          <w:color w:val="auto"/>
        </w:rPr>
        <w:t>Waiver Of Jury Trial.</w:t>
      </w:r>
      <w:r>
        <w:rPr>
          <w:rFonts w:ascii="Arial" w:cs="Arial" w:eastAsia="Arial" w:hAnsi="Arial"/>
          <w:sz w:val="22"/>
          <w:szCs w:val="22"/>
          <w:b w:val="1"/>
          <w:bCs w:val="1"/>
          <w:color w:val="auto"/>
        </w:rPr>
        <w:t xml:space="preserve"> EACH OF THE DISTRICT, THE PURCHASERS AND THE TRUSTEE HEREBY WAIVES TRIAL BY JURY IN ANY ACTION OR PROCEEDING ARISING OUT OF OR RELATED TO THIS AGREEMENT. EACH OF THE DISTRICT, THE PURCHASERS AND THE TRUSTEE HEREBY KNOWINGLY, VOLUNTARILY AND INTENTIONALLY WAIVES ANY RIGHTS IT MAY HAVE TO A TRIAL BY JURY IN RESPECT OF ANY LITIGATION (WHETHER AS CLAIM, COUNTER-CLAIM, AFFIRMATIVE DEFENSE OR OTHERWISE) BASED HEREON, OR ARISING OUT OF, UNDER OR IN CONNECTION WITH, THIS AGREEMENT, OR ANY COURSE OF CONDUCT, COURSE OF DEALINGS, STATEMENTS (WHETHER ORAL OR WRITTEN) OR ACTIONS OF THE DISTRICT, THE PURCHASERS AND THE TRUSTEE. EACH OF THE DISTRICT, THE PURCHASERS AND THE TRUSTEE ACKNOWLEDGES AND AGREES THAT IT HAS RECEIVED FULL AND SUFFICIENT CONSIDERATION FOR THIS PROVISION AND RECOGNIZES AND AGREES THAT THIS PROVISION IS A MATERIAL INDUCEMENT FOR OTHER PARTIES HERETO TO ENTER INTO THIS AGREEMENT. EACH OF THE DISTRICT, THE PURCHASERS AND THE TRUSTEE REPRESENTS AND ACKNOWLEDGES THAT IT HAS REVIEWED THIS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4" w:right="239" w:bottom="1440" w:gutter="0" w:footer="0" w:header="0"/>
        </w:sectPr>
      </w:pPr>
    </w:p>
    <w:bookmarkStart w:id="315" w:name="page316"/>
    <w:bookmarkEnd w:id="315"/>
    <w:p>
      <w:pPr>
        <w:spacing w:after="0" w:line="269" w:lineRule="auto"/>
        <w:rPr>
          <w:sz w:val="20"/>
          <w:szCs w:val="20"/>
          <w:color w:val="auto"/>
        </w:rPr>
      </w:pPr>
      <w:r>
        <w:rPr>
          <w:rFonts w:ascii="Arial" w:cs="Arial" w:eastAsia="Arial" w:hAnsi="Arial"/>
          <w:sz w:val="22"/>
          <w:szCs w:val="22"/>
          <w:b w:val="1"/>
          <w:bCs w:val="1"/>
          <w:color w:val="auto"/>
        </w:rPr>
        <w:t>PROVISION WITH ITS LEGAL COUNSEL AND THAT IT HAS KNOWINGLY AND VOLUNTARILY WAIVED ANY JURY TRIAL RIGHTS IT MAY HAVE FOLLOWING CONSULTATION WITH SUCH LEGAL COUNSEL.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8" w:right="239" w:bottom="1440" w:gutter="0" w:footer="0" w:header="0"/>
        </w:sectPr>
      </w:pPr>
    </w:p>
    <w:bookmarkStart w:id="316" w:name="page317"/>
    <w:bookmarkEnd w:id="316"/>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7.14. </w:t>
      </w:r>
      <w:r>
        <w:rPr>
          <w:rFonts w:ascii="Arial" w:cs="Arial" w:eastAsia="Arial" w:hAnsi="Arial"/>
          <w:sz w:val="21"/>
          <w:szCs w:val="21"/>
          <w:b w:val="1"/>
          <w:bCs w:val="1"/>
          <w:i w:val="1"/>
          <w:iCs w:val="1"/>
          <w:color w:val="auto"/>
        </w:rPr>
        <w:t>Indemnification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JEFFERSON HOLDINGS AND JEFFERSON RAILPORT RELEASE THE DISTRICT,</w:t>
      </w:r>
      <w:r>
        <w:rPr>
          <w:rFonts w:ascii="Arial" w:cs="Arial" w:eastAsia="Arial" w:hAnsi="Arial"/>
          <w:sz w:val="21"/>
          <w:szCs w:val="21"/>
          <w:b w:val="1"/>
          <w:bCs w:val="1"/>
          <w:color w:val="auto"/>
        </w:rPr>
        <w:t xml:space="preserve"> </w:t>
      </w:r>
      <w:r>
        <w:rPr>
          <w:rFonts w:ascii="Arial" w:cs="Arial" w:eastAsia="Arial" w:hAnsi="Arial"/>
          <w:sz w:val="21"/>
          <w:szCs w:val="21"/>
          <w:color w:val="auto"/>
        </w:rPr>
        <w:t>THE TRUSTEE AND THEIR RESPECTIVE OFFICERS, MEMBERS, DIRECTORS, COMMISSIONERS AND EMPLOYEES (COLLECTIVELY, THE “</w:t>
      </w:r>
      <w:r>
        <w:rPr>
          <w:rFonts w:ascii="Arial" w:cs="Arial" w:eastAsia="Arial" w:hAnsi="Arial"/>
          <w:sz w:val="21"/>
          <w:szCs w:val="21"/>
          <w:b w:val="1"/>
          <w:bCs w:val="1"/>
          <w:i w:val="1"/>
          <w:iCs w:val="1"/>
          <w:color w:val="auto"/>
        </w:rPr>
        <w:t>INDEMNIFIED PARTIES</w:t>
      </w:r>
      <w:r>
        <w:rPr>
          <w:rFonts w:ascii="Arial" w:cs="Arial" w:eastAsia="Arial" w:hAnsi="Arial"/>
          <w:sz w:val="21"/>
          <w:szCs w:val="21"/>
          <w:color w:val="auto"/>
        </w:rPr>
        <w:t>”) FROM, AND THE INDEMNIFIED PARTIES SHALL NOT BE LIABLE FOR, AND JEFFERSON HOLDINGS AND JEFFERSON RAILPORT SHALL PROTECT, INDEMNIFY, DEFEND, AND HOLD THE INDEMNIFIED PARTIES HARMLESS FROM, ANY AND ALL DOCUMENTED OUT-OF-POCKET LOSSES, COSTS, DAMAGES, EXPENSES AND LIABILITIES OF WHATSOEVER NATURE (INCLUDING, BUT NOT LIMITED TO, ATTORNEYS’ FEES, LITIGATION AND COURT COSTS, AMOUNTS PAID IN SETTLEMENT, AND AMOUNTS PAID TO DISCHARGE JUDGMENTS) DIRECTLY OR INDIRECTLY RESULTING FROM OR ARISING OUT OF OR RELATED TO (A) THE ISSUANCE, OFFERING, SALE, DELIVERY, OR PAYMENT OF THE SERIES 2016 BONDS OR THE INTEREST THEREON, THE INDENTURE, THIS AGREEMENT, AND ANY OTHER DOCUMENTS ENTERED INTO IN CONNECTION THEREWITH AND THE OBLIGATIONS IMPOSED ON THE DISTRICT OR THE TRUSTEE HEREBY AND THEREBY; (B) ANY WRITTEN STATEMENTS OR REPRESENTATIONS MADE OR GIVEN BY JEFFERSON HOLDINGS OR JEFFERSON RAILPORT, OR ANY OF THEIR OFFICERS OR EMPLOYEES, TO THE INDEMNIFIED PARTIES, OR ANY UNDERWRITERS OR PURCHASERS OF ANY OF THE SERIES 2016 BONDS, WITH RESPECT TO JEFFERSON HOLDINGS OR JEFFERSON RAILPORT, INCLUDING, BUT NOT LIMITED TO, STATEMENTS OR REPRESENTATIONS OF FACTS, FINANCIAL INFORMATION OR JEFFERSON HOLDINGS’ OR JEFFERSON RAILPORT’S AFFAIRS; AND (C) ANY LOSS OR DAMAGE INCURRED BY THE INDEMNIFIED PARTIES AS A RESULT OF A VIOLATION BY JEFFERSON HOLDINGS OR JEFFERSON RAILPORT OF ANY OF THE PROVISIONS OF THIS AGREEMENT; PROVIDED, HOWEVER, THAT NOTHING IN THIS SECTION 7.14 OR ELSEWHERE SHALL RELIEVE AN INDEMNIFIED PARTY FROM LIABILITY FOR, OR PROVIDE AN INDEMNIFIED PARTY WITH INDEMNITY FOR, WILLFUL MISCONDUCT OR NEGLIGENCE OF SUCH INDEMNIFIED PARTY OR ITS OFFICERS, MEMBERS, DIRECTORS, COMMISSIONERS OR EMPLOYEES.</w:t>
      </w:r>
    </w:p>
    <w:p>
      <w:pPr>
        <w:spacing w:after="0" w:line="2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Section 7.15. </w:t>
      </w:r>
      <w:r>
        <w:rPr>
          <w:rFonts w:ascii="Arial" w:cs="Arial" w:eastAsia="Arial" w:hAnsi="Arial"/>
          <w:sz w:val="19"/>
          <w:szCs w:val="19"/>
          <w:b w:val="1"/>
          <w:bCs w:val="1"/>
          <w:i w:val="1"/>
          <w:iCs w:val="1"/>
          <w:color w:val="auto"/>
        </w:rPr>
        <w:t>No Recourse Against Others</w:t>
      </w:r>
      <w:r>
        <w:rPr>
          <w:rFonts w:ascii="Arial" w:cs="Arial" w:eastAsia="Arial" w:hAnsi="Arial"/>
          <w:sz w:val="19"/>
          <w:szCs w:val="19"/>
          <w:color w:val="auto"/>
        </w:rPr>
        <w:t>. No recourse under or upon any obligation, covenant or agreement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Agreement, or for any claim based thereon or otherwise in respect thereof, shall be had against any incorporator, or against any past, present or future director, member, officer or employee, as such, of any Purchaser or of any successor thereof, either directly or through such Purchaser, whether by virtue of any constitution or statute or rule of law, or by the enforcement of any assessment or penalty or otherwise; it being expressly understood that no such personal liability whatever shall attach to, or is or shall be incurred by, the incorporators, directors, members, officers or employees, as such, of any Purchaser or any successor thereof, or any of them, under or by reason of the obligations, covenants or agreements contained in this Agreement; and that any and all such personal liability, either at common law or in equity or by constitution or statute, of, and any and all such rights and claims against, every such incorporator, director, member, officer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950" w:right="239" w:bottom="1440" w:gutter="0" w:footer="0" w:header="0"/>
        </w:sectPr>
      </w:pPr>
    </w:p>
    <w:bookmarkStart w:id="317" w:name="page318"/>
    <w:bookmarkEnd w:id="317"/>
    <w:p>
      <w:pPr>
        <w:jc w:val="both"/>
        <w:spacing w:after="0" w:line="263" w:lineRule="auto"/>
        <w:rPr>
          <w:sz w:val="20"/>
          <w:szCs w:val="20"/>
          <w:color w:val="auto"/>
        </w:rPr>
      </w:pPr>
      <w:r>
        <w:rPr>
          <w:rFonts w:ascii="Arial" w:cs="Arial" w:eastAsia="Arial" w:hAnsi="Arial"/>
          <w:sz w:val="22"/>
          <w:szCs w:val="22"/>
          <w:color w:val="auto"/>
        </w:rPr>
        <w:t>or employee, as such, are hereby expressly waived and released as a condition of, and as a consideration for, the execution of this Agreement.</w:t>
      </w:r>
    </w:p>
    <w:p>
      <w:pPr>
        <w:spacing w:after="0" w:line="2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Section 7.16. </w:t>
      </w:r>
      <w:r>
        <w:rPr>
          <w:rFonts w:ascii="Arial" w:cs="Arial" w:eastAsia="Arial" w:hAnsi="Arial"/>
          <w:sz w:val="22"/>
          <w:szCs w:val="22"/>
          <w:b w:val="1"/>
          <w:bCs w:val="1"/>
          <w:i w:val="1"/>
          <w:iCs w:val="1"/>
          <w:color w:val="auto"/>
        </w:rPr>
        <w:t>Specific Performance</w:t>
      </w:r>
      <w:r>
        <w:rPr>
          <w:rFonts w:ascii="Arial" w:cs="Arial" w:eastAsia="Arial" w:hAnsi="Arial"/>
          <w:sz w:val="22"/>
          <w:szCs w:val="22"/>
          <w:color w:val="auto"/>
        </w:rPr>
        <w:t>. Each party hereto, in addition to being entitled to exercise all rights provided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or granted by law, including recovery of damages, will be entitled to specific performance of its rights under this Agreement. Each party hereto hereby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4" w:right="239" w:bottom="1440" w:gutter="0" w:footer="0" w:header="0"/>
        </w:sectPr>
      </w:pPr>
    </w:p>
    <w:bookmarkStart w:id="318" w:name="page319"/>
    <w:bookmarkEnd w:id="31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duly authorized officers, all as of the day and year first above written.</w:t>
      </w:r>
    </w:p>
    <w:p>
      <w:pPr>
        <w:spacing w:after="0" w:line="223" w:lineRule="exact"/>
        <w:rPr>
          <w:sz w:val="20"/>
          <w:szCs w:val="20"/>
          <w:color w:val="auto"/>
        </w:rPr>
      </w:pPr>
    </w:p>
    <w:p>
      <w:pPr>
        <w:ind w:left="4540"/>
        <w:spacing w:after="0" w:line="269" w:lineRule="auto"/>
        <w:rPr>
          <w:sz w:val="20"/>
          <w:szCs w:val="20"/>
          <w:color w:val="auto"/>
        </w:rPr>
      </w:pPr>
      <w:r>
        <w:rPr>
          <w:rFonts w:ascii="Arial" w:cs="Arial" w:eastAsia="Arial" w:hAnsi="Arial"/>
          <w:sz w:val="22"/>
          <w:szCs w:val="22"/>
          <w:b w:val="1"/>
          <w:bCs w:val="1"/>
          <w:color w:val="auto"/>
        </w:rPr>
        <w:t>PORT OF BEAUMONT NAVIGATION DISTRICT OF JEFFERSON COUNTY, TEXAS</w:t>
      </w:r>
    </w:p>
    <w:p>
      <w:pPr>
        <w:spacing w:after="0" w:line="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David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-17780</wp:posOffset>
            </wp:positionV>
            <wp:extent cx="1448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8" w:lineRule="exact"/>
        <w:rPr>
          <w:sz w:val="20"/>
          <w:szCs w:val="20"/>
          <w:color w:val="auto"/>
        </w:rPr>
      </w:pPr>
    </w:p>
    <w:p>
      <w:pPr>
        <w:ind w:left="4760"/>
        <w:spacing w:after="0"/>
        <w:tabs>
          <w:tab w:leader="none" w:pos="5580" w:val="left"/>
        </w:tabs>
        <w:rPr>
          <w:sz w:val="20"/>
          <w:szCs w:val="20"/>
          <w:color w:val="auto"/>
        </w:rPr>
      </w:pPr>
      <w:r>
        <w:rPr>
          <w:rFonts w:ascii="Arial" w:cs="Arial" w:eastAsia="Arial" w:hAnsi="Arial"/>
          <w:sz w:val="22"/>
          <w:szCs w:val="22"/>
          <w:color w:val="auto"/>
        </w:rPr>
        <w:t>Name:</w:t>
        <w:tab/>
        <w:t>David C. Fisher</w:t>
      </w:r>
    </w:p>
    <w:p>
      <w:pPr>
        <w:spacing w:after="0" w:line="58" w:lineRule="exact"/>
        <w:rPr>
          <w:sz w:val="20"/>
          <w:szCs w:val="20"/>
          <w:color w:val="auto"/>
        </w:rPr>
      </w:pPr>
    </w:p>
    <w:p>
      <w:pPr>
        <w:ind w:left="476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Port Director, CEO</w:t>
      </w:r>
    </w:p>
    <w:p>
      <w:pPr>
        <w:spacing w:after="0" w:line="106" w:lineRule="exact"/>
        <w:rPr>
          <w:sz w:val="20"/>
          <w:szCs w:val="20"/>
          <w:color w:val="auto"/>
        </w:rPr>
      </w:pPr>
    </w:p>
    <w:p>
      <w:pPr>
        <w:ind w:left="4540"/>
        <w:spacing w:after="0" w:line="269" w:lineRule="auto"/>
        <w:rPr>
          <w:sz w:val="20"/>
          <w:szCs w:val="20"/>
          <w:color w:val="auto"/>
        </w:rPr>
      </w:pPr>
      <w:r>
        <w:rPr>
          <w:rFonts w:ascii="Arial" w:cs="Arial" w:eastAsia="Arial" w:hAnsi="Arial"/>
          <w:sz w:val="22"/>
          <w:szCs w:val="22"/>
          <w:b w:val="1"/>
          <w:bCs w:val="1"/>
          <w:color w:val="auto"/>
        </w:rPr>
        <w:t>THE BANK OF NEW YORK MELLON TRUST COMPANY, NATIONAL ASSOCIATION</w:t>
      </w:r>
    </w:p>
    <w:p>
      <w:pPr>
        <w:spacing w:after="0" w:line="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Patricia A. Barbarino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-17780</wp:posOffset>
            </wp:positionV>
            <wp:extent cx="1607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07820" cy="8890"/>
                    </a:xfrm>
                    <a:prstGeom prst="rect">
                      <a:avLst/>
                    </a:prstGeom>
                    <a:noFill/>
                  </pic:spPr>
                </pic:pic>
              </a:graphicData>
            </a:graphic>
          </wp:anchor>
        </w:drawing>
      </w:r>
    </w:p>
    <w:p>
      <w:pPr>
        <w:spacing w:after="0" w:line="38" w:lineRule="exact"/>
        <w:rPr>
          <w:sz w:val="20"/>
          <w:szCs w:val="20"/>
          <w:color w:val="auto"/>
        </w:rPr>
      </w:pPr>
    </w:p>
    <w:p>
      <w:pPr>
        <w:ind w:left="4760"/>
        <w:spacing w:after="0"/>
        <w:tabs>
          <w:tab w:leader="none" w:pos="5580" w:val="left"/>
        </w:tabs>
        <w:rPr>
          <w:sz w:val="20"/>
          <w:szCs w:val="20"/>
          <w:color w:val="auto"/>
        </w:rPr>
      </w:pPr>
      <w:r>
        <w:rPr>
          <w:rFonts w:ascii="Arial" w:cs="Arial" w:eastAsia="Arial" w:hAnsi="Arial"/>
          <w:sz w:val="22"/>
          <w:szCs w:val="22"/>
          <w:color w:val="auto"/>
        </w:rPr>
        <w:t>Name:</w:t>
        <w:tab/>
        <w:t>Patricia A. Barbarino</w:t>
      </w:r>
    </w:p>
    <w:p>
      <w:pPr>
        <w:spacing w:after="0" w:line="58"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JEFFERSON RAILPORT TERMINAL II LLC</w:t>
      </w:r>
    </w:p>
    <w:p>
      <w:pPr>
        <w:spacing w:after="0" w:line="6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-17780</wp:posOffset>
            </wp:positionV>
            <wp:extent cx="15373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37335" cy="8890"/>
                    </a:xfrm>
                    <a:prstGeom prst="rect">
                      <a:avLst/>
                    </a:prstGeom>
                    <a:noFill/>
                  </pic:spPr>
                </pic:pic>
              </a:graphicData>
            </a:graphic>
          </wp:anchor>
        </w:drawing>
      </w:r>
    </w:p>
    <w:p>
      <w:pPr>
        <w:spacing w:after="0" w:line="38" w:lineRule="exact"/>
        <w:rPr>
          <w:sz w:val="20"/>
          <w:szCs w:val="20"/>
          <w:color w:val="auto"/>
        </w:rPr>
      </w:pPr>
    </w:p>
    <w:p>
      <w:pPr>
        <w:ind w:left="4760"/>
        <w:spacing w:after="0"/>
        <w:tabs>
          <w:tab w:leader="none" w:pos="5580" w:val="left"/>
        </w:tabs>
        <w:rPr>
          <w:sz w:val="20"/>
          <w:szCs w:val="20"/>
          <w:color w:val="auto"/>
        </w:rPr>
      </w:pPr>
      <w:r>
        <w:rPr>
          <w:rFonts w:ascii="Arial" w:cs="Arial" w:eastAsia="Arial" w:hAnsi="Arial"/>
          <w:sz w:val="22"/>
          <w:szCs w:val="22"/>
          <w:color w:val="auto"/>
        </w:rPr>
        <w:t>Name:</w:t>
        <w:tab/>
        <w:t>Demetrios Tserpelis</w:t>
      </w:r>
    </w:p>
    <w:p>
      <w:pPr>
        <w:spacing w:after="0" w:line="58"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JEFFERSON RAILPORT TERMINAL II HOLDINGS LLC</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-29210</wp:posOffset>
            </wp:positionV>
            <wp:extent cx="15373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7335" cy="8890"/>
                    </a:xfrm>
                    <a:prstGeom prst="rect">
                      <a:avLst/>
                    </a:prstGeom>
                    <a:noFill/>
                  </pic:spPr>
                </pic:pic>
              </a:graphicData>
            </a:graphic>
          </wp:anchor>
        </w:drawing>
      </w:r>
    </w:p>
    <w:p>
      <w:pPr>
        <w:ind w:left="4760"/>
        <w:spacing w:after="0"/>
        <w:tabs>
          <w:tab w:leader="none" w:pos="5580" w:val="left"/>
        </w:tabs>
        <w:rPr>
          <w:sz w:val="20"/>
          <w:szCs w:val="20"/>
          <w:color w:val="auto"/>
        </w:rPr>
      </w:pPr>
      <w:r>
        <w:rPr>
          <w:rFonts w:ascii="Arial" w:cs="Arial" w:eastAsia="Arial" w:hAnsi="Arial"/>
          <w:sz w:val="22"/>
          <w:szCs w:val="22"/>
          <w:color w:val="auto"/>
        </w:rPr>
        <w:t>Name:</w:t>
        <w:tab/>
        <w:t>Demetrios Tserpelis</w:t>
      </w:r>
    </w:p>
    <w:p>
      <w:pPr>
        <w:spacing w:after="0" w:line="4"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Standby Bond Purchase Agreement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955"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NOTICE</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undersigned, a duly authorized officer of </w:t>
      </w:r>
      <w:r>
        <w:rPr>
          <w:rFonts w:ascii="Arial" w:cs="Arial" w:eastAsia="Arial" w:hAnsi="Arial"/>
          <w:sz w:val="20"/>
          <w:szCs w:val="20"/>
          <w:b w:val="1"/>
          <w:bCs w:val="1"/>
          <w:color w:val="auto"/>
        </w:rPr>
        <w:t>THE BANK OF NEW YORK MELLON TRUST COMPANY, NATIONAL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ASSOCIATION </w:t>
      </w:r>
      <w:r>
        <w:rPr>
          <w:rFonts w:ascii="Arial" w:cs="Arial" w:eastAsia="Arial" w:hAnsi="Arial"/>
          <w:sz w:val="20"/>
          <w:szCs w:val="20"/>
          <w:color w:val="auto"/>
        </w:rPr>
        <w:t>(the “</w:t>
      </w:r>
      <w:r>
        <w:rPr>
          <w:rFonts w:ascii="Arial" w:cs="Arial" w:eastAsia="Arial" w:hAnsi="Arial"/>
          <w:sz w:val="20"/>
          <w:szCs w:val="20"/>
          <w:b w:val="1"/>
          <w:bCs w:val="1"/>
          <w:i w:val="1"/>
          <w:iCs w:val="1"/>
          <w:color w:val="auto"/>
        </w:rPr>
        <w:t>Trustee</w:t>
      </w:r>
      <w:r>
        <w:rPr>
          <w:rFonts w:ascii="Arial" w:cs="Arial" w:eastAsia="Arial" w:hAnsi="Arial"/>
          <w:sz w:val="20"/>
          <w:szCs w:val="20"/>
          <w:color w:val="auto"/>
        </w:rPr>
        <w:t>”), hereby certifies to</w:t>
      </w:r>
      <w:r>
        <w:rPr>
          <w:rFonts w:ascii="Arial" w:cs="Arial" w:eastAsia="Arial" w:hAnsi="Arial"/>
          <w:sz w:val="20"/>
          <w:szCs w:val="20"/>
          <w:b w:val="1"/>
          <w:bCs w:val="1"/>
          <w:color w:val="auto"/>
        </w:rPr>
        <w:t xml:space="preserve"> JEFFERSON RAILPORT TERMINAL II LLC </w:t>
      </w:r>
      <w:r>
        <w:rPr>
          <w:rFonts w:ascii="Arial" w:cs="Arial" w:eastAsia="Arial" w:hAnsi="Arial"/>
          <w:sz w:val="20"/>
          <w:szCs w:val="20"/>
          <w:color w:val="auto"/>
        </w:rPr>
        <w:t>and</w:t>
      </w:r>
      <w:r>
        <w:rPr>
          <w:rFonts w:ascii="Arial" w:cs="Arial" w:eastAsia="Arial" w:hAnsi="Arial"/>
          <w:sz w:val="20"/>
          <w:szCs w:val="20"/>
          <w:b w:val="1"/>
          <w:bCs w:val="1"/>
          <w:color w:val="auto"/>
        </w:rPr>
        <w:t xml:space="preserve"> JEFFERSON RAILPORT TERMINAL II HOLDINGS LLC </w:t>
      </w:r>
      <w:r>
        <w:rPr>
          <w:rFonts w:ascii="Arial" w:cs="Arial" w:eastAsia="Arial" w:hAnsi="Arial"/>
          <w:sz w:val="20"/>
          <w:szCs w:val="20"/>
          <w:color w:val="auto"/>
        </w:rPr>
        <w:t>(together, the “</w:t>
      </w:r>
      <w:r>
        <w:rPr>
          <w:rFonts w:ascii="Arial" w:cs="Arial" w:eastAsia="Arial" w:hAnsi="Arial"/>
          <w:sz w:val="20"/>
          <w:szCs w:val="20"/>
          <w:b w:val="1"/>
          <w:bCs w:val="1"/>
          <w:i w:val="1"/>
          <w:iCs w:val="1"/>
          <w:color w:val="auto"/>
        </w:rPr>
        <w:t>Purchasers</w:t>
      </w:r>
      <w:r>
        <w:rPr>
          <w:rFonts w:ascii="Arial" w:cs="Arial" w:eastAsia="Arial" w:hAnsi="Arial"/>
          <w:sz w:val="20"/>
          <w:szCs w:val="20"/>
          <w:color w:val="auto"/>
        </w:rPr>
        <w:t>”) in accordance with the Standby Bond Purchase Agreement, dated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February 1, 2016 (the “</w:t>
      </w:r>
      <w:r>
        <w:rPr>
          <w:rFonts w:ascii="Arial" w:cs="Arial" w:eastAsia="Arial" w:hAnsi="Arial"/>
          <w:sz w:val="20"/>
          <w:szCs w:val="20"/>
          <w:b w:val="1"/>
          <w:bCs w:val="1"/>
          <w:i w:val="1"/>
          <w:iCs w:val="1"/>
          <w:color w:val="auto"/>
        </w:rPr>
        <w:t>Standby Bond Purchase Agreement</w:t>
      </w:r>
      <w:r>
        <w:rPr>
          <w:rFonts w:ascii="Arial" w:cs="Arial" w:eastAsia="Arial" w:hAnsi="Arial"/>
          <w:sz w:val="20"/>
          <w:szCs w:val="20"/>
          <w:color w:val="auto"/>
        </w:rPr>
        <w:t>”), by and between the Port of Beaumont Navigation District of Jefferson County, Texas (the “</w:t>
      </w:r>
      <w:r>
        <w:rPr>
          <w:rFonts w:ascii="Arial" w:cs="Arial" w:eastAsia="Arial" w:hAnsi="Arial"/>
          <w:sz w:val="20"/>
          <w:szCs w:val="20"/>
          <w:b w:val="1"/>
          <w:bCs w:val="1"/>
          <w:i w:val="1"/>
          <w:iCs w:val="1"/>
          <w:color w:val="auto"/>
        </w:rPr>
        <w:t>District</w:t>
      </w:r>
      <w:r>
        <w:rPr>
          <w:rFonts w:ascii="Arial" w:cs="Arial" w:eastAsia="Arial" w:hAnsi="Arial"/>
          <w:sz w:val="20"/>
          <w:szCs w:val="20"/>
          <w:color w:val="auto"/>
        </w:rPr>
        <w:t>”), the Trustee and the Purchasers, relating to the Port of Beaumont Navigation District of Jefferson County, Texas Dock and Wharf Facility Revenue Bonds, Series 2016 (the “</w:t>
      </w:r>
      <w:r>
        <w:rPr>
          <w:rFonts w:ascii="Arial" w:cs="Arial" w:eastAsia="Arial" w:hAnsi="Arial"/>
          <w:sz w:val="20"/>
          <w:szCs w:val="20"/>
          <w:b w:val="1"/>
          <w:bCs w:val="1"/>
          <w:i w:val="1"/>
          <w:iCs w:val="1"/>
          <w:color w:val="auto"/>
        </w:rPr>
        <w:t>Series 2016 Bonds</w:t>
      </w:r>
      <w:r>
        <w:rPr>
          <w:rFonts w:ascii="Arial" w:cs="Arial" w:eastAsia="Arial" w:hAnsi="Arial"/>
          <w:sz w:val="20"/>
          <w:szCs w:val="20"/>
          <w:color w:val="auto"/>
        </w:rPr>
        <w:t>”) (all capitalized terms herein having the meanings ascribed thereto in the Standby Bond Purchase Agreement), that:</w:t>
      </w:r>
    </w:p>
    <w:p>
      <w:pPr>
        <w:spacing w:after="0" w:line="206" w:lineRule="exact"/>
        <w:rPr>
          <w:sz w:val="20"/>
          <w:szCs w:val="20"/>
          <w:color w:val="auto"/>
        </w:rPr>
      </w:pPr>
    </w:p>
    <w:p>
      <w:pPr>
        <w:ind w:right="20" w:firstLine="656"/>
        <w:spacing w:after="0" w:line="260" w:lineRule="auto"/>
        <w:tabs>
          <w:tab w:leader="none" w:pos="103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Series 2016 Bonds have been tendered or deemed tendered for purchase on the First Initial Bonds Remarketing Date pursuant to Section 2.17 of the Indenture.</w:t>
      </w:r>
    </w:p>
    <w:p>
      <w:pPr>
        <w:spacing w:after="0" w:line="190" w:lineRule="exact"/>
        <w:rPr>
          <w:rFonts w:ascii="Arial" w:cs="Arial" w:eastAsia="Arial" w:hAnsi="Arial"/>
          <w:sz w:val="20"/>
          <w:szCs w:val="20"/>
          <w:color w:val="auto"/>
        </w:rPr>
      </w:pPr>
    </w:p>
    <w:p>
      <w:pPr>
        <w:ind w:right="20" w:firstLine="656"/>
        <w:spacing w:after="0" w:line="260" w:lineRule="auto"/>
        <w:tabs>
          <w:tab w:leader="none" w:pos="109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Remarketing Agent has notified the Trustee that insufficient moneys are available for such purchase pursuant to Section 2.17(d)(i) of the Indenture, and that the amount of such insufficiency is $_________________.</w:t>
      </w:r>
    </w:p>
    <w:p>
      <w:pPr>
        <w:spacing w:after="0" w:line="190" w:lineRule="exact"/>
        <w:rPr>
          <w:rFonts w:ascii="Arial" w:cs="Arial" w:eastAsia="Arial" w:hAnsi="Arial"/>
          <w:sz w:val="20"/>
          <w:szCs w:val="20"/>
          <w:color w:val="auto"/>
        </w:rPr>
      </w:pPr>
    </w:p>
    <w:p>
      <w:pPr>
        <w:jc w:val="both"/>
        <w:ind w:firstLine="656"/>
        <w:spacing w:after="0" w:line="260" w:lineRule="auto"/>
        <w:tabs>
          <w:tab w:leader="none" w:pos="99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Trustee hereby requests the payment of the Purchase Price in the amount of $____________, which represents (i) the Purchase Price of all outstanding Series 2016 Bonds tendered or deemed tendered for purchase on or before the date hereof, less (ii) the proceeds deposited in the Remarketing Account (as such term is defined in the Indenture) from a Remarketing in accordance with the Indenture, less (iii) any monies deposited in the Reserve Fund (as such term is defined in the Indenture) and transferred into the Initial Bonds Standby Bond Purchase Account (as such term is defined in the Indenture) pursuant to Section 2.17(d)(i) of the Indenture.</w:t>
      </w:r>
    </w:p>
    <w:p>
      <w:pPr>
        <w:spacing w:after="0" w:line="194" w:lineRule="exact"/>
        <w:rPr>
          <w:rFonts w:ascii="Arial" w:cs="Arial" w:eastAsia="Arial" w:hAnsi="Arial"/>
          <w:sz w:val="19"/>
          <w:szCs w:val="19"/>
          <w:color w:val="auto"/>
        </w:rPr>
      </w:pPr>
    </w:p>
    <w:p>
      <w:pPr>
        <w:ind w:left="1000" w:hanging="344"/>
        <w:spacing w:after="0"/>
        <w:tabs>
          <w:tab w:leader="none" w:pos="10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funds requested hereunder shall be transferred to the Trustee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PROVIDE]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Trustee has executed and delivered this Purchase Notice as of the _______ day of 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______.</w:t>
      </w:r>
    </w:p>
    <w:p>
      <w:pPr>
        <w:spacing w:after="0" w:line="207" w:lineRule="exact"/>
        <w:rPr>
          <w:sz w:val="20"/>
          <w:szCs w:val="20"/>
          <w:color w:val="auto"/>
        </w:rPr>
      </w:pPr>
    </w:p>
    <w:p>
      <w:pPr>
        <w:ind w:left="4540"/>
        <w:spacing w:after="0" w:line="267" w:lineRule="auto"/>
        <w:rPr>
          <w:sz w:val="20"/>
          <w:szCs w:val="20"/>
          <w:color w:val="auto"/>
        </w:rPr>
      </w:pPr>
      <w:r>
        <w:rPr>
          <w:rFonts w:ascii="Arial" w:cs="Arial" w:eastAsia="Arial" w:hAnsi="Arial"/>
          <w:sz w:val="20"/>
          <w:szCs w:val="20"/>
          <w:b w:val="1"/>
          <w:bCs w:val="1"/>
          <w:color w:val="auto"/>
        </w:rPr>
        <w:t>THE BANK OF NEW YORK MELLON TRUST COMPANY,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Name:_______________________</w:t>
      </w:r>
    </w:p>
    <w:p>
      <w:pPr>
        <w:ind w:left="4880"/>
        <w:spacing w:after="0"/>
        <w:rPr>
          <w:sz w:val="20"/>
          <w:szCs w:val="20"/>
          <w:color w:val="auto"/>
        </w:rPr>
      </w:pPr>
      <w:r>
        <w:rPr>
          <w:rFonts w:ascii="Arial" w:cs="Arial" w:eastAsia="Arial" w:hAnsi="Arial"/>
          <w:sz w:val="20"/>
          <w:szCs w:val="20"/>
          <w:color w:val="auto"/>
        </w:rPr>
        <w:t>Title: ________________________</w:t>
      </w:r>
    </w:p>
    <w:p>
      <w:pPr>
        <w:sectPr>
          <w:pgSz w:w="11900" w:h="16838" w:orient="portrait"/>
          <w:cols w:equalWidth="0" w:num="1">
            <w:col w:w="11420"/>
          </w:cols>
          <w:pgMar w:left="240" w:top="369"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CALL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CAPITAL CALL AGREEMENT (as amended, restated,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February 1, 2016, by and among Fortress Transportation and Infrastructure Investors LLC, a Delaware limited liability company (together with its successors and assigns, “</w:t>
      </w:r>
      <w:r>
        <w:rPr>
          <w:rFonts w:ascii="Arial" w:cs="Arial" w:eastAsia="Arial" w:hAnsi="Arial"/>
          <w:sz w:val="22"/>
          <w:szCs w:val="22"/>
          <w:u w:val="single" w:color="auto"/>
          <w:color w:val="auto"/>
        </w:rPr>
        <w:t>FTAI</w:t>
      </w:r>
      <w:r>
        <w:rPr>
          <w:rFonts w:ascii="Arial" w:cs="Arial" w:eastAsia="Arial" w:hAnsi="Arial"/>
          <w:sz w:val="22"/>
          <w:szCs w:val="22"/>
          <w:color w:val="auto"/>
        </w:rPr>
        <w:t>”), its subsidiaries party hereto and Jefferson Railport Terminal II Holdings LLC, a Delaware limited liability company (together with its successors and assigns, “</w:t>
      </w:r>
      <w:r>
        <w:rPr>
          <w:rFonts w:ascii="Arial" w:cs="Arial" w:eastAsia="Arial" w:hAnsi="Arial"/>
          <w:sz w:val="22"/>
          <w:szCs w:val="22"/>
          <w:u w:val="single" w:color="auto"/>
          <w:color w:val="auto"/>
        </w:rPr>
        <w:t>Jefferson</w:t>
      </w:r>
      <w:r>
        <w:rPr>
          <w:rFonts w:ascii="Arial" w:cs="Arial" w:eastAsia="Arial" w:hAnsi="Arial"/>
          <w:sz w:val="22"/>
          <w:szCs w:val="22"/>
          <w:color w:val="auto"/>
        </w:rPr>
        <w:t xml:space="preserve"> </w:t>
      </w:r>
      <w:r>
        <w:rPr>
          <w:rFonts w:ascii="Arial" w:cs="Arial" w:eastAsia="Arial" w:hAnsi="Arial"/>
          <w:sz w:val="22"/>
          <w:szCs w:val="22"/>
          <w:u w:val="single" w:color="auto"/>
          <w:color w:val="auto"/>
        </w:rPr>
        <w:t>Holdings</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Jefferson Holdings is party to a Standby Bond Purchase Agreement (as amended, restated, supplemented or otherwise modified from time to time, the “</w:t>
      </w:r>
      <w:r>
        <w:rPr>
          <w:rFonts w:ascii="Arial" w:cs="Arial" w:eastAsia="Arial" w:hAnsi="Arial"/>
          <w:sz w:val="22"/>
          <w:szCs w:val="22"/>
          <w:u w:val="single" w:color="auto"/>
          <w:color w:val="auto"/>
        </w:rPr>
        <w:t>Standby Purchase Agreement</w:t>
      </w:r>
      <w:r>
        <w:rPr>
          <w:rFonts w:ascii="Arial" w:cs="Arial" w:eastAsia="Arial" w:hAnsi="Arial"/>
          <w:sz w:val="22"/>
          <w:szCs w:val="22"/>
          <w:color w:val="auto"/>
        </w:rPr>
        <w:t>”), dated as of the date hereof, among the Port of Beaumont Navigation District of Jefferson County, Texas (the “</w:t>
      </w:r>
      <w:r>
        <w:rPr>
          <w:rFonts w:ascii="Arial" w:cs="Arial" w:eastAsia="Arial" w:hAnsi="Arial"/>
          <w:sz w:val="22"/>
          <w:szCs w:val="22"/>
          <w:u w:val="single" w:color="auto"/>
          <w:color w:val="auto"/>
        </w:rPr>
        <w:t>District</w:t>
      </w:r>
      <w:r>
        <w:rPr>
          <w:rFonts w:ascii="Arial" w:cs="Arial" w:eastAsia="Arial" w:hAnsi="Arial"/>
          <w:sz w:val="22"/>
          <w:szCs w:val="22"/>
          <w:color w:val="auto"/>
        </w:rPr>
        <w:t>”), The Bank of New York Mellon Trust Company,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 Jefferson Holdings and Jefferson Railport Terminal II LLC (“</w:t>
      </w:r>
      <w:r>
        <w:rPr>
          <w:rFonts w:ascii="Arial" w:cs="Arial" w:eastAsia="Arial" w:hAnsi="Arial"/>
          <w:sz w:val="22"/>
          <w:szCs w:val="22"/>
          <w:u w:val="single" w:color="auto"/>
          <w:color w:val="auto"/>
        </w:rPr>
        <w:t>Jefferson Railport</w:t>
      </w:r>
      <w:r>
        <w:rPr>
          <w:rFonts w:ascii="Arial" w:cs="Arial" w:eastAsia="Arial" w:hAnsi="Arial"/>
          <w:sz w:val="22"/>
          <w:szCs w:val="22"/>
          <w:color w:val="auto"/>
        </w:rPr>
        <w:t>”); and</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Jefferson Holdings is a subsidiary of FTAI; and</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FTAI has agreed to make, directly or indirectly through its subsidiaries party hereto, certain capital contributions to Jefferson Holdings from time to time pursuant to the terms hereunder; and</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it is a condition precedent to the effectiveness of the Standby Purchase Agreement and the Related Documents that the parties hereto enter into this Agreement.</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and agreements herein and other good and valuable consideration, the receipt and sufficiency of which are hereby acknowledged, the parties hereto, hereby intending to be legally bound, agree as follows:</w:t>
      </w:r>
    </w:p>
    <w:p>
      <w:pPr>
        <w:spacing w:after="0" w:line="186"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following meanings: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Commitment</w:t>
      </w:r>
      <w:r>
        <w:rPr>
          <w:rFonts w:ascii="Arial" w:cs="Arial" w:eastAsia="Arial" w:hAnsi="Arial"/>
          <w:sz w:val="19"/>
          <w:szCs w:val="19"/>
          <w:color w:val="auto"/>
        </w:rPr>
        <w:t>” has the meaning assigned to such term in the Standby Purchase Agreement as in effect on the date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Aviation Assets</w:t>
      </w:r>
      <w:r>
        <w:rPr>
          <w:rFonts w:ascii="Arial" w:cs="Arial" w:eastAsia="Arial" w:hAnsi="Arial"/>
          <w:sz w:val="21"/>
          <w:szCs w:val="21"/>
          <w:color w:val="auto"/>
        </w:rPr>
        <w:t>” means the assets constituting “Total assets” in FTAI’s Aviation Leasing segment (or a successor segment), as reflected in FTAI’s quarterly and annual reports filed with the Securities and Exchange Commission (or the equivalent thereof as reported by any successor to or assign of FTAI in accordance with Section 9).</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has the meaning assigned to such term in the Indenture.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Bonds</w:t>
      </w:r>
      <w:r>
        <w:rPr>
          <w:rFonts w:ascii="Arial" w:cs="Arial" w:eastAsia="Arial" w:hAnsi="Arial"/>
          <w:sz w:val="22"/>
          <w:szCs w:val="22"/>
          <w:color w:val="auto"/>
        </w:rPr>
        <w:t>” has the meaning assigned to “Series 2016 Bonds” in the Standby Purchase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assigned to such term in the Indenture.</w:t>
      </w:r>
    </w:p>
    <w:p>
      <w:pPr>
        <w:sectPr>
          <w:pgSz w:w="11900" w:h="16838" w:orient="portrait"/>
          <w:cols w:equalWidth="0" w:num="1">
            <w:col w:w="11420"/>
          </w:cols>
          <w:pgMar w:left="240" w:top="585" w:right="239" w:bottom="1029"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w:t>
      </w:r>
    </w:p>
    <w:p>
      <w:pPr>
        <w:sectPr>
          <w:pgSz w:w="11900" w:h="16838" w:orient="portrait"/>
          <w:cols w:equalWidth="0" w:num="1">
            <w:col w:w="11420"/>
          </w:cols>
          <w:pgMar w:left="240" w:top="585" w:right="239" w:bottom="1029" w:gutter="0" w:footer="0" w:header="0"/>
          <w:type w:val="continuous"/>
        </w:sectPr>
      </w:pPr>
    </w:p>
    <w:bookmarkStart w:id="321" w:name="page322"/>
    <w:bookmarkEnd w:id="321"/>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Call Investment</w:t>
      </w:r>
      <w:r>
        <w:rPr>
          <w:rFonts w:ascii="Arial" w:cs="Arial" w:eastAsia="Arial" w:hAnsi="Arial"/>
          <w:sz w:val="21"/>
          <w:szCs w:val="21"/>
          <w:color w:val="auto"/>
        </w:rPr>
        <w:t>” means a cash investment by FTAI pursuant to this Agreement, directly or indirectly through its subsidiaries party hereto, in Jefferson Holdings in respect of the equity of Jefferson Holdings. For the avoidance of doubt, any direct or indirect cash investment in the equity of Jefferson Holdings by one or more Contributors or their affiliates hereunder shall be considered a “Capital Call Investment” received by Jefferson Holdings.</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Call Notice</w:t>
      </w:r>
      <w:r>
        <w:rPr>
          <w:rFonts w:ascii="Arial" w:cs="Arial" w:eastAsia="Arial" w:hAnsi="Arial"/>
          <w:sz w:val="22"/>
          <w:szCs w:val="22"/>
          <w:color w:val="auto"/>
        </w:rPr>
        <w:t xml:space="preserve">” means a notice by Jefferson Holdings to FTAI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Contributor</w:t>
      </w:r>
      <w:r>
        <w:rPr>
          <w:rFonts w:ascii="Arial" w:cs="Arial" w:eastAsia="Arial" w:hAnsi="Arial"/>
          <w:sz w:val="22"/>
          <w:szCs w:val="22"/>
          <w:color w:val="auto"/>
        </w:rPr>
        <w:t>” means FTAI and each of its subsidiaries party hereto other than Jefferson Holdings.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Initial Bonds Remarketing Date</w:t>
      </w:r>
      <w:r>
        <w:rPr>
          <w:rFonts w:ascii="Arial" w:cs="Arial" w:eastAsia="Arial" w:hAnsi="Arial"/>
          <w:sz w:val="19"/>
          <w:szCs w:val="19"/>
          <w:color w:val="auto"/>
        </w:rPr>
        <w:t>” has the meaning assigned to such term in the Indenture as in effect on the date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Jefferson Holdings Obligations</w:t>
      </w:r>
      <w:r>
        <w:rPr>
          <w:rFonts w:ascii="Arial" w:cs="Arial" w:eastAsia="Arial" w:hAnsi="Arial"/>
          <w:sz w:val="22"/>
          <w:szCs w:val="22"/>
          <w:color w:val="auto"/>
        </w:rPr>
        <w:t>” has the meaning assigned to such term in the Standby Purchase Agreement as in effect on the date hereof.</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unit or other entity.</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Documents</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Investment Amount</w:t>
      </w:r>
      <w:r>
        <w:rPr>
          <w:rFonts w:ascii="Arial" w:cs="Arial" w:eastAsia="Arial" w:hAnsi="Arial"/>
          <w:sz w:val="22"/>
          <w:szCs w:val="22"/>
          <w:color w:val="auto"/>
        </w:rPr>
        <w:t>” means, with respect to each Capital Call Notice, an amount equal to the aggregate Capital Call Investments required pursuant to such Capital Call Notice.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Fund</w:t>
      </w:r>
      <w:r>
        <w:rPr>
          <w:rFonts w:ascii="Arial" w:cs="Arial" w:eastAsia="Arial" w:hAnsi="Arial"/>
          <w:sz w:val="22"/>
          <w:szCs w:val="22"/>
          <w:color w:val="auto"/>
        </w:rPr>
        <w:t>” has the meaning assigned to such term in the Indenture.</w:t>
      </w:r>
    </w:p>
    <w:p>
      <w:pPr>
        <w:spacing w:after="0" w:line="220"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Required Investments in Jefferson Holdings</w:t>
      </w:r>
      <w:r>
        <w:rPr>
          <w:rFonts w:ascii="Arial" w:cs="Arial" w:eastAsia="Arial" w:hAnsi="Arial"/>
          <w:sz w:val="19"/>
          <w:szCs w:val="19"/>
          <w:color w:val="auto"/>
        </w:rPr>
        <w:t>.</w:t>
      </w:r>
    </w:p>
    <w:p>
      <w:pPr>
        <w:spacing w:after="0" w:line="260" w:lineRule="exact"/>
        <w:rPr>
          <w:sz w:val="20"/>
          <w:szCs w:val="20"/>
          <w:color w:val="auto"/>
        </w:rPr>
      </w:pPr>
    </w:p>
    <w:p>
      <w:pPr>
        <w:jc w:val="both"/>
        <w:ind w:firstLine="1953"/>
        <w:spacing w:after="0" w:line="258" w:lineRule="auto"/>
        <w:tabs>
          <w:tab w:leader="none" w:pos="2833" w:val="left"/>
        </w:tabs>
        <w:numPr>
          <w:ilvl w:val="0"/>
          <w:numId w:val="238"/>
        </w:numPr>
        <w:rPr>
          <w:rFonts w:ascii="Arial" w:cs="Arial" w:eastAsia="Arial" w:hAnsi="Arial"/>
          <w:sz w:val="21"/>
          <w:szCs w:val="21"/>
          <w:color w:val="auto"/>
        </w:rPr>
      </w:pPr>
      <w:r>
        <w:rPr>
          <w:rFonts w:ascii="Arial" w:cs="Arial" w:eastAsia="Arial" w:hAnsi="Arial"/>
          <w:sz w:val="21"/>
          <w:szCs w:val="21"/>
          <w:color w:val="auto"/>
        </w:rPr>
        <w:t xml:space="preserve">Each Contributor agrees to make Capital Call Investments from time to time in accordance with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Capital Call Investments required to be made by the Contributors as of any day shall not exceed, (i) in the case of a contribution to assist Jefferson Holdings in paying the purchase of the Bonds pursuant to Section 2.02 of the Standby Purchase Agreement, the Available Commitment or (ii) in the case of a contribution to assist Jefferson Holdings in paying the Jefferson Holdings Obligations pursuant to Section 2.04 of the Standby Purchase Agreement the amount of such Jefferson Holdings Obligations then due, in either case as of such day,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no Capital Call Investment shall be made except (i) when due hereunder following the delivery of a Capital Call Notice from Jefferson Holdings or (ii) irrespective of whether a Capital Call Notice is delivered, to the extent such Capital Call Investment is deposited by FTAI into the Reserve Fund for the credit of Jefferson Holdings in order to comply with Section 21 or otherwise, it being understood and agreed that there are no other conditions (implied or otherwise) to the commitments hereunder, including compliance with the terms of this Agreement.</w:t>
      </w:r>
    </w:p>
    <w:p>
      <w:pPr>
        <w:spacing w:after="0" w:line="223" w:lineRule="exact"/>
        <w:rPr>
          <w:rFonts w:ascii="Arial" w:cs="Arial" w:eastAsia="Arial" w:hAnsi="Arial"/>
          <w:sz w:val="21"/>
          <w:szCs w:val="21"/>
          <w:color w:val="auto"/>
        </w:rPr>
      </w:pPr>
    </w:p>
    <w:p>
      <w:pPr>
        <w:ind w:left="2860" w:hanging="907"/>
        <w:spacing w:after="0"/>
        <w:tabs>
          <w:tab w:leader="none" w:pos="28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Jefferson Holdings may issue a Capital Call Notice to FTAI from time to time.</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w:t>
      </w:r>
    </w:p>
    <w:p>
      <w:pPr>
        <w:sectPr>
          <w:pgSz w:w="11900" w:h="16838" w:orient="portrait"/>
          <w:cols w:equalWidth="0" w:num="1">
            <w:col w:w="11420"/>
          </w:cols>
          <w:pgMar w:left="240" w:top="591" w:right="239" w:bottom="1440" w:gutter="0" w:footer="0" w:header="0"/>
          <w:type w:val="continuous"/>
        </w:sectPr>
      </w:pPr>
    </w:p>
    <w:bookmarkStart w:id="322" w:name="page323"/>
    <w:bookmarkEnd w:id="322"/>
    <w:p>
      <w:pPr>
        <w:ind w:right="100" w:firstLine="1953"/>
        <w:spacing w:after="0" w:line="290" w:lineRule="auto"/>
        <w:tabs>
          <w:tab w:leader="none" w:pos="2833"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below, upon the receipt by FTAI of a Capital Call Notice, each Contributor hereby agrees that it shall promptly, but in no event later than the time and date Jefferson Holdings is required to transfer funds to the Trustee for the purchase of the Bonds pursuant to Section 2.02 of the Standby Purchase Agreement or to transfer funds to the Trustee to provide for the payment of Jefferson Holdings Obligations as provided in Section 2.04 of the Standby Purchase Agreement, make, directly or indirectly, a Capital Call Investment in Jefferson Holdings in an amount equal to the Required Investment Amount with respect to such Capital Call Notice. The commitment of each Contributor other than FTAI hereunder is limited to the proceeds of Capital Call Investments received by such Contributor from FTAI, directly or indirectly, for the purpose of making such Capital Call Investments in Jefferson Holdings.</w:t>
      </w:r>
    </w:p>
    <w:p>
      <w:pPr>
        <w:spacing w:after="0" w:line="197" w:lineRule="exact"/>
        <w:rPr>
          <w:rFonts w:ascii="Arial" w:cs="Arial" w:eastAsia="Arial" w:hAnsi="Arial"/>
          <w:sz w:val="19"/>
          <w:szCs w:val="19"/>
          <w:color w:val="auto"/>
        </w:rPr>
      </w:pPr>
    </w:p>
    <w:p>
      <w:pPr>
        <w:jc w:val="both"/>
        <w:ind w:firstLine="1953"/>
        <w:spacing w:after="0" w:line="265" w:lineRule="auto"/>
        <w:tabs>
          <w:tab w:leader="none" w:pos="2845"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Notwithstanding the foregoing </w:t>
      </w:r>
      <w:r>
        <w:rPr>
          <w:rFonts w:ascii="Arial" w:cs="Arial" w:eastAsia="Arial" w:hAnsi="Arial"/>
          <w:sz w:val="21"/>
          <w:szCs w:val="21"/>
          <w:u w:val="single" w:color="auto"/>
          <w:color w:val="auto"/>
        </w:rPr>
        <w:t>paragraph (c)</w:t>
      </w:r>
      <w:r>
        <w:rPr>
          <w:rFonts w:ascii="Arial" w:cs="Arial" w:eastAsia="Arial" w:hAnsi="Arial"/>
          <w:sz w:val="21"/>
          <w:szCs w:val="21"/>
          <w:color w:val="auto"/>
        </w:rPr>
        <w:t xml:space="preserve">, a Contributor shall not be required to make the Capital Call Investment described in </w:t>
      </w:r>
      <w:r>
        <w:rPr>
          <w:rFonts w:ascii="Arial" w:cs="Arial" w:eastAsia="Arial" w:hAnsi="Arial"/>
          <w:sz w:val="21"/>
          <w:szCs w:val="21"/>
          <w:u w:val="single" w:color="auto"/>
          <w:color w:val="auto"/>
        </w:rPr>
        <w:t>paragraph (c)</w:t>
      </w:r>
      <w:r>
        <w:rPr>
          <w:rFonts w:ascii="Arial" w:cs="Arial" w:eastAsia="Arial" w:hAnsi="Arial"/>
          <w:sz w:val="21"/>
          <w:szCs w:val="21"/>
          <w:color w:val="auto"/>
        </w:rPr>
        <w:t xml:space="preserve"> pursuant to a Capital Call Notice (and shall not be considered in default of this Agreement) to the extent Jefferson Holdings has received the aggregate Capital Call Investments required pursuant to such Capital Call Notice on account of, or at the direction of, one or more other Contributors.</w:t>
      </w:r>
    </w:p>
    <w:p>
      <w:pPr>
        <w:spacing w:after="0" w:line="216" w:lineRule="exact"/>
        <w:rPr>
          <w:rFonts w:ascii="Arial" w:cs="Arial" w:eastAsia="Arial" w:hAnsi="Arial"/>
          <w:sz w:val="21"/>
          <w:szCs w:val="21"/>
          <w:color w:val="auto"/>
        </w:rPr>
      </w:pPr>
    </w:p>
    <w:p>
      <w:pPr>
        <w:jc w:val="both"/>
        <w:ind w:firstLine="1953"/>
        <w:spacing w:after="0" w:line="265" w:lineRule="auto"/>
        <w:tabs>
          <w:tab w:leader="none" w:pos="2833" w:val="left"/>
        </w:tabs>
        <w:numPr>
          <w:ilvl w:val="0"/>
          <w:numId w:val="239"/>
        </w:numPr>
        <w:rPr>
          <w:rFonts w:ascii="Arial" w:cs="Arial" w:eastAsia="Arial" w:hAnsi="Arial"/>
          <w:sz w:val="21"/>
          <w:szCs w:val="21"/>
          <w:color w:val="auto"/>
        </w:rPr>
      </w:pPr>
      <w:r>
        <w:rPr>
          <w:rFonts w:ascii="Arial" w:cs="Arial" w:eastAsia="Arial" w:hAnsi="Arial"/>
          <w:sz w:val="21"/>
          <w:szCs w:val="21"/>
          <w:color w:val="auto"/>
        </w:rPr>
        <w:t>In the event a Contributor other than FTAI fails to make a Capital Call Investment hereunder for any reason, FTAI shall be obligated to fund such Capital Call Investment promptly, but in no event later than the time and date Jefferson Holdings is required to transfer funds to the Trustee for the purchase of the Bonds or payment of the Jefferson Holdings Obligations pursuant to Section 2.02 or Section 2.04 of the Standby Purchase Agreement.</w:t>
      </w:r>
    </w:p>
    <w:p>
      <w:pPr>
        <w:spacing w:after="0" w:line="216"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 All payments required to be made pursuant to this Agreement shall be made in U.S.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dollars and in immediately available funds, without deduction of any kind whatsoever.</w:t>
      </w:r>
    </w:p>
    <w:p>
      <w:pPr>
        <w:spacing w:after="0" w:line="242"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Contributor hereby represents and warrants that:</w:t>
      </w:r>
    </w:p>
    <w:p>
      <w:pPr>
        <w:spacing w:after="0" w:line="260" w:lineRule="exact"/>
        <w:rPr>
          <w:sz w:val="20"/>
          <w:szCs w:val="20"/>
          <w:color w:val="auto"/>
        </w:rPr>
      </w:pPr>
    </w:p>
    <w:p>
      <w:pPr>
        <w:jc w:val="both"/>
        <w:ind w:firstLine="1953"/>
        <w:spacing w:after="0" w:line="253" w:lineRule="auto"/>
        <w:tabs>
          <w:tab w:leader="none" w:pos="2833" w:val="left"/>
        </w:tabs>
        <w:numPr>
          <w:ilvl w:val="1"/>
          <w:numId w:val="240"/>
        </w:numPr>
        <w:rPr>
          <w:rFonts w:ascii="Arial" w:cs="Arial" w:eastAsia="Arial" w:hAnsi="Arial"/>
          <w:sz w:val="22"/>
          <w:szCs w:val="22"/>
          <w:color w:val="auto"/>
        </w:rPr>
      </w:pPr>
      <w:r>
        <w:rPr>
          <w:rFonts w:ascii="Arial" w:cs="Arial" w:eastAsia="Arial" w:hAnsi="Arial"/>
          <w:sz w:val="22"/>
          <w:szCs w:val="22"/>
          <w:u w:val="single" w:color="auto"/>
          <w:color w:val="auto"/>
        </w:rPr>
        <w:t>Organization; Power; Qualification</w:t>
      </w:r>
      <w:r>
        <w:rPr>
          <w:rFonts w:ascii="Arial" w:cs="Arial" w:eastAsia="Arial" w:hAnsi="Arial"/>
          <w:sz w:val="22"/>
          <w:szCs w:val="22"/>
          <w:color w:val="auto"/>
        </w:rPr>
        <w:t>. Such Contributor is duly organized, validly existing and in good standing under the laws of its jurisdiction of organization or registration, and has full power and authority to carry on its business as now conducted.</w:t>
      </w:r>
    </w:p>
    <w:p>
      <w:pPr>
        <w:spacing w:after="0" w:line="226" w:lineRule="exact"/>
        <w:rPr>
          <w:rFonts w:ascii="Arial" w:cs="Arial" w:eastAsia="Arial" w:hAnsi="Arial"/>
          <w:sz w:val="22"/>
          <w:szCs w:val="22"/>
          <w:color w:val="auto"/>
        </w:rPr>
      </w:pPr>
    </w:p>
    <w:p>
      <w:pPr>
        <w:jc w:val="both"/>
        <w:ind w:firstLine="1953"/>
        <w:spacing w:after="0" w:line="253" w:lineRule="auto"/>
        <w:tabs>
          <w:tab w:leader="none" w:pos="2845" w:val="left"/>
        </w:tabs>
        <w:numPr>
          <w:ilvl w:val="1"/>
          <w:numId w:val="240"/>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Such Contributor has the power and authority to enter into this Agreement, to perform its obligations hereunder and to consummate the transactions contemplated hereby and has by proper action duly authorized the execution, delivery and performance of this Agreement.</w:t>
      </w:r>
    </w:p>
    <w:p>
      <w:pPr>
        <w:spacing w:after="0" w:line="226" w:lineRule="exact"/>
        <w:rPr>
          <w:rFonts w:ascii="Arial" w:cs="Arial" w:eastAsia="Arial" w:hAnsi="Arial"/>
          <w:sz w:val="22"/>
          <w:szCs w:val="22"/>
          <w:color w:val="auto"/>
        </w:rPr>
      </w:pPr>
    </w:p>
    <w:p>
      <w:pPr>
        <w:jc w:val="both"/>
        <w:ind w:firstLine="1953"/>
        <w:spacing w:after="0" w:line="265" w:lineRule="auto"/>
        <w:tabs>
          <w:tab w:leader="none" w:pos="2833" w:val="left"/>
        </w:tabs>
        <w:numPr>
          <w:ilvl w:val="1"/>
          <w:numId w:val="240"/>
        </w:numPr>
        <w:rPr>
          <w:rFonts w:ascii="Arial" w:cs="Arial" w:eastAsia="Arial" w:hAnsi="Arial"/>
          <w:sz w:val="21"/>
          <w:szCs w:val="21"/>
          <w:color w:val="auto"/>
        </w:rPr>
      </w:pPr>
      <w:r>
        <w:rPr>
          <w:rFonts w:ascii="Arial" w:cs="Arial" w:eastAsia="Arial" w:hAnsi="Arial"/>
          <w:sz w:val="21"/>
          <w:szCs w:val="21"/>
          <w:u w:val="single" w:color="auto"/>
          <w:color w:val="auto"/>
        </w:rPr>
        <w:t>Enforceable Obligations</w:t>
      </w:r>
      <w:r>
        <w:rPr>
          <w:rFonts w:ascii="Arial" w:cs="Arial" w:eastAsia="Arial" w:hAnsi="Arial"/>
          <w:sz w:val="21"/>
          <w:szCs w:val="21"/>
          <w:color w:val="auto"/>
        </w:rPr>
        <w:t>. This Agreement has been duly executed and delivered by such Contributor and constitutes the legal, valid and binding obligation of such Contributor, enforceable in accordance with its terms, except as such enforceability may be limited by applicable bankruptcy, insolvency, reorganization, moratorium or similar laws affecting the enforcement of creditor’s rights generally and by equitable principles relating to enforceability.</w:t>
      </w:r>
    </w:p>
    <w:p>
      <w:pPr>
        <w:spacing w:after="0" w:line="216" w:lineRule="exact"/>
        <w:rPr>
          <w:rFonts w:ascii="Arial" w:cs="Arial" w:eastAsia="Arial" w:hAnsi="Arial"/>
          <w:sz w:val="21"/>
          <w:szCs w:val="21"/>
          <w:color w:val="auto"/>
        </w:rPr>
      </w:pPr>
    </w:p>
    <w:p>
      <w:pPr>
        <w:jc w:val="both"/>
        <w:ind w:firstLine="1953"/>
        <w:spacing w:after="0" w:line="288" w:lineRule="auto"/>
        <w:tabs>
          <w:tab w:leader="none" w:pos="2845" w:val="left"/>
        </w:tabs>
        <w:numPr>
          <w:ilvl w:val="1"/>
          <w:numId w:val="240"/>
        </w:numPr>
        <w:rPr>
          <w:rFonts w:ascii="Arial" w:cs="Arial" w:eastAsia="Arial" w:hAnsi="Arial"/>
          <w:sz w:val="19"/>
          <w:szCs w:val="19"/>
          <w:color w:val="auto"/>
        </w:rPr>
      </w:pPr>
      <w:r>
        <w:rPr>
          <w:rFonts w:ascii="Arial" w:cs="Arial" w:eastAsia="Arial" w:hAnsi="Arial"/>
          <w:sz w:val="19"/>
          <w:szCs w:val="19"/>
          <w:u w:val="single" w:color="auto"/>
          <w:color w:val="auto"/>
        </w:rPr>
        <w:t>No Conflicts or Consents</w:t>
      </w:r>
      <w:r>
        <w:rPr>
          <w:rFonts w:ascii="Arial" w:cs="Arial" w:eastAsia="Arial" w:hAnsi="Arial"/>
          <w:sz w:val="19"/>
          <w:szCs w:val="19"/>
          <w:color w:val="auto"/>
        </w:rPr>
        <w:t>. Neither the execution and delivery of this Agreement, nor the consummation of the transactions contemplated herein, nor the performance of and compliance with the terms and provisions hereof will (i) violate or conflict with, or require a consent under, any provision of such Contributor’s organizational documents,</w:t>
      </w:r>
    </w:p>
    <w:p>
      <w:pPr>
        <w:spacing w:after="0" w:line="1" w:lineRule="exact"/>
        <w:rPr>
          <w:rFonts w:ascii="Arial" w:cs="Arial" w:eastAsia="Arial" w:hAnsi="Arial"/>
          <w:sz w:val="19"/>
          <w:szCs w:val="19"/>
          <w:color w:val="auto"/>
        </w:rPr>
      </w:pPr>
    </w:p>
    <w:p>
      <w:pPr>
        <w:ind w:firstLine="8"/>
        <w:spacing w:after="0" w:line="246" w:lineRule="auto"/>
        <w:tabs>
          <w:tab w:leader="none" w:pos="332" w:val="left"/>
        </w:tabs>
        <w:numPr>
          <w:ilvl w:val="0"/>
          <w:numId w:val="241"/>
        </w:numPr>
        <w:rPr>
          <w:rFonts w:ascii="Arial" w:cs="Arial" w:eastAsia="Arial" w:hAnsi="Arial"/>
          <w:sz w:val="22"/>
          <w:szCs w:val="22"/>
          <w:color w:val="auto"/>
        </w:rPr>
      </w:pPr>
      <w:r>
        <w:rPr>
          <w:rFonts w:ascii="Arial" w:cs="Arial" w:eastAsia="Arial" w:hAnsi="Arial"/>
          <w:sz w:val="22"/>
          <w:szCs w:val="22"/>
          <w:color w:val="auto"/>
        </w:rPr>
        <w:t>violate any requirement of law, or any order, writ, judgment, injunction, decree or permit, applicable to such Contributor, (iii) violate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374" w:right="239" w:bottom="1440" w:gutter="0" w:footer="0" w:header="0"/>
        </w:sectPr>
      </w:pPr>
    </w:p>
    <w:bookmarkStart w:id="323" w:name="page324"/>
    <w:bookmarkEnd w:id="323"/>
    <w:p>
      <w:pPr>
        <w:jc w:val="both"/>
        <w:spacing w:after="0" w:line="253" w:lineRule="auto"/>
        <w:rPr>
          <w:sz w:val="20"/>
          <w:szCs w:val="20"/>
          <w:color w:val="auto"/>
        </w:rPr>
      </w:pPr>
      <w:r>
        <w:rPr>
          <w:rFonts w:ascii="Arial" w:cs="Arial" w:eastAsia="Arial" w:hAnsi="Arial"/>
          <w:sz w:val="22"/>
          <w:szCs w:val="22"/>
          <w:color w:val="auto"/>
        </w:rPr>
        <w:t>or conflict with, or cause an event of default under, or require a consent under, any material contractual obligation to which such Contributor is a party or by which it is bound or (iv) result in or require the creation of any Lien upon or with respect to any of the assets of such Contributor.</w:t>
      </w:r>
    </w:p>
    <w:p>
      <w:pPr>
        <w:spacing w:after="0" w:line="226" w:lineRule="exact"/>
        <w:rPr>
          <w:sz w:val="20"/>
          <w:szCs w:val="20"/>
          <w:color w:val="auto"/>
        </w:rPr>
      </w:pPr>
    </w:p>
    <w:p>
      <w:pPr>
        <w:jc w:val="both"/>
        <w:ind w:firstLine="1953"/>
        <w:spacing w:after="0" w:line="253" w:lineRule="auto"/>
        <w:tabs>
          <w:tab w:leader="none" w:pos="2833"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No consent, approval, authorization or order of, or filing, registration or qualification with, any court or governmental authority is required in connection with the execution, delivery or performance of this Agreement by such Contributor.</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Acknowledgement</w:t>
      </w:r>
      <w:r>
        <w:rPr>
          <w:rFonts w:ascii="Arial" w:cs="Arial" w:eastAsia="Arial" w:hAnsi="Arial"/>
          <w:sz w:val="22"/>
          <w:szCs w:val="22"/>
          <w:color w:val="auto"/>
        </w:rPr>
        <w:t>. Each Contributor acknowledges that, on the date hereof, Jefferson Holdings will pledge and assign to the Trustee, as collateral security for the obligations of Jefferson Holdings under the Standby Purchase Agreement, all of the right and title of Jefferson Holdings to, and interest of Jefferson Holdings in, this Agreement and the funds paid and to be paid by the Contributors to Jefferson Holdings hereunder. Each Contributor hereby consents to such pledge described above. Each Contributor acknowledges and agrees that Jefferson Holdings may agree with the Trustee and/or the District that it will not enter into any amendment, restatement, supplement or other modification of this Agreement without the prior written consent of the Trustee and/or the District.</w:t>
      </w:r>
    </w:p>
    <w:p>
      <w:pPr>
        <w:spacing w:after="0" w:line="2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Waivers of Failures; Delays; Etc.</w:t>
      </w:r>
      <w:r>
        <w:rPr>
          <w:rFonts w:ascii="Arial" w:cs="Arial" w:eastAsia="Arial" w:hAnsi="Arial"/>
          <w:sz w:val="19"/>
          <w:szCs w:val="19"/>
          <w:color w:val="auto"/>
        </w:rPr>
        <w:t xml:space="preserve"> No failure or delay on the part of any Contributor or Jefferson Holdings in exercising any right, power or privilege hereunder and no course of dealing among the Contributors and Jefferson Holdings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Jefferson Holdings or any Contributor would otherwise have. No notice to or demand on any Contributor in any case shall entitle such Contributor to any other further notice or demand in similar or other circumstances or constitute a waiver of the rights of Jefferson Holdings or any Contributor to any other or further action in any circumstances without notice or demand.</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Waiver of Defenses Under Sections 365(c)(1), 365(c)(2) and 365(e)(2) of the Bankruptcy Code</w:t>
      </w:r>
      <w:r>
        <w:rPr>
          <w:rFonts w:ascii="Arial" w:cs="Arial" w:eastAsia="Arial" w:hAnsi="Arial"/>
          <w:sz w:val="19"/>
          <w:szCs w:val="19"/>
          <w:color w:val="auto"/>
        </w:rPr>
        <w:t>. Although the parties hereto intend and believe that this Agreement is not an executory contract, in as much as the Contributors are the only Persons with contractual obligations hereunder, in the event that such characterization is not upheld in the event of any insolvency proceeding in respect of Jefferson Holdings, each Contributor hereby waives, to the fullest extent it may do so under applicable law, any protection to which it may be entitled under Sections 365(c)(1), 365(c)(2) and 365(e)(2) of the Bankruptcy Code or any successor provision with respect thereto in the event that Jefferson Holdings becomes a debtor under a proceeding under the Bankruptcy Code (a “</w:t>
      </w:r>
      <w:r>
        <w:rPr>
          <w:rFonts w:ascii="Arial" w:cs="Arial" w:eastAsia="Arial" w:hAnsi="Arial"/>
          <w:sz w:val="19"/>
          <w:szCs w:val="19"/>
          <w:u w:val="single" w:color="auto"/>
          <w:color w:val="auto"/>
        </w:rPr>
        <w:t>Bankruptcy Event</w:t>
      </w:r>
      <w:r>
        <w:rPr>
          <w:rFonts w:ascii="Arial" w:cs="Arial" w:eastAsia="Arial" w:hAnsi="Arial"/>
          <w:sz w:val="19"/>
          <w:szCs w:val="19"/>
          <w:color w:val="auto"/>
        </w:rPr>
        <w:t>”). Specifically, in the event that the trustee in any Bankruptcy Event with respect to Jefferson Holdings or the debtor-in-possession with respect thereto takes any action (including the institution of any action, suit or other proceeding for the purpose of enforcing the rights of Jefferson Holdings hereunder), no Contributor shall assert any defense, claim or counterclaim denying liability hereunder on the basis that this Agreement is an executory contract or a “financial accommodation” that cannot be assumed, assigned or enforced or on any other theory directly or indirectly based on Sections 365(c)(1), 365(c)(2) or 365(e)(2) of the Bankruptcy Code or any successor provision with respect thereto. If a Bankruptcy Event with respect to Jefferson Holdings shall occur, each Contributor agrees, after the occurrence of such Bankruptcy Event, to reconfirm in writing, to the extent permitted by applicable law, its prepetition waiver of any protection to which it may be entitled under Section 365(c)(1), 365(c)(2) and 365(e)(2) of the Bankruptcy Code or any successor provision with respect thereto, and, to give effect to such waiver, each Contributor consents, to the extent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374" w:right="239" w:bottom="1440" w:gutter="0" w:footer="0" w:header="0"/>
        </w:sectPr>
      </w:pPr>
    </w:p>
    <w:bookmarkStart w:id="324" w:name="page325"/>
    <w:bookmarkEnd w:id="324"/>
    <w:p>
      <w:pPr>
        <w:ind w:right="60"/>
        <w:spacing w:after="0" w:line="263" w:lineRule="auto"/>
        <w:rPr>
          <w:sz w:val="20"/>
          <w:szCs w:val="20"/>
          <w:color w:val="auto"/>
        </w:rPr>
      </w:pPr>
      <w:r>
        <w:rPr>
          <w:rFonts w:ascii="Arial" w:cs="Arial" w:eastAsia="Arial" w:hAnsi="Arial"/>
          <w:sz w:val="22"/>
          <w:szCs w:val="22"/>
          <w:color w:val="auto"/>
        </w:rPr>
        <w:t>permitted by applicable law, to the assumption and enforcement of each provision of this Agreement by the debtor-in-possession or the trustee of Jefferson Holdings in bankruptcy, as the case may be.</w:t>
      </w:r>
    </w:p>
    <w:p>
      <w:pPr>
        <w:spacing w:after="0" w:line="215"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Obligations Absolute.</w:t>
      </w:r>
      <w:r>
        <w:rPr>
          <w:rFonts w:ascii="Arial" w:cs="Arial" w:eastAsia="Arial" w:hAnsi="Arial"/>
          <w:sz w:val="22"/>
          <w:szCs w:val="22"/>
          <w:color w:val="auto"/>
        </w:rPr>
        <w:t xml:space="preserve"> The obligations of the Contributors under this Agreement shall be absolute, unconditional and irrevocable and shall be paid or performed strictly in accordance with the terms of this Agreement under all circumstances whatsoever, including but not limited to the following:to the extent permitted by applicable law, any lack of validity or enforceability against any Person of this Agreement or any other Related Document or any other agreement or instrument delivered in connection herewith or therewith, or any rejection of this Agreement or any other Related Document by any party hereto or thereto;</w:t>
      </w:r>
    </w:p>
    <w:p>
      <w:pPr>
        <w:spacing w:after="0" w:line="234" w:lineRule="exact"/>
        <w:rPr>
          <w:sz w:val="20"/>
          <w:szCs w:val="20"/>
          <w:color w:val="auto"/>
        </w:rPr>
      </w:pPr>
    </w:p>
    <w:p>
      <w:pPr>
        <w:ind w:left="2860" w:hanging="907"/>
        <w:spacing w:after="0"/>
        <w:tabs>
          <w:tab w:leader="none" w:pos="286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any amendment to, waiver of, consent to or departure from the terms of any of the Related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242" w:lineRule="exact"/>
        <w:rPr>
          <w:sz w:val="20"/>
          <w:szCs w:val="20"/>
          <w:color w:val="auto"/>
        </w:rPr>
      </w:pPr>
    </w:p>
    <w:p>
      <w:pPr>
        <w:ind w:right="260" w:firstLine="1953"/>
        <w:spacing w:after="0" w:line="253" w:lineRule="auto"/>
        <w:tabs>
          <w:tab w:leader="none" w:pos="283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existence of any claim, set-off, defense or other right that a Purchaser may have at any time against the Trustee, the District or any other Person, whether in connection with this Agreement, the other Related Documents or otherwise;</w:t>
      </w:r>
    </w:p>
    <w:p>
      <w:pPr>
        <w:spacing w:after="0" w:line="226" w:lineRule="exact"/>
        <w:rPr>
          <w:rFonts w:ascii="Arial" w:cs="Arial" w:eastAsia="Arial" w:hAnsi="Arial"/>
          <w:sz w:val="22"/>
          <w:szCs w:val="22"/>
          <w:color w:val="auto"/>
        </w:rPr>
      </w:pPr>
    </w:p>
    <w:p>
      <w:pPr>
        <w:ind w:right="200" w:firstLine="1953"/>
        <w:spacing w:after="0" w:line="253" w:lineRule="auto"/>
        <w:tabs>
          <w:tab w:leader="none" w:pos="284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statement or any other document presented under this Agreement or any of the other Related Documents proving to be forged, fraudulent, invalid or insufficient in any respect or any statement therein being untrue or inaccurate in any respect whatsoever; or</w:t>
      </w:r>
    </w:p>
    <w:p>
      <w:pPr>
        <w:spacing w:after="0" w:line="226" w:lineRule="exact"/>
        <w:rPr>
          <w:rFonts w:ascii="Arial" w:cs="Arial" w:eastAsia="Arial" w:hAnsi="Arial"/>
          <w:sz w:val="22"/>
          <w:szCs w:val="22"/>
          <w:color w:val="auto"/>
        </w:rPr>
      </w:pPr>
    </w:p>
    <w:p>
      <w:pPr>
        <w:ind w:left="2840" w:hanging="887"/>
        <w:spacing w:after="0"/>
        <w:tabs>
          <w:tab w:leader="none" w:pos="28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any other circumstances or happening whatsoever, whether or not similar to any of the foregoing.</w:t>
      </w:r>
    </w:p>
    <w:p>
      <w:pPr>
        <w:spacing w:after="0" w:line="2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Benefit of Agreement</w:t>
      </w:r>
      <w:r>
        <w:rPr>
          <w:rFonts w:ascii="Arial" w:cs="Arial" w:eastAsia="Arial" w:hAnsi="Arial"/>
          <w:sz w:val="19"/>
          <w:szCs w:val="19"/>
          <w:color w:val="auto"/>
        </w:rPr>
        <w:t xml:space="preserve">. This Agreement shall be binding upon the Contributors and Jefferson Holdings and each of their respective successors and assigns and shall inure to the benefit of the Contributors and Jefferson Holdings and each of their respective successors and assigns. Other than as contemplated by Section 5 hereof, no party hereto may assign any of its respective rights or obligations hereunder without the consent of each other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the rights and obligations of Jefferson Holdings or any Contributor may be assigned to a Person that is the surviving, resulting or transferee entity in connection with a merger or consolidation of Jefferson Holdings or such Contributor with such other Person or the sale or disposal of all or substantially all of the assets of Jefferson Holdings or such Contributor to such other Person, so long as (a) such surviving, resulting or transferee entity (i) expressly and unconditionally assumes, in a written instrument, the punctual performance and observance of all of the obligations and conditions of this Agreement to be performed by Jefferson Holdings or such Contributor, (ii) has a net worth at least equal to the net worth of Jefferson Holdings or such Contributor immediately preceding such merger or consolidation, or sale or disposition, with net worth being determined in accordance with generally accepted accounting principles, and (iii) with respect to FTAI only, is either subject to the informational requirements of the Securities Exchange Act of 1934, as amended, and in accordance therewith files reports, proxy statements and other information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has executed a Continuing Disclosure Agreement in a form which would satisfy the requirements of Rule 15c2-12 promulgated by the SEC (without regard to an exemption therefrom) if it had been an obligated person for which financial information or operating data of the general type required to be included in FTAI’s annual report filed with the SEC had been disclosed in an official statement in an offering of the Bonds and (b) such assignment does not have an adverse effect on any rating assigned to the Bonds. Notwithstanding the foregoing clauses (a)(i) and (ii), Jefferson Holdings and any Contributor may merge with, and Jefferson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375" w:right="239" w:bottom="1440" w:gutter="0" w:footer="0" w:header="0"/>
        </w:sectPr>
      </w:pPr>
    </w:p>
    <w:bookmarkStart w:id="325" w:name="page326"/>
    <w:bookmarkEnd w:id="325"/>
    <w:p>
      <w:pPr>
        <w:jc w:val="both"/>
        <w:spacing w:after="0" w:line="263" w:lineRule="auto"/>
        <w:rPr>
          <w:sz w:val="20"/>
          <w:szCs w:val="20"/>
          <w:color w:val="auto"/>
        </w:rPr>
      </w:pPr>
      <w:r>
        <w:rPr>
          <w:rFonts w:ascii="Arial" w:cs="Arial" w:eastAsia="Arial" w:hAnsi="Arial"/>
          <w:sz w:val="22"/>
          <w:szCs w:val="22"/>
          <w:color w:val="auto"/>
        </w:rPr>
        <w:t>Holdings and any Contributor other than FTAI may consolidate with or sell or dispose of all or substantially all of its assets to, Jefferson Holdings or any other Contributor.</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Amendments; Waivers</w:t>
      </w:r>
      <w:r>
        <w:rPr>
          <w:rFonts w:ascii="Arial" w:cs="Arial" w:eastAsia="Arial" w:hAnsi="Arial"/>
          <w:sz w:val="21"/>
          <w:szCs w:val="21"/>
          <w:color w:val="auto"/>
        </w:rPr>
        <w:t>. Neither this Agreement nor any provision hereof may be changed, modified, amended or waived except with the written consent of each Contributor and Jefferson Holdings and so long as such change, modification, amendment or waiver would not cause a default under the Standby Purchase Agreement.</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herein shall be in writing and shall be delivered by hand or overnight courier service, mailed by certified or registered mail or sent by facsimile or electronic mail as follows:</w:t>
      </w:r>
    </w:p>
    <w:p>
      <w:pPr>
        <w:sectPr>
          <w:pgSz w:w="11900" w:h="16838" w:orient="portrait"/>
          <w:cols w:equalWidth="0" w:num="1">
            <w:col w:w="11420"/>
          </w:cols>
          <w:pgMar w:left="240" w:top="375" w:right="239" w:bottom="1440" w:gutter="0" w:footer="0" w:header="0"/>
        </w:sectPr>
      </w:pP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any Contributor, to:</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c/o Fortress Transportation and Infrastructure Investors LLC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Randy Nardone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________________</w:t>
      </w:r>
    </w:p>
    <w:p>
      <w:pPr>
        <w:spacing w:after="0" w:line="200" w:lineRule="exact"/>
        <w:rPr>
          <w:sz w:val="20"/>
          <w:szCs w:val="20"/>
          <w:color w:val="auto"/>
        </w:rPr>
      </w:pPr>
    </w:p>
    <w:p>
      <w:pPr>
        <w:sectPr>
          <w:pgSz w:w="11900" w:h="16838" w:orient="portrait"/>
          <w:cols w:equalWidth="0" w:num="2">
            <w:col w:w="3420" w:space="480"/>
            <w:col w:w="7520"/>
          </w:cols>
          <w:pgMar w:left="240" w:top="375" w:right="239" w:bottom="1440" w:gutter="0" w:footer="0" w:header="0"/>
          <w:type w:val="continuous"/>
        </w:sectPr>
      </w:pPr>
    </w:p>
    <w:p>
      <w:pPr>
        <w:spacing w:after="0" w:line="42" w:lineRule="exact"/>
        <w:rPr>
          <w:sz w:val="20"/>
          <w:szCs w:val="20"/>
          <w:color w:val="auto"/>
        </w:rPr>
      </w:pPr>
    </w:p>
    <w:p>
      <w:pPr>
        <w:ind w:left="3900" w:right="3620" w:hanging="2592"/>
        <w:spacing w:after="0" w:line="251" w:lineRule="auto"/>
        <w:tabs>
          <w:tab w:leader="none" w:pos="3880" w:val="left"/>
        </w:tabs>
        <w:rPr>
          <w:sz w:val="20"/>
          <w:szCs w:val="20"/>
          <w:color w:val="auto"/>
        </w:rPr>
      </w:pPr>
      <w:r>
        <w:rPr>
          <w:rFonts w:ascii="Arial" w:cs="Arial" w:eastAsia="Arial" w:hAnsi="Arial"/>
          <w:sz w:val="22"/>
          <w:szCs w:val="22"/>
          <w:color w:val="auto"/>
        </w:rPr>
        <w:t>If to Jefferson Holdings, to:</w:t>
        <w:tab/>
        <w:t>Jefferson Railport Terminal II Holdings LLC 1345 Avenue of the Americas</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Randy Nardone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212-768-6120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E-mail: ________________</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Fortress Transportation and Infrastructure Investors LLC</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Randy Nardone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212-768-6120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E-mail: ________________</w:t>
      </w:r>
    </w:p>
    <w:p>
      <w:pPr>
        <w:spacing w:after="0" w:line="242" w:lineRule="exact"/>
        <w:rPr>
          <w:sz w:val="20"/>
          <w:szCs w:val="20"/>
          <w:color w:val="auto"/>
        </w:rPr>
      </w:pPr>
    </w:p>
    <w:p>
      <w:pPr>
        <w:ind w:left="3900" w:right="3980" w:hanging="2592"/>
        <w:spacing w:after="0" w:line="251" w:lineRule="auto"/>
        <w:rPr>
          <w:sz w:val="20"/>
          <w:szCs w:val="20"/>
          <w:color w:val="auto"/>
        </w:rPr>
      </w:pPr>
      <w:r>
        <w:rPr>
          <w:rFonts w:ascii="Arial" w:cs="Arial" w:eastAsia="Arial" w:hAnsi="Arial"/>
          <w:sz w:val="22"/>
          <w:szCs w:val="22"/>
          <w:color w:val="auto"/>
        </w:rPr>
        <w:t>In each case, with a copy to: District of Beaumont Navigation District 1225 Main Street</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Beaumont, TX 77704</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409-835-0512</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E-mail: dcf@portofbeaumont.com</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Guy N. Goodson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Germer PLLC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P.O. Box 4915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Beaumont, TX 77704-4915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409-835-2115</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375" w:right="239" w:bottom="1440" w:gutter="0" w:footer="0" w:header="0"/>
          <w:type w:val="continuous"/>
        </w:sectPr>
      </w:pPr>
    </w:p>
    <w:bookmarkStart w:id="326" w:name="page327"/>
    <w:bookmarkEnd w:id="326"/>
    <w:p>
      <w:pPr>
        <w:ind w:left="3900"/>
        <w:spacing w:after="0"/>
        <w:rPr>
          <w:sz w:val="20"/>
          <w:szCs w:val="20"/>
          <w:color w:val="auto"/>
        </w:rPr>
      </w:pPr>
      <w:r>
        <w:rPr>
          <w:rFonts w:ascii="Arial" w:cs="Arial" w:eastAsia="Arial" w:hAnsi="Arial"/>
          <w:sz w:val="22"/>
          <w:szCs w:val="22"/>
          <w:color w:val="auto"/>
        </w:rPr>
        <w:t>E-mail: ggoodson@germer.com</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Bank of New York Mellon Trust Company, National Association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601 Travis Street, Floor 16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713-483-6979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E-mail: Germaine.Morgan@bnymellon.com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facsimile or electronic mail shall be deemed to have been given when sent (except that, if not given during normal business hours for the recipient, shall be deemed to have been given at the opening of business on the next business day for the recipient). Any party hereto may change its address, facsimile number or electronic mail address for notices and other communications hereunder by notice to the other parties hereto.</w:t>
      </w:r>
    </w:p>
    <w:p>
      <w:pPr>
        <w:spacing w:after="0" w:line="176"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9" w:lineRule="auto"/>
        <w:tabs>
          <w:tab w:leader="none" w:pos="2185" w:val="left"/>
        </w:tabs>
        <w:numPr>
          <w:ilvl w:val="0"/>
          <w:numId w:val="245"/>
        </w:numPr>
        <w:rPr>
          <w:rFonts w:ascii="Arial" w:cs="Arial" w:eastAsia="Arial" w:hAnsi="Arial"/>
          <w:sz w:val="19"/>
          <w:szCs w:val="19"/>
          <w:color w:val="auto"/>
        </w:rPr>
      </w:pPr>
      <w:r>
        <w:rPr>
          <w:rFonts w:ascii="Arial" w:cs="Arial" w:eastAsia="Arial" w:hAnsi="Arial"/>
          <w:sz w:val="19"/>
          <w:szCs w:val="19"/>
          <w:color w:val="auto"/>
        </w:rPr>
        <w:t>Subject to clause (b) below, this Agreement shall terminate and be of no further force and effect upon the date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that is the earlier of (i) the first date on which the aggregate Capital Call Investments received by Jefferson Holdings hereunder shall equal or exceed the greater of (A) the Available Commitment or (B) the Jefferson Holdings Obligations, (ii) the termination of the Standby Purchase Agreement in accordance with its terms and (iii) the third Business Day after February 13, 2020;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Termination Date shall not have occurred if one or more Capital Call Notices have been issued, the Contributors have not made Capital Call Investments in an aggregate amount greater than or equal to the Required Investment Amount with respect thereto and the aggregate Capital Call Investments received by Jefferson Holdings hereunder are less than the greater of (A) the Available Commitment or (B) the Jefferson Holdings Obligations, or if the Trustee shall have taken action to enforce its rights under the collateral assignment referred to in Section 5 hereof.</w:t>
      </w:r>
    </w:p>
    <w:p>
      <w:pPr>
        <w:spacing w:after="0" w:line="198" w:lineRule="exact"/>
        <w:rPr>
          <w:rFonts w:ascii="Arial" w:cs="Arial" w:eastAsia="Arial" w:hAnsi="Arial"/>
          <w:sz w:val="19"/>
          <w:szCs w:val="19"/>
          <w:color w:val="auto"/>
        </w:rPr>
      </w:pPr>
    </w:p>
    <w:p>
      <w:pPr>
        <w:jc w:val="both"/>
        <w:ind w:firstLine="1953"/>
        <w:spacing w:after="0" w:line="248" w:lineRule="auto"/>
        <w:tabs>
          <w:tab w:leader="none" w:pos="2845" w:val="left"/>
        </w:tabs>
        <w:numPr>
          <w:ilvl w:val="1"/>
          <w:numId w:val="245"/>
        </w:numPr>
        <w:rPr>
          <w:rFonts w:ascii="Arial" w:cs="Arial" w:eastAsia="Arial" w:hAnsi="Arial"/>
          <w:sz w:val="22"/>
          <w:szCs w:val="22"/>
          <w:color w:val="auto"/>
        </w:rPr>
      </w:pPr>
      <w:r>
        <w:rPr>
          <w:rFonts w:ascii="Arial" w:cs="Arial" w:eastAsia="Arial" w:hAnsi="Arial"/>
          <w:sz w:val="22"/>
          <w:szCs w:val="22"/>
          <w:color w:val="auto"/>
        </w:rPr>
        <w:t>To the fullest extent permitted by law, this Agreement shall continue to be effective or shall be reinstated, as the case may be, if at any time any payment (or part thereof) made or caused to be made by any Contributor pursuant to this Agreement, is rescinded or must otherwise be disgorged, restored or returned by any beneficiary of this Agreement or by the Trustee or any owner of Series 2016 Bonds upon the insolvency, bankruptcy or reorganization of any Person or otherwise, all as though such payment had not been made.</w:t>
      </w:r>
    </w:p>
    <w:p>
      <w:pPr>
        <w:spacing w:after="0" w:line="2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and any number of separate counterparts, each of which when so executed, shall be deemed an original and all said counterparts when taken together shall be deemed to constitute but one and the same instrument.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Further Assurance</w:t>
      </w:r>
      <w:r>
        <w:rPr>
          <w:rFonts w:ascii="Arial" w:cs="Arial" w:eastAsia="Arial" w:hAnsi="Arial"/>
          <w:sz w:val="22"/>
          <w:szCs w:val="22"/>
          <w:color w:val="auto"/>
        </w:rPr>
        <w:t>. Each Contributor hereby agrees from time to time, as and when requested by Jefferson Holdings, to execute and deliver or cause to be executed and delivered, all such documents, instruments and agreements and to take or cause to be taken such further or other action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375" w:right="239" w:bottom="1440" w:gutter="0" w:footer="0" w:header="0"/>
        </w:sectPr>
      </w:pPr>
    </w:p>
    <w:bookmarkStart w:id="327" w:name="page328"/>
    <w:bookmarkEnd w:id="327"/>
    <w:p>
      <w:pPr>
        <w:spacing w:after="0"/>
        <w:rPr>
          <w:sz w:val="20"/>
          <w:szCs w:val="20"/>
          <w:color w:val="auto"/>
        </w:rPr>
      </w:pPr>
      <w:r>
        <w:rPr>
          <w:rFonts w:ascii="Arial" w:cs="Arial" w:eastAsia="Arial" w:hAnsi="Arial"/>
          <w:sz w:val="19"/>
          <w:szCs w:val="19"/>
          <w:color w:val="auto"/>
        </w:rPr>
        <w:t>as Jefferson Holdings may reasonably deem necessary or desirable in order to carry out the intent and purposes of this Agreement.</w:t>
      </w:r>
    </w:p>
    <w:p>
      <w:pPr>
        <w:spacing w:after="0" w:line="2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DISPUTE ARISING IN CONNECTION THEREWITH WILL BE GOVERNED BY AND CONSTRUED UNDER TEH LAW OF THE STATE OF TEXAS.</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Forum Selection; Consent to Jurisdiction</w:t>
      </w:r>
      <w:r>
        <w:rPr>
          <w:rFonts w:ascii="Arial" w:cs="Arial" w:eastAsia="Arial" w:hAnsi="Arial"/>
          <w:sz w:val="22"/>
          <w:szCs w:val="22"/>
          <w:color w:val="auto"/>
        </w:rPr>
        <w:t>. EACH PARTY HERETO HEREBY IRREVOCABLY AND UNCONDITIONALLY SUBMITS, FOR ITSELF AND ITS PROPERTY, TO THE EXCLUSIVE JURISDICTION OF THE UNITED STATES DISTRICT COURT FOR THE EASTERN DISTRICT OF TEXAS AND OF ANY TEXAS STATE COURT AND ANY APPELLATE COURT FROM ANY THEREOF, IN ANY ACTION OR PROCEEDING ARISING OUT OF OR RELATING TO THIS AGREEMENT, OR FOR RECOGNITION OR ENFORCEMENT OF ANY JUDGMENT, AND EACH PARTY HERETO HEREBY IRREVOCABLY AND UNCONDITIONALLY AGREES THAT ALL CLAIMS IN RESPECT OF ANY SUCH ACTION OR PROCEEDING MAY BE HEARD AND DETERMINED IN SUCH TEXAS STATE COURT OR, TO THE EXTENT PERMITTED BY APPLICABLE LAW, IN SUCH FEDERAL COURT. EACH PARTY HERETO HEREBY AGREES THAT A FINAL JUDGMENT IN ANY SUCH ACTION OR PROCEEDING SHALL BE CONCLUSIVE AND MAY BE ENFORCED IN OTHER JURISDICTIONS BY SUIT ON THE JUDGMENT OR IN ANY OTHER MANNER PROVIDED BY APPLICABLE LAW.</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ANY RIGHT TO A TRIAL BY JURY IN ANY ACTION OR PROCEEDING TO ENFORCE OR DEFEND ANY RIGHTS UNDER THIS AGREEMENT AND ANY AMENDMENT, INSTRUMENT, DOCUMENT OR AGREEMENT DELIVERED OR WHICH MAY IN THE FUTURE BE DELIVERED IN CONNECTION HEREWITH OR THEREWITH, AND AGREES THAT ANY SUCH ACTION OR PROCEEDING SHALL BE TRIED BEFORE A COURT AND NOT BEFORE A JURY.</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Service of Process</w:t>
      </w:r>
      <w:r>
        <w:rPr>
          <w:rFonts w:ascii="Arial" w:cs="Arial" w:eastAsia="Arial" w:hAnsi="Arial"/>
          <w:sz w:val="19"/>
          <w:szCs w:val="19"/>
          <w:color w:val="auto"/>
        </w:rPr>
        <w:t>. Each Contributor hereby irrevocably designates and appoints FTAI (the “</w:t>
      </w:r>
      <w:r>
        <w:rPr>
          <w:rFonts w:ascii="Arial" w:cs="Arial" w:eastAsia="Arial" w:hAnsi="Arial"/>
          <w:sz w:val="19"/>
          <w:szCs w:val="19"/>
          <w:u w:val="single" w:color="auto"/>
          <w:color w:val="auto"/>
        </w:rPr>
        <w:t>Service of Process Agent</w:t>
      </w:r>
      <w:r>
        <w:rPr>
          <w:rFonts w:ascii="Arial" w:cs="Arial" w:eastAsia="Arial" w:hAnsi="Arial"/>
          <w:sz w:val="19"/>
          <w:szCs w:val="19"/>
          <w:color w:val="auto"/>
        </w:rPr>
        <w:t>”), as its authorized agent to accept and acknowledge on its behalf, service of any and all process which may be served in any suit, action or proceeding of the nature referred to in Section 15 and hereby consents to process being served upon the Service of Process Agent in any such suit, action or proceeding. Such service shall be deemed completed on delivery to such Service of Process Agent. If for any reason such process agent ceases to be able to act as such , the Contributors agree to promptly appoint a substitute process agent acceptable to Jefferson Holdings and the Trustee, as its collateral assignee. Each Contributor and Jefferson Holdings agree that a final judgment in any suit, action or proceeding shall be conclusive and may be enforced in appropriate jurisdictions by suit on the judgment or in any other manner provided by law.</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Severability</w:t>
      </w:r>
      <w:r>
        <w:rPr>
          <w:rFonts w:ascii="Arial" w:cs="Arial" w:eastAsia="Arial" w:hAnsi="Arial"/>
          <w:sz w:val="22"/>
          <w:szCs w:val="22"/>
          <w:color w:val="auto"/>
        </w:rPr>
        <w:t>. Wherever possible, each provision of this Agreement shall be interpreted in such manner as to be effective and valid under applicable law, but if any provision of this Agreement shall be prohibited by or invalid under such law, such provision shall be ineffective to the extent of such prohibition or invalidity without invalidating the remainder of such provision or the remaining provisions of this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this Agreement are inserted for convenience only and shall not affect the meaning or interpretation of this Agreement or any provisions hereof.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374" w:right="239" w:bottom="1440" w:gutter="0" w:footer="0" w:header="0"/>
        </w:sectPr>
      </w:pPr>
    </w:p>
    <w:bookmarkStart w:id="328" w:name="page329"/>
    <w:bookmarkEnd w:id="328"/>
    <w:p>
      <w:pPr>
        <w:ind w:firstLine="648"/>
        <w:spacing w:after="0" w:line="287"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Financial Covenants</w:t>
      </w:r>
      <w:r>
        <w:rPr>
          <w:rFonts w:ascii="Arial" w:cs="Arial" w:eastAsia="Arial" w:hAnsi="Arial"/>
          <w:sz w:val="21"/>
          <w:szCs w:val="21"/>
          <w:color w:val="auto"/>
        </w:rPr>
        <w:t>. For so long as Jefferson Holdings may be obligated to purchase any Bonds or pay any Jefferson Holdings Obligation under the Standby Purchase Agreement, FTAI hereby covenants and agrees as follows:</w:t>
      </w:r>
    </w:p>
    <w:p>
      <w:pPr>
        <w:spacing w:after="0" w:line="192" w:lineRule="exact"/>
        <w:rPr>
          <w:sz w:val="20"/>
          <w:szCs w:val="20"/>
          <w:color w:val="auto"/>
        </w:rPr>
      </w:pPr>
    </w:p>
    <w:p>
      <w:pPr>
        <w:jc w:val="both"/>
        <w:ind w:firstLine="1953"/>
        <w:spacing w:after="0" w:line="288" w:lineRule="auto"/>
        <w:tabs>
          <w:tab w:leader="none" w:pos="2833" w:val="left"/>
        </w:tabs>
        <w:numPr>
          <w:ilvl w:val="1"/>
          <w:numId w:val="246"/>
        </w:numPr>
        <w:rPr>
          <w:rFonts w:ascii="Arial" w:cs="Arial" w:eastAsia="Arial" w:hAnsi="Arial"/>
          <w:sz w:val="19"/>
          <w:szCs w:val="19"/>
          <w:color w:val="auto"/>
        </w:rPr>
      </w:pPr>
      <w:r>
        <w:rPr>
          <w:rFonts w:ascii="Arial" w:cs="Arial" w:eastAsia="Arial" w:hAnsi="Arial"/>
          <w:sz w:val="19"/>
          <w:szCs w:val="19"/>
          <w:color w:val="auto"/>
        </w:rPr>
        <w:t>FTAI will maintain on a consolidated basis “Total equity,” as reflected in FTAI’s quarterly and annual reports filed with the Securities and Exchange Commission (or the equivalent thereof as reported by any successor to or assign of FTAI in accordance with Section 9), that is not less than two times the aggregate principal of and interest payable on or before the First Initial Bonds Remarketing Date on the Bonds; provided that FTAI may satisfy any deficiency between such “Total equity” and the amount that is two times the aggregate principal of and interest payable on or before the First Initial Bonds Remarketing Date on the Bonds by either (i) granting a security interest in favor of the Trustee, for the benefit of holders of the Bonds, in Aviation Assets with an aggregate book value (as reflected in FTAI’s quarterly and annual reports filed with the Securities and Exchange Commission) greater than or equal to such deficiency, which security interest FTAI shall maintain as a perfected security interest at all times after the granting thereof until such deficiency is eliminated or addressed pursuant to the following clause (ii) or (ii) contributing to Jefferson Holdings an amount in cash equal to such deficiency, to be held in the Reserve Fund pledged to and held by the Trustee for the benefit of the holders of the Bonds.</w:t>
      </w:r>
    </w:p>
    <w:p>
      <w:pPr>
        <w:spacing w:after="0" w:line="195" w:lineRule="exact"/>
        <w:rPr>
          <w:rFonts w:ascii="Arial" w:cs="Arial" w:eastAsia="Arial" w:hAnsi="Arial"/>
          <w:sz w:val="19"/>
          <w:szCs w:val="19"/>
          <w:color w:val="auto"/>
        </w:rPr>
      </w:pPr>
    </w:p>
    <w:p>
      <w:pPr>
        <w:jc w:val="both"/>
        <w:ind w:firstLine="1953"/>
        <w:spacing w:after="0" w:line="291" w:lineRule="auto"/>
        <w:tabs>
          <w:tab w:leader="none" w:pos="2845" w:val="left"/>
        </w:tabs>
        <w:numPr>
          <w:ilvl w:val="1"/>
          <w:numId w:val="246"/>
        </w:numPr>
        <w:rPr>
          <w:rFonts w:ascii="Arial" w:cs="Arial" w:eastAsia="Arial" w:hAnsi="Arial"/>
          <w:sz w:val="19"/>
          <w:szCs w:val="19"/>
          <w:color w:val="auto"/>
        </w:rPr>
      </w:pPr>
      <w:r>
        <w:rPr>
          <w:rFonts w:ascii="Arial" w:cs="Arial" w:eastAsia="Arial" w:hAnsi="Arial"/>
          <w:sz w:val="19"/>
          <w:szCs w:val="19"/>
          <w:color w:val="auto"/>
        </w:rPr>
        <w:t>FTAI will maintain on a consolidated basis an aggregate book value of Aviation Assets that is no less than (i) the aggregate principal of and interest payable on or before the First Initial Bonds Remarketing Date on the Bonds less</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cash held in the Reserve Fund on the date of determination.</w:t>
      </w:r>
    </w:p>
    <w:p>
      <w:pPr>
        <w:spacing w:after="0" w:line="242" w:lineRule="exact"/>
        <w:rPr>
          <w:rFonts w:ascii="Arial" w:cs="Arial" w:eastAsia="Arial" w:hAnsi="Arial"/>
          <w:sz w:val="22"/>
          <w:szCs w:val="22"/>
          <w:color w:val="auto"/>
        </w:rPr>
      </w:pPr>
    </w:p>
    <w:p>
      <w:pPr>
        <w:jc w:val="both"/>
        <w:ind w:firstLine="1953"/>
        <w:spacing w:after="0" w:line="250" w:lineRule="auto"/>
        <w:tabs>
          <w:tab w:leader="none" w:pos="2833" w:val="left"/>
        </w:tabs>
        <w:numPr>
          <w:ilvl w:val="1"/>
          <w:numId w:val="247"/>
        </w:numPr>
        <w:rPr>
          <w:rFonts w:ascii="Arial" w:cs="Arial" w:eastAsia="Arial" w:hAnsi="Arial"/>
          <w:sz w:val="22"/>
          <w:szCs w:val="22"/>
          <w:color w:val="auto"/>
        </w:rPr>
      </w:pPr>
      <w:r>
        <w:rPr>
          <w:rFonts w:ascii="Arial" w:cs="Arial" w:eastAsia="Arial" w:hAnsi="Arial"/>
          <w:sz w:val="22"/>
          <w:szCs w:val="22"/>
          <w:color w:val="auto"/>
        </w:rPr>
        <w:t>FTAI will not, and will cause its subsidiaries that hold any Aviation Assets (collectively, the “Aviation Subsidiaries”) not to, create, incur, assume or otherwise cause to become effective (collectively, “incur”) any liens, security interests, encumbrances or pledges (“Liens”) securing indebtedness for borrowed money or capital leases, on any asset of the Aviation Subsidiaries, other than:</w:t>
      </w:r>
    </w:p>
    <w:p>
      <w:pPr>
        <w:spacing w:after="0" w:line="228" w:lineRule="exact"/>
        <w:rPr>
          <w:rFonts w:ascii="Arial" w:cs="Arial" w:eastAsia="Arial" w:hAnsi="Arial"/>
          <w:sz w:val="22"/>
          <w:szCs w:val="22"/>
          <w:color w:val="auto"/>
        </w:rPr>
      </w:pPr>
    </w:p>
    <w:p>
      <w:pPr>
        <w:ind w:left="660" w:right="60" w:firstLine="1941"/>
        <w:spacing w:after="0" w:line="248" w:lineRule="auto"/>
        <w:tabs>
          <w:tab w:leader="none" w:pos="3457" w:val="left"/>
        </w:tabs>
        <w:numPr>
          <w:ilvl w:val="2"/>
          <w:numId w:val="247"/>
        </w:numPr>
        <w:rPr>
          <w:rFonts w:ascii="Arial" w:cs="Arial" w:eastAsia="Arial" w:hAnsi="Arial"/>
          <w:sz w:val="22"/>
          <w:szCs w:val="22"/>
          <w:color w:val="auto"/>
        </w:rPr>
      </w:pPr>
      <w:r>
        <w:rPr>
          <w:rFonts w:ascii="Arial" w:cs="Arial" w:eastAsia="Arial" w:hAnsi="Arial"/>
          <w:sz w:val="22"/>
          <w:szCs w:val="22"/>
          <w:color w:val="auto"/>
        </w:rPr>
        <w:t>Liens securing indebtedness incurred by FTAI, Jefferson Holdings, Jefferson Railport, any Aviation Subsidiary or any of their affiliates in order to satisfy (a) the obligations of Jefferson Holdings and Jefferson Railport pursuant to the Standby Purchase Agreement, or (b) the obligations of FTAI and certain of its subsidiaries pursuant to this Agreement, including liens granted in favor of the Trustee, for the benefit of the holders of the Bonds, pursuant to clause (a)(i) above; or</w:t>
      </w:r>
    </w:p>
    <w:p>
      <w:pPr>
        <w:spacing w:after="0" w:line="232" w:lineRule="exact"/>
        <w:rPr>
          <w:rFonts w:ascii="Arial" w:cs="Arial" w:eastAsia="Arial" w:hAnsi="Arial"/>
          <w:sz w:val="22"/>
          <w:szCs w:val="22"/>
          <w:color w:val="auto"/>
        </w:rPr>
      </w:pPr>
    </w:p>
    <w:p>
      <w:pPr>
        <w:ind w:left="660" w:right="60" w:firstLine="1941"/>
        <w:spacing w:after="0" w:line="250" w:lineRule="auto"/>
        <w:tabs>
          <w:tab w:leader="none" w:pos="3517" w:val="left"/>
        </w:tabs>
        <w:numPr>
          <w:ilvl w:val="2"/>
          <w:numId w:val="247"/>
        </w:numPr>
        <w:rPr>
          <w:rFonts w:ascii="Arial" w:cs="Arial" w:eastAsia="Arial" w:hAnsi="Arial"/>
          <w:sz w:val="22"/>
          <w:szCs w:val="22"/>
          <w:color w:val="auto"/>
        </w:rPr>
      </w:pPr>
      <w:r>
        <w:rPr>
          <w:rFonts w:ascii="Arial" w:cs="Arial" w:eastAsia="Arial" w:hAnsi="Arial"/>
          <w:sz w:val="22"/>
          <w:szCs w:val="22"/>
          <w:color w:val="auto"/>
        </w:rPr>
        <w:t>Liens on assets (including shares of capital stock) existing at the time of the acquisition thereof and Liens incurred in connection with the refinancing or replacement of any indebtedness secured thereby, provided that such Liens are not incurred in contemplation of such acquisition and do not extend to any other assets of the Aviation Subsidiaries.</w:t>
      </w:r>
    </w:p>
    <w:p>
      <w:pPr>
        <w:spacing w:after="0" w:line="228" w:lineRule="exact"/>
        <w:rPr>
          <w:rFonts w:ascii="Arial" w:cs="Arial" w:eastAsia="Arial" w:hAnsi="Arial"/>
          <w:sz w:val="22"/>
          <w:szCs w:val="22"/>
          <w:color w:val="auto"/>
        </w:rPr>
      </w:pPr>
    </w:p>
    <w:p>
      <w:pPr>
        <w:ind w:left="2860" w:hanging="907"/>
        <w:spacing w:after="0"/>
        <w:tabs>
          <w:tab w:leader="none" w:pos="286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In the event that FTAI and its Aviation Subsidiaries are not in compliance with clauses (a), (b) or</w:t>
      </w:r>
    </w:p>
    <w:p>
      <w:pPr>
        <w:spacing w:after="0" w:line="56" w:lineRule="exact"/>
        <w:rPr>
          <w:rFonts w:ascii="Arial" w:cs="Arial" w:eastAsia="Arial" w:hAnsi="Arial"/>
          <w:sz w:val="19"/>
          <w:szCs w:val="19"/>
          <w:color w:val="auto"/>
        </w:rPr>
      </w:pPr>
    </w:p>
    <w:p>
      <w:pPr>
        <w:jc w:val="both"/>
        <w:ind w:firstLine="8"/>
        <w:spacing w:after="0" w:line="244" w:lineRule="auto"/>
        <w:tabs>
          <w:tab w:leader="none" w:pos="29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of this Section 21, and such noncompliance continues for two consecutive quarter-end dates as reflected in FTAI’s quarterly and annual reports filed with the Securities and Exchange Commission (or, with respect to clause (c) above, such noncompliance continues for a period of not less than 90 days), FTAI will contribute to Jefferson Holdings an amount in cash equal to (i) the then-applicable Available Commitment, which the Standby Purchase Agreement and the Indenture require to be held in the Reserve Fund pledged to and held by the Trustee for the benefit of holders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374" w:right="239" w:bottom="1440" w:gutter="0" w:footer="0" w:header="0"/>
        </w:sectPr>
      </w:pPr>
    </w:p>
    <w:bookmarkStart w:id="329" w:name="page330"/>
    <w:bookmarkEnd w:id="329"/>
    <w:p>
      <w:pPr>
        <w:jc w:val="both"/>
        <w:spacing w:after="0" w:line="250" w:lineRule="auto"/>
        <w:rPr>
          <w:sz w:val="20"/>
          <w:szCs w:val="20"/>
          <w:color w:val="auto"/>
        </w:rPr>
      </w:pPr>
      <w:r>
        <w:rPr>
          <w:rFonts w:ascii="Arial" w:cs="Arial" w:eastAsia="Arial" w:hAnsi="Arial"/>
          <w:sz w:val="22"/>
          <w:szCs w:val="22"/>
          <w:color w:val="auto"/>
        </w:rPr>
        <w:t>the Bonds, less (ii) any cash held in the Reserve Fund on the date of determination (prior to any required contribution made pursuant to clause (i) above). Upon the making of the cash contribution and subsequent deposit in the Reserve Fund pursuant to the previous sentence, FTAI and its Aviation Subsidiaries shall be deemed to be in compliance with the requirements of this Section 21 notwithstanding any noncompliance with clauses (a), (b) or (c) hereof.</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Each party hereto, in addition to being entitled to exercise all rights provided herein or granted by law, including recovery of damages, will be entitled to specific performance of its rights under this Agreement. Each party hereto hereby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374" w:right="239" w:bottom="1440" w:gutter="0" w:footer="0" w:header="0"/>
        </w:sectPr>
      </w:pPr>
    </w:p>
    <w:bookmarkStart w:id="330" w:name="page331"/>
    <w:bookmarkEnd w:id="330"/>
    <w:p>
      <w:pPr>
        <w:ind w:firstLine="648"/>
        <w:spacing w:after="0" w:line="263" w:lineRule="auto"/>
        <w:rPr>
          <w:sz w:val="20"/>
          <w:szCs w:val="20"/>
          <w:color w:val="auto"/>
        </w:rPr>
      </w:pPr>
      <w:r>
        <w:rPr>
          <w:rFonts w:ascii="Arial" w:cs="Arial" w:eastAsia="Arial" w:hAnsi="Arial"/>
          <w:sz w:val="22"/>
          <w:szCs w:val="22"/>
          <w:color w:val="auto"/>
        </w:rPr>
        <w:t>IN WITNESS WHEREOF, each of the parties hereto has caused this Agreement to be executed and delivered as of the date first above written.</w:t>
      </w:r>
    </w:p>
    <w:p>
      <w:pPr>
        <w:spacing w:after="0" w:line="385" w:lineRule="exact"/>
        <w:rPr>
          <w:sz w:val="20"/>
          <w:szCs w:val="20"/>
          <w:color w:val="auto"/>
        </w:rPr>
      </w:pPr>
    </w:p>
    <w:p>
      <w:pPr>
        <w:ind w:left="3900" w:right="440"/>
        <w:spacing w:after="0" w:line="269" w:lineRule="auto"/>
        <w:rPr>
          <w:sz w:val="20"/>
          <w:szCs w:val="20"/>
          <w:color w:val="auto"/>
        </w:rPr>
      </w:pPr>
      <w:r>
        <w:rPr>
          <w:rFonts w:ascii="Arial" w:cs="Arial" w:eastAsia="Arial" w:hAnsi="Arial"/>
          <w:sz w:val="22"/>
          <w:szCs w:val="22"/>
          <w:b w:val="1"/>
          <w:bCs w:val="1"/>
          <w:color w:val="auto"/>
        </w:rPr>
        <w:t>FORTRESS TRANSPORTATION AND INFRASTRUCTURE INVESTORS LLC</w:t>
      </w:r>
    </w:p>
    <w:p>
      <w:pPr>
        <w:spacing w:after="0" w:line="38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u w:val="single" w:color="auto"/>
          <w:color w:val="auto"/>
        </w:rPr>
        <w:t>/s/ Joseph P. Adams, Jr.</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Joseph P. Adams, Jr.</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FTAI ENERGY HOLDINGS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FTAI MIDSTREAM GP HOLDINGS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FTAI MIDSTREAM GP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Capital Call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11</w:t>
      </w:r>
    </w:p>
    <w:p>
      <w:pPr>
        <w:sectPr>
          <w:pgSz w:w="11900" w:h="16838" w:orient="portrait"/>
          <w:cols w:equalWidth="0" w:num="1">
            <w:col w:w="11420"/>
          </w:cols>
          <w:pgMar w:left="240" w:top="591" w:right="239" w:bottom="1440" w:gutter="0" w:footer="0" w:header="0"/>
          <w:type w:val="continuous"/>
        </w:sectPr>
      </w:pPr>
    </w:p>
    <w:bookmarkStart w:id="331" w:name="page332"/>
    <w:bookmarkEnd w:id="331"/>
    <w:p>
      <w:pPr>
        <w:jc w:val="center"/>
        <w:ind w:right="-20"/>
        <w:spacing w:after="0"/>
        <w:rPr>
          <w:sz w:val="20"/>
          <w:szCs w:val="20"/>
          <w:color w:val="auto"/>
        </w:rPr>
      </w:pPr>
      <w:r>
        <w:rPr>
          <w:rFonts w:ascii="Arial" w:cs="Arial" w:eastAsia="Arial" w:hAnsi="Arial"/>
          <w:sz w:val="22"/>
          <w:szCs w:val="22"/>
          <w:b w:val="1"/>
          <w:bCs w:val="1"/>
          <w:color w:val="auto"/>
        </w:rPr>
        <w:t>FTAI MIDSTREAM HOLDINGS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FTAI PARNTER HOLDINGS LLC</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9"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FTAI ENERGY PARTNERS LLC</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JEFFERSON RAILPORT TERMINAL II HOLDINGS LLC</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Demetrios Tserpelis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Demetrios Tserpelis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Capital Call Agreement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9019"/>
          </w:cols>
          <w:pgMar w:left="1440" w:top="369" w:right="1440"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Form of Capital Call Notice</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_______________, 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Fortress Transportation and Infrastructure Investors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 OTHER CONTRIBUTORS]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Fortress Transportation and Infrastructure Investors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Randy Nardone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_______________</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Capital Call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Reference is made to that certain Capital Call Agreement, dated as of February 1, 2016 (the “</w:t>
      </w:r>
      <w:r>
        <w:rPr>
          <w:rFonts w:ascii="Arial" w:cs="Arial" w:eastAsia="Arial" w:hAnsi="Arial"/>
          <w:sz w:val="19"/>
          <w:szCs w:val="19"/>
          <w:u w:val="single" w:color="auto"/>
          <w:color w:val="auto"/>
        </w:rPr>
        <w:t>Capital Call Agreement</w:t>
      </w:r>
      <w:r>
        <w:rPr>
          <w:rFonts w:ascii="Arial" w:cs="Arial" w:eastAsia="Arial" w:hAnsi="Arial"/>
          <w:sz w:val="19"/>
          <w:szCs w:val="19"/>
          <w:color w:val="auto"/>
        </w:rPr>
        <w:t>”), by and among Fortress Transportation and Infrastructure Investors LLC, a Delaware limited partnership (“</w:t>
      </w:r>
      <w:r>
        <w:rPr>
          <w:rFonts w:ascii="Arial" w:cs="Arial" w:eastAsia="Arial" w:hAnsi="Arial"/>
          <w:sz w:val="19"/>
          <w:szCs w:val="19"/>
          <w:u w:val="single" w:color="auto"/>
          <w:color w:val="auto"/>
        </w:rPr>
        <w:t>FTAI</w:t>
      </w:r>
      <w:r>
        <w:rPr>
          <w:rFonts w:ascii="Arial" w:cs="Arial" w:eastAsia="Arial" w:hAnsi="Arial"/>
          <w:sz w:val="19"/>
          <w:szCs w:val="19"/>
          <w:color w:val="auto"/>
        </w:rPr>
        <w:t>”), its subsidiaries party thereto and Jefferson Railport Terminal II Holdings LLC, a Delaware limited liability company (“</w:t>
      </w:r>
      <w:r>
        <w:rPr>
          <w:rFonts w:ascii="Arial" w:cs="Arial" w:eastAsia="Arial" w:hAnsi="Arial"/>
          <w:sz w:val="19"/>
          <w:szCs w:val="19"/>
          <w:u w:val="single" w:color="auto"/>
          <w:color w:val="auto"/>
        </w:rPr>
        <w:t>Jefferson Holdings</w:t>
      </w:r>
      <w:r>
        <w:rPr>
          <w:rFonts w:ascii="Arial" w:cs="Arial" w:eastAsia="Arial" w:hAnsi="Arial"/>
          <w:sz w:val="19"/>
          <w:szCs w:val="19"/>
          <w:color w:val="auto"/>
        </w:rPr>
        <w:t>”). Unless defined herein, capitalized terms used herein shall have the meanings provided therefor in the Capital Call Agreement.</w:t>
      </w:r>
    </w:p>
    <w:p>
      <w:pPr>
        <w:spacing w:after="0" w:line="361"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This letter shall constitute a Capital Call Notice. The undersigned is exercising its rights under the Capital Call Agreement to require the Contributors to make aggregate Capital Call Investments in the amount of $[__________] to assist Jefferson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Holdings perform its obligation to pay the Purchase Price of Bonds and in the amount of $[__________] to assist Jefferson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Holdings to perform its obligation to pay Jefferson Holdings Obligations, totaling $[__________], and directs the Contributors to</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deposit the proceeds of such Capital Call Investments in immediately available funds into the following deposit account:</w:t>
      </w:r>
    </w:p>
    <w:p>
      <w:pPr>
        <w:spacing w:after="0" w:line="258"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19"/>
          <w:szCs w:val="19"/>
          <w:color w:val="auto"/>
        </w:rPr>
        <w:t>____________________</w:t>
      </w:r>
    </w:p>
    <w:p>
      <w:pPr>
        <w:spacing w:after="0" w:line="22"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22"/>
          <w:szCs w:val="22"/>
          <w:color w:val="auto"/>
        </w:rPr>
        <w:t>ABA Number:</w:t>
      </w:r>
      <w:r>
        <w:rPr>
          <w:sz w:val="20"/>
          <w:szCs w:val="20"/>
          <w:color w:val="auto"/>
        </w:rPr>
        <w:tab/>
      </w:r>
      <w:r>
        <w:rPr>
          <w:rFonts w:ascii="Arial" w:cs="Arial" w:eastAsia="Arial" w:hAnsi="Arial"/>
          <w:sz w:val="19"/>
          <w:szCs w:val="19"/>
          <w:color w:val="auto"/>
        </w:rPr>
        <w:t>____________________</w:t>
      </w:r>
    </w:p>
    <w:p>
      <w:pPr>
        <w:spacing w:after="0" w:line="4" w:lineRule="exact"/>
        <w:rPr>
          <w:sz w:val="20"/>
          <w:szCs w:val="20"/>
          <w:color w:val="auto"/>
        </w:rPr>
      </w:pPr>
    </w:p>
    <w:p>
      <w:pPr>
        <w:ind w:left="1300"/>
        <w:spacing w:after="0"/>
        <w:tabs>
          <w:tab w:leader="none" w:pos="3060" w:val="left"/>
        </w:tabs>
        <w:rPr>
          <w:sz w:val="20"/>
          <w:szCs w:val="20"/>
          <w:color w:val="auto"/>
        </w:rPr>
      </w:pPr>
      <w:r>
        <w:rPr>
          <w:rFonts w:ascii="Arial" w:cs="Arial" w:eastAsia="Arial" w:hAnsi="Arial"/>
          <w:sz w:val="22"/>
          <w:szCs w:val="22"/>
          <w:color w:val="auto"/>
        </w:rPr>
        <w:t>Account Number:</w:t>
      </w:r>
      <w:r>
        <w:rPr>
          <w:sz w:val="20"/>
          <w:szCs w:val="20"/>
          <w:color w:val="auto"/>
        </w:rPr>
        <w:tab/>
      </w:r>
      <w:r>
        <w:rPr>
          <w:rFonts w:ascii="Arial" w:cs="Arial" w:eastAsia="Arial" w:hAnsi="Arial"/>
          <w:sz w:val="19"/>
          <w:szCs w:val="19"/>
          <w:color w:val="auto"/>
        </w:rPr>
        <w:t>____________________</w:t>
      </w:r>
    </w:p>
    <w:p>
      <w:pPr>
        <w:spacing w:after="0" w:line="4"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____________________</w:t>
      </w:r>
    </w:p>
    <w:p>
      <w:pPr>
        <w:spacing w:after="0" w:line="4"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auto"/>
        </w:rPr>
        <w:t>Reference:</w:t>
      </w:r>
      <w:r>
        <w:rPr>
          <w:sz w:val="20"/>
          <w:szCs w:val="20"/>
          <w:color w:val="auto"/>
        </w:rPr>
        <w:tab/>
      </w:r>
      <w:r>
        <w:rPr>
          <w:rFonts w:ascii="Arial" w:cs="Arial" w:eastAsia="Arial" w:hAnsi="Arial"/>
          <w:sz w:val="22"/>
          <w:szCs w:val="22"/>
          <w:color w:val="auto"/>
        </w:rPr>
        <w:t>____________________</w:t>
      </w:r>
    </w:p>
    <w:p>
      <w:pPr>
        <w:sectPr>
          <w:pgSz w:w="11900" w:h="16838" w:orient="portrait"/>
          <w:cols w:equalWidth="0" w:num="1">
            <w:col w:w="11420"/>
          </w:cols>
          <w:pgMar w:left="240" w:top="598" w:right="239" w:bottom="1440" w:gutter="0" w:footer="0" w:header="0"/>
        </w:sectPr>
      </w:pPr>
    </w:p>
    <w:bookmarkStart w:id="333" w:name="page334"/>
    <w:bookmarkEnd w:id="333"/>
    <w:p>
      <w:pPr>
        <w:jc w:val="both"/>
        <w:ind w:firstLine="648"/>
        <w:spacing w:after="0" w:line="306" w:lineRule="auto"/>
        <w:rPr>
          <w:sz w:val="20"/>
          <w:szCs w:val="20"/>
          <w:color w:val="auto"/>
        </w:rPr>
      </w:pPr>
      <w:r>
        <w:rPr>
          <w:rFonts w:ascii="Arial" w:cs="Arial" w:eastAsia="Arial" w:hAnsi="Arial"/>
          <w:sz w:val="21"/>
          <w:szCs w:val="21"/>
          <w:color w:val="auto"/>
        </w:rPr>
        <w:t>Pursuant to the Capital Call Agreement, such Capital Call Investments must be made by the Contributors promptly after receipt of this notice, but in no event later than the time and date Jefferson Holdings is required to transfer funds to the Trustee for the purchase of the Bonds pursuant to Section 2.02 of the Standby Purchase Agreement or to make a payment of Jefferson Holdings Obligations as provided in Section 2.04 of the Standby Purchase Agreement.</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[Insert name of signatory]</w:t>
      </w:r>
      <w:r>
        <w:rPr>
          <w:rFonts w:ascii="Arial" w:cs="Arial" w:eastAsia="Arial" w:hAnsi="Arial"/>
          <w:sz w:val="28"/>
          <w:szCs w:val="28"/>
          <w:b w:val="1"/>
          <w:bCs w:val="1"/>
          <w:color w:val="auto"/>
          <w:vertAlign w:val="superscript"/>
        </w:rPr>
        <w:t>1</w:t>
      </w:r>
    </w:p>
    <w:p>
      <w:pPr>
        <w:spacing w:after="0" w:line="200" w:lineRule="exact"/>
        <w:rPr>
          <w:sz w:val="20"/>
          <w:szCs w:val="20"/>
          <w:color w:val="auto"/>
        </w:rPr>
      </w:pPr>
    </w:p>
    <w:p>
      <w:pPr>
        <w:spacing w:after="0" w:line="263"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ind w:left="100" w:hanging="92"/>
        <w:spacing w:after="0" w:line="197" w:lineRule="auto"/>
        <w:tabs>
          <w:tab w:leader="none" w:pos="10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color w:val="auto"/>
        </w:rPr>
        <w:t>Insert Jefferson Railport Terminal II Holdings LLC or its successors or its assigns, as applicable.</w:t>
      </w:r>
    </w:p>
    <w:p>
      <w:pPr>
        <w:sectPr>
          <w:pgSz w:w="11900" w:h="16838" w:orient="portrait"/>
          <w:cols w:equalWidth="0" w:num="1">
            <w:col w:w="11420"/>
          </w:cols>
          <w:pgMar w:left="240" w:top="604"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FEE AND SUPPORT AGREEMENT</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87" w:lineRule="auto"/>
        <w:rPr>
          <w:sz w:val="20"/>
          <w:szCs w:val="20"/>
          <w:color w:val="auto"/>
        </w:rPr>
      </w:pPr>
      <w:r>
        <w:rPr>
          <w:rFonts w:ascii="Arial" w:cs="Arial" w:eastAsia="Arial" w:hAnsi="Arial"/>
          <w:sz w:val="22"/>
          <w:szCs w:val="22"/>
          <w:color w:val="auto"/>
        </w:rPr>
        <w:t>THIS FEE AND SUPPORT AGREEMENT (as amended, restated,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March 7, 2016, by and among FTAI Energy Partners LLC, a Delaware limited liability company (“</w:t>
      </w:r>
      <w:r>
        <w:rPr>
          <w:rFonts w:ascii="Arial" w:cs="Arial" w:eastAsia="Arial" w:hAnsi="Arial"/>
          <w:sz w:val="22"/>
          <w:szCs w:val="22"/>
          <w:u w:val="single" w:color="auto"/>
          <w:color w:val="auto"/>
        </w:rPr>
        <w:t>FTAI Energy</w:t>
      </w:r>
      <w:r>
        <w:rPr>
          <w:rFonts w:ascii="Arial" w:cs="Arial" w:eastAsia="Arial" w:hAnsi="Arial"/>
          <w:sz w:val="22"/>
          <w:szCs w:val="22"/>
          <w:color w:val="auto"/>
        </w:rPr>
        <w:t>”), Jefferson Railport Terminal II, LLC, a Delaware limited liability company (“</w:t>
      </w:r>
      <w:r>
        <w:rPr>
          <w:rFonts w:ascii="Arial" w:cs="Arial" w:eastAsia="Arial" w:hAnsi="Arial"/>
          <w:sz w:val="22"/>
          <w:szCs w:val="22"/>
          <w:u w:val="single" w:color="auto"/>
          <w:color w:val="auto"/>
        </w:rPr>
        <w:t>Jefferson Railport</w:t>
      </w:r>
      <w:r>
        <w:rPr>
          <w:rFonts w:ascii="Arial" w:cs="Arial" w:eastAsia="Arial" w:hAnsi="Arial"/>
          <w:sz w:val="22"/>
          <w:szCs w:val="22"/>
          <w:color w:val="auto"/>
        </w:rPr>
        <w:t>”), FTAI Energy Holdings LLC, a Delaware limited liability company (“</w:t>
      </w:r>
      <w:r>
        <w:rPr>
          <w:rFonts w:ascii="Arial" w:cs="Arial" w:eastAsia="Arial" w:hAnsi="Arial"/>
          <w:sz w:val="22"/>
          <w:szCs w:val="22"/>
          <w:u w:val="single" w:color="auto"/>
          <w:color w:val="auto"/>
        </w:rPr>
        <w:t>Blocker</w:t>
      </w:r>
      <w:r>
        <w:rPr>
          <w:rFonts w:ascii="Arial" w:cs="Arial" w:eastAsia="Arial" w:hAnsi="Arial"/>
          <w:sz w:val="22"/>
          <w:szCs w:val="22"/>
          <w:color w:val="auto"/>
        </w:rPr>
        <w:t>”) and FEP Terminal Holdings LLC, a Delaware Limited Liability Company (“</w:t>
      </w:r>
      <w:r>
        <w:rPr>
          <w:rFonts w:ascii="Arial" w:cs="Arial" w:eastAsia="Arial" w:hAnsi="Arial"/>
          <w:sz w:val="22"/>
          <w:szCs w:val="22"/>
          <w:u w:val="single" w:color="auto"/>
          <w:color w:val="auto"/>
        </w:rPr>
        <w:t>FEP</w:t>
      </w:r>
      <w:r>
        <w:rPr>
          <w:rFonts w:ascii="Arial" w:cs="Arial" w:eastAsia="Arial" w:hAnsi="Arial"/>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85" w:lineRule="auto"/>
        <w:rPr>
          <w:sz w:val="20"/>
          <w:szCs w:val="20"/>
          <w:color w:val="auto"/>
        </w:rPr>
      </w:pPr>
      <w:r>
        <w:rPr>
          <w:rFonts w:ascii="Arial" w:cs="Arial" w:eastAsia="Arial" w:hAnsi="Arial"/>
          <w:sz w:val="22"/>
          <w:szCs w:val="22"/>
          <w:color w:val="auto"/>
        </w:rPr>
        <w:t>WHEREAS, Jefferson Railport Terminal II Holdings LLC, a Delaware limited liability company and wholly-owned subsidiary of FTAI Energy (“</w:t>
      </w:r>
      <w:r>
        <w:rPr>
          <w:rFonts w:ascii="Arial" w:cs="Arial" w:eastAsia="Arial" w:hAnsi="Arial"/>
          <w:sz w:val="22"/>
          <w:szCs w:val="22"/>
          <w:u w:val="single" w:color="auto"/>
          <w:color w:val="auto"/>
        </w:rPr>
        <w:t>Jefferson Holdings</w:t>
      </w:r>
      <w:r>
        <w:rPr>
          <w:rFonts w:ascii="Arial" w:cs="Arial" w:eastAsia="Arial" w:hAnsi="Arial"/>
          <w:sz w:val="22"/>
          <w:szCs w:val="22"/>
          <w:color w:val="auto"/>
        </w:rPr>
        <w:t>”), and Jefferson Railport are each parties to a Standby Bond Purchase Agreement (as amended, restated, supplemented or otherwise modified from time to time, the “</w:t>
      </w:r>
      <w:r>
        <w:rPr>
          <w:rFonts w:ascii="Arial" w:cs="Arial" w:eastAsia="Arial" w:hAnsi="Arial"/>
          <w:sz w:val="22"/>
          <w:szCs w:val="22"/>
          <w:u w:val="single" w:color="auto"/>
          <w:color w:val="auto"/>
        </w:rPr>
        <w:t>Standby Purchase Agreement</w:t>
      </w:r>
      <w:r>
        <w:rPr>
          <w:rFonts w:ascii="Arial" w:cs="Arial" w:eastAsia="Arial" w:hAnsi="Arial"/>
          <w:sz w:val="22"/>
          <w:szCs w:val="22"/>
          <w:color w:val="auto"/>
        </w:rPr>
        <w:t>”), dated as of the date hereof, among the Port of Beaumont Navigation District of Jefferson County, Texas (the “</w:t>
      </w:r>
      <w:r>
        <w:rPr>
          <w:rFonts w:ascii="Arial" w:cs="Arial" w:eastAsia="Arial" w:hAnsi="Arial"/>
          <w:sz w:val="22"/>
          <w:szCs w:val="22"/>
          <w:u w:val="single" w:color="auto"/>
          <w:color w:val="auto"/>
        </w:rPr>
        <w:t>District</w:t>
      </w:r>
      <w:r>
        <w:rPr>
          <w:rFonts w:ascii="Arial" w:cs="Arial" w:eastAsia="Arial" w:hAnsi="Arial"/>
          <w:sz w:val="22"/>
          <w:szCs w:val="22"/>
          <w:color w:val="auto"/>
        </w:rPr>
        <w:t>”), The Bank of New York Mellon Trust Company,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 Jefferson Holdings and Jefferson Railport; and</w:t>
      </w:r>
    </w:p>
    <w:p>
      <w:pPr>
        <w:spacing w:after="0" w:line="200" w:lineRule="exact"/>
        <w:rPr>
          <w:sz w:val="20"/>
          <w:szCs w:val="20"/>
          <w:color w:val="auto"/>
        </w:rPr>
      </w:pPr>
    </w:p>
    <w:p>
      <w:pPr>
        <w:spacing w:after="0" w:line="212" w:lineRule="exact"/>
        <w:rPr>
          <w:sz w:val="20"/>
          <w:szCs w:val="20"/>
          <w:color w:val="auto"/>
        </w:rPr>
      </w:pPr>
    </w:p>
    <w:p>
      <w:pPr>
        <w:jc w:val="both"/>
        <w:ind w:right="160" w:firstLine="648"/>
        <w:spacing w:after="0" w:line="357" w:lineRule="auto"/>
        <w:rPr>
          <w:sz w:val="20"/>
          <w:szCs w:val="20"/>
          <w:color w:val="auto"/>
        </w:rPr>
      </w:pPr>
      <w:r>
        <w:rPr>
          <w:rFonts w:ascii="Arial" w:cs="Arial" w:eastAsia="Arial" w:hAnsi="Arial"/>
          <w:sz w:val="19"/>
          <w:szCs w:val="19"/>
          <w:color w:val="auto"/>
        </w:rPr>
        <w:t>WHEREAS, Fortress Transportation and Infrastructure Investors LLC, a Delaware limited liability company (“</w:t>
      </w:r>
      <w:r>
        <w:rPr>
          <w:rFonts w:ascii="Arial" w:cs="Arial" w:eastAsia="Arial" w:hAnsi="Arial"/>
          <w:sz w:val="19"/>
          <w:szCs w:val="19"/>
          <w:u w:val="single" w:color="auto"/>
          <w:color w:val="auto"/>
        </w:rPr>
        <w:t>FTAI</w:t>
      </w:r>
      <w:r>
        <w:rPr>
          <w:rFonts w:ascii="Arial" w:cs="Arial" w:eastAsia="Arial" w:hAnsi="Arial"/>
          <w:sz w:val="19"/>
          <w:szCs w:val="19"/>
          <w:color w:val="auto"/>
        </w:rPr>
        <w:t>”) is a party to a Capital Call Agreement (as amended, restated, supplemented or otherwise modified from time to time, the “</w:t>
      </w:r>
      <w:r>
        <w:rPr>
          <w:rFonts w:ascii="Arial" w:cs="Arial" w:eastAsia="Arial" w:hAnsi="Arial"/>
          <w:sz w:val="19"/>
          <w:szCs w:val="19"/>
          <w:u w:val="single" w:color="auto"/>
          <w:color w:val="auto"/>
        </w:rPr>
        <w:t>Capital Call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the date hereof, among FTAI, its subsidiaries party thereto and Jefferson Holdings; and</w:t>
      </w:r>
    </w:p>
    <w:p>
      <w:pPr>
        <w:spacing w:after="0" w:line="349"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WHEREAS, Jefferson Holdings and Jefferson Railport have agreed, in connection with the offer and sale by the Port of Beaumont Navigation District of Jefferson County, Texas, a political subdivision of the State of Texas of the Bonds (as defined herein), (a) to purchase the Bonds from holders of the Bonds upon certain conditions pursuant to the Standby Purchase Agreement, and (b) to guarantee the payment, when due, of the Jefferson Holdings Obligations (as herein defined); and</w:t>
      </w:r>
    </w:p>
    <w:p>
      <w:pPr>
        <w:spacing w:after="0" w:line="361" w:lineRule="exact"/>
        <w:rPr>
          <w:sz w:val="20"/>
          <w:szCs w:val="20"/>
          <w:color w:val="auto"/>
        </w:rPr>
      </w:pPr>
    </w:p>
    <w:p>
      <w:pPr>
        <w:ind w:right="200" w:firstLine="648"/>
        <w:spacing w:after="0" w:line="357" w:lineRule="auto"/>
        <w:rPr>
          <w:sz w:val="20"/>
          <w:szCs w:val="20"/>
          <w:color w:val="auto"/>
        </w:rPr>
      </w:pPr>
      <w:r>
        <w:rPr>
          <w:rFonts w:ascii="Arial" w:cs="Arial" w:eastAsia="Arial" w:hAnsi="Arial"/>
          <w:sz w:val="19"/>
          <w:szCs w:val="19"/>
          <w:color w:val="auto"/>
        </w:rPr>
        <w:t>WHEREAS, Blocker and FEP desire to covenant and agree to assume responsibility for Jefferson Holdings’ and Jefferson Railport’s obligations pursuant to the Standby Purchase Agreement and responsibility for any contributions required to be made pursuant to Section 21(d) of the Capital Call Agreement in exchange for an annual fee as described herein.</w:t>
      </w:r>
    </w:p>
    <w:p>
      <w:pPr>
        <w:spacing w:after="0" w:line="349" w:lineRule="exact"/>
        <w:rPr>
          <w:sz w:val="20"/>
          <w:szCs w:val="20"/>
          <w:color w:val="auto"/>
        </w:rPr>
      </w:pPr>
    </w:p>
    <w:p>
      <w:pPr>
        <w:ind w:right="500" w:firstLine="648"/>
        <w:spacing w:after="0" w:line="292" w:lineRule="auto"/>
        <w:rPr>
          <w:sz w:val="20"/>
          <w:szCs w:val="20"/>
          <w:color w:val="auto"/>
        </w:rPr>
      </w:pPr>
      <w:r>
        <w:rPr>
          <w:rFonts w:ascii="Arial" w:cs="Arial" w:eastAsia="Arial" w:hAnsi="Arial"/>
          <w:sz w:val="22"/>
          <w:szCs w:val="22"/>
          <w:color w:val="auto"/>
        </w:rPr>
        <w:t>NOW, THEREFORE, in consideration of the mutual covenants and agreements herein and other good and valuable consideration, the receipt and sufficiency of which are hereby acknowledged, the parties hereto, hereby intending to be legally bound, agree as follows:</w:t>
      </w:r>
    </w:p>
    <w:p>
      <w:pPr>
        <w:sectPr>
          <w:pgSz w:w="11900" w:h="16838" w:orient="portrait"/>
          <w:cols w:equalWidth="0" w:num="1">
            <w:col w:w="11420"/>
          </w:cols>
          <w:pgMar w:left="240" w:top="132" w:right="239" w:bottom="1440" w:gutter="0" w:footer="0" w:header="0"/>
        </w:sectPr>
      </w:pPr>
    </w:p>
    <w:bookmarkStart w:id="335" w:name="page336"/>
    <w:bookmarkEnd w:id="335"/>
    <w:p>
      <w:pPr>
        <w:ind w:left="660"/>
        <w:spacing w:after="0"/>
        <w:tabs>
          <w:tab w:leader="none" w:pos="17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following meanings: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Commitment</w:t>
      </w:r>
      <w:r>
        <w:rPr>
          <w:rFonts w:ascii="Arial" w:cs="Arial" w:eastAsia="Arial" w:hAnsi="Arial"/>
          <w:sz w:val="19"/>
          <w:szCs w:val="19"/>
          <w:color w:val="auto"/>
        </w:rPr>
        <w:t>” has the meaning assigned to such term in the Standby Purchase Agreement as in effect on the date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has the meaning assigned to such term in the Indenture.</w:t>
      </w:r>
    </w:p>
    <w:p>
      <w:pPr>
        <w:spacing w:after="0" w:line="200" w:lineRule="exact"/>
        <w:rPr>
          <w:sz w:val="20"/>
          <w:szCs w:val="20"/>
          <w:color w:val="auto"/>
        </w:rPr>
      </w:pPr>
    </w:p>
    <w:p>
      <w:pPr>
        <w:spacing w:after="0" w:line="27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 Payments</w:t>
      </w:r>
      <w:r>
        <w:rPr>
          <w:rFonts w:ascii="Arial" w:cs="Arial" w:eastAsia="Arial" w:hAnsi="Arial"/>
          <w:sz w:val="22"/>
          <w:szCs w:val="22"/>
          <w:color w:val="auto"/>
        </w:rPr>
        <w:t>” means a cash payment by each of Blocker and FEP, directly or indirectly, to Jefferson Holdings on behalf of itself and Jefferson Railport in respect of amounts owed by Jefferson Holdings and Jefferson Railport pursuant to Section 2.02 of the Standby Purchase Agreement in order to enable Jefferson Holdings and Jefferson Railport to fulfill their obligations under the Standby Purchase Agreement.</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Bonds</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assigned to such term in the Indenture.</w:t>
      </w:r>
    </w:p>
    <w:p>
      <w:pPr>
        <w:spacing w:after="0" w:line="200" w:lineRule="exact"/>
        <w:rPr>
          <w:sz w:val="20"/>
          <w:szCs w:val="20"/>
          <w:color w:val="auto"/>
        </w:rPr>
      </w:pPr>
    </w:p>
    <w:p>
      <w:pPr>
        <w:spacing w:after="0" w:line="276"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Compliance Payments</w:t>
      </w:r>
      <w:r>
        <w:rPr>
          <w:rFonts w:ascii="Arial" w:cs="Arial" w:eastAsia="Arial" w:hAnsi="Arial"/>
          <w:sz w:val="22"/>
          <w:szCs w:val="22"/>
          <w:color w:val="auto"/>
        </w:rPr>
        <w:t>” means any contribution required to be made to Jefferson Holdings pursuant to Section 21(d) of the Capital Call Agreement.</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Jefferson Holdings Obligations</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Jefferson Holdings Obligation Payments</w:t>
      </w:r>
      <w:r>
        <w:rPr>
          <w:rFonts w:ascii="Arial" w:cs="Arial" w:eastAsia="Arial" w:hAnsi="Arial"/>
          <w:sz w:val="22"/>
          <w:szCs w:val="22"/>
          <w:color w:val="auto"/>
        </w:rPr>
        <w:t>” means a cash payment by each of Blocker and FEP, directly or indirectly, to Jefferson Holdings on behalf of itself and Jefferson Railport in respect of amounts owed by Jefferson Holdings and Jefferson Railport pursuant to Section 2.04 of the Standby Purchase Agreement in order to enable Jefferson Holdings and Jefferson Railport to fulfill their obligations under the Standby Purchase Agreement.</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has the meaning assigned to such term in the Standby Purchase Agreement.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Notice</w:t>
      </w:r>
      <w:r>
        <w:rPr>
          <w:rFonts w:ascii="Arial" w:cs="Arial" w:eastAsia="Arial" w:hAnsi="Arial"/>
          <w:sz w:val="19"/>
          <w:szCs w:val="19"/>
          <w:color w:val="auto"/>
        </w:rPr>
        <w:t xml:space="preserve">” means a notice by FTAI Energy and Jefferson Railport to Blocker and FEP in the form of </w:t>
      </w:r>
      <w:r>
        <w:rPr>
          <w:rFonts w:ascii="Arial" w:cs="Arial" w:eastAsia="Arial" w:hAnsi="Arial"/>
          <w:sz w:val="19"/>
          <w:szCs w:val="19"/>
          <w:u w:val="single" w:color="auto"/>
          <w:color w:val="auto"/>
        </w:rPr>
        <w:t>Exhibit A</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corporation, a partnership, an association, an agency, an authority, a joint venture, a trust, a business trust, a limited liability company or any other entity or organization, including a governmental entity or political subdivision or an agency or instrumentality thereof.</w:t>
      </w:r>
    </w:p>
    <w:p>
      <w:pPr>
        <w:spacing w:after="0" w:line="400" w:lineRule="exact"/>
        <w:rPr>
          <w:sz w:val="20"/>
          <w:szCs w:val="20"/>
          <w:color w:val="auto"/>
        </w:rPr>
      </w:pPr>
    </w:p>
    <w:p>
      <w:pPr>
        <w:ind w:right="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Percentage</w:t>
      </w:r>
      <w:r>
        <w:rPr>
          <w:rFonts w:ascii="Arial" w:cs="Arial" w:eastAsia="Arial" w:hAnsi="Arial"/>
          <w:sz w:val="22"/>
          <w:szCs w:val="22"/>
          <w:color w:val="auto"/>
        </w:rPr>
        <w:t>” means the relative percentage of each of Blocker’s and FEP’s direct or indirect ownership interest in FTAI Energy Partners LLC from time to time.</w:t>
      </w:r>
    </w:p>
    <w:p>
      <w:pPr>
        <w:sectPr>
          <w:pgSz w:w="11900" w:h="16838" w:orient="portrait"/>
          <w:cols w:equalWidth="0" w:num="1">
            <w:col w:w="11400"/>
          </w:cols>
          <w:pgMar w:left="240" w:top="861" w:right="2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861" w:right="259" w:bottom="1440" w:gutter="0" w:footer="0" w:header="0"/>
          <w:type w:val="continuous"/>
        </w:sectPr>
      </w:pPr>
    </w:p>
    <w:bookmarkStart w:id="336" w:name="page337"/>
    <w:bookmarkEnd w:id="336"/>
    <w:p>
      <w:pPr>
        <w:ind w:right="600"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Support Payment Amount</w:t>
      </w:r>
      <w:r>
        <w:rPr>
          <w:rFonts w:ascii="Arial" w:cs="Arial" w:eastAsia="Arial" w:hAnsi="Arial"/>
          <w:sz w:val="21"/>
          <w:szCs w:val="21"/>
          <w:color w:val="auto"/>
        </w:rPr>
        <w:t>” means, with respect to each Payment Notice, an amount equal to the aggregate Support Payments required to be paid by each of Blocker and FEP pursuant to such Payment Notice.</w:t>
      </w:r>
    </w:p>
    <w:p>
      <w:pPr>
        <w:spacing w:after="0" w:line="36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 Payments</w:t>
      </w:r>
      <w:r>
        <w:rPr>
          <w:rFonts w:ascii="Arial" w:cs="Arial" w:eastAsia="Arial" w:hAnsi="Arial"/>
          <w:sz w:val="19"/>
          <w:szCs w:val="19"/>
          <w:color w:val="auto"/>
        </w:rPr>
        <w:t>” means the Bond Payments, the Jefferson Holdings Obligation Payments and the Covenant Compliance Payments. For the avoidance of doubt, any direct or indirect cash payment to Jefferson Holdings by Blocker or FEP pursuant to this Agreement shall be considered a “Support Payment” received by Jefferson Holdings on behalf of itself and Jefferson Railport.</w:t>
      </w:r>
    </w:p>
    <w:p>
      <w:pPr>
        <w:spacing w:after="0" w:line="13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Required Payments to Jefferson Holdings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right="40" w:firstLine="1305"/>
        <w:spacing w:after="0" w:line="298" w:lineRule="auto"/>
        <w:tabs>
          <w:tab w:leader="none" w:pos="175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Each of Blocker and FEP agrees, severally but not jointly, to make Support Payments from time to time in accordance with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Bond Payments required to be made to Jefferson Holdings on behalf of itself and Jefferson Railport as of any day shall not exceed the Available Commitment; (ii) the aggregate Jefferson Holdings Obligation Payments required to be made to Jefferson Holdings on behalf of itself and Jefferson Railport as of any day shall not exceed the amount of Jefferson Holdings Obligations then due; and (iii) the aggregate Covenant Compliance Payments required to be made to Jefferson Holdings as of any day shall not exceed the required contribution then due pursuant to Section 21(d) of the Capital Call Agreement, in each case, as of such day,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no Support Payment shall be made hereunder except when due hereunder following the delivery of a Payment Notice from FTAI Energy or Jefferson Railport, it being understood and agreed that there are no other conditions (implied or otherwise) to the commitments hereunder, including compliance with the terms of this Agreement.</w:t>
      </w:r>
    </w:p>
    <w:p>
      <w:pPr>
        <w:spacing w:after="0" w:line="200" w:lineRule="exact"/>
        <w:rPr>
          <w:rFonts w:ascii="Arial" w:cs="Arial" w:eastAsia="Arial" w:hAnsi="Arial"/>
          <w:sz w:val="21"/>
          <w:szCs w:val="21"/>
          <w:color w:val="auto"/>
        </w:rPr>
      </w:pPr>
    </w:p>
    <w:p>
      <w:pPr>
        <w:spacing w:after="0" w:line="204" w:lineRule="exact"/>
        <w:rPr>
          <w:rFonts w:ascii="Arial" w:cs="Arial" w:eastAsia="Arial" w:hAnsi="Arial"/>
          <w:sz w:val="21"/>
          <w:szCs w:val="21"/>
          <w:color w:val="auto"/>
        </w:rPr>
      </w:pPr>
    </w:p>
    <w:p>
      <w:pPr>
        <w:ind w:left="1780" w:hanging="475"/>
        <w:spacing w:after="0"/>
        <w:tabs>
          <w:tab w:leader="none" w:pos="178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FTAI Energy and Jefferson Railport may issue a Payment Notice to Blocker and FEP from time to time.</w:t>
      </w:r>
    </w:p>
    <w:p>
      <w:pPr>
        <w:spacing w:after="0" w:line="200" w:lineRule="exact"/>
        <w:rPr>
          <w:rFonts w:ascii="Arial" w:cs="Arial" w:eastAsia="Arial" w:hAnsi="Arial"/>
          <w:sz w:val="21"/>
          <w:szCs w:val="21"/>
          <w:color w:val="auto"/>
        </w:rPr>
      </w:pPr>
    </w:p>
    <w:p>
      <w:pPr>
        <w:spacing w:after="0" w:line="287" w:lineRule="exact"/>
        <w:rPr>
          <w:rFonts w:ascii="Arial" w:cs="Arial" w:eastAsia="Arial" w:hAnsi="Arial"/>
          <w:sz w:val="21"/>
          <w:szCs w:val="21"/>
          <w:color w:val="auto"/>
        </w:rPr>
      </w:pPr>
    </w:p>
    <w:p>
      <w:pPr>
        <w:ind w:right="20" w:firstLine="1305"/>
        <w:spacing w:after="0" w:line="300" w:lineRule="auto"/>
        <w:tabs>
          <w:tab w:leader="none" w:pos="175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paragraph (d)</w:t>
      </w:r>
      <w:r>
        <w:rPr>
          <w:rFonts w:ascii="Arial" w:cs="Arial" w:eastAsia="Arial" w:hAnsi="Arial"/>
          <w:sz w:val="21"/>
          <w:szCs w:val="21"/>
          <w:color w:val="auto"/>
        </w:rPr>
        <w:t xml:space="preserve"> below, upon the receipt by Blocker and FEP of a Payment Notice, each of Blocker and FEP hereby agrees that it shall promptly, and, in the case of a Bond Payment or Jefferson Holdings Obligations Payment, in no event later than the time and date Jefferson Holdings and/or Jefferson Railport are required to transfer funds to the Trustee pursuant to Section 2.02 or 2.04 of the Standby Purchase Agreement, make, directly or indirectly, a Bond Payment, a Jefferson Holdings Obligation Payment or a Covenant Compliance Payment, as applicable, to Jefferson Holdings on behalf of itself and, if applicable, Jefferson Railport, in an amount equal to each of Blocker’s and FEP’s Pro Rata Percentage of the Required Support Payment Amount with respect to such Payment Notice.</w:t>
      </w:r>
    </w:p>
    <w:p>
      <w:pPr>
        <w:spacing w:after="0" w:line="399" w:lineRule="exact"/>
        <w:rPr>
          <w:rFonts w:ascii="Arial" w:cs="Arial" w:eastAsia="Arial" w:hAnsi="Arial"/>
          <w:sz w:val="21"/>
          <w:szCs w:val="21"/>
          <w:color w:val="auto"/>
        </w:rPr>
      </w:pPr>
    </w:p>
    <w:p>
      <w:pPr>
        <w:ind w:right="420" w:firstLine="1305"/>
        <w:spacing w:after="0" w:line="302" w:lineRule="auto"/>
        <w:tabs>
          <w:tab w:leader="none" w:pos="1765"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Notwithstanding the foregoing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neither Blocker nor FEP shall be required to make a Support Payment described in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pursuant to a Payment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1077" w:right="259" w:bottom="1440" w:gutter="0" w:footer="0" w:header="0"/>
        </w:sectPr>
      </w:pPr>
    </w:p>
    <w:bookmarkStart w:id="337" w:name="page338"/>
    <w:bookmarkEnd w:id="337"/>
    <w:p>
      <w:pPr>
        <w:ind w:right="240"/>
        <w:spacing w:after="0" w:line="292" w:lineRule="auto"/>
        <w:rPr>
          <w:sz w:val="20"/>
          <w:szCs w:val="20"/>
          <w:color w:val="auto"/>
        </w:rPr>
      </w:pPr>
      <w:r>
        <w:rPr>
          <w:rFonts w:ascii="Arial" w:cs="Arial" w:eastAsia="Arial" w:hAnsi="Arial"/>
          <w:sz w:val="22"/>
          <w:szCs w:val="22"/>
          <w:color w:val="auto"/>
        </w:rPr>
        <w:t>Notice (and shall not be considered in default of this Agreement) to the extent Jefferson Holdings and/or Jefferson Railport has received funds in an amount equal to the Required Support Payment Amount set forth in the Payment Notice on account of, or at the direction of, FTAI or any of its subsidiaries pursuant to the Capital Call Agreement.</w:t>
      </w:r>
    </w:p>
    <w:p>
      <w:pPr>
        <w:spacing w:after="0" w:line="400" w:lineRule="exact"/>
        <w:rPr>
          <w:sz w:val="20"/>
          <w:szCs w:val="20"/>
          <w:color w:val="auto"/>
        </w:rPr>
      </w:pPr>
    </w:p>
    <w:p>
      <w:pPr>
        <w:ind w:firstLine="1305"/>
        <w:spacing w:after="0" w:line="292" w:lineRule="auto"/>
        <w:tabs>
          <w:tab w:leader="none" w:pos="175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 the event either Blocker or FEP fails to make its Pro Rata Percentage of a Required Support Payment Amount hereunder for any reason, the other of Blocker or FEP shall not be obligated to fund such unfunded portion of the Required Support Payment Amount.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500" w:firstLine="1305"/>
        <w:spacing w:after="0" w:line="302" w:lineRule="auto"/>
        <w:tabs>
          <w:tab w:leader="none" w:pos="172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Notwithstanding the foregoing, in no event shall any provision of this Agreement limit FTAI’s obligations pursuant to the Capital Call Agreement.</w:t>
      </w:r>
    </w:p>
    <w:p>
      <w:pPr>
        <w:spacing w:after="0" w:line="174" w:lineRule="exact"/>
        <w:rPr>
          <w:sz w:val="20"/>
          <w:szCs w:val="20"/>
          <w:color w:val="auto"/>
        </w:rPr>
      </w:pPr>
    </w:p>
    <w:p>
      <w:pPr>
        <w:ind w:right="80" w:firstLine="648"/>
        <w:spacing w:after="0" w:line="303"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Fee</w:t>
      </w:r>
      <w:r>
        <w:rPr>
          <w:rFonts w:ascii="Arial" w:cs="Arial" w:eastAsia="Arial" w:hAnsi="Arial"/>
          <w:sz w:val="21"/>
          <w:szCs w:val="21"/>
          <w:color w:val="auto"/>
        </w:rPr>
        <w:t>. In consideration of the covenants and agreements made by Blocker and FEP herein, FTAI Energy, on behalf of itself, Jefferson Holdings and Jefferson Railport, hereby agrees to pay to Blocker and FEP a fee per annum of $6,873,000 (the “</w:t>
      </w:r>
      <w:r>
        <w:rPr>
          <w:rFonts w:ascii="Arial" w:cs="Arial" w:eastAsia="Arial" w:hAnsi="Arial"/>
          <w:sz w:val="21"/>
          <w:szCs w:val="21"/>
          <w:u w:val="single" w:color="auto"/>
          <w:color w:val="auto"/>
        </w:rPr>
        <w:t>Fee</w:t>
      </w:r>
      <w:r>
        <w:rPr>
          <w:rFonts w:ascii="Arial" w:cs="Arial" w:eastAsia="Arial" w:hAnsi="Arial"/>
          <w:sz w:val="21"/>
          <w:szCs w:val="21"/>
          <w:color w:val="auto"/>
        </w:rPr>
        <w:t>”). The Fee shall be payable on the date of issuance of the Series 2016 Bonds (as defined in the Standby Bond Purchase Agreement) or on such other date as FTAI Energy, Blocker and FEP may agree. The Fee shall be allocated between Blocker and FEP in accordance with each of Blocker’s and FEP’s Pro Rata Percentage.</w:t>
      </w:r>
    </w:p>
    <w:p>
      <w:pPr>
        <w:spacing w:after="0" w:line="177" w:lineRule="exact"/>
        <w:rPr>
          <w:sz w:val="20"/>
          <w:szCs w:val="20"/>
          <w:color w:val="auto"/>
        </w:rPr>
      </w:pPr>
    </w:p>
    <w:p>
      <w:pPr>
        <w:ind w:right="80" w:firstLine="648"/>
        <w:spacing w:after="0" w:line="341"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Payments</w:t>
      </w:r>
      <w:r>
        <w:rPr>
          <w:rFonts w:ascii="Arial" w:cs="Arial" w:eastAsia="Arial" w:hAnsi="Arial"/>
          <w:sz w:val="19"/>
          <w:szCs w:val="19"/>
          <w:color w:val="auto"/>
        </w:rPr>
        <w:t>. Unless otherwise expressly specified herein, all payments required to be made pursuant to this Agreement shall be made in U.S. dollars and in immediately available funds. At the election of FTAI Energy, any payment due hereunder, including any Fee payment pursuant to Section 3 or any reimbursement pursuant to Section 6, without limitation, may be made in the form of a note evidencing indebtedness of FTAI Energy and/or Jefferson Railport, with such terms (including interest rate) as FTAI Energy and/or Jefferson Railport, on the one hand, and Blocker and FEP, on the other, may reasonably agree.</w:t>
      </w:r>
    </w:p>
    <w:p>
      <w:pPr>
        <w:spacing w:after="0" w:line="366" w:lineRule="exact"/>
        <w:rPr>
          <w:sz w:val="20"/>
          <w:szCs w:val="20"/>
          <w:color w:val="auto"/>
        </w:rPr>
      </w:pPr>
    </w:p>
    <w:p>
      <w:pPr>
        <w:ind w:right="40" w:firstLine="648"/>
        <w:spacing w:after="0" w:line="33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Expense Reimbursement</w:t>
      </w:r>
      <w:r>
        <w:rPr>
          <w:rFonts w:ascii="Arial" w:cs="Arial" w:eastAsia="Arial" w:hAnsi="Arial"/>
          <w:sz w:val="19"/>
          <w:szCs w:val="19"/>
          <w:color w:val="auto"/>
        </w:rPr>
        <w:t>. In connection with the transactions contemplated by this Agreement, the Capital Call Agreement and the Standby Bond Purchase Agreement, Jefferson Railport shall, upon the written request of Blocker or any parent entity, reimburse Blocker for the reasonable fees and expenses incurred by Blocker, any parent entity or any of their subsidiaries, including but not limited to rating agency fees, legal fees and expenses and the costs of analysis related to this Agreement conducted by Duff &amp; Phelps Corporation. Payment shall be made by Jefferson Railport promptly upon receipt of such written request, but in any event, within five Business Days of receipt of such written request.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1076" w:right="259" w:bottom="1440" w:gutter="0" w:footer="0" w:header="0"/>
        </w:sectPr>
      </w:pPr>
    </w:p>
    <w:bookmarkStart w:id="338" w:name="page339"/>
    <w:bookmarkEnd w:id="338"/>
    <w:p>
      <w:pPr>
        <w:ind w:right="80" w:firstLine="648"/>
        <w:spacing w:after="0" w:line="299"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Waivers of Failures; Delays; Etc.</w:t>
      </w:r>
      <w:r>
        <w:rPr>
          <w:rFonts w:ascii="Arial" w:cs="Arial" w:eastAsia="Arial" w:hAnsi="Arial"/>
          <w:sz w:val="21"/>
          <w:szCs w:val="21"/>
          <w:color w:val="auto"/>
        </w:rPr>
        <w:t xml:space="preserve"> No failure or delay on the part of Blocker, FEP, FTAI Energy or Jefferson Railport in exercising any right, power or privilege hereunder and no course of dealing among Blocker, FEP, FTAI Energy or Jefferson Railport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FTAI Energy, Jefferson Railport, Blocker or FEP would otherwise have. No notice to or demand on any of Blocker or FEP in any case shall entitle Blocker or FEP, as applicable, to any other further notice or demand in similar or other circumstances or constitute a waiver of the rights of FTAI Energy, Jefferson Railport, Blocker or FEP to any other or further action in any circumstances without notice or demand.</w:t>
      </w:r>
    </w:p>
    <w:p>
      <w:pPr>
        <w:spacing w:after="0" w:line="399" w:lineRule="exact"/>
        <w:rPr>
          <w:sz w:val="20"/>
          <w:szCs w:val="20"/>
          <w:color w:val="auto"/>
        </w:rPr>
      </w:pPr>
    </w:p>
    <w:p>
      <w:pPr>
        <w:ind w:right="60" w:firstLine="648"/>
        <w:spacing w:after="0" w:line="326"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Waiver of Defenses Under Sections 365(c)(1), 365(c)(2) and 365(e)(2) of the Bankruptcy Code</w:t>
      </w:r>
      <w:r>
        <w:rPr>
          <w:rFonts w:ascii="Arial" w:cs="Arial" w:eastAsia="Arial" w:hAnsi="Arial"/>
          <w:sz w:val="19"/>
          <w:szCs w:val="19"/>
          <w:color w:val="auto"/>
        </w:rPr>
        <w:t>. Although the parties hereto intend and believe that this Agreement is not an executory contract, in the event that such characterization is not upheld in the event of any insolvency proceeding in respect of FTAI Energy, each of Blocker and FEP hereby waives, to the fullest extent it may do so under applicable law, any protection to which it may be entitled under Sections 365(c)(1), 365(c)(2) and 365(e)</w:t>
      </w:r>
    </w:p>
    <w:p>
      <w:pPr>
        <w:spacing w:after="0" w:line="1" w:lineRule="exact"/>
        <w:rPr>
          <w:sz w:val="20"/>
          <w:szCs w:val="20"/>
          <w:color w:val="auto"/>
        </w:rPr>
      </w:pPr>
    </w:p>
    <w:p>
      <w:pPr>
        <w:ind w:firstLine="8"/>
        <w:spacing w:after="0" w:line="331" w:lineRule="auto"/>
        <w:tabs>
          <w:tab w:leader="none" w:pos="30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of the Bankruptcy Code or any successor provision with respect thereto in the event that FTAI Energy or Jefferson Railport becomes a debtor under a proceeding under the Bankruptcy Code (a “</w:t>
      </w:r>
      <w:r>
        <w:rPr>
          <w:rFonts w:ascii="Arial" w:cs="Arial" w:eastAsia="Arial" w:hAnsi="Arial"/>
          <w:sz w:val="19"/>
          <w:szCs w:val="19"/>
          <w:u w:val="single" w:color="auto"/>
          <w:color w:val="auto"/>
        </w:rPr>
        <w:t>Bankruptcy Event</w:t>
      </w:r>
      <w:r>
        <w:rPr>
          <w:rFonts w:ascii="Arial" w:cs="Arial" w:eastAsia="Arial" w:hAnsi="Arial"/>
          <w:sz w:val="19"/>
          <w:szCs w:val="19"/>
          <w:color w:val="auto"/>
        </w:rPr>
        <w:t>”). Specifically, in the event that the trustee in any Bankruptcy Event with respect to FTAI Energy or Jefferson Railport or the debtor-in-possession with respect thereto takes any action (including the institution of any action, suit or other proceeding for the purpose of enforcing the rights of FTAI Energy or Jefferson Railport hereunder), neither Blocker nor FEP shall assert any defense, claim or counterclaim denying liability hereunder on the basis that this Agreement is an executory contract or a “financial accommodation” that cannot be assumed, assigned or enforced or on any other theory directly or indirectly based on Sections 365(c)(1), 365(c)(2) or 365(e)(2) of the Bankruptcy Code or any successor provision with respect thereto. If a Bankruptcy Event with respect to FTAI Energy or Jefferson Railport shall occur, each of Blocker and FEP agrees, after the occurrence of such Bankruptcy Event, to reconfirm in writing, to the extent permitted by applicable law, its prepetition waiver of any protection to which it may be entitled under Section 365(c)(1), 365(c)(2) and 365(e)(2) of the Bankruptcy Code or any successor provision with respect thereto, and, to give effect to such waiver, each of Blocker and FEP consents, to the extent permitted by applicable law, to the assumption and enforcement of each provision of this Agreement by the debtor-in-possession or the trustee of FTAI Energy or Jefferson Railport in bankruptcy, as the case may be.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00" w:firstLine="648"/>
        <w:spacing w:after="0" w:line="302"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Benefit of Agreement</w:t>
      </w:r>
      <w:r>
        <w:rPr>
          <w:rFonts w:ascii="Arial" w:cs="Arial" w:eastAsia="Arial" w:hAnsi="Arial"/>
          <w:sz w:val="22"/>
          <w:szCs w:val="22"/>
          <w:color w:val="auto"/>
        </w:rPr>
        <w:t>. This Agreement shall be binding upon Blocker, FEP, FTAI Energy and Jefferson Railport and each of their respective successors and assigns and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80"/>
          </w:cols>
          <w:pgMar w:left="240" w:top="860" w:right="279" w:bottom="1440" w:gutter="0" w:footer="0" w:header="0"/>
        </w:sectPr>
      </w:pPr>
    </w:p>
    <w:bookmarkStart w:id="339" w:name="page340"/>
    <w:bookmarkEnd w:id="339"/>
    <w:p>
      <w:pPr>
        <w:spacing w:after="0" w:line="335" w:lineRule="auto"/>
        <w:rPr>
          <w:sz w:val="20"/>
          <w:szCs w:val="20"/>
          <w:color w:val="auto"/>
        </w:rPr>
      </w:pPr>
      <w:r>
        <w:rPr>
          <w:rFonts w:ascii="Arial" w:cs="Arial" w:eastAsia="Arial" w:hAnsi="Arial"/>
          <w:sz w:val="19"/>
          <w:szCs w:val="19"/>
          <w:color w:val="auto"/>
        </w:rPr>
        <w:t xml:space="preserve">shall inure to the benefit of FTAI, Blocker, FEP, FTAI Energy and Jefferson Railport and each of their respective successors and assigns. No party hereto may assign any of its respective rights or obligations hereunder without the consent of each other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the rights and obligations of Blocker, FEP, FTAI Energy or Jefferson Railport may be assigned to a Person that is the surviving, resulting or transferee entity in connection with a merger or consolidation of Blocker, FEP, FTAI Energy or Jefferson Railport with such other Person or the sale or disposal of all or substantially all of the assets of Blocker, FEP, FTAI Energy or Jefferson Railport to such other Person, so long as such surviving, resulting or transferee entity expressly and unconditionally assumes, in a written instrument, the punctual performance and observance of all of the obligations and conditions of this Agreement to be performed by Blocker, FEP, FTAI Energy or Jefferson Railport, as applicable.</w:t>
      </w:r>
    </w:p>
    <w:p>
      <w:pPr>
        <w:spacing w:after="0" w:line="369" w:lineRule="exact"/>
        <w:rPr>
          <w:sz w:val="20"/>
          <w:szCs w:val="20"/>
          <w:color w:val="auto"/>
        </w:rPr>
      </w:pPr>
    </w:p>
    <w:p>
      <w:pPr>
        <w:ind w:right="240" w:firstLine="648"/>
        <w:spacing w:after="0" w:line="35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Amendments; Waivers</w:t>
      </w:r>
      <w:r>
        <w:rPr>
          <w:rFonts w:ascii="Arial" w:cs="Arial" w:eastAsia="Arial" w:hAnsi="Arial"/>
          <w:sz w:val="19"/>
          <w:szCs w:val="19"/>
          <w:color w:val="auto"/>
        </w:rPr>
        <w:t>. Neither this Agreement nor any provision hereof may be changed, modified, amended or waived except with the written consent of each of Blocker, FEP, FTAI Energy and Jefferson Railport and so long as such change, modification, amendment or waiver would not cause a default under the Standby Purchase Agreement.</w:t>
      </w:r>
    </w:p>
    <w:p>
      <w:pPr>
        <w:spacing w:after="0" w:line="349" w:lineRule="exact"/>
        <w:rPr>
          <w:sz w:val="20"/>
          <w:szCs w:val="20"/>
          <w:color w:val="auto"/>
        </w:rPr>
      </w:pPr>
    </w:p>
    <w:p>
      <w:pPr>
        <w:ind w:right="120" w:firstLine="648"/>
        <w:spacing w:after="0" w:line="287"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Third Part Beneficiaries</w:t>
      </w:r>
      <w:r>
        <w:rPr>
          <w:rFonts w:ascii="Arial" w:cs="Arial" w:eastAsia="Arial" w:hAnsi="Arial"/>
          <w:sz w:val="22"/>
          <w:szCs w:val="22"/>
          <w:color w:val="auto"/>
        </w:rPr>
        <w:t>. Each Contributor (as such term is defined in the Capital Call Agreement) and Jefferson Holdings shall be a third party beneficiary to the agreements made hereunder and shall have the right to enforce such agreements directly to the extent it deems such enforcement necessary or advisable to protect its rights. Except as set forth in this Section 10, this Agreement does not and is not intended to confer any rights or remedies upon any person other than the parties hereto.</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328"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Right of Set-Off</w:t>
      </w:r>
      <w:r>
        <w:rPr>
          <w:rFonts w:ascii="Arial" w:cs="Arial" w:eastAsia="Arial" w:hAnsi="Arial"/>
          <w:sz w:val="21"/>
          <w:szCs w:val="21"/>
          <w:color w:val="auto"/>
        </w:rPr>
        <w:t>. Each party hereto shall have, and may exercise at any time and from time to time, the right to set-off and/or recoup any and all balances due from a party to the other arising under this Agreement.</w:t>
      </w:r>
    </w:p>
    <w:p>
      <w:pPr>
        <w:spacing w:after="0" w:line="366" w:lineRule="exact"/>
        <w:rPr>
          <w:sz w:val="20"/>
          <w:szCs w:val="20"/>
          <w:color w:val="auto"/>
        </w:rPr>
      </w:pPr>
    </w:p>
    <w:p>
      <w:pPr>
        <w:ind w:right="120" w:firstLine="648"/>
        <w:spacing w:after="0" w:line="38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provided for herein shall be in writing and shall be delivered by hand or overnight courier service, mailed by certified or registered mail or sent by facsimile or electronic mail as follows:</w:t>
      </w:r>
    </w:p>
    <w:p>
      <w:pPr>
        <w:sectPr>
          <w:pgSz w:w="11900" w:h="16838" w:orient="portrait"/>
          <w:cols w:equalWidth="0" w:num="1">
            <w:col w:w="11300"/>
          </w:cols>
          <w:pgMar w:left="240" w:top="1077" w:right="359" w:bottom="1440" w:gutter="0" w:footer="0" w:header="0"/>
        </w:sectPr>
      </w:pPr>
    </w:p>
    <w:p>
      <w:pPr>
        <w:spacing w:after="0" w:line="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Blocker, to:</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c/o Fortress Transportation and Infrastructure Investors LLC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Joseph P. Adams,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200" w:lineRule="exact"/>
        <w:rPr>
          <w:sz w:val="20"/>
          <w:szCs w:val="20"/>
          <w:color w:val="auto"/>
        </w:rPr>
      </w:pPr>
    </w:p>
    <w:p>
      <w:pPr>
        <w:sectPr>
          <w:pgSz w:w="11900" w:h="16838" w:orient="portrait"/>
          <w:cols w:equalWidth="0" w:num="2">
            <w:col w:w="3180" w:space="720"/>
            <w:col w:w="7400"/>
          </w:cols>
          <w:pgMar w:left="240" w:top="1077" w:right="35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00"/>
          </w:cols>
          <w:pgMar w:left="240" w:top="1077" w:right="359" w:bottom="1440" w:gutter="0" w:footer="0" w:header="0"/>
          <w:type w:val="continuous"/>
        </w:sectPr>
      </w:pPr>
    </w:p>
    <w:bookmarkStart w:id="340" w:name="page341"/>
    <w:bookmarkEnd w:id="340"/>
    <w:p>
      <w:pPr>
        <w:ind w:left="1300"/>
        <w:spacing w:after="0"/>
        <w:rPr>
          <w:sz w:val="20"/>
          <w:szCs w:val="20"/>
          <w:color w:val="auto"/>
        </w:rPr>
      </w:pPr>
      <w:r>
        <w:rPr>
          <w:rFonts w:ascii="Arial" w:cs="Arial" w:eastAsia="Arial" w:hAnsi="Arial"/>
          <w:sz w:val="19"/>
          <w:szCs w:val="19"/>
          <w:color w:val="auto"/>
        </w:rPr>
        <w:t>If to FEP,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Fortress Equity Partners (A) LP</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1345 Avenue of the Americas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Randal A. Nardone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200" w:lineRule="exact"/>
        <w:rPr>
          <w:sz w:val="20"/>
          <w:szCs w:val="20"/>
          <w:color w:val="auto"/>
        </w:rPr>
      </w:pPr>
    </w:p>
    <w:p>
      <w:pPr>
        <w:sectPr>
          <w:pgSz w:w="11900" w:h="16838" w:orient="portrait"/>
          <w:cols w:equalWidth="0" w:num="2">
            <w:col w:w="3180" w:space="720"/>
            <w:col w:w="7420"/>
          </w:cols>
          <w:pgMar w:left="240" w:top="847" w:right="339" w:bottom="1440" w:gutter="0" w:footer="0" w:header="0"/>
        </w:sect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FTAI Energy and/or</w:t>
      </w:r>
    </w:p>
    <w:p>
      <w:pPr>
        <w:spacing w:after="0" w:line="22" w:lineRule="exact"/>
        <w:rPr>
          <w:sz w:val="20"/>
          <w:szCs w:val="20"/>
          <w:color w:val="auto"/>
        </w:rPr>
      </w:pPr>
    </w:p>
    <w:p>
      <w:pPr>
        <w:ind w:left="1300"/>
        <w:spacing w:after="0"/>
        <w:tabs>
          <w:tab w:leader="none" w:pos="3380" w:val="left"/>
        </w:tabs>
        <w:rPr>
          <w:sz w:val="20"/>
          <w:szCs w:val="20"/>
          <w:color w:val="auto"/>
        </w:rPr>
      </w:pPr>
      <w:r>
        <w:rPr>
          <w:rFonts w:ascii="Arial" w:cs="Arial" w:eastAsia="Arial" w:hAnsi="Arial"/>
          <w:sz w:val="22"/>
          <w:szCs w:val="22"/>
          <w:color w:val="auto"/>
        </w:rPr>
        <w:t>Jefferson Railport, to:</w:t>
      </w:r>
      <w:r>
        <w:rPr>
          <w:sz w:val="20"/>
          <w:szCs w:val="20"/>
          <w:color w:val="auto"/>
        </w:rPr>
        <w:tab/>
      </w:r>
      <w:r>
        <w:rPr>
          <w:rFonts w:ascii="Arial" w:cs="Arial" w:eastAsia="Arial" w:hAnsi="Arial"/>
          <w:sz w:val="19"/>
          <w:szCs w:val="19"/>
          <w:color w:val="auto"/>
        </w:rPr>
        <w:t>c/o Fortress Transportation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Infrastructure Investors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Joseph P. Adams, Jr.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212-768-6120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303" w:lineRule="auto"/>
        <w:rPr>
          <w:sz w:val="20"/>
          <w:szCs w:val="20"/>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facsimile or electronic mail shall be deemed to have been given when sent (except that, if not given during normal business hours for the recipient, shall be deemed to have been given at the opening of business on the next Business Day for the recipient). Any party hereto may change its address, facsimile number or electronic mail address for notices and other communications hereunder by notice to the other parties hereto.</w:t>
      </w:r>
    </w:p>
    <w:p>
      <w:pPr>
        <w:spacing w:after="0" w:line="13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firstLine="1305"/>
        <w:spacing w:after="0" w:line="326" w:lineRule="auto"/>
        <w:tabs>
          <w:tab w:leader="none" w:pos="1807" w:val="left"/>
        </w:tabs>
        <w:numPr>
          <w:ilvl w:val="1"/>
          <w:numId w:val="253"/>
        </w:numPr>
        <w:rPr>
          <w:rFonts w:ascii="Arial" w:cs="Arial" w:eastAsia="Arial" w:hAnsi="Arial"/>
          <w:sz w:val="19"/>
          <w:szCs w:val="19"/>
          <w:color w:val="auto"/>
        </w:rPr>
      </w:pPr>
      <w:r>
        <w:rPr>
          <w:rFonts w:ascii="Arial" w:cs="Arial" w:eastAsia="Arial" w:hAnsi="Arial"/>
          <w:sz w:val="19"/>
          <w:szCs w:val="19"/>
          <w:color w:val="auto"/>
        </w:rPr>
        <w:t>Subject to clause (b) below, this Agreement shall terminate and be of no further force and effect upon the date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that is the earlier of (i) the first date on which the aggregate Support Payments received by Jefferson Holdings on behalf of itself and Jefferson Railport hereunder shall equal or exceed the greater of (A) the Available Commitment or</w:t>
      </w:r>
    </w:p>
    <w:p>
      <w:pPr>
        <w:spacing w:after="0" w:line="1" w:lineRule="exact"/>
        <w:rPr>
          <w:rFonts w:ascii="Arial" w:cs="Arial" w:eastAsia="Arial" w:hAnsi="Arial"/>
          <w:sz w:val="19"/>
          <w:szCs w:val="19"/>
          <w:color w:val="auto"/>
        </w:rPr>
      </w:pPr>
    </w:p>
    <w:p>
      <w:pPr>
        <w:ind w:right="40" w:firstLine="8"/>
        <w:spacing w:after="0" w:line="299" w:lineRule="auto"/>
        <w:tabs>
          <w:tab w:leader="none" w:pos="342"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the Jefferson Holdings Obligations, (ii) the termination of the Standby Purchase Agreement in accordance with its terms, (iii) the third Business Day after February 13, 2020 and (iv) such other date on which all parties to this Agreement shall consent in writing to the termination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Termination Date shall not have occurred if (i) one or more Payment Notices have been issued, Blocker or FEP have not made Support Payments in an aggregate amount greater than or equal to the Required Support Payment Amount with respect thereto and the aggregate Support Payments received by Jefferson Holdings on behalf of itself and Jefferson Railport hereunder are less than the greater of (A) the Available Commitment or (B) the Jefferson Holdings Obligations, (ii) the Trustee shall have taken action to enforce its rights under the collateral assignment referenced in Section 5 of the Capital Call</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20"/>
          </w:cols>
          <w:pgMar w:left="240" w:top="847" w:right="339" w:bottom="1440" w:gutter="0" w:footer="0" w:header="0"/>
          <w:type w:val="continuous"/>
        </w:sectPr>
      </w:pPr>
    </w:p>
    <w:bookmarkStart w:id="341" w:name="page342"/>
    <w:bookmarkEnd w:id="341"/>
    <w:p>
      <w:pPr>
        <w:spacing w:after="0"/>
        <w:rPr>
          <w:sz w:val="20"/>
          <w:szCs w:val="20"/>
          <w:color w:val="auto"/>
        </w:rPr>
      </w:pPr>
      <w:r>
        <w:rPr>
          <w:rFonts w:ascii="Arial" w:cs="Arial" w:eastAsia="Arial" w:hAnsi="Arial"/>
          <w:sz w:val="22"/>
          <w:szCs w:val="22"/>
          <w:color w:val="auto"/>
        </w:rPr>
        <w:t>Agreement or (iii) Blocker or FEP have not received any Fee payable to Blocker or FEP pursuant to Section 3 hereof.</w:t>
      </w:r>
    </w:p>
    <w:p>
      <w:pPr>
        <w:spacing w:after="0" w:line="200" w:lineRule="exact"/>
        <w:rPr>
          <w:sz w:val="20"/>
          <w:szCs w:val="20"/>
          <w:color w:val="auto"/>
        </w:rPr>
      </w:pPr>
    </w:p>
    <w:p>
      <w:pPr>
        <w:spacing w:after="0" w:line="276" w:lineRule="exact"/>
        <w:rPr>
          <w:sz w:val="20"/>
          <w:szCs w:val="20"/>
          <w:color w:val="auto"/>
        </w:rPr>
      </w:pPr>
    </w:p>
    <w:p>
      <w:pPr>
        <w:ind w:right="20" w:firstLine="1305"/>
        <w:spacing w:after="0" w:line="306" w:lineRule="auto"/>
        <w:tabs>
          <w:tab w:leader="none" w:pos="181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To the fullest extent permitted by law, this Agreement shall continue to be effective or shall be reinstated, as the case may be, if at any time any payment (or part thereof) made or caused to be made pursuant to this Agreement, is rescinded or must otherwise be disgorged, restored or returned by any beneficiary of this Agreement upon the insolvency, bankruptcy or reorganization of any Person or otherwise, all as though such payment had not been made.</w:t>
      </w:r>
    </w:p>
    <w:p>
      <w:pPr>
        <w:spacing w:after="0" w:line="173"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and any number of separate counterparts, each of which when so executed, shall be deemed an original and all said counterparts when taken together shall be deemed to constitute but one and the same instrument.</w:t>
      </w:r>
    </w:p>
    <w:p>
      <w:pPr>
        <w:spacing w:after="0" w:line="184" w:lineRule="exact"/>
        <w:rPr>
          <w:sz w:val="20"/>
          <w:szCs w:val="20"/>
          <w:color w:val="auto"/>
        </w:rPr>
      </w:pPr>
    </w:p>
    <w:p>
      <w:pPr>
        <w:ind w:right="80" w:firstLine="648"/>
        <w:spacing w:after="0" w:line="302"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LAWS OF THE STATE OF NEW YORK.</w:t>
      </w:r>
    </w:p>
    <w:p>
      <w:pPr>
        <w:spacing w:after="0" w:line="174" w:lineRule="exact"/>
        <w:rPr>
          <w:sz w:val="20"/>
          <w:szCs w:val="20"/>
          <w:color w:val="auto"/>
        </w:rPr>
      </w:pPr>
    </w:p>
    <w:p>
      <w:pPr>
        <w:ind w:firstLine="648"/>
        <w:spacing w:after="0" w:line="298"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Forum Selection; Consent to Jurisdiction</w:t>
      </w:r>
      <w:r>
        <w:rPr>
          <w:rFonts w:ascii="Arial" w:cs="Arial" w:eastAsia="Arial" w:hAnsi="Arial"/>
          <w:sz w:val="21"/>
          <w:szCs w:val="21"/>
          <w:color w:val="auto"/>
        </w:rPr>
        <w:t>. EACH PARTY HERETO HEREBY IRREVOCABLY AND UNCONDITIONALLY SUBMITS, FOR ITSELF AND ITS PROPERTY, TO THE EXCLUSIVE JURISDICTION OF THE UNITED STATES DISTRICT COURT FOR THE SOUTHERN DISTRICT OF NEW YORK AND OF ANY NEW YORK STATE COURT SITTING IN NEW YORK COUNTY AND ANY APPELLATE COURT FROM ANY THEREOF, IN ANY ACTION OR PROCEEDING ARISING OUT OF OR RELATING TO THIS AGREEMENT, OR FOR RECOGNITION OR ENFORCEMENT OF ANY JUDGMENT, AND EACH PARTY HERETO HEREBY IRREVOCABLY AND UNCONDITIONALLY AGREES THAT ALL CLAIMS IN RESPECT OF ANY SUCH ACTION OR PROCEEDING MAY BE HEARD AND DETERMINED IN SUCH NEW YORK STATE COURT OR, TO THE EXTENT PERMITTED BY APPLICABLE LAW, IN SUCH FEDERAL COURT. EACH PARTY HERETO HEREBY AGREES THAT A FINAL JUDGMENT IN ANY SUCH ACTION OR PROCEEDING SHALL BE CONCLUSIVE AND MAY BE ENFORCED IN OTHER JURISDICTIONS BY SUIT ON THE JUDGMENT OR IN ANY OTHER MANNER PROVIDED BY APPLICABLE LAW.</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077" w:right="239" w:bottom="1440" w:gutter="0" w:footer="0" w:header="0"/>
        </w:sectPr>
      </w:pPr>
    </w:p>
    <w:bookmarkStart w:id="342" w:name="page343"/>
    <w:bookmarkEnd w:id="342"/>
    <w:p>
      <w:pPr>
        <w:ind w:firstLine="648"/>
        <w:spacing w:after="0" w:line="287"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ANY RIGHT TO A TRIAL BY JURY IN ANY ACTION OR PROCEEDING TO ENFORCE OR DEFEND ANY RIGHTS UNDER THIS AGREEMENT AND ANY AMENDMENT, INSTRUMENT, DOCUMENT OR AGREEMENT DELIVERED OR WHICH MAY IN THE FUTURE BE DELIVERED IN CONNECTION HEREWITH OR THEREWITH, AND AGREES THAT ANY SUCH ACTION OR PROCEEDING SHALL BE TRIED BEFORE A COURT AND NOT BEFORE A JURY.</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Severability</w:t>
      </w:r>
      <w:r>
        <w:rPr>
          <w:rFonts w:ascii="Arial" w:cs="Arial" w:eastAsia="Arial" w:hAnsi="Arial"/>
          <w:sz w:val="22"/>
          <w:szCs w:val="22"/>
          <w:color w:val="auto"/>
        </w:rPr>
        <w:t>. Wherever possible, each provision of this Agreement shall be interpreted in such manner as to be effective and valid under applicable law, but if any provision of this Agreement shall be prohibited by or invalid under such law, such provision shall be ineffective to the extent of such prohibition or invalidity without invalidating the remainder of such provision or the remaining provisions of this Agreement.</w:t>
      </w:r>
    </w:p>
    <w:p>
      <w:pPr>
        <w:spacing w:after="0" w:line="190"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this Agreement are inserted for convenience only and shall not affect the meaning or interpretation of this Agreement or any provisions 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860" w:right="259" w:bottom="1440" w:gutter="0" w:footer="0" w:header="0"/>
        </w:sectPr>
      </w:pPr>
    </w:p>
    <w:bookmarkStart w:id="343" w:name="page344"/>
    <w:bookmarkEnd w:id="343"/>
    <w:p>
      <w:pPr>
        <w:ind w:firstLine="648"/>
        <w:spacing w:after="0" w:line="302" w:lineRule="auto"/>
        <w:rPr>
          <w:sz w:val="20"/>
          <w:szCs w:val="20"/>
          <w:color w:val="auto"/>
        </w:rPr>
      </w:pPr>
      <w:r>
        <w:rPr>
          <w:rFonts w:ascii="Arial" w:cs="Arial" w:eastAsia="Arial" w:hAnsi="Arial"/>
          <w:sz w:val="22"/>
          <w:szCs w:val="22"/>
          <w:color w:val="auto"/>
        </w:rPr>
        <w:t>IN WITNESS WHEREOF, each of the parties hereto has caused this Agreement to be executed and delivered as of the date first above written.</w:t>
      </w:r>
    </w:p>
    <w:p>
      <w:pPr>
        <w:spacing w:after="0" w:line="200" w:lineRule="exact"/>
        <w:rPr>
          <w:sz w:val="20"/>
          <w:szCs w:val="20"/>
          <w:color w:val="auto"/>
        </w:rPr>
      </w:pP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FTAI ENERGY PARTNERS LLC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503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304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Demetrios Tserpelis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JEFFERSON RAILPORT TERMINAL II, LLC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503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0304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Demetrios Tserpelis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36"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FTAI ENERGY HOLDINGS LLC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5030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304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Demetrios Tserpelis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FEP TERMINAL HOLDINGS LLC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5030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304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Demetrios Tserpelis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ectPr>
          <w:pgSz w:w="11900" w:h="16838" w:orient="portrait"/>
          <w:cols w:equalWidth="0" w:num="1">
            <w:col w:w="11320"/>
          </w:cols>
          <w:pgMar w:left="240" w:top="1077" w:right="339" w:bottom="1440" w:gutter="0" w:footer="0" w:header="0"/>
        </w:sectPr>
      </w:pPr>
    </w:p>
    <w:bookmarkStart w:id="344" w:name="page345"/>
    <w:bookmarkEnd w:id="344"/>
    <w:p>
      <w:pPr>
        <w:ind w:left="3900"/>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Form of Payment Notice</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_______________, 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FTAI Energy Holdings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Joseph P. Adams,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FEP Terminal Holdings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Randal A. Nardone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212-768-6120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Tel: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E-mail: _____________________</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Fee and Support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 is made to that certain Fee and Support Agreement, dated as of March 7, 2016 (the “</w:t>
      </w:r>
      <w:r>
        <w:rPr>
          <w:rFonts w:ascii="Arial" w:cs="Arial" w:eastAsia="Arial" w:hAnsi="Arial"/>
          <w:sz w:val="21"/>
          <w:szCs w:val="21"/>
          <w:u w:val="single" w:color="auto"/>
          <w:color w:val="auto"/>
        </w:rPr>
        <w:t>Fee and Support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by and among FTAI Energy Partners LLC, a Delaware limited liability company (“</w:t>
      </w:r>
      <w:r>
        <w:rPr>
          <w:rFonts w:ascii="Arial" w:cs="Arial" w:eastAsia="Arial" w:hAnsi="Arial"/>
          <w:sz w:val="19"/>
          <w:szCs w:val="19"/>
          <w:u w:val="single" w:color="auto"/>
          <w:color w:val="auto"/>
        </w:rPr>
        <w:t>FTAI Energy</w:t>
      </w:r>
      <w:r>
        <w:rPr>
          <w:rFonts w:ascii="Arial" w:cs="Arial" w:eastAsia="Arial" w:hAnsi="Arial"/>
          <w:sz w:val="19"/>
          <w:szCs w:val="19"/>
          <w:color w:val="auto"/>
        </w:rPr>
        <w:t>”), Jefferson Railport</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Terminal II, LLC, a Delaware limited liability company (“</w:t>
      </w:r>
      <w:r>
        <w:rPr>
          <w:rFonts w:ascii="Arial" w:cs="Arial" w:eastAsia="Arial" w:hAnsi="Arial"/>
          <w:sz w:val="21"/>
          <w:szCs w:val="21"/>
          <w:u w:val="single" w:color="auto"/>
          <w:color w:val="auto"/>
        </w:rPr>
        <w:t>Jefferson Railport</w:t>
      </w:r>
      <w:r>
        <w:rPr>
          <w:rFonts w:ascii="Arial" w:cs="Arial" w:eastAsia="Arial" w:hAnsi="Arial"/>
          <w:sz w:val="21"/>
          <w:szCs w:val="21"/>
          <w:color w:val="auto"/>
        </w:rPr>
        <w:t>”), FTAI Energy Holdings LLC, a Delaware limited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liability company (“</w:t>
      </w:r>
      <w:r>
        <w:rPr>
          <w:rFonts w:ascii="Arial" w:cs="Arial" w:eastAsia="Arial" w:hAnsi="Arial"/>
          <w:sz w:val="19"/>
          <w:szCs w:val="19"/>
          <w:u w:val="single" w:color="auto"/>
          <w:color w:val="auto"/>
        </w:rPr>
        <w:t>Blocker</w:t>
      </w:r>
      <w:r>
        <w:rPr>
          <w:rFonts w:ascii="Arial" w:cs="Arial" w:eastAsia="Arial" w:hAnsi="Arial"/>
          <w:sz w:val="19"/>
          <w:szCs w:val="19"/>
          <w:color w:val="auto"/>
        </w:rPr>
        <w:t>”) and FEP Terminal Holdings LLC, a Delaware Limited Liability Company (“</w:t>
      </w:r>
      <w:r>
        <w:rPr>
          <w:rFonts w:ascii="Arial" w:cs="Arial" w:eastAsia="Arial" w:hAnsi="Arial"/>
          <w:sz w:val="19"/>
          <w:szCs w:val="19"/>
          <w:u w:val="single" w:color="auto"/>
          <w:color w:val="auto"/>
        </w:rPr>
        <w:t>FEP</w:t>
      </w:r>
      <w:r>
        <w:rPr>
          <w:rFonts w:ascii="Arial" w:cs="Arial" w:eastAsia="Arial" w:hAnsi="Arial"/>
          <w:sz w:val="19"/>
          <w:szCs w:val="19"/>
          <w:color w:val="auto"/>
        </w:rPr>
        <w:t>”). Unless defined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herein, capitalized terms used herein shall have the meanings provided therefor in the Fee and Support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This letter shall constitute a Payment Notice. The undersigned is exercising its rights under the Fee and Support Agreement to require Blocker and FEP to make aggregate Support Payments in the amount of $[__________] in accordance with Section 2(c) of the Fee and Support Agreement and directs each of Blocker and FEP to deposit their Pro Rata Percentage of the proceeds of such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Support Payments in immediately available funds into the following deposit account:</w:t>
      </w:r>
    </w:p>
    <w:p>
      <w:pPr>
        <w:spacing w:after="0" w:line="247"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19"/>
          <w:szCs w:val="19"/>
          <w:color w:val="auto"/>
        </w:rPr>
        <w:t>____________________</w:t>
      </w:r>
    </w:p>
    <w:p>
      <w:pPr>
        <w:sectPr>
          <w:pgSz w:w="11900" w:h="16838" w:orient="portrait"/>
          <w:cols w:equalWidth="0" w:num="1">
            <w:col w:w="11420"/>
          </w:cols>
          <w:pgMar w:left="240" w:top="848" w:right="239" w:bottom="1440" w:gutter="0" w:footer="0" w:header="0"/>
        </w:sectPr>
      </w:pPr>
    </w:p>
    <w:bookmarkStart w:id="345" w:name="page346"/>
    <w:bookmarkEnd w:id="345"/>
    <w:p>
      <w:pPr>
        <w:ind w:left="100"/>
        <w:spacing w:after="0"/>
        <w:tabs>
          <w:tab w:leader="none" w:pos="1800" w:val="left"/>
        </w:tabs>
        <w:rPr>
          <w:sz w:val="20"/>
          <w:szCs w:val="20"/>
          <w:color w:val="auto"/>
        </w:rPr>
      </w:pPr>
      <w:r>
        <w:rPr>
          <w:rFonts w:ascii="Arial" w:cs="Arial" w:eastAsia="Arial" w:hAnsi="Arial"/>
          <w:sz w:val="22"/>
          <w:szCs w:val="22"/>
          <w:color w:val="auto"/>
        </w:rPr>
        <w:t>ABA Number:</w:t>
      </w:r>
      <w:r>
        <w:rPr>
          <w:sz w:val="20"/>
          <w:szCs w:val="20"/>
          <w:color w:val="auto"/>
        </w:rPr>
        <w:tab/>
      </w:r>
      <w:r>
        <w:rPr>
          <w:rFonts w:ascii="Arial" w:cs="Arial" w:eastAsia="Arial" w:hAnsi="Arial"/>
          <w:sz w:val="19"/>
          <w:szCs w:val="19"/>
          <w:color w:val="auto"/>
        </w:rPr>
        <w:t>____________________</w:t>
      </w:r>
    </w:p>
    <w:p>
      <w:pPr>
        <w:spacing w:after="0" w:line="22"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Account Number:</w:t>
      </w:r>
      <w:r>
        <w:rPr>
          <w:sz w:val="20"/>
          <w:szCs w:val="20"/>
          <w:color w:val="auto"/>
        </w:rPr>
        <w:tab/>
      </w:r>
      <w:r>
        <w:rPr>
          <w:rFonts w:ascii="Arial" w:cs="Arial" w:eastAsia="Arial" w:hAnsi="Arial"/>
          <w:sz w:val="19"/>
          <w:szCs w:val="19"/>
          <w:color w:val="auto"/>
        </w:rPr>
        <w:t>____________________</w:t>
      </w:r>
    </w:p>
    <w:p>
      <w:pPr>
        <w:spacing w:after="0" w:line="4"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____________________</w:t>
      </w:r>
    </w:p>
    <w:p>
      <w:pPr>
        <w:spacing w:after="0" w:line="4"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Reference:</w:t>
      </w:r>
      <w:r>
        <w:rPr>
          <w:sz w:val="20"/>
          <w:szCs w:val="20"/>
          <w:color w:val="auto"/>
        </w:rPr>
        <w:tab/>
      </w:r>
      <w:r>
        <w:rPr>
          <w:rFonts w:ascii="Arial" w:cs="Arial" w:eastAsia="Arial" w:hAnsi="Arial"/>
          <w:sz w:val="22"/>
          <w:szCs w:val="22"/>
          <w:color w:val="auto"/>
        </w:rPr>
        <w:t>____________________</w:t>
      </w:r>
    </w:p>
    <w:p>
      <w:pPr>
        <w:sectPr>
          <w:pgSz w:w="11900" w:h="16838" w:orient="portrait"/>
          <w:cols w:equalWidth="0" w:num="1">
            <w:col w:w="9019"/>
          </w:cols>
          <w:pgMar w:left="1440" w:top="847" w:right="1440" w:bottom="1440" w:gutter="0" w:footer="0" w:header="0"/>
        </w:sectPr>
      </w:pPr>
    </w:p>
    <w:bookmarkStart w:id="346" w:name="page347"/>
    <w:bookmarkEnd w:id="346"/>
    <w:p>
      <w:pPr>
        <w:ind w:firstLine="648"/>
        <w:spacing w:after="0" w:line="303" w:lineRule="auto"/>
        <w:rPr>
          <w:sz w:val="20"/>
          <w:szCs w:val="20"/>
          <w:color w:val="auto"/>
        </w:rPr>
      </w:pPr>
      <w:r>
        <w:rPr>
          <w:rFonts w:ascii="Arial" w:cs="Arial" w:eastAsia="Arial" w:hAnsi="Arial"/>
          <w:sz w:val="21"/>
          <w:szCs w:val="21"/>
          <w:color w:val="auto"/>
        </w:rPr>
        <w:t>Pursuant to the Fee and Support Agreement, such Support Payments must be made by each of Blocker and FEP promptly after receipt of this notice, and, in the case of a Bond Payment or a Jefferson Holdings Obligation Payment, in no event later than the time and date Jefferson Holdings and/or Jefferson Railport is required to transfer funds to the Trustee for the purchase of the Bonds pursuant to Section 2.02 of the Standby Purchase Agreement or to make a payment of Jefferson Holdings Obligations as provided in Section 2.04 of the Standby Purchase Agreement.</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FTAI ENERGY PARTNERS LLC</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JEFFERSON RAILPORT TERMINAL II, LLC</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180"/>
          </w:cols>
          <w:pgMar w:left="240" w:top="1077" w:right="479" w:bottom="1440" w:gutter="0" w:footer="0" w:header="0"/>
        </w:sectPr>
      </w:pPr>
    </w:p>
    <w:bookmarkStart w:id="347" w:name="page348"/>
    <w:bookmarkEnd w:id="347"/>
    <w:p>
      <w:pPr>
        <w:ind w:left="5540"/>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LEASE AND DEVELOPMENT AGREEMENT</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(FACILITIES LEASE)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TEXAS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COUNTY OF ORANGE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LEASE AND DEVELOPMENT AGREEMENT (this “</w:t>
      </w:r>
      <w:r>
        <w:rPr>
          <w:rFonts w:ascii="Arial" w:cs="Arial" w:eastAsia="Arial" w:hAnsi="Arial"/>
          <w:sz w:val="18"/>
          <w:szCs w:val="18"/>
          <w:b w:val="1"/>
          <w:bCs w:val="1"/>
          <w:i w:val="1"/>
          <w:iCs w:val="1"/>
          <w:color w:val="auto"/>
        </w:rPr>
        <w:t>Facilities Lease</w:t>
      </w:r>
      <w:r>
        <w:rPr>
          <w:rFonts w:ascii="Arial" w:cs="Arial" w:eastAsia="Arial" w:hAnsi="Arial"/>
          <w:sz w:val="18"/>
          <w:szCs w:val="18"/>
          <w:color w:val="auto"/>
        </w:rPr>
        <w:t>”) is made and entered into as of February 1, 2016 (the “</w:t>
      </w:r>
      <w:r>
        <w:rPr>
          <w:rFonts w:ascii="Arial" w:cs="Arial" w:eastAsia="Arial" w:hAnsi="Arial"/>
          <w:sz w:val="18"/>
          <w:szCs w:val="18"/>
          <w:b w:val="1"/>
          <w:bCs w:val="1"/>
          <w:i w:val="1"/>
          <w:iCs w:val="1"/>
          <w:color w:val="auto"/>
        </w:rPr>
        <w:t>Execution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by and between the PORT OF BEAUMONT NAVIGATION DISTRICT OF JEFFERSON COUNTY, TEXAS (“</w:t>
      </w:r>
      <w:r>
        <w:rPr>
          <w:rFonts w:ascii="Arial" w:cs="Arial" w:eastAsia="Arial" w:hAnsi="Arial"/>
          <w:sz w:val="18"/>
          <w:szCs w:val="18"/>
          <w:b w:val="1"/>
          <w:bCs w:val="1"/>
          <w:i w:val="1"/>
          <w:iCs w:val="1"/>
          <w:color w:val="auto"/>
        </w:rPr>
        <w:t>Lessor</w:t>
      </w:r>
      <w:r>
        <w:rPr>
          <w:rFonts w:ascii="Arial" w:cs="Arial" w:eastAsia="Arial" w:hAnsi="Arial"/>
          <w:sz w:val="18"/>
          <w:szCs w:val="18"/>
          <w:color w:val="auto"/>
        </w:rPr>
        <w:t>”), a political subdivision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State of Texas, and JEFFERSON RAILPORT TERMINAL II LLC, a limited liability company organized under the laws of the State of Delaware (“</w:t>
      </w:r>
      <w:r>
        <w:rPr>
          <w:rFonts w:ascii="Arial" w:cs="Arial" w:eastAsia="Arial" w:hAnsi="Arial"/>
          <w:sz w:val="18"/>
          <w:szCs w:val="18"/>
          <w:b w:val="1"/>
          <w:bCs w:val="1"/>
          <w:i w:val="1"/>
          <w:iCs w:val="1"/>
          <w:color w:val="auto"/>
        </w:rPr>
        <w:t>Lessee</w:t>
      </w:r>
      <w:r>
        <w:rPr>
          <w:rFonts w:ascii="Arial" w:cs="Arial" w:eastAsia="Arial" w:hAnsi="Arial"/>
          <w:sz w:val="18"/>
          <w:szCs w:val="18"/>
          <w:color w:val="auto"/>
        </w:rPr>
        <w:t>”), each party herein acting by and through its duly authorized officers.</w:t>
      </w:r>
    </w:p>
    <w:p>
      <w:pPr>
        <w:spacing w:after="0" w:line="1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79" w:lineRule="auto"/>
        <w:tabs>
          <w:tab w:leader="none" w:pos="102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Lessor owns approximately 243 acres of property located in Orange County, Texas, subject to rights conveyed to Jefferson Railport Terminal I (Texas) LLC and Jefferson Terminal Logistics (defined below) by separate Leases and Agreements, together with easements across adjacent property of Gerdau Ameristeel for rail and road access (“</w:t>
      </w:r>
      <w:r>
        <w:rPr>
          <w:rFonts w:ascii="Arial" w:cs="Arial" w:eastAsia="Arial" w:hAnsi="Arial"/>
          <w:sz w:val="17"/>
          <w:szCs w:val="17"/>
          <w:b w:val="1"/>
          <w:bCs w:val="1"/>
          <w:i w:val="1"/>
          <w:iCs w:val="1"/>
          <w:color w:val="auto"/>
        </w:rPr>
        <w:t>Rail Access</w:t>
      </w:r>
      <w:r>
        <w:rPr>
          <w:rFonts w:ascii="Arial" w:cs="Arial" w:eastAsia="Arial" w:hAnsi="Arial"/>
          <w:sz w:val="17"/>
          <w:szCs w:val="17"/>
          <w:color w:val="auto"/>
        </w:rPr>
        <w:t>”) to Old Highway 90 and to class 1 railroads (collectively the “</w:t>
      </w:r>
      <w:r>
        <w:rPr>
          <w:rFonts w:ascii="Arial" w:cs="Arial" w:eastAsia="Arial" w:hAnsi="Arial"/>
          <w:sz w:val="17"/>
          <w:szCs w:val="17"/>
          <w:b w:val="1"/>
          <w:bCs w:val="1"/>
          <w:i w:val="1"/>
          <w:iCs w:val="1"/>
          <w:color w:val="auto"/>
        </w:rPr>
        <w:t>Lessor’s Property</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Orange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County Terminal Property</w:t>
      </w:r>
      <w:r>
        <w:rPr>
          <w:rFonts w:ascii="Arial" w:cs="Arial" w:eastAsia="Arial" w:hAnsi="Arial"/>
          <w:sz w:val="17"/>
          <w:szCs w:val="17"/>
          <w:color w:val="auto"/>
        </w:rPr>
        <w:t>”), and generally referred to as the Port of Beaumont’s Orange County Terminal Property.</w:t>
      </w:r>
    </w:p>
    <w:p>
      <w:pPr>
        <w:spacing w:after="0" w:line="171" w:lineRule="exact"/>
        <w:rPr>
          <w:rFonts w:ascii="Arial" w:cs="Arial" w:eastAsia="Arial" w:hAnsi="Arial"/>
          <w:sz w:val="17"/>
          <w:szCs w:val="17"/>
          <w:color w:val="auto"/>
        </w:rPr>
      </w:pPr>
    </w:p>
    <w:p>
      <w:pPr>
        <w:jc w:val="both"/>
        <w:ind w:firstLine="656"/>
        <w:spacing w:after="0" w:line="289" w:lineRule="auto"/>
        <w:tabs>
          <w:tab w:leader="none" w:pos="102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Prior to the execution hereof Lessor has leased approximately twenty (20) acres of the Orange County Terminal Property to Port of Beaumont Petroleum Transload Terminal, LLC (“</w:t>
      </w:r>
      <w:r>
        <w:rPr>
          <w:rFonts w:ascii="Arial" w:cs="Arial" w:eastAsia="Arial" w:hAnsi="Arial"/>
          <w:sz w:val="16"/>
          <w:szCs w:val="16"/>
          <w:b w:val="1"/>
          <w:bCs w:val="1"/>
          <w:i w:val="1"/>
          <w:iCs w:val="1"/>
          <w:color w:val="auto"/>
        </w:rPr>
        <w:t>POB I</w:t>
      </w:r>
      <w:r>
        <w:rPr>
          <w:rFonts w:ascii="Arial" w:cs="Arial" w:eastAsia="Arial" w:hAnsi="Arial"/>
          <w:sz w:val="16"/>
          <w:szCs w:val="16"/>
          <w:color w:val="auto"/>
        </w:rPr>
        <w:t>”) in accordance with a Lease and Agreement, executed July 16, 2012, by and between Lessor, as lessor thereunder, and POB I, as lessee thereunder, as amended by Amendment to Agreement and Lease [First] executed as of May 23, 2013 by Lessor and June 12, 2013 by POB I, respectively, and a Second Amendment to Agreement and Lease between Lessor and POB I executed December 30, 2013, and a Third Amendment to Agreement and Lease executed as of October 27, 2015 by Jefferson Railport Terminal I (Texas) LLC, an affiliate of POB I, and Lessor (collectively, and as may be amended, restated, replaced, amended and restated or modified from time to time, the “</w:t>
      </w:r>
      <w:r>
        <w:rPr>
          <w:rFonts w:ascii="Arial" w:cs="Arial" w:eastAsia="Arial" w:hAnsi="Arial"/>
          <w:sz w:val="16"/>
          <w:szCs w:val="16"/>
          <w:b w:val="1"/>
          <w:bCs w:val="1"/>
          <w:i w:val="1"/>
          <w:iCs w:val="1"/>
          <w:color w:val="auto"/>
        </w:rPr>
        <w:t>POB I Lease</w:t>
      </w:r>
      <w:r>
        <w:rPr>
          <w:rFonts w:ascii="Arial" w:cs="Arial" w:eastAsia="Arial" w:hAnsi="Arial"/>
          <w:sz w:val="16"/>
          <w:szCs w:val="16"/>
          <w:color w:val="auto"/>
        </w:rPr>
        <w:t>”). The interests of POB I under the POB I Lease have previously been assigned to Jefferson Railport Terminal I (Texas) LLC, an affiliate of Lessee, as evidenced by a Consent Letter dated August 8, 2014 from POB I and consented to by Amegy Bank and a Consent Letter of even date therewith from POB I and consented to by Lessor. This Facilities Lease shall constitute a separate lease, and not an amendment or extension of the POB I Lease.</w:t>
      </w:r>
    </w:p>
    <w:p>
      <w:pPr>
        <w:spacing w:after="0" w:line="166" w:lineRule="exact"/>
        <w:rPr>
          <w:rFonts w:ascii="Arial" w:cs="Arial" w:eastAsia="Arial" w:hAnsi="Arial"/>
          <w:sz w:val="16"/>
          <w:szCs w:val="16"/>
          <w:color w:val="auto"/>
        </w:rPr>
      </w:pPr>
    </w:p>
    <w:p>
      <w:pPr>
        <w:jc w:val="both"/>
        <w:ind w:firstLine="656"/>
        <w:spacing w:after="0" w:line="286" w:lineRule="auto"/>
        <w:tabs>
          <w:tab w:leader="none" w:pos="100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Prior to the execution hereof, Lessor has leased approximately nineteen (19) acres of the Orange County Terminal Property as further described in </w:t>
      </w: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xml:space="preserve"> thereto to Port of Beaumont Petroleum Transload Terminal II, LLC (“</w:t>
      </w:r>
      <w:r>
        <w:rPr>
          <w:rFonts w:ascii="Arial" w:cs="Arial" w:eastAsia="Arial" w:hAnsi="Arial"/>
          <w:sz w:val="16"/>
          <w:szCs w:val="16"/>
          <w:b w:val="1"/>
          <w:bCs w:val="1"/>
          <w:i w:val="1"/>
          <w:iCs w:val="1"/>
          <w:color w:val="auto"/>
        </w:rPr>
        <w:t>POB II</w:t>
      </w:r>
      <w:r>
        <w:rPr>
          <w:rFonts w:ascii="Arial" w:cs="Arial" w:eastAsia="Arial" w:hAnsi="Arial"/>
          <w:sz w:val="16"/>
          <w:szCs w:val="16"/>
          <w:color w:val="auto"/>
        </w:rPr>
        <w:t xml:space="preserve">”) in accordance with a Lease and Agreement, executed on August 21, 2013, by Lessor, as lessor thereunder, and August 27, 2013 by POB II, as lessee thereunder, as amended by an Amendment to Agreement and Lease [First] executed December 30, 2013 by Lessor and POB II, and a Second Amendment to Agreement and Lease executed as of October 27, 2015 between Lessor and POB II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Original Lease”</w:t>
      </w:r>
      <w:r>
        <w:rPr>
          <w:rFonts w:ascii="Arial" w:cs="Arial" w:eastAsia="Arial" w:hAnsi="Arial"/>
          <w:sz w:val="16"/>
          <w:szCs w:val="16"/>
          <w:b w:val="1"/>
          <w:bCs w:val="1"/>
          <w:color w:val="auto"/>
        </w:rPr>
        <w:t>)</w:t>
      </w:r>
      <w:r>
        <w:rPr>
          <w:rFonts w:ascii="Arial" w:cs="Arial" w:eastAsia="Arial" w:hAnsi="Arial"/>
          <w:sz w:val="16"/>
          <w:szCs w:val="16"/>
          <w:color w:val="auto"/>
        </w:rPr>
        <w:t xml:space="preserve">. The interests of POB II have been assigned to Lessee as evidenced by a Consent Letter, dated August 8, 2014 from Lessee and consented to by Lessor. The Original Lease was amended and restated and the acreage subject to the this lease was increased to approximately eighty-five (85) acres, further described in </w:t>
      </w: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Site</w:t>
      </w:r>
      <w:r>
        <w:rPr>
          <w:rFonts w:ascii="Arial" w:cs="Arial" w:eastAsia="Arial" w:hAnsi="Arial"/>
          <w:sz w:val="16"/>
          <w:szCs w:val="16"/>
          <w:color w:val="auto"/>
        </w:rPr>
        <w:t>”), by that that certain Amended and Restated Lease Agreement, dated as of the date hereof (as may be amended, restated, replaced, amended and restated or modified from time to time, the “</w:t>
      </w:r>
      <w:r>
        <w:rPr>
          <w:rFonts w:ascii="Arial" w:cs="Arial" w:eastAsia="Arial" w:hAnsi="Arial"/>
          <w:sz w:val="16"/>
          <w:szCs w:val="16"/>
          <w:b w:val="1"/>
          <w:bCs w:val="1"/>
          <w:i w:val="1"/>
          <w:iCs w:val="1"/>
          <w:color w:val="auto"/>
        </w:rPr>
        <w:t>Ground Lease</w:t>
      </w:r>
      <w:r>
        <w:rPr>
          <w:rFonts w:ascii="Arial" w:cs="Arial" w:eastAsia="Arial" w:hAnsi="Arial"/>
          <w:sz w:val="16"/>
          <w:szCs w:val="16"/>
          <w:color w:val="auto"/>
        </w:rPr>
        <w:t xml:space="preserve">”). This Facilities Lease shall constitute a separate but subordinate lease, and not an amendment to or extension of the Ground Lease, except as herein provided. After the expiration of this Facilities Lease, the Ground Lease shall continue to govern and control except with respect to (i) ownership of the Bond Financed Property, unless Lessee has acquired the Bond Financed Property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below, in which event the Bond Financed Property shall thereafter be deemed to be Lessee Improvements (as defined in the Ground Lease) under the Ground Lease, and (ii) insurance requirements for the Bond Financed Property under this Facilities Lease, which shall survive the termination of this Facilities Lease and govern and control.</w:t>
      </w:r>
    </w:p>
    <w:p>
      <w:pPr>
        <w:spacing w:after="0" w:line="174" w:lineRule="exact"/>
        <w:rPr>
          <w:rFonts w:ascii="Arial" w:cs="Arial" w:eastAsia="Arial" w:hAnsi="Arial"/>
          <w:sz w:val="16"/>
          <w:szCs w:val="16"/>
          <w:color w:val="auto"/>
        </w:rPr>
      </w:pPr>
    </w:p>
    <w:p>
      <w:pPr>
        <w:ind w:firstLine="656"/>
        <w:spacing w:after="0" w:line="277" w:lineRule="auto"/>
        <w:tabs>
          <w:tab w:leader="none" w:pos="101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Prior to the execution hereof, Lessor has leased approximately one hundred twenty-five (125) acres of the Orange County Terminal Property to Jefferson Terminal Logistics LLC (“</w:t>
      </w:r>
      <w:r>
        <w:rPr>
          <w:rFonts w:ascii="Arial" w:cs="Arial" w:eastAsia="Arial" w:hAnsi="Arial"/>
          <w:sz w:val="18"/>
          <w:szCs w:val="18"/>
          <w:b w:val="1"/>
          <w:bCs w:val="1"/>
          <w:i w:val="1"/>
          <w:iCs w:val="1"/>
          <w:color w:val="auto"/>
        </w:rPr>
        <w:t>Jefferson Terminal Logistics</w:t>
      </w:r>
      <w:r>
        <w:rPr>
          <w:rFonts w:ascii="Arial" w:cs="Arial" w:eastAsia="Arial" w:hAnsi="Arial"/>
          <w:sz w:val="18"/>
          <w:szCs w:val="18"/>
          <w:color w:val="auto"/>
        </w:rPr>
        <w:t>”) in accordance with a Lease and</w:t>
      </w:r>
    </w:p>
    <w:p>
      <w:pPr>
        <w:sectPr>
          <w:pgSz w:w="11900" w:h="16838" w:orient="portrait"/>
          <w:cols w:equalWidth="0" w:num="1">
            <w:col w:w="11420"/>
          </w:cols>
          <w:pgMar w:left="240" w:top="580" w:right="239" w:bottom="1440" w:gutter="0" w:footer="0" w:header="0"/>
        </w:sectPr>
      </w:pPr>
    </w:p>
    <w:bookmarkStart w:id="348" w:name="page349"/>
    <w:bookmarkEnd w:id="348"/>
    <w:p>
      <w:pPr>
        <w:jc w:val="both"/>
        <w:spacing w:after="0" w:line="297" w:lineRule="auto"/>
        <w:rPr>
          <w:sz w:val="20"/>
          <w:szCs w:val="20"/>
          <w:color w:val="auto"/>
        </w:rPr>
      </w:pPr>
      <w:r>
        <w:rPr>
          <w:rFonts w:ascii="Arial" w:cs="Arial" w:eastAsia="Arial" w:hAnsi="Arial"/>
          <w:sz w:val="16"/>
          <w:szCs w:val="16"/>
          <w:color w:val="auto"/>
        </w:rPr>
        <w:t>Agreement, executed on April 7, 2015, by Lessor, as lessor thereunder, and on April 1, 2015, by Jefferson Terminal Logistics, as lessee thereunder, as amended by an Amendment to Agreement and Lease [First] executed as of October 27, 2015 by Jefferson Terminal Logistics and Lessor and the acreage subject to this lease was reduced to approximately seventy-one (71) acres pursuant to that Second Amendment to Agreement and Lease executed on or about the date hereof by Jefferson Terminal Logistics and Lessor (collectively, and as may be amended, restated, replaced, amended and restated or modified from time to time, the “</w:t>
      </w:r>
      <w:r>
        <w:rPr>
          <w:rFonts w:ascii="Arial" w:cs="Arial" w:eastAsia="Arial" w:hAnsi="Arial"/>
          <w:sz w:val="16"/>
          <w:szCs w:val="16"/>
          <w:b w:val="1"/>
          <w:bCs w:val="1"/>
          <w:i w:val="1"/>
          <w:iCs w:val="1"/>
          <w:color w:val="auto"/>
        </w:rPr>
        <w:t>POB III Lease</w:t>
      </w:r>
      <w:r>
        <w:rPr>
          <w:rFonts w:ascii="Arial" w:cs="Arial" w:eastAsia="Arial" w:hAnsi="Arial"/>
          <w:sz w:val="16"/>
          <w:szCs w:val="16"/>
          <w:color w:val="auto"/>
        </w:rPr>
        <w:t>). This Facilities Lease shall constitute a separate lease, and not an amendment or extension of the POB III Lease.</w:t>
      </w:r>
    </w:p>
    <w:p>
      <w:pPr>
        <w:spacing w:after="0" w:line="158" w:lineRule="exact"/>
        <w:rPr>
          <w:sz w:val="20"/>
          <w:szCs w:val="20"/>
          <w:color w:val="auto"/>
        </w:rPr>
      </w:pPr>
    </w:p>
    <w:p>
      <w:pPr>
        <w:jc w:val="both"/>
        <w:ind w:firstLine="656"/>
        <w:spacing w:after="0" w:line="257" w:lineRule="auto"/>
        <w:tabs>
          <w:tab w:leader="none" w:pos="99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Simultaneously with the execution hereof, Lessor shall reimburse Lessee from the proceeds of the Series 2016 Bonds (as defined below) for the costs incurred in connection with the construction of the assets described in </w:t>
      </w:r>
      <w:r>
        <w:rPr>
          <w:rFonts w:ascii="Arial" w:cs="Arial" w:eastAsia="Arial" w:hAnsi="Arial"/>
          <w:sz w:val="18"/>
          <w:szCs w:val="18"/>
          <w:i w:val="1"/>
          <w:iCs w:val="1"/>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Existing Property</w:t>
      </w:r>
      <w:r>
        <w:rPr>
          <w:rFonts w:ascii="Arial" w:cs="Arial" w:eastAsia="Arial" w:hAnsi="Arial"/>
          <w:sz w:val="18"/>
          <w:szCs w:val="18"/>
          <w:color w:val="auto"/>
        </w:rPr>
        <w:t>”), and while Lessor has always been the fee owner thereof and such assets have not been Lessee Improvements (as defined in the Ground Lease), out of an abundance of caution, Lessee shall quitclaim any fee interests of Lessee in the Existing Property arising prior to the date hereof pursuant to a quitclaim assignment of even date herewith (the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93" w:lineRule="auto"/>
        <w:tabs>
          <w:tab w:leader="none" w:pos="100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In accordance with the provisions hereof, Lessee shall acquire, construct, complete and install the property described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hereto, and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below, together with any loading and unloading appurtenances thereto (the “</w:t>
      </w:r>
      <w:r>
        <w:rPr>
          <w:rFonts w:ascii="Arial" w:cs="Arial" w:eastAsia="Arial" w:hAnsi="Arial"/>
          <w:sz w:val="16"/>
          <w:szCs w:val="16"/>
          <w:b w:val="1"/>
          <w:bCs w:val="1"/>
          <w:i w:val="1"/>
          <w:iCs w:val="1"/>
          <w:color w:val="auto"/>
        </w:rPr>
        <w:t>New Property</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may be amended, restated, replaced, amended and restated or modified from time to time (an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in accordance with this Facilities Lease. The Existing Property and the New Property are referred to herein as the “</w:t>
      </w:r>
      <w:r>
        <w:rPr>
          <w:rFonts w:ascii="Arial" w:cs="Arial" w:eastAsia="Arial" w:hAnsi="Arial"/>
          <w:sz w:val="16"/>
          <w:szCs w:val="16"/>
          <w:b w:val="1"/>
          <w:bCs w:val="1"/>
          <w:i w:val="1"/>
          <w:iCs w:val="1"/>
          <w:color w:val="auto"/>
        </w:rPr>
        <w:t>Bond Financed Property</w:t>
      </w:r>
      <w:r>
        <w:rPr>
          <w:rFonts w:ascii="Arial" w:cs="Arial" w:eastAsia="Arial" w:hAnsi="Arial"/>
          <w:sz w:val="16"/>
          <w:szCs w:val="16"/>
          <w:color w:val="auto"/>
        </w:rPr>
        <w:t xml:space="preserve">.” Any Amendments to the Bond Financed Property described in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whether initially or subsequent to the issuance of the Series 2016 Bonds, defined below, may be made only and upon receipt of a Tax Opinion (as defined in the Indenture). Lessor owns and shall continue to own the Bond Financed Property, subject to the terms and conditions of this Facilities Lease.</w:t>
      </w:r>
    </w:p>
    <w:p>
      <w:pPr>
        <w:spacing w:after="0" w:line="164" w:lineRule="exact"/>
        <w:rPr>
          <w:rFonts w:ascii="Arial" w:cs="Arial" w:eastAsia="Arial" w:hAnsi="Arial"/>
          <w:sz w:val="16"/>
          <w:szCs w:val="16"/>
          <w:color w:val="auto"/>
        </w:rPr>
      </w:pPr>
    </w:p>
    <w:p>
      <w:pPr>
        <w:ind w:right="60" w:firstLine="656"/>
        <w:spacing w:after="0" w:line="297" w:lineRule="auto"/>
        <w:tabs>
          <w:tab w:leader="none" w:pos="100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Pursuant to an Trust Indenture and Security Agreement (as may be amended, restated, replaced, amended and restated or modified from time to time,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Lessor and The Bank of New York Mellon Trust Company, National Association (or any successor, assignee or replacement,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Lessor is issuing a series of Bonds designated Port of Beaumont Navigation District of Jefferson County, Texas Dock and Wharf Facility Revenue Bonds, Series 2016, in the principal amount of $144,200,000 (as may be amended, restated, replaced, amended and restated or modified from time to time, the “</w:t>
      </w:r>
      <w:r>
        <w:rPr>
          <w:rFonts w:ascii="Arial" w:cs="Arial" w:eastAsia="Arial" w:hAnsi="Arial"/>
          <w:sz w:val="16"/>
          <w:szCs w:val="16"/>
          <w:b w:val="1"/>
          <w:bCs w:val="1"/>
          <w:i w:val="1"/>
          <w:iCs w:val="1"/>
          <w:color w:val="auto"/>
        </w:rPr>
        <w:t>Series 2016 Bonds</w:t>
      </w:r>
      <w:r>
        <w:rPr>
          <w:rFonts w:ascii="Arial" w:cs="Arial" w:eastAsia="Arial" w:hAnsi="Arial"/>
          <w:sz w:val="16"/>
          <w:szCs w:val="16"/>
          <w:color w:val="auto"/>
        </w:rPr>
        <w:t>”). All initially capitalized terms used, but not otherwise defined, herein shall have the meanings set forth in the Indenture.</w:t>
      </w:r>
    </w:p>
    <w:p>
      <w:pPr>
        <w:spacing w:after="0" w:line="158" w:lineRule="exact"/>
        <w:rPr>
          <w:sz w:val="20"/>
          <w:szCs w:val="20"/>
          <w:color w:val="auto"/>
        </w:rPr>
      </w:pPr>
    </w:p>
    <w:p>
      <w:pPr>
        <w:jc w:val="both"/>
        <w:ind w:firstLine="656"/>
        <w:spacing w:after="0" w:line="259" w:lineRule="auto"/>
        <w:tabs>
          <w:tab w:leader="none" w:pos="96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proceeds of the Series 2016 Bonds will be applied to (i) reimburse and pay the Lessee for the development, construction, and acquisition of the Bond Financed Property (being certain facilities for the transport, loading, unloading, and storage of petroleum products) on behalf of the Lessor; (ii) pay capitalized interest with respect to a portion of the Series 2016 Bonds during construction of the New Property; and (iii) pay certain costs of issuance of the Series 2016 Bonds.</w:t>
      </w:r>
    </w:p>
    <w:p>
      <w:pPr>
        <w:spacing w:after="0" w:line="187" w:lineRule="exact"/>
        <w:rPr>
          <w:sz w:val="20"/>
          <w:szCs w:val="20"/>
          <w:color w:val="auto"/>
        </w:rPr>
      </w:pPr>
    </w:p>
    <w:p>
      <w:pPr>
        <w:ind w:left="940" w:hanging="284"/>
        <w:spacing w:after="0"/>
        <w:tabs>
          <w:tab w:leader="none" w:pos="9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9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Jefferson Railport Terminal II Holdings LLC (“</w:t>
      </w:r>
      <w:r>
        <w:rPr>
          <w:rFonts w:ascii="Arial" w:cs="Arial" w:eastAsia="Arial" w:hAnsi="Arial"/>
          <w:sz w:val="17"/>
          <w:szCs w:val="17"/>
          <w:b w:val="1"/>
          <w:bCs w:val="1"/>
          <w:i w:val="1"/>
          <w:iCs w:val="1"/>
          <w:color w:val="auto"/>
        </w:rPr>
        <w:t>Jefferson Holdings</w:t>
      </w:r>
      <w:r>
        <w:rPr>
          <w:rFonts w:ascii="Arial" w:cs="Arial" w:eastAsia="Arial" w:hAnsi="Arial"/>
          <w:sz w:val="17"/>
          <w:szCs w:val="17"/>
          <w:color w:val="auto"/>
        </w:rPr>
        <w:t>”), an affiliate of Lessee, and Lessee have proposed that if the Series 2016 Bonds are not successfully remarketed on the First Initial Bonds Remarketing Date for the Series 2016 Bonds (as defined in the Indenture), Jefferson Holdings and Lessee shall provide for the purchase of the Series 2016 Bonds from the holders thereof, at a purchase price equal to the principal amount thereof, plus accrued interest to the date of purchase, pursuant to a Standby Bond Purchase Agreement (as may be amended, restated, replaced, amended and restated, or modified from time to time, the “</w:t>
      </w:r>
      <w:r>
        <w:rPr>
          <w:rFonts w:ascii="Arial" w:cs="Arial" w:eastAsia="Arial" w:hAnsi="Arial"/>
          <w:sz w:val="17"/>
          <w:szCs w:val="17"/>
          <w:b w:val="1"/>
          <w:bCs w:val="1"/>
          <w:i w:val="1"/>
          <w:iCs w:val="1"/>
          <w:color w:val="auto"/>
        </w:rPr>
        <w:t>Standby Bond Purchase Agreement</w:t>
      </w:r>
      <w:r>
        <w:rPr>
          <w:rFonts w:ascii="Arial" w:cs="Arial" w:eastAsia="Arial" w:hAnsi="Arial"/>
          <w:sz w:val="17"/>
          <w:szCs w:val="17"/>
          <w:color w:val="auto"/>
        </w:rPr>
        <w:t>”), by and among Lessor, Lessee, Jefferson Holdings and the Trustee. Pursuant to the Standby Bond Purchase Agreement, Jefferson Holdings shall additionally guarantee the payment of all Rent (as herein defined) and principal of and premium and interest on the Series 2016 Bonds prior to repurchase from proceeds of remarketing, redemption, or defeasance of all of the Series 2016 Bonds on or prior to the First Initial Bonds Remarketing Date.</w:t>
      </w:r>
    </w:p>
    <w:p>
      <w:pPr>
        <w:spacing w:after="0" w:line="178" w:lineRule="exact"/>
        <w:rPr>
          <w:rFonts w:ascii="Arial" w:cs="Arial" w:eastAsia="Arial" w:hAnsi="Arial"/>
          <w:sz w:val="17"/>
          <w:szCs w:val="17"/>
          <w:color w:val="auto"/>
        </w:rPr>
      </w:pPr>
    </w:p>
    <w:p>
      <w:pPr>
        <w:ind w:left="1020" w:hanging="364"/>
        <w:spacing w:after="0"/>
        <w:tabs>
          <w:tab w:leader="none" w:pos="10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both"/>
        <w:ind w:firstLine="656"/>
        <w:spacing w:after="0" w:line="257" w:lineRule="auto"/>
        <w:tabs>
          <w:tab w:leader="none" w:pos="95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Pursuant to a Leasehold Deed of Trust and Security Agreement, dated as of February 1, 2016 (as may be amended, restated, replaced, amended and restated, or modified from time to time, the “</w:t>
      </w:r>
      <w:r>
        <w:rPr>
          <w:rFonts w:ascii="Arial" w:cs="Arial" w:eastAsia="Arial" w:hAnsi="Arial"/>
          <w:sz w:val="18"/>
          <w:szCs w:val="18"/>
          <w:b w:val="1"/>
          <w:bCs w:val="1"/>
          <w:i w:val="1"/>
          <w:iCs w:val="1"/>
          <w:color w:val="auto"/>
        </w:rPr>
        <w:t>Jefferson Deed of Trust</w:t>
      </w:r>
      <w:r>
        <w:rPr>
          <w:rFonts w:ascii="Arial" w:cs="Arial" w:eastAsia="Arial" w:hAnsi="Arial"/>
          <w:sz w:val="18"/>
          <w:szCs w:val="18"/>
          <w:color w:val="auto"/>
        </w:rPr>
        <w:t>”), Lessee will grant a deed of trust lien on and security interest in its interest herein and in the Ground Lease and in all buildings, fixtures, modifications, replacements, improvements, easements, rights-of-way, air/water/development rights, machinery and equipment thereon or with respect thereto to the Trustee to secure its obligations under the Standby Bond Purchase Agreement and this Facilities Lease.</w:t>
      </w:r>
    </w:p>
    <w:p>
      <w:pPr>
        <w:spacing w:after="0" w:line="188" w:lineRule="exact"/>
        <w:rPr>
          <w:sz w:val="20"/>
          <w:szCs w:val="20"/>
          <w:color w:val="auto"/>
        </w:rPr>
      </w:pPr>
    </w:p>
    <w:p>
      <w:pPr>
        <w:ind w:firstLine="656"/>
        <w:spacing w:after="0" w:line="277" w:lineRule="auto"/>
        <w:tabs>
          <w:tab w:leader="none" w:pos="10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At its meetings of November 23, 2015 and February 22, 2016, the Port Commission of Lessor authorized the execution of this Facilities Lease with Lessee for the purposes herein stated.</w:t>
      </w:r>
    </w:p>
    <w:p>
      <w:pPr>
        <w:sectPr>
          <w:pgSz w:w="11900" w:h="16838" w:orient="portrait"/>
          <w:cols w:equalWidth="0" w:num="1">
            <w:col w:w="11420"/>
          </w:cols>
          <w:pgMar w:left="240" w:top="584" w:right="239" w:bottom="1440" w:gutter="0" w:footer="0" w:header="0"/>
        </w:sectPr>
      </w:pPr>
    </w:p>
    <w:bookmarkStart w:id="349" w:name="page350"/>
    <w:bookmarkEnd w:id="349"/>
    <w:p>
      <w:pPr>
        <w:ind w:firstLine="656"/>
        <w:spacing w:after="0" w:line="277" w:lineRule="auto"/>
        <w:tabs>
          <w:tab w:leader="none" w:pos="104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Lessor and Lessee are desirous of entering into this Facilities Lease to set forth the terms and conditions of the leasing of the Bond Financed Property by Lessor to Lessee.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of the mutual covenants and conditions hereinafter set forth and for other good and valuable consideration, the receipt and sufficiency of which is hereby acknowledged, the parties agree as follows:</w:t>
      </w:r>
    </w:p>
    <w:p>
      <w:pPr>
        <w:spacing w:after="0" w:line="197" w:lineRule="exact"/>
        <w:rPr>
          <w:sz w:val="20"/>
          <w:szCs w:val="20"/>
          <w:color w:val="auto"/>
        </w:rPr>
      </w:pPr>
    </w:p>
    <w:p>
      <w:pPr>
        <w:jc w:val="both"/>
        <w:ind w:firstLine="656"/>
        <w:spacing w:after="0" w:line="341" w:lineRule="auto"/>
        <w:tabs>
          <w:tab w:leader="none" w:pos="1431"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Description of Bond Financed Property</w:t>
      </w:r>
      <w:r>
        <w:rPr>
          <w:rFonts w:ascii="Arial" w:cs="Arial" w:eastAsia="Arial" w:hAnsi="Arial"/>
          <w:sz w:val="16"/>
          <w:szCs w:val="16"/>
          <w:color w:val="auto"/>
        </w:rPr>
        <w:t xml:space="preserve">. In consideration of the rents and covenants herein contained on the part of Lessee to be paid, kept and performed, Lessor does hereby Lease and demise to Lessee the Bond Financed Property, which may be leased pursuant to the Ground Lease pursuant to the terms thereof. Lessor and Lessee acknowledge and agree that descriptions as shown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are based on reasonably expected development plans, and that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may be amended from time to time based on final design, engineering, plans and specifications for individual property, equipment or improvements; provided, however, that any such changes shall require a Tax Opinion (as defined in the Indenture). Any amended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shall be based on final design, engineering, plans and specifications shall be reasonably related in scale and scope to the current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and subject to the approval of Lessor and Lessee, and approval (after receipt of the aforementioned Tax Opinion) is within each party’s consent not to be unreasonably withheld. Lessee shall construct, or cause to be constructed, the New Property and Lessee shall provide all labor, materials, equipment and services to construct the New Property in a good and workmanlike manner using all new materials, in compliance with applicable laws, the assumptions and requirements, if any, contained in the Tax Opinion (as defined in the Indenture), and otherwise in compliance with </w:t>
      </w:r>
      <w:r>
        <w:rPr>
          <w:rFonts w:ascii="Arial" w:cs="Arial" w:eastAsia="Arial" w:hAnsi="Arial"/>
          <w:sz w:val="16"/>
          <w:szCs w:val="16"/>
          <w:i w:val="1"/>
          <w:iCs w:val="1"/>
          <w:u w:val="single" w:color="auto"/>
          <w:color w:val="auto"/>
        </w:rPr>
        <w:t>Exhibit E</w:t>
      </w:r>
      <w:r>
        <w:rPr>
          <w:rFonts w:ascii="Arial" w:cs="Arial" w:eastAsia="Arial" w:hAnsi="Arial"/>
          <w:sz w:val="16"/>
          <w:szCs w:val="16"/>
          <w:color w:val="auto"/>
        </w:rPr>
        <w:t xml:space="preserve"> attached hereto and made a part hereof.</w:t>
      </w:r>
    </w:p>
    <w:p>
      <w:pPr>
        <w:spacing w:after="0" w:line="167" w:lineRule="exact"/>
        <w:rPr>
          <w:rFonts w:ascii="Arial" w:cs="Arial" w:eastAsia="Arial" w:hAnsi="Arial"/>
          <w:sz w:val="16"/>
          <w:szCs w:val="16"/>
          <w:color w:val="auto"/>
        </w:rPr>
      </w:pPr>
    </w:p>
    <w:p>
      <w:pPr>
        <w:jc w:val="both"/>
        <w:ind w:firstLine="656"/>
        <w:spacing w:after="0" w:line="336" w:lineRule="auto"/>
        <w:tabs>
          <w:tab w:leader="none" w:pos="1431"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Surface Rights</w:t>
      </w:r>
      <w:r>
        <w:rPr>
          <w:rFonts w:ascii="Arial" w:cs="Arial" w:eastAsia="Arial" w:hAnsi="Arial"/>
          <w:sz w:val="17"/>
          <w:szCs w:val="17"/>
          <w:color w:val="auto"/>
        </w:rPr>
        <w:t xml:space="preserve">. Lessor and Lessee hereby acknowledge and agree, notwithstanding any provision of the Ground Lease to the contrary, Lessor shall retain all surface rights with respect to the Site necessary to own, operate, use and enjoy the Bond Financed Property, subject to the provisions of this Facilities Lease including, but not limited to, the right of Lessee to quiet enjoyment in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hereof.</w:t>
      </w:r>
    </w:p>
    <w:p>
      <w:pPr>
        <w:spacing w:after="0" w:line="164"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Uses of Bond Financed Property</w:t>
      </w:r>
      <w:r>
        <w:rPr>
          <w:rFonts w:ascii="Arial" w:cs="Arial" w:eastAsia="Arial" w:hAnsi="Arial"/>
          <w:sz w:val="18"/>
          <w:szCs w:val="18"/>
          <w:color w:val="auto"/>
        </w:rPr>
        <w:t xml:space="preserve">. The Bond Financed Property is leased for the purposes described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 and Lessee agrees to restrict its use to such purposes and not to use or permit the use of the Bond Financed Property for any other purposes without first obtaining the express written consent of Lessor, which consent may require receipt of a Tax Opinion (as defined in the Indenture).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3.1 Subject to the below exceptions, Lessor grants in good faith to Lessee the right of reasonable ingress and egress to and over the Site for the use of the Bond Financed Property for the purposes herein stated, including rights of Rail Access, subject to the legal rights of other persons or parties in and to such property and subject to the rates, charges, rules, regulations and provisions of Lessor’s tariffs as provided in the Ground Lease. The right of Rail Access is provided on a scheduled basis by class 1 railroads, and is subject to the rights granted under the POB I Lease, the Ground Lease, and the POB III Lease, and to rights of Rail Access granted to affiliates of Lessee or as otherwise approved by Lessee. Lessor provides no guaranties and does not provide any rail services along class 1 railroads to Lessor’s Property, including but not limited to the Bond Financed Property. Instead, Lessee shall be required to negotiate and obtain rail ingress and egress access solely through class 1 railroads. Lessee shall be responsible for railcar and/or locomotive demurrage charged by the class 1 railroads for Lessee’s unit train or manifest rail business utilizing Bond Financed Property.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Lessor shall provide waterway access for Lessee and necessary easements and rights of way over Lessor’s Property to construct, operate, and maintain any pipeline facilities constituting Bond Financed Property, without additional charge; provided, however, that no Bond Financed Property may be located (i) on land not owned by Lessor or (ii) on land owned by Lessor that is financed by, pledged or otherwise provides security in any manner for any other tax-exempt bond financing (such land described in (ii) hereof, the "</w:t>
      </w:r>
      <w:r>
        <w:rPr>
          <w:rFonts w:ascii="Arial" w:cs="Arial" w:eastAsia="Arial" w:hAnsi="Arial"/>
          <w:sz w:val="17"/>
          <w:szCs w:val="17"/>
          <w:b w:val="1"/>
          <w:bCs w:val="1"/>
          <w:i w:val="1"/>
          <w:iCs w:val="1"/>
          <w:color w:val="auto"/>
        </w:rPr>
        <w:t>Lessor Financed Property</w:t>
      </w:r>
      <w:r>
        <w:rPr>
          <w:rFonts w:ascii="Arial" w:cs="Arial" w:eastAsia="Arial" w:hAnsi="Arial"/>
          <w:sz w:val="17"/>
          <w:szCs w:val="17"/>
          <w:color w:val="auto"/>
        </w:rPr>
        <w:t>"), unless Lessor first receives, at Lessee's expense, an opinion of a reputable bond counsel reasonably acceptable to Lessor that such construction shall not adversely affect the exclusion of interest on such other tax-exempt bond financing from gross income of the owners thereof for federal income tax purposes. Lessor represents and warrants that, to its knowledge, as of the Effective Date no portion of the 85-acre Site (excluding easements, if any) qualifies as Lessor Financed. Lessor shall not cause or permit any portions of the 85-acre Site (excluding easements, if any) to become Lessor Financed Property.</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Lessor expressly retains and reserves the right of access to the Bond Financed Property for the purposes of repairing, inspecting and/or maintaining all property, facilities and equipment related to the business of Lessor, including but not limited to repairs, inspections, construction, or maintenance, and agrees such entry onto the Leased Premises shall not unreasonably impede Lessee’s rights to operate under this Facilities Lease or the right of Lessee to quiet enjoyment in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However, Lessor’s retained right to access the Bond Financed Property under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does not diminish or reduce Lessee’s responsibilities and duties herein to properly repair and maintain the Bond Financed Property.</w:t>
      </w:r>
    </w:p>
    <w:p>
      <w:pPr>
        <w:sectPr>
          <w:pgSz w:w="11900" w:h="16838" w:orient="portrait"/>
          <w:cols w:equalWidth="0" w:num="1">
            <w:col w:w="11420"/>
          </w:cols>
          <w:pgMar w:left="240" w:top="585" w:right="239" w:bottom="1440" w:gutter="0" w:footer="0" w:header="0"/>
        </w:sectPr>
      </w:pPr>
    </w:p>
    <w:bookmarkStart w:id="350" w:name="page351"/>
    <w:bookmarkEnd w:id="350"/>
    <w:p>
      <w:pPr>
        <w:jc w:val="both"/>
        <w:ind w:firstLine="648"/>
        <w:spacing w:after="0" w:line="297" w:lineRule="auto"/>
        <w:rPr>
          <w:sz w:val="20"/>
          <w:szCs w:val="20"/>
          <w:color w:val="auto"/>
        </w:rPr>
      </w:pPr>
      <w:r>
        <w:rPr>
          <w:rFonts w:ascii="Arial" w:cs="Arial" w:eastAsia="Arial" w:hAnsi="Arial"/>
          <w:sz w:val="16"/>
          <w:szCs w:val="16"/>
          <w:color w:val="auto"/>
        </w:rPr>
        <w:t xml:space="preserve">3.2. Subject to POB Lease I and POB Lease III, Lessor hereby agrees that it shall provide to Lessee at Lessee’s expense (but without any additional consideration to Lessor therefor) such easements, rights of way or similar property rights with respect to Lessor’s Property as may be necessary, as reasonably determined by Lessee and Lessor, to construct, install and complete equipment and improvements described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hereto as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(and residing on land pursuant to which Lessee has rights under the Ground Lease). Lessor’s consent may not be unreasonably withheld; provided, however that Lessor need not incur any cost or expense to obtain any such easements, rights of way or similar property rights.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3.3 Lessee covenants and warrants not to handle, store, use, load, or unload at the Bond Financed Property any toxic, corrosive, flammable, odorous, explosive product, or similarly related products, except in accordance with law. Lessee further covenants and warrants that Lessee’s operations shall be handled in a manner (including, but not limited to, vapor recovery and combustion during the handling of Lessee products) that meets or exceeds liquid bulk transloading industry standards.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3.4. It is the intent of Lessor and Lessee that Lessee own (other than with respect to Bond Financed Property) or operate facilities for the import, storage, handling, transfer and export of (i) liquid hydrocarbons and refined or unrefined petroleum products and similar products (including crude oil, diluents, and diesel), (ii) biofuels, (iii) liquefied natural gas, (iv) products required to be transported in vessels with a Type II barge hull, within the meaning of </w:t>
      </w:r>
      <w:r>
        <w:rPr>
          <w:rFonts w:ascii="Arial" w:cs="Arial" w:eastAsia="Arial" w:hAnsi="Arial"/>
          <w:sz w:val="17"/>
          <w:szCs w:val="17"/>
          <w:color w:val="333333"/>
        </w:rPr>
        <w:t xml:space="preserve">46 CFR 151.10-1 </w:t>
      </w:r>
      <w:r>
        <w:rPr>
          <w:rFonts w:ascii="Arial" w:cs="Arial" w:eastAsia="Arial" w:hAnsi="Arial"/>
          <w:sz w:val="17"/>
          <w:szCs w:val="17"/>
          <w:color w:val="000000"/>
        </w:rPr>
        <w:t>and (v) other products approved from time to time by Lessor in its sole discretion (“</w:t>
      </w:r>
      <w:r>
        <w:rPr>
          <w:rFonts w:ascii="Arial" w:cs="Arial" w:eastAsia="Arial" w:hAnsi="Arial"/>
          <w:sz w:val="17"/>
          <w:szCs w:val="17"/>
          <w:b w:val="1"/>
          <w:bCs w:val="1"/>
          <w:i w:val="1"/>
          <w:iCs w:val="1"/>
          <w:color w:val="000000"/>
        </w:rPr>
        <w:t>Product</w:t>
      </w:r>
      <w:r>
        <w:rPr>
          <w:rFonts w:ascii="Arial" w:cs="Arial" w:eastAsia="Arial" w:hAnsi="Arial"/>
          <w:sz w:val="17"/>
          <w:szCs w:val="17"/>
          <w:color w:val="000000"/>
        </w:rPr>
        <w:t>”) for the Lease Term of this Facilities Lease,</w:t>
      </w:r>
      <w:r>
        <w:rPr>
          <w:rFonts w:ascii="Arial" w:cs="Arial" w:eastAsia="Arial" w:hAnsi="Arial"/>
          <w:sz w:val="17"/>
          <w:szCs w:val="17"/>
          <w:color w:val="333333"/>
        </w:rPr>
        <w:t xml:space="preserve"> </w:t>
      </w:r>
      <w:r>
        <w:rPr>
          <w:rFonts w:ascii="Arial" w:cs="Arial" w:eastAsia="Arial" w:hAnsi="Arial"/>
          <w:sz w:val="17"/>
          <w:szCs w:val="17"/>
          <w:color w:val="000000"/>
        </w:rPr>
        <w:t xml:space="preserve">including all extensions and renewals hereof. Lessee’s rights to operate under this Facilities Lease and the right of Lessee to quiet enjoyment in </w:t>
      </w:r>
      <w:r>
        <w:rPr>
          <w:rFonts w:ascii="Arial" w:cs="Arial" w:eastAsia="Arial" w:hAnsi="Arial"/>
          <w:sz w:val="17"/>
          <w:szCs w:val="17"/>
          <w:u w:val="single" w:color="auto"/>
          <w:color w:val="000000"/>
        </w:rPr>
        <w:t>Section 9.4</w:t>
      </w:r>
      <w:r>
        <w:rPr>
          <w:rFonts w:ascii="Arial" w:cs="Arial" w:eastAsia="Arial" w:hAnsi="Arial"/>
          <w:sz w:val="17"/>
          <w:szCs w:val="17"/>
          <w:color w:val="000000"/>
        </w:rPr>
        <w:t xml:space="preserve"> hereof shall not be unreasonably impeded by Lessor, or its customers or tenants, with respect to future handling of Product, by rail, truck, pipeline or water-borne means. If Lessor, or its customers or tenants, desire to construct, operate, or otherwise engage in a facility for handling Product by rail, truck, pipeline or water-borne means, said operations may be commenced by Lessor, or its customers or tenants, only upon mutual consent between Lessee and Lessor, which consent shall not be unreasonably withheld, delayed or conditioned.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Lessee shall have a right to the use of rail switches located on Lessor’s Property, subject to the rights as to switches granted under the POB I Lease, the Ground Lease and the POB III Lease.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3.5 Subject to Lessee’s obligation to comply with applicable law, Lessee shall have the right to install, illuminate and maintain during the Lease Term hereof usual and customary signs and to install such other signage in and about the Site as required under applicable law. Lessee shall have the right to modify its signs from time to time and Lessor shall not interfere with such modifications as long as the signs as so modified comply with all applicable law.</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3.6 Notwithstanding the foregoing, Lessor shall retain such easements, rights of ways of similar interests in the Leased Premises (i) to allow for the use and maintenance of all roadways located on, adjacent to or accessing the Bond Financed Property, and (ii) as may be necessary to allow for the completion and maintenance of the roadway proposed or under construction to provide access to Interstate Highway-10; provided, however, such rights onto the Leased Premises shall not unreasonably impede Lessee’s rights to operate under this Facilities Lease or the right of Lessee to quiet enjoyment 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hereof.</w:t>
      </w:r>
    </w:p>
    <w:p>
      <w:pPr>
        <w:spacing w:after="0" w:line="188" w:lineRule="exact"/>
        <w:rPr>
          <w:sz w:val="20"/>
          <w:szCs w:val="20"/>
          <w:color w:val="auto"/>
        </w:rPr>
      </w:pPr>
    </w:p>
    <w:p>
      <w:pPr>
        <w:ind w:firstLine="656"/>
        <w:spacing w:after="0" w:line="308" w:lineRule="auto"/>
        <w:tabs>
          <w:tab w:leader="none" w:pos="990"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Term of Lease</w:t>
      </w:r>
      <w:r>
        <w:rPr>
          <w:rFonts w:ascii="Arial" w:cs="Arial" w:eastAsia="Arial" w:hAnsi="Arial"/>
          <w:sz w:val="17"/>
          <w:szCs w:val="17"/>
          <w:color w:val="auto"/>
        </w:rPr>
        <w:t>. The term of this Facilities Lease shall commence as of the Execution Date (the “</w:t>
      </w:r>
      <w:r>
        <w:rPr>
          <w:rFonts w:ascii="Arial" w:cs="Arial" w:eastAsia="Arial" w:hAnsi="Arial"/>
          <w:sz w:val="17"/>
          <w:szCs w:val="17"/>
          <w:b w:val="1"/>
          <w:bCs w:val="1"/>
          <w:i w:val="1"/>
          <w:iCs w:val="1"/>
          <w:color w:val="auto"/>
        </w:rPr>
        <w:t>Commencement Date</w:t>
      </w:r>
      <w:r>
        <w:rPr>
          <w:rFonts w:ascii="Arial" w:cs="Arial" w:eastAsia="Arial" w:hAnsi="Arial"/>
          <w:sz w:val="17"/>
          <w:szCs w:val="17"/>
          <w:color w:val="auto"/>
        </w:rPr>
        <w:t>”). This Facilities Lease shall terminate on July 31, 2063 (being the day prior to the fiftieth anniversary of the commencement date of the Ground Lease) (“</w:t>
      </w:r>
      <w:r>
        <w:rPr>
          <w:rFonts w:ascii="Arial" w:cs="Arial" w:eastAsia="Arial" w:hAnsi="Arial"/>
          <w:sz w:val="17"/>
          <w:szCs w:val="17"/>
          <w:b w:val="1"/>
          <w:bCs w:val="1"/>
          <w:i w:val="1"/>
          <w:iCs w:val="1"/>
          <w:color w:val="auto"/>
        </w:rPr>
        <w:t>Lease Term</w:t>
      </w:r>
      <w:r>
        <w:rPr>
          <w:rFonts w:ascii="Arial" w:cs="Arial" w:eastAsia="Arial" w:hAnsi="Arial"/>
          <w:sz w:val="17"/>
          <w:szCs w:val="17"/>
          <w:color w:val="auto"/>
        </w:rPr>
        <w:t>”).</w:t>
      </w:r>
    </w:p>
    <w:p>
      <w:pPr>
        <w:spacing w:after="0" w:line="14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4.2 Subject to any rights of any mortgagee of interests in the Bond Financed Property, Lessee shall have the right to purchase the Bond Financed Property as follows: (i) if the Bonds (as defined in the Indenture) have not been paid in full and are outstanding, for the greater of (a) the amount necessary to pay the Bonds in full or (b) the then fair market value of the Bond Financed Property at the time the right to purchase is exercised as determined by an appraiser or (ii) after the Bonds have been paid in full and are not outstanding, an amount equal to the then fair market value of the Bond Financed Property at the time the right to purchase is exercised as determined by an appraiser. Such right must be exercised (if at all) in writing and at least one hundred twenty</w:t>
      </w:r>
    </w:p>
    <w:p>
      <w:pPr>
        <w:spacing w:after="0" w:line="2" w:lineRule="exact"/>
        <w:rPr>
          <w:sz w:val="20"/>
          <w:szCs w:val="20"/>
          <w:color w:val="auto"/>
        </w:rPr>
      </w:pPr>
    </w:p>
    <w:p>
      <w:pPr>
        <w:jc w:val="both"/>
        <w:ind w:firstLine="8"/>
        <w:spacing w:after="0" w:line="268" w:lineRule="auto"/>
        <w:tabs>
          <w:tab w:leader="none" w:pos="44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days prior to the intended acquisition date, which intended acquisition date must be prior to the expiration of the Lease Term as contemplated herein and the term of the Ground Lease (as provided for therein). At the time the right to purchase is exercised, the then fair market value of the Bond Financed Property shall be appraised. Such appraisal shall be performed by a qualified appraiser procured by Lessor in accordance with the requirements of the Texas Professional Services Procurement Act, Chapter 2254, Texas Government Code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as required by §60.412(c), Water Code. Lessor shall proceed to procure an appraiser and designated sub-consultants as necessary to perform the appraisal of the fair market value of the Bond Financed Property based upon the most current edition of the Appraisal Institute Uniform Standards of Professional Appraisal Practices ("</w:t>
      </w:r>
      <w:r>
        <w:rPr>
          <w:rFonts w:ascii="Arial" w:cs="Arial" w:eastAsia="Arial" w:hAnsi="Arial"/>
          <w:sz w:val="17"/>
          <w:szCs w:val="17"/>
          <w:b w:val="1"/>
          <w:bCs w:val="1"/>
          <w:i w:val="1"/>
          <w:iCs w:val="1"/>
          <w:color w:val="auto"/>
        </w:rPr>
        <w:t>USPAP</w:t>
      </w:r>
      <w:r>
        <w:rPr>
          <w:rFonts w:ascii="Arial" w:cs="Arial" w:eastAsia="Arial" w:hAnsi="Arial"/>
          <w:sz w:val="17"/>
          <w:szCs w:val="17"/>
          <w:color w:val="auto"/>
        </w:rPr>
        <w:t>") and any applicable state law for appraisal of industrial assets such as the Bond Financed Property. The appraisal report shall be a "self-contained narrative report" and must note onsite inspection of the Bond Financed Property</w:t>
      </w:r>
    </w:p>
    <w:p>
      <w:pPr>
        <w:sectPr>
          <w:pgSz w:w="11900" w:h="16838" w:orient="portrait"/>
          <w:cols w:equalWidth="0" w:num="1">
            <w:col w:w="11420"/>
          </w:cols>
          <w:pgMar w:left="240" w:top="584" w:right="239" w:bottom="1440" w:gutter="0" w:footer="0" w:header="0"/>
        </w:sectPr>
      </w:pPr>
    </w:p>
    <w:bookmarkStart w:id="351" w:name="page352"/>
    <w:bookmarkEnd w:id="351"/>
    <w:p>
      <w:pPr>
        <w:jc w:val="both"/>
        <w:spacing w:after="0" w:line="257" w:lineRule="auto"/>
        <w:rPr>
          <w:sz w:val="20"/>
          <w:szCs w:val="20"/>
          <w:color w:val="auto"/>
        </w:rPr>
      </w:pPr>
      <w:r>
        <w:rPr>
          <w:rFonts w:ascii="Arial" w:cs="Arial" w:eastAsia="Arial" w:hAnsi="Arial"/>
          <w:sz w:val="18"/>
          <w:szCs w:val="18"/>
          <w:color w:val="auto"/>
        </w:rPr>
        <w:t>by the appraiser, and the appraisal report shall be executed by the primary certified appraiser handling the preparation of and the recitation of the appraised value(s) as presented in the appraisal report. Such appraiser shall be responsible for all analysis and conclusions notwithstanding that such analysis and conclusions are in part generated through the collection of data and information by employees of the appraiser or third party designated sub-consultants. Lessor and Lessee shall collaborate on the appraisal procurement request for proposal, Lessor and Lessee shall jointly review responses to request for proposal, and Lessor and Lessee shall jointly designate the qualified appraiser.</w:t>
      </w:r>
    </w:p>
    <w:p>
      <w:pPr>
        <w:spacing w:after="0" w:line="188" w:lineRule="exact"/>
        <w:rPr>
          <w:sz w:val="20"/>
          <w:szCs w:val="20"/>
          <w:color w:val="auto"/>
        </w:rPr>
      </w:pPr>
    </w:p>
    <w:p>
      <w:pPr>
        <w:jc w:val="both"/>
        <w:ind w:firstLine="656"/>
        <w:spacing w:after="0" w:line="285" w:lineRule="auto"/>
        <w:tabs>
          <w:tab w:leader="none" w:pos="977"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Rental Payment</w:t>
      </w:r>
      <w:r>
        <w:rPr>
          <w:rFonts w:ascii="Arial" w:cs="Arial" w:eastAsia="Arial" w:hAnsi="Arial"/>
          <w:sz w:val="16"/>
          <w:szCs w:val="16"/>
          <w:color w:val="auto"/>
        </w:rPr>
        <w:t>. In addition to any rent owed under or pursuant to the Ground Lease, Facilities Lease Rent (as herein defined) shall be payable hereunder commencing on the Execution Date. In addition, Lessee agrees to pay, as rent hereunder, amounts equal to (i) all third-party costs, expenses and fees related to the Series 2016 Bonds, including the fees and expenses of the Trustee, the Tender Agent, the Bond Registrar, the Authentication Agent, and the Remarketing Agent, when due, and (ii) all Rebate Amounts (as defined in the Indenture) when due thereunder. An amount sufficient to provide for the payment of interest on the Series 2016 Bonds to the First Initial Bonds Remarketing Date and, if not then repurchased from proceeds of a remarketing or by Lessee or Jefferson Holdings pursuant to the Standby Bond Purchase Agreement, the principal of and interest on the Series 2016 Bonds when due thereafter until repurchased, redeemed, or defeased in whole, and an amount sufficient to provide for the payment of principal of and interest on the Series 2016 Bonds when, if, and as remarketed in an Interest Mode (as defined in the Indenture) on terms approved by Lessor and Lessee in their sole discretion are referred to together as the “</w:t>
      </w:r>
      <w:r>
        <w:rPr>
          <w:rFonts w:ascii="Arial" w:cs="Arial" w:eastAsia="Arial" w:hAnsi="Arial"/>
          <w:sz w:val="16"/>
          <w:szCs w:val="16"/>
          <w:b w:val="1"/>
          <w:bCs w:val="1"/>
          <w:i w:val="1"/>
          <w:iCs w:val="1"/>
          <w:color w:val="auto"/>
        </w:rPr>
        <w:t>Facilities Lease Rent</w:t>
      </w:r>
      <w:r>
        <w:rPr>
          <w:rFonts w:ascii="Arial" w:cs="Arial" w:eastAsia="Arial" w:hAnsi="Arial"/>
          <w:sz w:val="16"/>
          <w:szCs w:val="16"/>
          <w:color w:val="auto"/>
        </w:rPr>
        <w:t>” (Facilities Lease Rent, together with the third-party costs, expenses and fees described in clause (i) above and the Rebate Amounts described in clause (ii) above, are collectively the “</w:t>
      </w:r>
      <w:r>
        <w:rPr>
          <w:rFonts w:ascii="Arial" w:cs="Arial" w:eastAsia="Arial" w:hAnsi="Arial"/>
          <w:sz w:val="16"/>
          <w:szCs w:val="16"/>
          <w:b w:val="1"/>
          <w:bCs w:val="1"/>
          <w:i w:val="1"/>
          <w:iCs w:val="1"/>
          <w:color w:val="auto"/>
        </w:rPr>
        <w:t>Rent</w:t>
      </w:r>
      <w:r>
        <w:rPr>
          <w:rFonts w:ascii="Arial" w:cs="Arial" w:eastAsia="Arial" w:hAnsi="Arial"/>
          <w:sz w:val="16"/>
          <w:szCs w:val="16"/>
          <w:color w:val="auto"/>
        </w:rPr>
        <w:t xml:space="preserve">”). Lessee shall receive a credit towards the payment of Facilities Lease Rent for all amounts on deposit in the Bond Proceeds Subaccount of the Interest Account of the Debt Service Fund (including any amount returned to the Lessor in accordance with the Indenture) and shall prepay Facilities Lease Rent in the amount required to be deposited to the Prepaid Rent Subaccount of such Interest Account. On or following the remarketing of the Series 2016 Bonds as Fixed Rate Bonds (as defined in the Indenture), if ever, this Facilities Lease shall have attached hereto as </w:t>
      </w:r>
      <w:r>
        <w:rPr>
          <w:rFonts w:ascii="Arial" w:cs="Arial" w:eastAsia="Arial" w:hAnsi="Arial"/>
          <w:sz w:val="16"/>
          <w:szCs w:val="16"/>
          <w:i w:val="1"/>
          <w:iCs w:val="1"/>
          <w:u w:val="single" w:color="auto"/>
          <w:color w:val="auto"/>
        </w:rPr>
        <w:t>Exhibit D</w:t>
      </w:r>
      <w:r>
        <w:rPr>
          <w:rFonts w:ascii="Arial" w:cs="Arial" w:eastAsia="Arial" w:hAnsi="Arial"/>
          <w:sz w:val="16"/>
          <w:szCs w:val="16"/>
          <w:color w:val="auto"/>
        </w:rPr>
        <w:t xml:space="preserve"> a Schedule of Facilities Lease Rent evidencing monthly payments in amounts sufficient to provide for the payment of principal of and interest on the Series 2016 Bonds and, for the avoidance of doubt, such attachment shall not be deemed an amendment to this Facilities Lease. Facilities Lease Rent shall be deposited directly with the Trustee in a timely manner to assure that amounts sufficient to pay principal of and interest on the Series 2016 Bonds then due are on deposit with the Trustee at least fifteen (15) days prior to each Interest Payment Date (as defined in the Indenture).</w:t>
      </w:r>
    </w:p>
    <w:p>
      <w:pPr>
        <w:spacing w:after="0" w:line="175" w:lineRule="exact"/>
        <w:rPr>
          <w:rFonts w:ascii="Arial" w:cs="Arial" w:eastAsia="Arial" w:hAnsi="Arial"/>
          <w:sz w:val="16"/>
          <w:szCs w:val="16"/>
          <w:color w:val="auto"/>
        </w:rPr>
      </w:pPr>
    </w:p>
    <w:p>
      <w:pPr>
        <w:jc w:val="both"/>
        <w:ind w:firstLine="656"/>
        <w:spacing w:after="0" w:line="287" w:lineRule="auto"/>
        <w:tabs>
          <w:tab w:leader="none" w:pos="99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Wharfage Rates and Port Charges</w:t>
      </w:r>
      <w:r>
        <w:rPr>
          <w:rFonts w:ascii="Arial" w:cs="Arial" w:eastAsia="Arial" w:hAnsi="Arial"/>
          <w:sz w:val="16"/>
          <w:szCs w:val="16"/>
          <w:color w:val="auto"/>
        </w:rPr>
        <w:t xml:space="preserve">. Lessee agrees that wharfage shall be paid to Lessor in accordance with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to the Ground Lease (the “</w:t>
      </w:r>
      <w:r>
        <w:rPr>
          <w:rFonts w:ascii="Arial" w:cs="Arial" w:eastAsia="Arial" w:hAnsi="Arial"/>
          <w:sz w:val="16"/>
          <w:szCs w:val="16"/>
          <w:b w:val="1"/>
          <w:bCs w:val="1"/>
          <w:i w:val="1"/>
          <w:iCs w:val="1"/>
          <w:color w:val="auto"/>
        </w:rPr>
        <w:t>Port Charges</w:t>
      </w:r>
      <w:r>
        <w:rPr>
          <w:rFonts w:ascii="Arial" w:cs="Arial" w:eastAsia="Arial" w:hAnsi="Arial"/>
          <w:sz w:val="16"/>
          <w:szCs w:val="16"/>
          <w:color w:val="auto"/>
        </w:rPr>
        <w:t xml:space="preserve">”) for each short ton of cargo moving through, out of, or into the Bond Financed Property. Lessee further agrees that a rail facility usage charge shall be paid to Lessor in accordance with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to the Ground Lease (the “</w:t>
      </w:r>
      <w:r>
        <w:rPr>
          <w:rFonts w:ascii="Arial" w:cs="Arial" w:eastAsia="Arial" w:hAnsi="Arial"/>
          <w:sz w:val="16"/>
          <w:szCs w:val="16"/>
          <w:b w:val="1"/>
          <w:bCs w:val="1"/>
          <w:i w:val="1"/>
          <w:iCs w:val="1"/>
          <w:color w:val="auto"/>
        </w:rPr>
        <w:t>Port Rail Charges</w:t>
      </w:r>
      <w:r>
        <w:rPr>
          <w:rFonts w:ascii="Arial" w:cs="Arial" w:eastAsia="Arial" w:hAnsi="Arial"/>
          <w:sz w:val="16"/>
          <w:szCs w:val="16"/>
          <w:color w:val="auto"/>
        </w:rPr>
        <w:t xml:space="preserve">”) for each loaded railcar utilizing the Bond Financed Property. Lessee further agrees that the Port Security Fee shall be paid to Lessor in accordance with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to the Ground Lease for each short ton of cargo utilizing the Bond Financed Property. All other provisions and charges of Lessor’s tariffs shall apply, except as otherwise set forth therein. Wharfage rates, Port Rail Charges, and Port Charges, as set forth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to the Ground Lease, shall be adjusted as provided under the Ground Lease. All changes contemplated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due by Lessee shall be paid as and when required under the Ground Lease and no additional amounts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due. Any cargo or other property for which Port Charges, Port Rail Charges or Port Security Fees are paid pursuant to the Ground Lease, the POB I Lease or the POB III Lease shall not be charged such fees hereunder. Lessor and Lessee agree that there shall be additional minimum payments with respect to the Port Charges, Port Rail Charges or Port Security Fee that are set forth in the Ground Lease, the POB I Lease and the POB III Lease. Amounts payable to the Port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considered Pledged Revenues under the Indenture.</w:t>
      </w:r>
    </w:p>
    <w:p>
      <w:pPr>
        <w:spacing w:after="0" w:line="172" w:lineRule="exact"/>
        <w:rPr>
          <w:rFonts w:ascii="Arial" w:cs="Arial" w:eastAsia="Arial" w:hAnsi="Arial"/>
          <w:sz w:val="16"/>
          <w:szCs w:val="16"/>
          <w:color w:val="auto"/>
        </w:rPr>
      </w:pPr>
    </w:p>
    <w:p>
      <w:pPr>
        <w:jc w:val="both"/>
        <w:ind w:firstLine="656"/>
        <w:spacing w:after="0" w:line="259" w:lineRule="auto"/>
        <w:tabs>
          <w:tab w:leader="none" w:pos="1044"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Surrender of Premises; Ownership of Improvements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at the expiration or termination of this Facilities Lease, Lessee agrees to: (1) surrender possession of the entire Bond Financed Property (except to the extent purchased by Lessee pursuant to the terms of this Facilities Lease, in which event Section 7 of the Ground Lease shall control) to Lessor; and (2) otherwise return the Bond Financed Property to Lessor in good operating condition, in accordance with the provisions of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of Lessee</w:t>
      </w:r>
      <w:r>
        <w:rPr>
          <w:rFonts w:ascii="Arial" w:cs="Arial" w:eastAsia="Arial" w:hAnsi="Arial"/>
          <w:sz w:val="18"/>
          <w:szCs w:val="18"/>
          <w:color w:val="auto"/>
        </w:rPr>
        <w:t>. Lessee covenants and agrees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8.1 Lessee agrees to pay all costs and expenses of its operations on the Bond Financed Property and the cost of all utilities, such as gas, water, electricity, telephone, telegraph and cable service, and for all taxes and assessments on the Bond Financed Property. Additionally, Lessee agrees to pay all costs and expenses related to improvements to utilities, such as gas, water, electricity, telephone, telegraph, and cable services that are needed to accommodate Lessee’s operations.</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Lessee agrees to pay when due all Rent and other charges herein described attributable to the Bond Financed Property as same shall become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ectPr>
          <w:pgSz w:w="11900" w:h="16838" w:orient="portrait"/>
          <w:cols w:equalWidth="0" w:num="1">
            <w:col w:w="11420"/>
          </w:cols>
          <w:pgMar w:left="240" w:top="584" w:right="239" w:bottom="1440" w:gutter="0" w:footer="0" w:header="0"/>
        </w:sectPr>
      </w:pPr>
    </w:p>
    <w:bookmarkStart w:id="352" w:name="page353"/>
    <w:bookmarkEnd w:id="352"/>
    <w:p>
      <w:pPr>
        <w:jc w:val="both"/>
        <w:ind w:firstLine="648"/>
        <w:spacing w:after="0" w:line="259" w:lineRule="auto"/>
        <w:rPr>
          <w:sz w:val="20"/>
          <w:szCs w:val="20"/>
          <w:color w:val="auto"/>
        </w:rPr>
      </w:pPr>
      <w:r>
        <w:rPr>
          <w:rFonts w:ascii="Arial" w:cs="Arial" w:eastAsia="Arial" w:hAnsi="Arial"/>
          <w:sz w:val="18"/>
          <w:szCs w:val="18"/>
          <w:color w:val="auto"/>
        </w:rPr>
        <w:t>8.3 In the conduct and operation of its business in and about the Bond Financed Property, Lessee agrees to conform and comply with all laws relating thereto and the requirements of any properly constituted public tribunal or governmental agency or federal, state, municipal or other political subdivision authority having jurisdiction thereof and the reasonable requirements of insurance companies carrying insurance upon the Bond Financed Property, or of any board of fire insurance underwriters, rating bureau, or similar body applicable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8.4 Lessee agrees that it shall not commit or permit waste on or of the Bond Financed Property and to keep the Bond Financed Property in a clean and sanitary condition and generally to observe and practice “</w:t>
      </w:r>
      <w:r>
        <w:rPr>
          <w:rFonts w:ascii="Arial" w:cs="Arial" w:eastAsia="Arial" w:hAnsi="Arial"/>
          <w:sz w:val="17"/>
          <w:szCs w:val="17"/>
          <w:i w:val="1"/>
          <w:iCs w:val="1"/>
          <w:color w:val="auto"/>
        </w:rPr>
        <w:t>good housekeeping</w:t>
      </w:r>
      <w:r>
        <w:rPr>
          <w:rFonts w:ascii="Arial" w:cs="Arial" w:eastAsia="Arial" w:hAnsi="Arial"/>
          <w:sz w:val="17"/>
          <w:szCs w:val="17"/>
          <w:color w:val="auto"/>
        </w:rPr>
        <w:t>” principles in and about the operations thereof. Additionally, Lessee will implement and enforce a site safety plan and promptly correct safety hazards or concerns on the Bond Financed Property in the manner as provided in the Ground Lease. Lessor is under no obligation or duty to implement and/or enforce Lessee’s site safety plan or to promptly correct any potential safety hazards. Any liability resulting from the adequacy, implementation, or enforcement of the site safety plan is solely attributable to Lessee, and any liability resulting from Lessee’s failure to promptly correct safety hazards is solely attributable to Lessee.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8.5 At its own expense, Lessee agrees to make all repairs, maintenance, replacements or other work reasonably necessary to keep the Bond Financed Property in substantially as good condition as the same were received by Lessee and in accordance with the assumptions in the Engineering Report for Initial Bond Projects, prepared by Lanier &amp; Associates, Consulting Engineers, Inc., Job No. 9655-0, as revised, dated February 16, 2016 (as may be amended, restated, replaced, amended and restated or modified from time to time with the approval of Lessor (not to be unreasonably withheld), and the delivery of a Tax Opinion in connection with an amendment to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Engineer’s Report</w:t>
      </w:r>
      <w:r>
        <w:rPr>
          <w:rFonts w:ascii="Arial" w:cs="Arial" w:eastAsia="Arial" w:hAnsi="Arial"/>
          <w:sz w:val="18"/>
          <w:szCs w:val="18"/>
          <w:color w:val="auto"/>
        </w:rPr>
        <w:t xml:space="preserve">”) ordinary wear and tear, obsolescence, damage by fire (other than a fire resulting in part or full from Lessee’s acts or omissions) or other casualty beyond Lessee’s control excepted, except as otherwise provided in </w:t>
      </w:r>
      <w:r>
        <w:rPr>
          <w:rFonts w:ascii="Arial" w:cs="Arial" w:eastAsia="Arial" w:hAnsi="Arial"/>
          <w:sz w:val="18"/>
          <w:szCs w:val="18"/>
          <w:u w:val="single" w:color="auto"/>
          <w:color w:val="auto"/>
        </w:rPr>
        <w:t>Section 17.3</w:t>
      </w:r>
      <w:r>
        <w:rPr>
          <w:rFonts w:ascii="Arial" w:cs="Arial" w:eastAsia="Arial" w:hAnsi="Arial"/>
          <w:sz w:val="18"/>
          <w:szCs w:val="18"/>
          <w:color w:val="auto"/>
        </w:rPr>
        <w:t xml:space="preserve"> below.</w:t>
      </w:r>
    </w:p>
    <w:p>
      <w:pPr>
        <w:spacing w:after="0" w:line="1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color w:val="auto"/>
        </w:rPr>
        <w:t>Lessee shall pay all taxes, if any, assessed on the value of the leasehold or the leasehold improvements.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8.9 Lessor acknowledges and agrees that this Facilities Lease shall be deemed and construed to be a “</w:t>
      </w:r>
      <w:r>
        <w:rPr>
          <w:rFonts w:ascii="Arial" w:cs="Arial" w:eastAsia="Arial" w:hAnsi="Arial"/>
          <w:sz w:val="17"/>
          <w:szCs w:val="17"/>
          <w:i w:val="1"/>
          <w:iCs w:val="1"/>
          <w:color w:val="auto"/>
        </w:rPr>
        <w:t>net lease</w:t>
      </w:r>
      <w:r>
        <w:rPr>
          <w:rFonts w:ascii="Arial" w:cs="Arial" w:eastAsia="Arial" w:hAnsi="Arial"/>
          <w:sz w:val="17"/>
          <w:szCs w:val="17"/>
          <w:color w:val="auto"/>
        </w:rPr>
        <w:t>,” and Lessee shall pay absolutely all operating costs of the Bond Financed Property during the Term, including the Rent and all other payments required hereunder, free of any deductions, and without abatement, deduction or setoff (other than credits against Rent expressly provided for in this Facilities Lease).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8.10 Lessee hereby makes an irrevocable election (binding on Lessee and all successors in interest under this Facilities Lease) never to claim depreciation or an investment credit with respect to such Bond Financed Property.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8.11 If required by applicable law (or if Lessor is required by applicable law to do so in connection with the Project), Lessee agrees to post a payment bond and/or performance bond for the Project and Lessee agrees to include Lessor as an additional obligee thereunder. In addition, Lessee shall comply with any procurement provisions or requirements of applicable law with respect to the Project.</w:t>
      </w:r>
    </w:p>
    <w:p>
      <w:pPr>
        <w:spacing w:after="0" w:line="181" w:lineRule="exact"/>
        <w:rPr>
          <w:sz w:val="20"/>
          <w:szCs w:val="20"/>
          <w:color w:val="auto"/>
        </w:rPr>
      </w:pPr>
    </w:p>
    <w:p>
      <w:pPr>
        <w:ind w:left="980" w:hanging="32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Lessor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9.1 Lessor shall have the right, at its sole cost, responsibility, and expense, to make at any time alterations to Lessor’s Property and to construct other improvements on Lessor’s Property (“</w:t>
      </w:r>
      <w:r>
        <w:rPr>
          <w:rFonts w:ascii="Arial" w:cs="Arial" w:eastAsia="Arial" w:hAnsi="Arial"/>
          <w:sz w:val="16"/>
          <w:szCs w:val="16"/>
          <w:b w:val="1"/>
          <w:bCs w:val="1"/>
          <w:i w:val="1"/>
          <w:iCs w:val="1"/>
          <w:color w:val="auto"/>
        </w:rPr>
        <w:t>Lessor Improvements</w:t>
      </w:r>
      <w:r>
        <w:rPr>
          <w:rFonts w:ascii="Arial" w:cs="Arial" w:eastAsia="Arial" w:hAnsi="Arial"/>
          <w:sz w:val="16"/>
          <w:szCs w:val="16"/>
          <w:color w:val="auto"/>
        </w:rPr>
        <w:t>”) provided that such alterations do not substantially impair the use thereof by Lessee for the purposes herein described and so long as same are in compliance with all requirements of the POB I Lease, the Ground Lease, and the POB III Lease.</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9.2 Lessor shall pay for all labor and services performed for, materials used by or furnished to Lessor, or used by or furnished to any contractor employed by Lessor with respect to the initial construction of any Lessor Improvements and hold Lessee and the Bond Financed Property harmless and free from any liens, claims, encumbrances or judgments created by Lessor. If Lessor elects to post a payment or performance bond or is required to post an improvement bond with a public agency in connection with the above, Lessor agrees to include Lessee as an additional obligee thereunder.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9.3 Lessor is and shall remain for the Lease Term hereof the true and lawful owner of the Bond Financed Property and, has good right and full power to let and lease the Bond Financed Property. Lessor agrees that, contingent upon Lessee’s compliance with the terms of this Facilities Lease such that no Event of Default has occurred and is continuing, Lessee shall quietly and peaceably hold, possess and enjoy the Bond Financed Property for the full Lease Term of this Facilities Lease without any</w:t>
      </w:r>
    </w:p>
    <w:p>
      <w:pPr>
        <w:sectPr>
          <w:pgSz w:w="11900" w:h="16838" w:orient="portrait"/>
          <w:cols w:equalWidth="0" w:num="1">
            <w:col w:w="11420"/>
          </w:cols>
          <w:pgMar w:left="240" w:top="584" w:right="239" w:bottom="1440" w:gutter="0" w:footer="0" w:header="0"/>
        </w:sectPr>
      </w:pPr>
    </w:p>
    <w:bookmarkStart w:id="353" w:name="page354"/>
    <w:bookmarkEnd w:id="353"/>
    <w:p>
      <w:pPr>
        <w:jc w:val="both"/>
        <w:spacing w:after="0" w:line="264" w:lineRule="auto"/>
        <w:rPr>
          <w:sz w:val="20"/>
          <w:szCs w:val="20"/>
          <w:color w:val="auto"/>
        </w:rPr>
      </w:pPr>
      <w:r>
        <w:rPr>
          <w:rFonts w:ascii="Arial" w:cs="Arial" w:eastAsia="Arial" w:hAnsi="Arial"/>
          <w:sz w:val="18"/>
          <w:szCs w:val="18"/>
          <w:color w:val="auto"/>
        </w:rPr>
        <w:t>hindrance or molestation by the agents or employees of Lessor as discussed herein, and Lessor will defend the title to the Bond Financed Property and the use and occupancy of the same by Lessee against the lawful claims of all persons whomsoever claiming by, through, or under Lessor (but not otherwise) except those claiming by, through, or under Lessee.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9.4 Lessor shall maintain a fee simple interest in the Bond Financed Property free and clear of any mortgages, deeds, encumbrances, declarations, easements, liens or restrictions, or any other encumbrances, other than as provided in the Indenture, and that would restrict Lessee’s use of the Bond Financed Property for the purposes herein described or would restrict in any respect the right of Lessee, its employees and invitees to use the Bond Financed Property in accordance with the terms of this Facilities Lease (“</w:t>
      </w:r>
      <w:r>
        <w:rPr>
          <w:rFonts w:ascii="Arial" w:cs="Arial" w:eastAsia="Arial" w:hAnsi="Arial"/>
          <w:sz w:val="16"/>
          <w:szCs w:val="16"/>
          <w:b w:val="1"/>
          <w:bCs w:val="1"/>
          <w:i w:val="1"/>
          <w:iCs w:val="1"/>
          <w:color w:val="auto"/>
        </w:rPr>
        <w:t>Encumbrances</w:t>
      </w:r>
      <w:r>
        <w:rPr>
          <w:rFonts w:ascii="Arial" w:cs="Arial" w:eastAsia="Arial" w:hAnsi="Arial"/>
          <w:sz w:val="16"/>
          <w:szCs w:val="16"/>
          <w:color w:val="auto"/>
        </w:rPr>
        <w:t>”). Lessor agrees promptly to discharge or to cause to be discharged any Encumbrances attaching to such Lessor Improvements; or if in default for thirty (30) days after written notice thereof from Lessee, Lessor shall reimburse Lessee any amount or amounts paid by Lessee, including reasonable attorneys’ fees and expenses in causing the removal of such Encumbrances. Nothing herein contained, however, shall require Lessee to discharge such Encumbrances except in its own discretion. Lessor shall, however, have the right to contest any such Encumbrances or claim for Encumbrances provided it shall serve notice upon Lessee of its election to contest the same prior to Lessee making any payments or incurring any attorneys’ fees or expenses; and in such case, Lessor shall not be in default with respect thereto and Lessee shall not have the right to make any payments for the removal of such Encumbrances until such contest by Lessor shall have terminated.</w:t>
      </w:r>
    </w:p>
    <w:p>
      <w:pPr>
        <w:spacing w:after="0" w:line="16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060" w:hanging="404"/>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Waiver and Indemnity</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10.1 LESSEE HEREBY WAIVES ALL CLAIMS, RIGHTS OF RECOVERY AND CAUSES OF ACTION THAT LESSEE OR ANY PARTY CLAIMING BY, THROUGH OR UNDER LESSEE MAY NOW OR HEREAFTER HAVE BY SUBROGATION OR OTHERWISE AGAINST LESSOR AND LESSOR’S COMMISSIONERS, OFFICERS, DIRECTORS, PARTNERS, ATTORNEYS, AGENTS, AND EMPLOYEES FOR ANY LOSS OR DAMAGE THAT MAY OCCUR TO ALL OR ANY PORTION OF THE BOND FINANCED PROPERTY, BY REASON OF FIRE OR OTHER CASUALTY, OR BY REASON OF ANY OTHER CAUSE EXCEPT LESSOR’S GROSS NEGLIGENCE OR INTENTIONAL MISCONDUCT (THUS EXPRESSLY INCLUDING SIMPLE NEGLIGENCE OF LESSOR AND LESSOR’S COMMISSIONERS, OFFICERS, DIRECTORS, PARTNERS, ATTORNEYS, AGENTS, AND EMPLOYEES).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10.2 LESSEE HEREBY ASSUMES ANY AND ALL LIABILITY FOR, AND AGREES TO DEFEND, INDEMNIFY AND HOLD HARMLESS LESSOR AND LESSOR’S COMMISSIONERS, OFFICERS, DIRECTORS, PARTNERS, ATTORNEYS, AGENTS, AND EMPLOYEES FROM AND AGAINST, ALL LIABILITIES, OBLIGATIONS, LOSSES, DAMAGES, PENALTIES, CLAIMS, ACTIONS, SUITS, COSTS, EXPENSES AND DISBURSEMENTS (INCLUDING COURT COSTS AND REASONABLE ATTORNEYS’ FEES) RESULTING FROM</w:t>
      </w:r>
    </w:p>
    <w:p>
      <w:pPr>
        <w:spacing w:after="0" w:line="3" w:lineRule="exact"/>
        <w:rPr>
          <w:sz w:val="20"/>
          <w:szCs w:val="20"/>
          <w:color w:val="auto"/>
        </w:rPr>
      </w:pPr>
    </w:p>
    <w:p>
      <w:pPr>
        <w:jc w:val="both"/>
        <w:ind w:firstLine="8"/>
        <w:spacing w:after="0" w:line="251" w:lineRule="auto"/>
        <w:tabs>
          <w:tab w:leader="none" w:pos="313"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THE ISSUANCE, OFFERING, SALE, DELIVERY OR PAYMENT OF THE SERIES 2016 BONDS OR THE INTEREST THEREON, THE INDENTURE AND ANY OTHER DOCUMENTS ENTERED INTO IN CONNECTION THEREWITH AND ANY OBLIGATIONS IMPOSED ON THE LESSOR THEREBY, (B) ANY INJURIES TO OR DEATH OF ANY PERSON, (C) VIOLATIONS OF ANY JUDICIAL DECISIONS, ORDERS, INJUNCTIONS, WRITS, STATUTES, RULINGS, RULES, REGULATIONS, REGULATORY OR ADMINISTRATIVE AGENCY DECISIONS, PERMITS, CERTIFICATES OR ORDINANCES OF ANY GOVERNMENTAL AUTHORITY IN ANY WAY APPLICABLE TO LESSEE OR THE BOND FINANCED PROPERTY, INCLUDING ZONING, FEDERAL TAX MATTERS, ENVIRONMENTAL MATTERS OR THE IMPOSITIONS OF ANY REMEDIAL OBLIGATIONS TO PROTECT HEALTH OR THE ENVIRONMENT (THE “LEGAL REQUIREMENTS”), OR (D) ANY BUSINESS INTERRUPTIONS AND/OR INTERFERENCE, INCLUDING RAIL DEMURRAGE OR ANY DAMAGE TO ANY PROPERTY OCCURRING DURING THE TERM OF THIS FACILITIES LEASE IN OR AROUND THE BOND FINANCED PROPERTY OR LESSOR’S PROPERTY AND RELATED HERETO OR AFTER THE LEASE HAS EXPIRED IF THE BUSINESS INTERRUPTION, BUSINESS INTERFERENCE, OR DAMAGE WAS CAUSED BY AN ACT OR OMISSION OF LESSEE, ITS OFFICERS, DIRECTORS, SHAREHOLDERS, PARTNERS, EMPLOYEES, AGENTS, CONTRACTORS OR INVITEES DURING THE TERM OF THE LEASE, EXCEPT THAT LESSEE SHALL HAVE NO LIABILITY FOR OR OBLIGATION TO DEFEND, INDEMNIFY OR HOLD HARMLESS LESSOR AND LESSOR’S COMMISSIONERS, OFFICERS, DIRECTORS, PARTNERS, ATTORNEYS, AGENTS, AND EMPLOYEES FROM THEIR OWN ACTS OF GROSS NEGLIGENCE OR INTENTIONAL MISCONDUCT (THUS EXPRESSLY INCLUDING SIMPLE NEGLIGENCE OF LESSOR AND LESSOR’S COMMISSIONERS, OFFICERS, DIRECTORS, PARTNERS, ATTORNEYS, AGENTS, AND EMPLOYEES) RESULTING IN LIABILITIES, OBLIGATIONS, LOSSES, DAMAGES, PENALTIES, CLAIMS, ACTIONS, SUITS, COSTS, EXPENSES AND DISBURSEMENTS INCLUDING COURT COSTS AND REASONABLE ATTORNEYS’ FEES.</w:t>
      </w:r>
    </w:p>
    <w:p>
      <w:pPr>
        <w:sectPr>
          <w:pgSz w:w="11900" w:h="16838" w:orient="portrait"/>
          <w:cols w:equalWidth="0" w:num="1">
            <w:col w:w="11420"/>
          </w:cols>
          <w:pgMar w:left="240" w:top="584" w:right="239" w:bottom="1440" w:gutter="0" w:footer="0" w:header="0"/>
        </w:sectPr>
      </w:pPr>
    </w:p>
    <w:bookmarkStart w:id="354" w:name="page355"/>
    <w:bookmarkEnd w:id="354"/>
    <w:p>
      <w:pPr>
        <w:jc w:val="both"/>
        <w:ind w:firstLine="648"/>
        <w:spacing w:after="0" w:line="256" w:lineRule="auto"/>
        <w:rPr>
          <w:sz w:val="20"/>
          <w:szCs w:val="20"/>
          <w:color w:val="auto"/>
        </w:rPr>
      </w:pPr>
      <w:r>
        <w:rPr>
          <w:rFonts w:ascii="Arial" w:cs="Arial" w:eastAsia="Arial" w:hAnsi="Arial"/>
          <w:sz w:val="18"/>
          <w:szCs w:val="18"/>
          <w:b w:val="1"/>
          <w:bCs w:val="1"/>
          <w:color w:val="auto"/>
        </w:rPr>
        <w:t>10.3 LESSOR SHALL HAVE NO RESPONSIBILITY OR LIABILITY TO LESSEE, OR TO LESSEE’S OFFICERS, DIRECTORS, SHAREHOLDERS, PARTNERS, EMPLOYEES, AGENTS, CONTRACTORS OR INVITEES, FOR BODILY INJURY, DEATH, PROPERTY DAMAGE, BUSINESS INTERRUPTION, LOSS OF PROFITS, LOSS OF TRADE SECRETS OR OTHER DIRECT OR CONSEQUENTIAL DAMAGES OCCASIONED BY (A) FORCE MAJEURE, (B) VANDALISM, THEFT, BURGLARY AND OTHER CRIMINAL ACTS (OTHER THAN THOSE COMMITTED BY LESSOR AND ITS EMPLOYEES), OR (C) THE CONDITION, REPAIR, REPLACEMENT, MAINTENANCE, DAMAGE, DESTRUCTION OR RELOCATION OF THE BOND FINANCED PROPERTY.</w:t>
      </w:r>
    </w:p>
    <w:p>
      <w:pPr>
        <w:spacing w:after="0" w:line="192" w:lineRule="exact"/>
        <w:rPr>
          <w:sz w:val="20"/>
          <w:szCs w:val="20"/>
          <w:color w:val="auto"/>
        </w:rPr>
      </w:pPr>
    </w:p>
    <w:p>
      <w:pPr>
        <w:jc w:val="both"/>
        <w:ind w:firstLine="656"/>
        <w:spacing w:after="0" w:line="255" w:lineRule="auto"/>
        <w:tabs>
          <w:tab w:leader="none" w:pos="107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Lessee shall, at its sole cost and expense, procure and maintain (or cause to be procured and maintained) during the Lease Term of this Facilities Lease, and during the term of the Ground Lease if longer than the Lease Term of this Facilities Lease, insurance coverage with respect to the Bond Financed Property as described in the Ground Lease (including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thereof) as if the Bond Financed Property were Lessee Improvements. The obligations of this paragraph shall survive expiration of termination of this Facilities Lease; provided that, if Lessee exercises its rights specified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the Bond Financed Property acquired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automatically qualify as Lessee Improvements as provided in the Ground Lease, and this Facilities Lease shall be terminated.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addition, before starting of any work related to the New Property, and in addition to the coverages required under the preceding paragraph, Lessee shall obtain (or cause its contractor(s) to obtain) and maintain Builder’s Risk insurance or all-risk property insurance upon the Bond Financed Property for the full cost of replacement at the time of loss. This insurance shall include the interests of Lessor as a named insured. This insurance shall be written as a builder’s risk or "all risk" or equivalent form to cover all risks of physical loss except those specifically excluded by the policy, and shall insure at least against the perils of fire, lightning, explosion, windstorm, and hail, smoke, aircraft (except aircraft, including helicopter, operated by or on behalf of Lessor) and vehicles, riot and civil commotion, theft, vandalism, malicious mischief, debris removal, flood, earthquake, earth movement, water damage, wind, testing if applicable, collapse however caused, and damage resulting from defective design, workmanship or material. Lessee shall be solely responsible for any deductible amounts or coinsurance penalties. This Builder’s Risk or all-risk policy shall provide for a waiver of subrogation in favor of Lessor. This Builder’s Risk or all-risk insurance shall remain in effect until final payment has been made or until no person or entity other than Lessor and Lessee have an insurable interest in the New Property to be covered by this insurance, whichever is sooner, and an owner’s policy of all-risk insurance shall be maintained at all times thereafter. Except as may otherwise set forth in the immediately preceding sentences of this paragraph, the Builder’s Risk or all-risk insurance shall also comply with the requirements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Ground Lease.</w:t>
      </w:r>
    </w:p>
    <w:p>
      <w:pPr>
        <w:spacing w:after="0" w:line="180" w:lineRule="exact"/>
        <w:rPr>
          <w:sz w:val="20"/>
          <w:szCs w:val="20"/>
          <w:color w:val="auto"/>
        </w:rPr>
      </w:pPr>
    </w:p>
    <w:p>
      <w:pPr>
        <w:jc w:val="both"/>
        <w:ind w:firstLine="656"/>
        <w:spacing w:after="0" w:line="283" w:lineRule="auto"/>
        <w:tabs>
          <w:tab w:leader="none" w:pos="1175"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Assignment/Subletting</w:t>
      </w:r>
      <w:r>
        <w:rPr>
          <w:rFonts w:ascii="Arial" w:cs="Arial" w:eastAsia="Arial" w:hAnsi="Arial"/>
          <w:sz w:val="16"/>
          <w:szCs w:val="16"/>
          <w:color w:val="auto"/>
        </w:rPr>
        <w:t>. Lessee may not assign or sublet all or substantially all of the Bond Financed Property or assign the rights and obligations herein without first obtaining written approval by Lessor for such assignment or sublet and then, only in conjunction with an assignment of the Ground Lease. Lessor approval of a proposed assignment or sublet of all or substantially all of the Bond Financed Property shall not be unreasonably withheld provided that (i) the proposed assignee or sublessee is a party of similar financial worth to Lessee, and Lessee shall have provided Lessor with proof thereof, (ii) the proposed assignee or sublessee is experienced in the Permitted Uses (as defined in the Ground Lease) and Lessee shall have provided Lessor with proof thereof, (iii) the nature and character of the proposed assignee or sublessee, its business and activities and intended use of the Bond Financed Property are in Lessor’s reasonable judgment consistent with the requirements of this Facilities Lease, and is expressly subject to all of the terms and provisions of this Facilities Lease (which any assignee shall also expressly assume in writing) and to any matters to which this Facilities Lease is subject, including, without limitation, the Tax Certificate (as defined in the Indenture), and the Sublessee agrees in writing to perform all the Lessee’s covenants, and</w:t>
      </w:r>
    </w:p>
    <w:p>
      <w:pPr>
        <w:spacing w:after="0" w:line="6" w:lineRule="exact"/>
        <w:rPr>
          <w:rFonts w:ascii="Arial" w:cs="Arial" w:eastAsia="Arial" w:hAnsi="Arial"/>
          <w:sz w:val="16"/>
          <w:szCs w:val="16"/>
          <w:color w:val="auto"/>
        </w:rPr>
      </w:pPr>
    </w:p>
    <w:p>
      <w:pPr>
        <w:jc w:val="both"/>
        <w:ind w:firstLine="8"/>
        <w:spacing w:after="0" w:line="286" w:lineRule="auto"/>
        <w:tabs>
          <w:tab w:leader="none" w:pos="31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granting of such consent will not constitute a default under any other agreement to which Lessor is a party or by which Lessor is bound; and further provided that Lessor shall never be required to accept or approve any such assignee or sublessee that would adversely affect or otherwise jeopardize Lessor’s “strategic seaport” classification by the United States Department of Defense. Consent by Lessor to any assignment or subletting shall not constitute a waiver of the necessity for such consent to any subsequent assignment or subletting. Lessee shall at all times remain liable for the payment of Rent herein and for compliance with all of its other obligations under this Facilities Lease notwithstanding any assignment or subletting under the Lease. The foregoing is not intended to prevent the sublease by Lessee of less than substantially all of the Bond Financed Property, or to require the consent of the Lessor with respect to any such sublease; provided, however, that Lessee shall deliver a copy each sublease to Lessor promptly after its execution and such sublease shall contain an express obligation on behalf of the sublessee to comply with all the terms and conditions of this Facilities Lease, and that no such sublessee shall (i) use the Bond Financed Property for any use that is not permitted or that would affect the tax-exempt status of the Series 2016 Bonds or (ii) adversely affect or otherwise jeopardize Lessor’s “strategic seaport” classification by the United States Department of Defense.</w:t>
      </w:r>
    </w:p>
    <w:p>
      <w:pPr>
        <w:spacing w:after="0" w:line="170" w:lineRule="exact"/>
        <w:rPr>
          <w:rFonts w:ascii="Arial" w:cs="Arial" w:eastAsia="Arial" w:hAnsi="Arial"/>
          <w:sz w:val="16"/>
          <w:szCs w:val="16"/>
          <w:color w:val="auto"/>
        </w:rPr>
      </w:pPr>
    </w:p>
    <w:p>
      <w:pPr>
        <w:jc w:val="both"/>
        <w:ind w:firstLine="656"/>
        <w:spacing w:after="0" w:line="259" w:lineRule="auto"/>
        <w:tabs>
          <w:tab w:leader="none" w:pos="1121"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Specifically Prohibited Use; Compliance with Tax Certificate</w:t>
      </w:r>
      <w:r>
        <w:rPr>
          <w:rFonts w:ascii="Arial" w:cs="Arial" w:eastAsia="Arial" w:hAnsi="Arial"/>
          <w:sz w:val="18"/>
          <w:szCs w:val="18"/>
          <w:color w:val="auto"/>
        </w:rPr>
        <w:t xml:space="preserve">. Lessee will not (a) use, occupy or permit the use or occupancy of the Bond Financed Property for any purpose or in any manner which is or may be, (i) in violation of the requirements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(ii) in violation of any legal requirements, or (iii) an Event of Default under the Indenture, (b) commit or permit to remain any waste to the Bond Financed Property or (c) commit, or permit to be committed, any action or circumstance</w:t>
      </w:r>
    </w:p>
    <w:p>
      <w:pPr>
        <w:sectPr>
          <w:pgSz w:w="11900" w:h="16838" w:orient="portrait"/>
          <w:cols w:equalWidth="0" w:num="1">
            <w:col w:w="11420"/>
          </w:cols>
          <w:pgMar w:left="240" w:top="581" w:right="239" w:bottom="1440" w:gutter="0" w:footer="0" w:header="0"/>
        </w:sectPr>
      </w:pPr>
    </w:p>
    <w:bookmarkStart w:id="355" w:name="page356"/>
    <w:bookmarkEnd w:id="355"/>
    <w:p>
      <w:pPr>
        <w:jc w:val="both"/>
        <w:spacing w:after="0" w:line="259" w:lineRule="auto"/>
        <w:rPr>
          <w:sz w:val="20"/>
          <w:szCs w:val="20"/>
          <w:color w:val="auto"/>
        </w:rPr>
      </w:pPr>
      <w:r>
        <w:rPr>
          <w:rFonts w:ascii="Arial" w:cs="Arial" w:eastAsia="Arial" w:hAnsi="Arial"/>
          <w:sz w:val="18"/>
          <w:szCs w:val="18"/>
          <w:color w:val="auto"/>
        </w:rPr>
        <w:t>in or about the Bond Financed Property other than the use permitted under this Facilities Lease which, directly or indirectly, would lawfully justify Lessor’s insurance carrier in canceling the insurance policies maintained by Lessor on the Bond Financed Property and improvements thereon, or that would adversely affect the tax-exempt status of interest on the Series 2016 Bonds. Lessee shall faithfully and timely observe and perform each of its obligations under the Tax Certificate.</w:t>
      </w:r>
    </w:p>
    <w:p>
      <w:pPr>
        <w:spacing w:after="0" w:line="187" w:lineRule="exact"/>
        <w:rPr>
          <w:sz w:val="20"/>
          <w:szCs w:val="20"/>
          <w:color w:val="auto"/>
        </w:rPr>
      </w:pPr>
    </w:p>
    <w:p>
      <w:pPr>
        <w:ind w:left="1060" w:hanging="404"/>
        <w:spacing w:after="0"/>
        <w:tabs>
          <w:tab w:leader="none" w:pos="106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Condition of Bond Financed Property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14.1 Lessee acknowledges that Lessee has independently and personally inspected the Existing Property and has or will independently inspect all New Property (which Lessee will be constructing), and that Lessee has entered into this Facilities Lease based upon such examination and inspection and that Lessee accepts the Existing Property in its present condition and will accept the New Property upon completion in its then present condition, “AS IS, WITH ALL FAULTS, IF ANY, AND WITHOUT ANY WARRANTY WHATSOEVER, EXPRESS OR IMPLIED,” (other than any warranties that are expressly made herein or by the manufacturer or provider of any Bond Financed Property); specifically (without limiting the generality of the foregoing) without any warranty of (a) the nature or quality of any construction, structural design or engineering of any improvements currently located at or constituting a portion of the Bond Financed Property, (b) the quality of the labor and materials included in any such improvements, (c) the soil and environmental conditions existing at the Bond Financed Property and (d) the suitability of the Bond Financed Property for any particular purpose. Lessor shall not be required to make any improvements to the Bond Financed Property or to repair any damages to the Bond Financed Property, other than any improvements that are expressly agreed to herein. Lessor hereby assigns for the Lease Term of this Facilities Lease to Lessee its interest in any warranties provided by the manufacturer or provider of any Bond Financed Property as may be beneficial to Lessee in the performance of its obligations hereunder.</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060" w:hanging="404"/>
        <w:spacing w:after="0"/>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Completion of Bond Financed Property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15.1 Lessee shall be responsible for the acquisition, construction, installation and completion of the Bond Financed Property; Lessor shall have no obligation to complete Project or to guarantee completion of the Project. Lessee shall apply proceeds of the Series 2016 Bonds allocated to acquisition, construction, installation and completion to payment for all labor and services performed for, materials used by or furnished to Lessee, or used by or furnished to any contractor employed by Lessee with respect to the Bond Financed Property in accordance with the terms and conditions of the Indenture and the assumptions used in the useful life determinations provided in the Engineer’s Report, and hold Lessor and the Bond Financed Property harmless and free from any liens, claims, encumbrances or judgments created or suffered by Lessee. If Lessee is required or elects to post a payment or performance bond or an improvement bond with a public agency in connection with the above, Lessee agrees to include Lessor as an additional obligee thereunder.</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15.2 Lessee shall not permit any laborers’, mechanics’, or materialmens’ liens to be perfected upon the Bond Financed Property by any laborer, contractor, or subcontractor employed by Lessee during the Lease Term hereof and Lessee agrees promptly to discharge or to cause to be discharged any such lien or liens attaching to such improvements; or if in default for ninety (90) days after written notice thereof from Lessor, Lessee shall pay as additional rent any amount or amounts paid by Lessor, including reasonable attorneys’ fees and expenses in causing the removal of such lien or liens. Nothing herein contained, however, shall require Lessor to discharge such lien or liens except in its own discretion. Lessee shall, however, have the right to contest any such lien or claim for lien provided it shall serve notice upon Lessor of its election to contest the same prior to Lessor making any payments or incurring any attorneys’ fees or expenses; and in such case, Lessee shall not be in default with respect thereto and Lessor shall not have the right to make any payments for the removal of such lien or liens until such contest by Lessee shall have terminated.</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15.3 Lessee is entitled to charge and receive a construction management and mobilization fee (“</w:t>
      </w:r>
      <w:r>
        <w:rPr>
          <w:rFonts w:ascii="Arial" w:cs="Arial" w:eastAsia="Arial" w:hAnsi="Arial"/>
          <w:sz w:val="17"/>
          <w:szCs w:val="17"/>
          <w:b w:val="1"/>
          <w:bCs w:val="1"/>
          <w:i w:val="1"/>
          <w:iCs w:val="1"/>
          <w:color w:val="auto"/>
        </w:rPr>
        <w:t>CM&amp;M Fee</w:t>
      </w:r>
      <w:r>
        <w:rPr>
          <w:rFonts w:ascii="Arial" w:cs="Arial" w:eastAsia="Arial" w:hAnsi="Arial"/>
          <w:sz w:val="17"/>
          <w:szCs w:val="17"/>
          <w:color w:val="auto"/>
        </w:rPr>
        <w:t xml:space="preserve">”) as a construction manager-agent pursuant to Section 60.461 of the Texas Water Code equal to eight percent (8%) of the value of the New Property. Such CM&amp;M Fee shall be paid pursuant to a contract, as required by Section 60.461 of the Texas Water Code, entered into between the Lessee and Lessor no later than the commencement of any work on the New Property, and shall be paid as a Project Cost through requisitions as provided in </w:t>
      </w:r>
      <w:r>
        <w:rPr>
          <w:rFonts w:ascii="Arial" w:cs="Arial" w:eastAsia="Arial" w:hAnsi="Arial"/>
          <w:sz w:val="17"/>
          <w:szCs w:val="17"/>
          <w:u w:val="single" w:color="auto"/>
          <w:color w:val="auto"/>
        </w:rPr>
        <w:t>Section 4.06</w:t>
      </w:r>
      <w:r>
        <w:rPr>
          <w:rFonts w:ascii="Arial" w:cs="Arial" w:eastAsia="Arial" w:hAnsi="Arial"/>
          <w:sz w:val="17"/>
          <w:szCs w:val="17"/>
          <w:color w:val="auto"/>
        </w:rPr>
        <w:t xml:space="preserve"> of the Indenture in pro rata installments on a concurrent basis with requisitions for payment of the costs related to the New Property.</w:t>
      </w:r>
    </w:p>
    <w:p>
      <w:pPr>
        <w:spacing w:after="0" w:line="173" w:lineRule="exact"/>
        <w:rPr>
          <w:sz w:val="20"/>
          <w:szCs w:val="20"/>
          <w:color w:val="auto"/>
        </w:rPr>
      </w:pPr>
    </w:p>
    <w:p>
      <w:pPr>
        <w:jc w:val="both"/>
        <w:ind w:firstLine="656"/>
        <w:spacing w:after="0" w:line="297" w:lineRule="auto"/>
        <w:tabs>
          <w:tab w:leader="none" w:pos="106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Access by Landlord</w:t>
      </w:r>
      <w:r>
        <w:rPr>
          <w:rFonts w:ascii="Arial" w:cs="Arial" w:eastAsia="Arial" w:hAnsi="Arial"/>
          <w:sz w:val="16"/>
          <w:szCs w:val="16"/>
          <w:color w:val="auto"/>
        </w:rPr>
        <w:t>. Lessor, its employees, contractors, agents and representatives, shall have the right (and Lessor, for itself and such persons and firms, hereby reserves the right) to enter the Bond Financed Property during normal business hours, (a) to inspect the Bond Financed Property, (b) to show the Bond Financed Property to prospective purchasers or tenants, (c) to determine whether Lessee is performing its obligations hereunder and, if it is not, to perform same at Lessor’s option and Lessee’s expense or (d) for any other purpose deemed reasonable by Lessor. In an emergency, Lessor (and such persons and firms) may use any means to open any door into or in the Bond Financed Property without any liability therefor after making reasonable</w:t>
      </w:r>
    </w:p>
    <w:p>
      <w:pPr>
        <w:sectPr>
          <w:pgSz w:w="11900" w:h="16838" w:orient="portrait"/>
          <w:cols w:equalWidth="0" w:num="1">
            <w:col w:w="11420"/>
          </w:cols>
          <w:pgMar w:left="240" w:top="584" w:right="239" w:bottom="1440" w:gutter="0" w:footer="0" w:header="0"/>
        </w:sectPr>
      </w:pPr>
    </w:p>
    <w:bookmarkStart w:id="356" w:name="page357"/>
    <w:bookmarkEnd w:id="356"/>
    <w:p>
      <w:pPr>
        <w:jc w:val="both"/>
        <w:spacing w:after="0" w:line="259" w:lineRule="auto"/>
        <w:rPr>
          <w:sz w:val="20"/>
          <w:szCs w:val="20"/>
          <w:color w:val="auto"/>
        </w:rPr>
      </w:pPr>
      <w:r>
        <w:rPr>
          <w:rFonts w:ascii="Arial" w:cs="Arial" w:eastAsia="Arial" w:hAnsi="Arial"/>
          <w:sz w:val="18"/>
          <w:szCs w:val="18"/>
          <w:color w:val="auto"/>
        </w:rPr>
        <w:t xml:space="preserve">efforts to contact Lessee to provide access thereto. Access to the Bond Financed Property by Lessor or any other person or firm named in the first sentence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for any purpose permitted herein shall not constitute a trespass or an eviction (constructive or otherwise) or entitle Lessee to any abatement or reduction of rental, or constitute grounds for any claim (and Lessee hereby waives any claim) for damages or for any injury to or interference with Lessee’s business, or for loss of occupancy or quiet enjoyment or for consequential damages.</w:t>
      </w:r>
    </w:p>
    <w:p>
      <w:pPr>
        <w:spacing w:after="0" w:line="187" w:lineRule="exact"/>
        <w:rPr>
          <w:sz w:val="20"/>
          <w:szCs w:val="20"/>
          <w:color w:val="auto"/>
        </w:rPr>
      </w:pPr>
    </w:p>
    <w:p>
      <w:pPr>
        <w:jc w:val="both"/>
        <w:ind w:firstLine="656"/>
        <w:spacing w:after="0" w:line="259" w:lineRule="auto"/>
        <w:tabs>
          <w:tab w:leader="none" w:pos="109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Damage, Destruction and Condemnation</w:t>
      </w:r>
      <w:r>
        <w:rPr>
          <w:rFonts w:ascii="Arial" w:cs="Arial" w:eastAsia="Arial" w:hAnsi="Arial"/>
          <w:sz w:val="18"/>
          <w:szCs w:val="18"/>
          <w:color w:val="auto"/>
        </w:rPr>
        <w:t>. If any Bond Financed Property is damaged or destroyed during the Lease Term by a casualty loss, Lessee shall promptly and diligently rebuild and restore the same, at its expense, to its condition prior to such destruction or to another safe condition, provided proceeds of insurance are sufficient for such purposes. Lessee shall have full use of and the right to apply any insurance proceeds available for such rebuilding and restoration.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17.1 If after the Execution Date and prior to the expiration of the Term, the whole of the Bond Financed Property shall be taken under power of eminent domain by any public or private authority, or conveyed by Lessor (subject to Lessee’s prior written approval, which approval shall not be unreasonably withheld, delayed or conditioned) to said authority in lieu of such taking, then this Facilities Lease and the Lease Term hereof shall cease and terminate as of the date of such taking; subject, however, to the right of Lessee, at its election, to continue to use of the Bond Financed Property, subject to the terms and provisions of this Facilities Lease, for all or such part, as Lessee may determine, of the period between the date of such taking and the date when possession of the Bond Financed Property shall be taken by the taking authority and any unearned Rent, if any, paid in advance, shall be refunded to Lessee; subject, further, to Lessee’s right to keep this Facilities Lease in full force and effect in accordance with all governmental requirements, if termination hereof would reduce any award for a taking, as set forth herein below.</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17.2 If, after the Execution Date and prior to the expiration of the Term, any taking under the power of eminent domain by a public or private authority or any conveyance by Lessor in lieu thereof, shall result in a reduction of more than thirty-three percent (33%) of the Bond Financed Property or a lesser amount is taken but the use of the Bond Financed Property for Lessee’s business has been substantially and materially impaired in Lessee’s reasonable business judgment, then Lessee may, at its election, terminate this Facilities Lease by giving Lessor notice of the exercise of Lessee’s election within thirty</w:t>
      </w:r>
    </w:p>
    <w:p>
      <w:pPr>
        <w:spacing w:after="0" w:line="2" w:lineRule="exact"/>
        <w:rPr>
          <w:sz w:val="20"/>
          <w:szCs w:val="20"/>
          <w:color w:val="auto"/>
        </w:rPr>
      </w:pPr>
    </w:p>
    <w:p>
      <w:pPr>
        <w:jc w:val="both"/>
        <w:ind w:firstLine="8"/>
        <w:spacing w:after="0" w:line="268" w:lineRule="auto"/>
        <w:tabs>
          <w:tab w:leader="none" w:pos="34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days after Lessee shall receive actual notice of such taking, and either by paying to Trustee an amount sufficient to pay or defease in full the Series 2016 Bonds. In the event of termination by Lessee under the provisions of this </w:t>
      </w:r>
      <w:r>
        <w:rPr>
          <w:rFonts w:ascii="Arial" w:cs="Arial" w:eastAsia="Arial" w:hAnsi="Arial"/>
          <w:sz w:val="17"/>
          <w:szCs w:val="17"/>
          <w:u w:val="single" w:color="auto"/>
          <w:color w:val="auto"/>
        </w:rPr>
        <w:t>Section 17.2</w:t>
      </w:r>
      <w:r>
        <w:rPr>
          <w:rFonts w:ascii="Arial" w:cs="Arial" w:eastAsia="Arial" w:hAnsi="Arial"/>
          <w:sz w:val="17"/>
          <w:szCs w:val="17"/>
          <w:color w:val="auto"/>
        </w:rPr>
        <w:t>, this Facilities Lease and the Lease Term hereof shall cease and terminate as of the date of such taking, subject to the right of Lessee, at its election, to continue to occupy the Bond Financed Property, subject to the terms and provisions of this Facilities Lease, for all or such part, as Lessee may determine, of the period between the date of such taking and the date when possession of the Bond Financed Property shall be taken by the appropriating authority, and any unearned Rent, if any, paid in advance by Lessee shall be refunded to Lessee. Notwithstanding anything in the foregoing to the contrary, if any condemnation award for any taking would be reduced by the termination of this Facilities Lease with respect to a taking, as hereinabove set forth, then Lessee may elect to keep this Facilities Lease in full force and effect so as to obtain the highest possible award from the condemning authority.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17.3 In the event of a taking in respect of which Lessee shall not have the right to elect to terminate this Facilities Lease or, having such right, shall not elect to terminate this Facilities Lease, this Facilities Lease and the Lease Term hereof shall continue in full force and effect and Lessee (pursuant to a contract as required by Section 60.461 of the Texas Water Code and Lessor’s agreement to pay the CM&amp;M Fee of the costs of the “</w:t>
      </w:r>
      <w:r>
        <w:rPr>
          <w:rFonts w:ascii="Arial" w:cs="Arial" w:eastAsia="Arial" w:hAnsi="Arial"/>
          <w:sz w:val="17"/>
          <w:szCs w:val="17"/>
          <w:i w:val="1"/>
          <w:iCs w:val="1"/>
          <w:color w:val="auto"/>
        </w:rPr>
        <w:t>Restoration</w:t>
      </w:r>
      <w:r>
        <w:rPr>
          <w:rFonts w:ascii="Arial" w:cs="Arial" w:eastAsia="Arial" w:hAnsi="Arial"/>
          <w:sz w:val="17"/>
          <w:szCs w:val="17"/>
          <w:color w:val="auto"/>
        </w:rPr>
        <w:t>” (as hereinafter defined) on a concurrent basis promptly upon the payment of the costs of the “</w:t>
      </w:r>
      <w:r>
        <w:rPr>
          <w:rFonts w:ascii="Arial" w:cs="Arial" w:eastAsia="Arial" w:hAnsi="Arial"/>
          <w:sz w:val="17"/>
          <w:szCs w:val="17"/>
          <w:i w:val="1"/>
          <w:iCs w:val="1"/>
          <w:color w:val="auto"/>
        </w:rPr>
        <w:t>Restoration</w:t>
      </w:r>
      <w:r>
        <w:rPr>
          <w:rFonts w:ascii="Arial" w:cs="Arial" w:eastAsia="Arial" w:hAnsi="Arial"/>
          <w:sz w:val="17"/>
          <w:szCs w:val="17"/>
          <w:color w:val="auto"/>
        </w:rPr>
        <w:t>”) shall forthwith promptly and diligently effect the “</w:t>
      </w:r>
      <w:r>
        <w:rPr>
          <w:rFonts w:ascii="Arial" w:cs="Arial" w:eastAsia="Arial" w:hAnsi="Arial"/>
          <w:sz w:val="17"/>
          <w:szCs w:val="17"/>
          <w:i w:val="1"/>
          <w:iCs w:val="1"/>
          <w:color w:val="auto"/>
        </w:rPr>
        <w:t>Restoration</w:t>
      </w:r>
      <w:r>
        <w:rPr>
          <w:rFonts w:ascii="Arial" w:cs="Arial" w:eastAsia="Arial" w:hAnsi="Arial"/>
          <w:sz w:val="17"/>
          <w:szCs w:val="17"/>
          <w:color w:val="auto"/>
        </w:rPr>
        <w:t>” through application of the “</w:t>
      </w:r>
      <w:r>
        <w:rPr>
          <w:rFonts w:ascii="Arial" w:cs="Arial" w:eastAsia="Arial" w:hAnsi="Arial"/>
          <w:sz w:val="17"/>
          <w:szCs w:val="17"/>
          <w:i w:val="1"/>
          <w:iCs w:val="1"/>
          <w:color w:val="auto"/>
        </w:rPr>
        <w:t>Restoration Portion</w:t>
      </w:r>
      <w:r>
        <w:rPr>
          <w:rFonts w:ascii="Arial" w:cs="Arial" w:eastAsia="Arial" w:hAnsi="Arial"/>
          <w:sz w:val="17"/>
          <w:szCs w:val="17"/>
          <w:color w:val="auto"/>
        </w:rPr>
        <w:t xml:space="preserve">”, as hereinafter defined and set forth. If this Facilities Lease is not terminated as a result of a taking, as set forth hereinabove in this </w:t>
      </w:r>
      <w:r>
        <w:rPr>
          <w:rFonts w:ascii="Arial" w:cs="Arial" w:eastAsia="Arial" w:hAnsi="Arial"/>
          <w:sz w:val="17"/>
          <w:szCs w:val="17"/>
          <w:u w:val="single" w:color="auto"/>
          <w:color w:val="auto"/>
        </w:rPr>
        <w:t>Section 17.3</w:t>
      </w:r>
      <w:r>
        <w:rPr>
          <w:rFonts w:ascii="Arial" w:cs="Arial" w:eastAsia="Arial" w:hAnsi="Arial"/>
          <w:sz w:val="17"/>
          <w:szCs w:val="17"/>
          <w:color w:val="auto"/>
        </w:rPr>
        <w:t>, Lessor shall be entitled to receive the entire award except for that portion (the “</w:t>
      </w:r>
      <w:r>
        <w:rPr>
          <w:rFonts w:ascii="Arial" w:cs="Arial" w:eastAsia="Arial" w:hAnsi="Arial"/>
          <w:sz w:val="17"/>
          <w:szCs w:val="17"/>
          <w:b w:val="1"/>
          <w:bCs w:val="1"/>
          <w:i w:val="1"/>
          <w:iCs w:val="1"/>
          <w:color w:val="auto"/>
        </w:rPr>
        <w:t>Restoration Portion</w:t>
      </w:r>
      <w:r>
        <w:rPr>
          <w:rFonts w:ascii="Arial" w:cs="Arial" w:eastAsia="Arial" w:hAnsi="Arial"/>
          <w:sz w:val="17"/>
          <w:szCs w:val="17"/>
          <w:color w:val="auto"/>
        </w:rPr>
        <w:t>”) of the award necessary for the Restoration. If the entire award is insufficient for the Restoration, then the entire award shall be the Restoration Portion and Lessee shall have the right to terminate this Facilities Lease by written notice to Lessor within thirty (30) days after the insufficiency of the Restoration Portion is actually known to Lessee, and either by paying to Trustee an amount sufficient to pay or defease in full the Series 2016 Bonds. The term “</w:t>
      </w:r>
      <w:r>
        <w:rPr>
          <w:rFonts w:ascii="Arial" w:cs="Arial" w:eastAsia="Arial" w:hAnsi="Arial"/>
          <w:sz w:val="17"/>
          <w:szCs w:val="17"/>
          <w:b w:val="1"/>
          <w:bCs w:val="1"/>
          <w:i w:val="1"/>
          <w:iCs w:val="1"/>
          <w:color w:val="auto"/>
        </w:rPr>
        <w:t>Restoration</w:t>
      </w:r>
      <w:r>
        <w:rPr>
          <w:rFonts w:ascii="Arial" w:cs="Arial" w:eastAsia="Arial" w:hAnsi="Arial"/>
          <w:sz w:val="17"/>
          <w:szCs w:val="17"/>
          <w:color w:val="auto"/>
        </w:rPr>
        <w:t>” herein means the restoration of the remaining portions of the Bond Financed Property, including any and all improvements made theretofore and the remaining portions of the parking areas and other common areas of the Bond Financed Property, to an architectural whole in substantially the same condition that the same were in prior to such taking as close as reasonably practical. Lessor shall have sole discretion to be exercised in good faith on whether the Bond Financed Property has been restored.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17.4 All compensation awarded for any taking of the Bond Financed Property shall be applied (i) first, pro rata, based upon all costs of Lessor and Lessee with respect to construction and installation of the Bond Financed Property, and (ii) thereafter, pro rata based upon the present value of the Lease Term, including all renewal periods herein specified, if then exercised by Lessee.</w:t>
      </w:r>
    </w:p>
    <w:p>
      <w:pPr>
        <w:spacing w:after="0" w:line="181" w:lineRule="exact"/>
        <w:rPr>
          <w:sz w:val="20"/>
          <w:szCs w:val="20"/>
          <w:color w:val="auto"/>
        </w:rPr>
      </w:pPr>
    </w:p>
    <w:p>
      <w:pPr>
        <w:ind w:left="1060" w:hanging="404"/>
        <w:spacing w:after="0"/>
        <w:tabs>
          <w:tab w:leader="none" w:pos="106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Subordination and Attornment</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Notwithstanding anything contained herein to the contrary, Lessor’s fee interest shall be superior to any leasehold</w:t>
      </w:r>
    </w:p>
    <w:p>
      <w:pPr>
        <w:sectPr>
          <w:pgSz w:w="11900" w:h="16838" w:orient="portrait"/>
          <w:cols w:equalWidth="0" w:num="1">
            <w:col w:w="11420"/>
          </w:cols>
          <w:pgMar w:left="240" w:top="584" w:right="239" w:bottom="1440" w:gutter="0" w:footer="0" w:header="0"/>
        </w:sectPr>
      </w:pPr>
    </w:p>
    <w:bookmarkStart w:id="357" w:name="page358"/>
    <w:bookmarkEnd w:id="357"/>
    <w:p>
      <w:pPr>
        <w:jc w:val="both"/>
        <w:spacing w:after="0" w:line="285" w:lineRule="auto"/>
        <w:rPr>
          <w:sz w:val="20"/>
          <w:szCs w:val="20"/>
          <w:color w:val="auto"/>
        </w:rPr>
      </w:pPr>
      <w:r>
        <w:rPr>
          <w:rFonts w:ascii="Arial" w:cs="Arial" w:eastAsia="Arial" w:hAnsi="Arial"/>
          <w:sz w:val="16"/>
          <w:szCs w:val="16"/>
          <w:color w:val="auto"/>
        </w:rPr>
        <w:t>mortgage or deed of trust on the Bond Financed Property, and such leasehold mortgage or deed of trust shall take subject to same with the intent of the parties being that a foreclosure of the leasehold mortgage or deed of trust shall in no event eliminate Lessor’s fee interest. In addition, any leasehold mortgage or deed of trust shall survive the termination of the Lease provided that the leasehold mortgagee or deed of trust trustee or beneficiary or any designator successor (the “</w:t>
      </w:r>
      <w:r>
        <w:rPr>
          <w:rFonts w:ascii="Arial" w:cs="Arial" w:eastAsia="Arial" w:hAnsi="Arial"/>
          <w:sz w:val="16"/>
          <w:szCs w:val="16"/>
          <w:b w:val="1"/>
          <w:bCs w:val="1"/>
          <w:i w:val="1"/>
          <w:iCs w:val="1"/>
          <w:color w:val="auto"/>
        </w:rPr>
        <w:t>Successor</w:t>
      </w:r>
      <w:r>
        <w:rPr>
          <w:rFonts w:ascii="Arial" w:cs="Arial" w:eastAsia="Arial" w:hAnsi="Arial"/>
          <w:sz w:val="16"/>
          <w:szCs w:val="16"/>
          <w:color w:val="auto"/>
        </w:rPr>
        <w:t>”) affirmatively assumes all Lessee’s obligations hereunder within one hundred twenty (120) days after succeeding to Lessee’s interest; provided that enforcement of any obligations of the Trustee as Successor shall be limited to the Trustee’s interest in property subject to the deed of trust and to the Trust Estate (as defined in the Indenture) and no claim shall be brought against the Trustee personally in connection with such obligations. Until such Successor is appointed and has so assumed all such obligations, Lessor may appoint a temporary operator to maintain and shutdown or operate the Bond Financed Property (in Lessor’s sole discretion), and the expenses thereof incurred by Lessor or its temporary operator shall be reimbursed to Lessor by the Successor within ten (10) days after written request from Lessor. If the Successor fails to expressly assume in writing one hundred twenty (120) days after succeeding to Lessee’s interest this Facilities Lease shall automatically terminate. As a material condition to Lessee’s execution of this Facilities Lease, upon its execution of this Facilities Lease, Lessee shall provide Lessor with an executed Memorandum of Lease in form and substance acceptable to Lessor (the “</w:t>
      </w:r>
      <w:r>
        <w:rPr>
          <w:rFonts w:ascii="Arial" w:cs="Arial" w:eastAsia="Arial" w:hAnsi="Arial"/>
          <w:sz w:val="16"/>
          <w:szCs w:val="16"/>
          <w:b w:val="1"/>
          <w:bCs w:val="1"/>
          <w:i w:val="1"/>
          <w:iCs w:val="1"/>
          <w:color w:val="auto"/>
        </w:rPr>
        <w:t>Memorandum</w:t>
      </w:r>
      <w:r>
        <w:rPr>
          <w:rFonts w:ascii="Arial" w:cs="Arial" w:eastAsia="Arial" w:hAnsi="Arial"/>
          <w:sz w:val="16"/>
          <w:szCs w:val="16"/>
          <w:color w:val="auto"/>
        </w:rPr>
        <w:t xml:space="preserve">”) to be executed by Lessee and Lessor, which will be recorded in the real estate records in the county in which the Bond Financed Property are located at Lessee’s expense. The Memorandum will contain the following provisions: “Lessee agrees that upon expiration or any proper termination of the Facilities Lease, it will release this Memorandum (and the Facilities Lease) of record, and further agrees that if such written termination or release is not filed of record with thirty (30) days after such expiration or termination, then Lessor is hereby authorized to execute on behalf, and in the name, of Lessee any such release and record the same in the public records at Lessee’s expense. This power in favor of Lessor is coupled with an interest and is not revocable by Lessee.” The Memorandum will be recorded by Lessee at its expense within five (5) days following the initial execution hereof and any final completion of </w:t>
      </w:r>
      <w:r>
        <w:rPr>
          <w:rFonts w:ascii="Arial" w:cs="Arial" w:eastAsia="Arial" w:hAnsi="Arial"/>
          <w:sz w:val="16"/>
          <w:szCs w:val="16"/>
          <w:i w:val="1"/>
          <w:iCs w:val="1"/>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thereof by Lessor and promptly released by Lessee, at is expense, after expiration or termination of this Facilities Lease.</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18.2 Should Lessor sell, convey or transfer its interest in the Bond Financed Property, then such party shall be substituted herein as Lessor and Lessee shall attorn to such succeeding party as its Lessor under this Facilities Lease promptly upon any such succession, provided that such succeeding party assumes all of Lessor’s duties and obligations under this Facilities Lease and agrees not to disturb Lessee’s leasehold interest hereunder in accordance with this </w:t>
      </w:r>
      <w:r>
        <w:rPr>
          <w:rFonts w:ascii="Arial" w:cs="Arial" w:eastAsia="Arial" w:hAnsi="Arial"/>
          <w:sz w:val="16"/>
          <w:szCs w:val="16"/>
          <w:u w:val="single" w:color="auto"/>
          <w:color w:val="auto"/>
        </w:rPr>
        <w:t>Section 18.2</w:t>
      </w:r>
      <w:r>
        <w:rPr>
          <w:rFonts w:ascii="Arial" w:cs="Arial" w:eastAsia="Arial" w:hAnsi="Arial"/>
          <w:sz w:val="16"/>
          <w:szCs w:val="16"/>
          <w:color w:val="auto"/>
        </w:rPr>
        <w:t xml:space="preserve"> as long as an Event of Default has not occurred and is not continuing beyond any grace or cure period hereunder.</w:t>
      </w:r>
    </w:p>
    <w:p>
      <w:pPr>
        <w:spacing w:after="0" w:line="154" w:lineRule="exact"/>
        <w:rPr>
          <w:sz w:val="20"/>
          <w:szCs w:val="20"/>
          <w:color w:val="auto"/>
        </w:rPr>
      </w:pPr>
    </w:p>
    <w:p>
      <w:pPr>
        <w:jc w:val="both"/>
        <w:ind w:firstLine="656"/>
        <w:spacing w:after="0" w:line="276" w:lineRule="auto"/>
        <w:tabs>
          <w:tab w:leader="none" w:pos="117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Leasehold Financing</w:t>
      </w:r>
      <w:r>
        <w:rPr>
          <w:rFonts w:ascii="Arial" w:cs="Arial" w:eastAsia="Arial" w:hAnsi="Arial"/>
          <w:sz w:val="17"/>
          <w:szCs w:val="17"/>
          <w:color w:val="auto"/>
        </w:rPr>
        <w:t>. Lessee shall have the unrestricted right to execute and deliver a mortgage, deed of trust, pledge and/or collateral assignment of this Facilities Lease, but not Lessor’s fee interest in the Bond Financed Property, as security for any indebtedness or obligations in any form whatsoever. If Lessee shall execute and deliver a mortgage or deed of trust, and if the holder of the indebtedness secured thereby (the “</w:t>
      </w:r>
      <w:r>
        <w:rPr>
          <w:rFonts w:ascii="Arial" w:cs="Arial" w:eastAsia="Arial" w:hAnsi="Arial"/>
          <w:sz w:val="17"/>
          <w:szCs w:val="17"/>
          <w:b w:val="1"/>
          <w:bCs w:val="1"/>
          <w:i w:val="1"/>
          <w:iCs w:val="1"/>
          <w:color w:val="auto"/>
        </w:rPr>
        <w:t>Mortgagee</w:t>
      </w:r>
      <w:r>
        <w:rPr>
          <w:rFonts w:ascii="Arial" w:cs="Arial" w:eastAsia="Arial" w:hAnsi="Arial"/>
          <w:sz w:val="17"/>
          <w:szCs w:val="17"/>
          <w:color w:val="auto"/>
        </w:rPr>
        <w:t>”) notifies Lessor of the execution of such mortgage or deed of trust, and the name and place for service of notices upon such mortgage or deed of trust, then and in such event, Lessor hereby agrees for the benefit of Lessee and such Mortgagee from time to time:</w:t>
      </w:r>
    </w:p>
    <w:p>
      <w:pPr>
        <w:spacing w:after="0" w:line="173" w:lineRule="exact"/>
        <w:rPr>
          <w:sz w:val="20"/>
          <w:szCs w:val="20"/>
          <w:color w:val="auto"/>
        </w:rPr>
      </w:pPr>
    </w:p>
    <w:p>
      <w:pPr>
        <w:ind w:left="1040" w:hanging="384"/>
        <w:spacing w:after="0"/>
        <w:tabs>
          <w:tab w:leader="none" w:pos="10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That Lessor will give to any Mortgagee simultaneously with service on Lessee a duplicate of any and all notices or demands given by Lessor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11" w:lineRule="exact"/>
        <w:rPr>
          <w:sz w:val="20"/>
          <w:szCs w:val="20"/>
          <w:color w:val="auto"/>
        </w:rPr>
      </w:pPr>
    </w:p>
    <w:p>
      <w:pPr>
        <w:ind w:firstLine="656"/>
        <w:spacing w:after="0" w:line="277" w:lineRule="auto"/>
        <w:tabs>
          <w:tab w:leader="none" w:pos="111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Mortgagee shall have the privilege of performing any of Lessee’s covenants or of curing any defaults by Lessee or of exercising any election, option or privilege conferred upon Lessee by the terms of the Lease.</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6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Lessor shall not terminate this Facilities Lease or Lessee’s right of possession for any default of Lessee if, if after notice to the Mortgagee as provided in subsection (a) above, (i) with respect to any monetary default, within a period of sixty (60) days after the expiration of the period of time in which Lessee could have cured the default, such default is cured, or (ii) with respect to any non-monetary default, if within a period of one hundred twenty (120) days after the expiration of the period of time in which Lessee could have cured the default, such default is cured subject to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hereof.</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02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Lessor shall recognize any Mortgagee or any assignee of any Mortgagee if such Mortgagee or assignee becomes successor to Lessee following any foreclosure (or deed in lieu of foreclosure) of Lessee’s leasehold interest in the Bond Financed Property, subject to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above. Lessor shall execute reasonable subordination, non-disturbance or attornment agreements as may be requested by a Mortgagee, provided any such agreement is consistent with the foregoing, and in form and substance reasonably acceptable to Lessor. Notwithstanding the foregoing, the Mortgagee or any assignee of any Mortgagee who becomes successor to Lessee must strictly abide under the terms of this Facilities Lease.</w:t>
      </w:r>
    </w:p>
    <w:p>
      <w:pPr>
        <w:sectPr>
          <w:pgSz w:w="11900" w:h="16838" w:orient="portrait"/>
          <w:cols w:equalWidth="0" w:num="1">
            <w:col w:w="11420"/>
          </w:cols>
          <w:pgMar w:left="240" w:top="584" w:right="239" w:bottom="1440" w:gutter="0" w:footer="0" w:header="0"/>
        </w:sectPr>
      </w:pPr>
    </w:p>
    <w:bookmarkStart w:id="358" w:name="page359"/>
    <w:bookmarkEnd w:id="358"/>
    <w:p>
      <w:pPr>
        <w:ind w:left="1060" w:hanging="404"/>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Events of Default and Remedies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Each of the following occurrences shall constitute an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by Lessee under this Facilities Lease:</w:t>
      </w:r>
    </w:p>
    <w:p>
      <w:pPr>
        <w:spacing w:after="0" w:line="225" w:lineRule="exact"/>
        <w:rPr>
          <w:sz w:val="20"/>
          <w:szCs w:val="20"/>
          <w:color w:val="auto"/>
        </w:rPr>
      </w:pPr>
    </w:p>
    <w:p>
      <w:pPr>
        <w:ind w:left="1100" w:hanging="444"/>
        <w:spacing w:after="0"/>
        <w:tabs>
          <w:tab w:leader="none" w:pos="11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failure of Lessee to pay Rent or rental as and when due hereunder and the continuance of such failure for a period of sixty (60) days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thereafter;</w:t>
      </w:r>
    </w:p>
    <w:p>
      <w:pPr>
        <w:spacing w:after="0" w:line="210" w:lineRule="exact"/>
        <w:rPr>
          <w:rFonts w:ascii="Arial" w:cs="Arial" w:eastAsia="Arial" w:hAnsi="Arial"/>
          <w:sz w:val="17"/>
          <w:szCs w:val="17"/>
          <w:color w:val="auto"/>
        </w:rPr>
      </w:pPr>
    </w:p>
    <w:p>
      <w:pPr>
        <w:jc w:val="both"/>
        <w:ind w:firstLine="656"/>
        <w:spacing w:after="0" w:line="276" w:lineRule="auto"/>
        <w:tabs>
          <w:tab w:leader="none" w:pos="110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The failure of Lessee to procure and maintain the insurance required by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Facilities Lease, or to provide evidence of such insurance as required herein, and the continuance of either such failure for a period of three (3) business days after written request therefor by Lessor; furthermore, in such event, Lessor shall be authorized (but not required) to procure such insurance coverage(s) in the amount(s) required by this Facilities Lease with all costs thereof to be reimbursed to Lessor by Lessee within thirty (30) days after written demand by Lessor with interest thereon at the rate set forth in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hereof from the date incurred by Lessor to the date reimbursed and paid by Lessee;</w:t>
      </w:r>
    </w:p>
    <w:p>
      <w:pPr>
        <w:spacing w:after="0" w:line="172" w:lineRule="exact"/>
        <w:rPr>
          <w:rFonts w:ascii="Arial" w:cs="Arial" w:eastAsia="Arial" w:hAnsi="Arial"/>
          <w:sz w:val="17"/>
          <w:szCs w:val="17"/>
          <w:color w:val="auto"/>
        </w:rPr>
      </w:pPr>
    </w:p>
    <w:p>
      <w:pPr>
        <w:jc w:val="both"/>
        <w:ind w:firstLine="656"/>
        <w:spacing w:after="0" w:line="297" w:lineRule="auto"/>
        <w:tabs>
          <w:tab w:leader="none" w:pos="107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failure of Lessee to perform, comply with or observe any other agreement, obligation, covenant, condition, or undertaking of Lessee, or any other term, condition or provision, in each case under this Facilities Lease in any material respect, and the continuance of such failure for a period of one-hundred and twenty (120) days after written notice from Lessor to Lessee specifying the failure; or if such default is of a nature that it cannot with reasonable effort be completely remedied within said period of 120 days, then such additional time as is reasonably necessary to complete such cure provided that Lessee has commenced such cure within the initial one-hundred and twenty (120) day period and diligent continues to pursue the same to completion;</w:t>
      </w:r>
    </w:p>
    <w:p>
      <w:pPr>
        <w:spacing w:after="0" w:line="158" w:lineRule="exact"/>
        <w:rPr>
          <w:rFonts w:ascii="Arial" w:cs="Arial" w:eastAsia="Arial" w:hAnsi="Arial"/>
          <w:sz w:val="16"/>
          <w:szCs w:val="16"/>
          <w:color w:val="auto"/>
        </w:rPr>
      </w:pPr>
    </w:p>
    <w:p>
      <w:pPr>
        <w:jc w:val="both"/>
        <w:ind w:firstLine="656"/>
        <w:spacing w:after="0" w:line="259" w:lineRule="auto"/>
        <w:tabs>
          <w:tab w:leader="none" w:pos="105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filing of a petition by or against Lessee (i) in any bankruptcy or other insolvency proceeding, (ii) seeking any relief under the Bankruptcy Code of the United States or any similar debtor relief law, or (iii) for the appointment of a liquidator or receiver for all or substantially all of Lessee’s property or for Lessee’s interest in this Facilities Lease and as to any such matter commenced against Lessee by an unrelated third party that remains undismissed, undischarged, unstayed or unbonded for a period of ninety (90) days;</w:t>
      </w:r>
    </w:p>
    <w:p>
      <w:pPr>
        <w:spacing w:after="0" w:line="186" w:lineRule="exact"/>
        <w:rPr>
          <w:rFonts w:ascii="Arial" w:cs="Arial" w:eastAsia="Arial" w:hAnsi="Arial"/>
          <w:sz w:val="18"/>
          <w:szCs w:val="18"/>
          <w:color w:val="auto"/>
        </w:rPr>
      </w:pPr>
    </w:p>
    <w:p>
      <w:pPr>
        <w:ind w:firstLine="656"/>
        <w:spacing w:after="0" w:line="342" w:lineRule="auto"/>
        <w:tabs>
          <w:tab w:leader="none" w:pos="103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If the interest of Lessee under this Facilities Lease shall, by operation of law, be transferred or passed to or devolve upon any other person, firm or corporation in violation of the terms of this Facilities Lease without Lessor’s written consent in cases in which such written consent is required hereunder;</w:t>
      </w:r>
    </w:p>
    <w:p>
      <w:pPr>
        <w:spacing w:after="0" w:line="123" w:lineRule="exact"/>
        <w:rPr>
          <w:rFonts w:ascii="Arial" w:cs="Arial" w:eastAsia="Arial" w:hAnsi="Arial"/>
          <w:sz w:val="16"/>
          <w:szCs w:val="16"/>
          <w:color w:val="auto"/>
        </w:rPr>
      </w:pPr>
    </w:p>
    <w:p>
      <w:pPr>
        <w:ind w:firstLine="656"/>
        <w:spacing w:after="0" w:line="277" w:lineRule="auto"/>
        <w:tabs>
          <w:tab w:leader="none" w:pos="10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Lessee shall voluntarily abandon, desert, or vacate the Bond Financed Property, or voluntarily discontinue its operation thereon for a period of more than two (2) consecutive months and such periods as may be extended by Force Majeure;</w:t>
      </w:r>
    </w:p>
    <w:p>
      <w:pPr>
        <w:spacing w:after="0" w:line="170" w:lineRule="exact"/>
        <w:rPr>
          <w:rFonts w:ascii="Arial" w:cs="Arial" w:eastAsia="Arial" w:hAnsi="Arial"/>
          <w:sz w:val="18"/>
          <w:szCs w:val="18"/>
          <w:color w:val="auto"/>
        </w:rPr>
      </w:pPr>
    </w:p>
    <w:p>
      <w:pPr>
        <w:ind w:firstLine="656"/>
        <w:spacing w:after="0" w:line="277" w:lineRule="auto"/>
        <w:tabs>
          <w:tab w:leader="none" w:pos="105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admission by Lessee in writing that it cannot meet its obligations generally as they become due or the making by Lessee of an assignment for the benefit of its creditors;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Event of Default, as therein defined, occurs and continues beyond any cure under the Ground Lease or the Indenture.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and during the continuation of any Event of Default, Lessor may, at Lessor’s option and in addition to all other rights, remedies and recourses afforded Lessor hereunder or by law or equity (but excluding any right of non-judicial eviction), but subject to any rights of any Mortgagee or Successor herein described (including the rights of the Trustee under the Jefferson Deed of Trust), terminate this Facilities Lease by the giving of written notice to Lessee (with a copy to the Trustee), in which event Lessee shall pay to Lessor upon demand the sum of (i) all Rent and other amounts accrued hereunder to the date of termination, (ii) all amounts due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(iii) liquidated damage in an amount equal to (a) the total Rent that Lessee would have been required to pay for the remainder of the Lease Term of this Facilities Lease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then present fair rental value of the Bond Financed Property for such period, with such difference discounted to present value at a discount rate reasonably designated by Lessor. Neither Mortgagee or Successor shall be responsible for such liquidated damages unless and until the obligations of Lessee under this Facilities Lease shall be assumed as herein provided.</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Landlord’s Right to Pay or Perform</w:t>
      </w:r>
      <w:r>
        <w:rPr>
          <w:rFonts w:ascii="Arial" w:cs="Arial" w:eastAsia="Arial" w:hAnsi="Arial"/>
          <w:sz w:val="16"/>
          <w:szCs w:val="16"/>
          <w:color w:val="auto"/>
        </w:rPr>
        <w:t xml:space="preserve">. If Lessee fails to perform or observe any of its covenants, agreements, or obligations hereunder for a period of thirty (30) days after written notice of such failure is given by Lessor, then in addition to all other rights of Lessor provided herein Lessor shall have the right, but not the obligation, at its sole election (but not as its exclusive remedy), to perform or observe the covenants, agreements, or obligations which are asserted to have not been performed or observed at the expense of Lessee and to recover all reasonable costs or expenses incurred in connection therewith. Any performance or observance by Lessor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not constitute a waiver of Lessee’s failure to perform or observe.</w:t>
      </w:r>
    </w:p>
    <w:p>
      <w:pPr>
        <w:sectPr>
          <w:pgSz w:w="11900" w:h="16838" w:orient="portrait"/>
          <w:cols w:equalWidth="0" w:num="1">
            <w:col w:w="11420"/>
          </w:cols>
          <w:pgMar w:left="240" w:top="584" w:right="239" w:bottom="1440" w:gutter="0" w:footer="0" w:header="0"/>
        </w:sectPr>
      </w:pPr>
    </w:p>
    <w:bookmarkStart w:id="359" w:name="page360"/>
    <w:bookmarkEnd w:id="359"/>
    <w:p>
      <w:pPr>
        <w:jc w:val="both"/>
        <w:ind w:firstLine="648"/>
        <w:spacing w:after="0" w:line="259"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Injunctive Relief; Remedies Cumulative</w:t>
      </w:r>
      <w:r>
        <w:rPr>
          <w:rFonts w:ascii="Arial" w:cs="Arial" w:eastAsia="Arial" w:hAnsi="Arial"/>
          <w:sz w:val="18"/>
          <w:szCs w:val="18"/>
          <w:color w:val="auto"/>
        </w:rPr>
        <w:t>. Lessor may restrain or enjoin any Event of Default or threatened Event of Default by Lessee hereunder without the necessity of proving the inadequacy of any legal remedy or irreparable harm. The rights, remedies and recourses of Lessor for an Event of Default shall be cumulative and no right, remedy or recourse of Lessor, whether exercised by Lessor or not, shall be deemed to be in exclusion of any other.</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No Waiver; No Implied Surrender</w:t>
      </w:r>
      <w:r>
        <w:rPr>
          <w:rFonts w:ascii="Arial" w:cs="Arial" w:eastAsia="Arial" w:hAnsi="Arial"/>
          <w:sz w:val="16"/>
          <w:szCs w:val="16"/>
          <w:color w:val="auto"/>
        </w:rPr>
        <w:t>. Provisions of this Facilities Lease may not be waived orally or impliedly, but only by the party entitled to the benefit of the provision evidencing the waiver in writing. Thus, subject to the Lessee’s right to cure as otherwise provided in this Facilities Lease neither the acceptance of rental by Lessor following an Event of Default (whether known to Lessor or not), nor any other custom or practice followed in connection with this Facilities Lease, shall constitute a waiver by Lessor of such Event of Default or any other Event of Default. Further, the failure by Lessor to complain of any action or inaction by Lessee, or to assert that any action or inaction by Lessee constitutes (or would constitute, with the giving of notice and/or the passage of time) an Event of Default, regardless of how long such failure continues, shall not extinguish, waive or in any way diminish the rights, remedies and recourses of Lessor with respect to such action or inaction. No waiver by Lessor of any provision of this Facilities Lease or of any breach by Lessee of any obligation of Lessee hereunder shall be deemed to be a waiver of any other provision hereof, or of any subsequent breach by Lessee of this Facilities Lease. Lessor’s consent to any act by Lessee requiring Lessor’s consent shall not be deemed to render unnecessary the obtaining of Lessor’s consent to any subsequent act of Lessee. No act or omission by Lessor (other than Lessor’s execution of a document acknowledging such surrender) or Lessor’s agents, including the delivery of the keys to the Bond Financed Property, shall constitute an acceptance of a surrender of the Bond Financed Property.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Lessee’s Rights with respect to the Bonds</w:t>
      </w:r>
      <w:r>
        <w:rPr>
          <w:rFonts w:ascii="Arial" w:cs="Arial" w:eastAsia="Arial" w:hAnsi="Arial"/>
          <w:sz w:val="18"/>
          <w:szCs w:val="18"/>
          <w:color w:val="auto"/>
        </w:rPr>
        <w:t xml:space="preserve">. Capitalized terms used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but not otherwise defined herein shall have the respective meanings provided in the Indenture.</w:t>
      </w:r>
    </w:p>
    <w:p>
      <w:pPr>
        <w:spacing w:after="0" w:line="197" w:lineRule="exact"/>
        <w:rPr>
          <w:sz w:val="20"/>
          <w:szCs w:val="20"/>
          <w:color w:val="auto"/>
        </w:rPr>
      </w:pPr>
    </w:p>
    <w:p>
      <w:pPr>
        <w:ind w:left="2160" w:hanging="855"/>
        <w:spacing w:after="0"/>
        <w:tabs>
          <w:tab w:leader="none" w:pos="21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Lessor shall not take any action herein described permitted under the Indenture without the express written consent of the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Lessee:</w:t>
      </w:r>
    </w:p>
    <w:p>
      <w:pPr>
        <w:spacing w:after="0" w:line="266" w:lineRule="exact"/>
        <w:rPr>
          <w:sz w:val="20"/>
          <w:szCs w:val="20"/>
          <w:color w:val="auto"/>
        </w:rPr>
      </w:pPr>
    </w:p>
    <w:p>
      <w:pPr>
        <w:ind w:left="3420" w:hanging="819"/>
        <w:spacing w:after="0"/>
        <w:tabs>
          <w:tab w:leader="none" w:pos="34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Issue Additional Bonds in accordance with the Indenture;</w:t>
      </w:r>
    </w:p>
    <w:p>
      <w:pPr>
        <w:spacing w:after="0" w:line="265" w:lineRule="exact"/>
        <w:rPr>
          <w:rFonts w:ascii="Arial" w:cs="Arial" w:eastAsia="Arial" w:hAnsi="Arial"/>
          <w:sz w:val="18"/>
          <w:szCs w:val="18"/>
          <w:color w:val="auto"/>
        </w:rPr>
      </w:pPr>
    </w:p>
    <w:p>
      <w:pPr>
        <w:ind w:left="1960" w:firstLine="641"/>
        <w:spacing w:after="0" w:line="324" w:lineRule="auto"/>
        <w:tabs>
          <w:tab w:leader="none" w:pos="347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Execute and deliver, or amend, supplement or otherwise modify, or waive any provision of, any Remarketing Agreement in connection with the Bonds;</w:t>
      </w:r>
    </w:p>
    <w:p>
      <w:pPr>
        <w:spacing w:after="0" w:line="170" w:lineRule="exact"/>
        <w:rPr>
          <w:rFonts w:ascii="Arial" w:cs="Arial" w:eastAsia="Arial" w:hAnsi="Arial"/>
          <w:sz w:val="18"/>
          <w:szCs w:val="18"/>
          <w:color w:val="auto"/>
        </w:rPr>
      </w:pPr>
    </w:p>
    <w:p>
      <w:pPr>
        <w:ind w:left="3520" w:hanging="919"/>
        <w:spacing w:after="0"/>
        <w:tabs>
          <w:tab w:leader="none" w:pos="35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Terminate or appoint any Depository or Trustee;</w:t>
      </w:r>
    </w:p>
    <w:p>
      <w:pPr>
        <w:spacing w:after="0" w:line="265" w:lineRule="exact"/>
        <w:rPr>
          <w:rFonts w:ascii="Arial" w:cs="Arial" w:eastAsia="Arial" w:hAnsi="Arial"/>
          <w:sz w:val="18"/>
          <w:szCs w:val="18"/>
          <w:color w:val="auto"/>
        </w:rPr>
      </w:pPr>
    </w:p>
    <w:p>
      <w:pPr>
        <w:ind w:left="3500" w:hanging="899"/>
        <w:spacing w:after="0"/>
        <w:tabs>
          <w:tab w:leader="none" w:pos="35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Accept, substitute, amend, supplement or otherwise modify any Liquidity Facility or Credit Facility;</w:t>
      </w:r>
    </w:p>
    <w:p>
      <w:pPr>
        <w:spacing w:after="0" w:line="265" w:lineRule="exact"/>
        <w:rPr>
          <w:rFonts w:ascii="Arial" w:cs="Arial" w:eastAsia="Arial" w:hAnsi="Arial"/>
          <w:sz w:val="18"/>
          <w:szCs w:val="18"/>
          <w:color w:val="auto"/>
        </w:rPr>
      </w:pPr>
    </w:p>
    <w:p>
      <w:pPr>
        <w:ind w:left="3460" w:hanging="859"/>
        <w:spacing w:after="0"/>
        <w:tabs>
          <w:tab w:leader="none" w:pos="3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Redeem any Bonds pursuant to the optional redemption provisions of the Indenture or the Bonds;</w:t>
      </w:r>
    </w:p>
    <w:p>
      <w:pPr>
        <w:spacing w:after="0" w:line="265" w:lineRule="exact"/>
        <w:rPr>
          <w:rFonts w:ascii="Arial" w:cs="Arial" w:eastAsia="Arial" w:hAnsi="Arial"/>
          <w:sz w:val="18"/>
          <w:szCs w:val="18"/>
          <w:color w:val="auto"/>
        </w:rPr>
      </w:pPr>
    </w:p>
    <w:p>
      <w:pPr>
        <w:ind w:left="3500" w:hanging="899"/>
        <w:spacing w:after="0"/>
        <w:tabs>
          <w:tab w:leader="none" w:pos="35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Purchase Bonds in lieu of optional redemption;</w:t>
      </w:r>
    </w:p>
    <w:p>
      <w:pPr>
        <w:spacing w:after="0" w:line="265" w:lineRule="exact"/>
        <w:rPr>
          <w:rFonts w:ascii="Arial" w:cs="Arial" w:eastAsia="Arial" w:hAnsi="Arial"/>
          <w:sz w:val="18"/>
          <w:szCs w:val="18"/>
          <w:color w:val="auto"/>
        </w:rPr>
      </w:pPr>
    </w:p>
    <w:p>
      <w:pPr>
        <w:ind w:left="3560" w:hanging="959"/>
        <w:spacing w:after="0"/>
        <w:tabs>
          <w:tab w:leader="none" w:pos="35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Amend, supplement or otherwise modify, or waive any provision of, the Indenture or the Bonds; or</w:t>
      </w:r>
    </w:p>
    <w:p>
      <w:pPr>
        <w:spacing w:after="0" w:line="265" w:lineRule="exact"/>
        <w:rPr>
          <w:rFonts w:ascii="Arial" w:cs="Arial" w:eastAsia="Arial" w:hAnsi="Arial"/>
          <w:sz w:val="18"/>
          <w:szCs w:val="18"/>
          <w:color w:val="auto"/>
        </w:rPr>
      </w:pPr>
    </w:p>
    <w:p>
      <w:pPr>
        <w:ind w:left="1960" w:firstLine="641"/>
        <w:spacing w:after="0" w:line="357" w:lineRule="auto"/>
        <w:tabs>
          <w:tab w:leader="none" w:pos="3616" w:val="left"/>
        </w:tabs>
        <w:numPr>
          <w:ilvl w:val="0"/>
          <w:numId w:val="285"/>
        </w:numPr>
        <w:rPr>
          <w:rFonts w:ascii="Arial" w:cs="Arial" w:eastAsia="Arial" w:hAnsi="Arial"/>
          <w:sz w:val="17"/>
          <w:szCs w:val="17"/>
          <w:color w:val="auto"/>
        </w:rPr>
      </w:pPr>
      <w:r>
        <w:rPr>
          <w:rFonts w:ascii="Arial" w:cs="Arial" w:eastAsia="Arial" w:hAnsi="Arial"/>
          <w:sz w:val="17"/>
          <w:szCs w:val="17"/>
          <w:color w:val="auto"/>
        </w:rPr>
        <w:t>Direct, or take any other action with respect to, the investment of funds, the application or disposition of trust monies, or the withdrawal or deposit of any amounts in any accounts or Funds pursuant to the Indenture.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if Lessee fails to complete construction of the New Property, or otherwise defaults with respect to its construction obligations, Lessor may complete such construction or remedy such construction default, and if there are funds available in the Project Fund (as defined in the Indenture) or other Funds pursuant to the Indenture, then Lessor may, without Lessee’s consent, request that Trustee disburse such Funds to allow Lessor to complete such construction or remedy such construction default.</w:t>
      </w:r>
    </w:p>
    <w:p>
      <w:pPr>
        <w:spacing w:after="0" w:line="214" w:lineRule="exact"/>
        <w:rPr>
          <w:sz w:val="20"/>
          <w:szCs w:val="20"/>
          <w:color w:val="auto"/>
        </w:rPr>
      </w:pPr>
    </w:p>
    <w:p>
      <w:pPr>
        <w:ind w:left="2160" w:hanging="855"/>
        <w:spacing w:after="0"/>
        <w:tabs>
          <w:tab w:leader="none" w:pos="21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Lessor shall take the following action permitted under the Indenture at the direction of the Lessee:</w:t>
      </w:r>
    </w:p>
    <w:p>
      <w:pPr>
        <w:spacing w:after="0" w:line="266" w:lineRule="exact"/>
        <w:rPr>
          <w:sz w:val="20"/>
          <w:szCs w:val="20"/>
          <w:color w:val="auto"/>
        </w:rPr>
      </w:pPr>
    </w:p>
    <w:p>
      <w:pPr>
        <w:ind w:left="660" w:right="20" w:firstLine="645"/>
        <w:spacing w:after="0" w:line="324" w:lineRule="auto"/>
        <w:tabs>
          <w:tab w:leader="none" w:pos="212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Pay any mutilated, lost, destroyed or stolen Bond which has become or is about to become due and payable to the extent required by Section 2.06 of the Indenture; provided the Lessee has provided funds for such purpose to the Trustee;</w:t>
      </w:r>
    </w:p>
    <w:p>
      <w:pPr>
        <w:sectPr>
          <w:pgSz w:w="11900" w:h="16838" w:orient="portrait"/>
          <w:cols w:equalWidth="0" w:num="1">
            <w:col w:w="11420"/>
          </w:cols>
          <w:pgMar w:left="240" w:top="585" w:right="239" w:bottom="1440" w:gutter="0" w:footer="0" w:header="0"/>
        </w:sectPr>
      </w:pPr>
    </w:p>
    <w:bookmarkStart w:id="360" w:name="page361"/>
    <w:bookmarkEnd w:id="360"/>
    <w:p>
      <w:pPr>
        <w:jc w:val="both"/>
        <w:ind w:left="4" w:firstLine="645"/>
        <w:spacing w:after="0" w:line="306" w:lineRule="auto"/>
        <w:tabs>
          <w:tab w:leader="none" w:pos="15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Designate (i) the aggregate principal amount of then Outstanding Initial Bonds that shall be remarketed as Initial Bonds on an Initial Bonds Remarketing Date (as defined in the Indenture), (ii) the aggregate principal amount of Initial Bonds to be converted to another Interest Mode on an Initial Bonds Remarketing Date and (iii) the Interest Mode or Interest Modes to which such Multi-Modal Bonds shall convert, all in accordance with Section 2.08(h) of the Indenture;</w:t>
      </w:r>
    </w:p>
    <w:p>
      <w:pPr>
        <w:spacing w:after="0" w:line="186" w:lineRule="exact"/>
        <w:rPr>
          <w:rFonts w:ascii="Arial" w:cs="Arial" w:eastAsia="Arial" w:hAnsi="Arial"/>
          <w:sz w:val="18"/>
          <w:szCs w:val="18"/>
          <w:color w:val="auto"/>
        </w:rPr>
      </w:pPr>
    </w:p>
    <w:p>
      <w:pPr>
        <w:ind w:left="4" w:firstLine="645"/>
        <w:spacing w:after="0" w:line="324" w:lineRule="auto"/>
        <w:tabs>
          <w:tab w:leader="none" w:pos="157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Convert Daily Rate Bonds, Commercial Paper Rate Bonds, Weekly Bonds and Initial Bonds to another Interest Mode determined by the Lessor, as provided in Section 2.12 of the Indenture;</w:t>
      </w:r>
    </w:p>
    <w:p>
      <w:pPr>
        <w:spacing w:after="0" w:line="170" w:lineRule="exact"/>
        <w:rPr>
          <w:rFonts w:ascii="Arial" w:cs="Arial" w:eastAsia="Arial" w:hAnsi="Arial"/>
          <w:sz w:val="18"/>
          <w:szCs w:val="18"/>
          <w:color w:val="auto"/>
        </w:rPr>
      </w:pPr>
    </w:p>
    <w:p>
      <w:pPr>
        <w:ind w:left="1564" w:hanging="915"/>
        <w:spacing w:after="0"/>
        <w:tabs>
          <w:tab w:leader="none" w:pos="15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Execute and deliver, amend, supplement or otherwise modify any Remarketing Agreement;</w:t>
      </w:r>
    </w:p>
    <w:p>
      <w:pPr>
        <w:spacing w:after="0" w:line="265" w:lineRule="exact"/>
        <w:rPr>
          <w:rFonts w:ascii="Arial" w:cs="Arial" w:eastAsia="Arial" w:hAnsi="Arial"/>
          <w:sz w:val="18"/>
          <w:szCs w:val="18"/>
          <w:color w:val="auto"/>
        </w:rPr>
      </w:pPr>
    </w:p>
    <w:p>
      <w:pPr>
        <w:ind w:left="1504" w:hanging="855"/>
        <w:spacing w:after="0"/>
        <w:tabs>
          <w:tab w:leader="none" w:pos="15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Distribute to the Lessee funds remitted to the Lessor pursuant to the Indenture;</w:t>
      </w:r>
    </w:p>
    <w:p>
      <w:pPr>
        <w:spacing w:after="0" w:line="265" w:lineRule="exact"/>
        <w:rPr>
          <w:rFonts w:ascii="Arial" w:cs="Arial" w:eastAsia="Arial" w:hAnsi="Arial"/>
          <w:sz w:val="18"/>
          <w:szCs w:val="18"/>
          <w:color w:val="auto"/>
        </w:rPr>
      </w:pPr>
    </w:p>
    <w:p>
      <w:pPr>
        <w:ind w:left="4" w:right="20" w:firstLine="645"/>
        <w:spacing w:after="0" w:line="324" w:lineRule="auto"/>
        <w:tabs>
          <w:tab w:leader="none" w:pos="15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Redeem Bonds subject to optional redemption (provided that Lessee shall provide funds to the Trustee sufficient to pay the principal of and interest on the Bonds on the redemption date therefor);</w:t>
      </w:r>
    </w:p>
    <w:p>
      <w:pPr>
        <w:spacing w:after="0" w:line="170" w:lineRule="exact"/>
        <w:rPr>
          <w:rFonts w:ascii="Arial" w:cs="Arial" w:eastAsia="Arial" w:hAnsi="Arial"/>
          <w:sz w:val="18"/>
          <w:szCs w:val="18"/>
          <w:color w:val="auto"/>
        </w:rPr>
      </w:pPr>
    </w:p>
    <w:p>
      <w:pPr>
        <w:ind w:left="4" w:firstLine="645"/>
        <w:spacing w:after="0" w:line="324" w:lineRule="auto"/>
        <w:tabs>
          <w:tab w:leader="none" w:pos="161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Purchase Bonds in lieu of redemption or designate the purchaser in lieu of redemption (provided that Lessee shall provide funds to the Trustee sufficient to pay the principal of and interest on the Bonds on the purchase date therefor);</w:t>
      </w:r>
    </w:p>
    <w:p>
      <w:pPr>
        <w:spacing w:after="0" w:line="170" w:lineRule="exact"/>
        <w:rPr>
          <w:rFonts w:ascii="Arial" w:cs="Arial" w:eastAsia="Arial" w:hAnsi="Arial"/>
          <w:sz w:val="18"/>
          <w:szCs w:val="18"/>
          <w:color w:val="auto"/>
        </w:rPr>
      </w:pPr>
    </w:p>
    <w:p>
      <w:pPr>
        <w:ind w:left="1664" w:hanging="1015"/>
        <w:spacing w:after="0"/>
        <w:tabs>
          <w:tab w:leader="none" w:pos="16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Terminate or appoint any Depository or Trustee; and</w:t>
      </w:r>
    </w:p>
    <w:p>
      <w:pPr>
        <w:spacing w:after="0" w:line="265" w:lineRule="exact"/>
        <w:rPr>
          <w:rFonts w:ascii="Arial" w:cs="Arial" w:eastAsia="Arial" w:hAnsi="Arial"/>
          <w:sz w:val="18"/>
          <w:szCs w:val="18"/>
          <w:color w:val="auto"/>
        </w:rPr>
      </w:pPr>
    </w:p>
    <w:p>
      <w:pPr>
        <w:ind w:left="1564" w:hanging="915"/>
        <w:spacing w:after="0"/>
        <w:tabs>
          <w:tab w:leader="none" w:pos="156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Execute and deliver an amendment, supplement or other modification to, or waiver of any provisions of, the Indenture or the</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Bonds.</w:t>
      </w:r>
    </w:p>
    <w:p>
      <w:pPr>
        <w:spacing w:after="0" w:line="266" w:lineRule="exact"/>
        <w:rPr>
          <w:sz w:val="20"/>
          <w:szCs w:val="20"/>
          <w:color w:val="auto"/>
        </w:rPr>
      </w:pPr>
    </w:p>
    <w:p>
      <w:pPr>
        <w:ind w:left="4" w:firstLine="645"/>
        <w:spacing w:after="0" w:line="324" w:lineRule="auto"/>
        <w:tabs>
          <w:tab w:leader="none" w:pos="15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Promptly upon receipt thereof, the Lessor shall deliver a copy of any notice received by the Lessor from the Trustee under the Indenture or from the Remarketing Agent under the Remarketing Agreement.</w:t>
      </w:r>
    </w:p>
    <w:p>
      <w:pPr>
        <w:spacing w:after="0" w:line="170" w:lineRule="exact"/>
        <w:rPr>
          <w:rFonts w:ascii="Arial" w:cs="Arial" w:eastAsia="Arial" w:hAnsi="Arial"/>
          <w:sz w:val="18"/>
          <w:szCs w:val="18"/>
          <w:color w:val="auto"/>
        </w:rPr>
      </w:pPr>
    </w:p>
    <w:p>
      <w:pPr>
        <w:jc w:val="both"/>
        <w:ind w:left="4" w:firstLine="645"/>
        <w:spacing w:after="0" w:line="329" w:lineRule="auto"/>
        <w:tabs>
          <w:tab w:leader="none" w:pos="151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If Lessor shall fail to take any action specified in this </w:t>
      </w:r>
      <w:r>
        <w:rPr>
          <w:rFonts w:ascii="Arial" w:cs="Arial" w:eastAsia="Arial" w:hAnsi="Arial"/>
          <w:sz w:val="17"/>
          <w:szCs w:val="17"/>
          <w:u w:val="single" w:color="auto"/>
          <w:color w:val="auto"/>
        </w:rPr>
        <w:t>Section 20.6</w:t>
      </w:r>
      <w:r>
        <w:rPr>
          <w:rFonts w:ascii="Arial" w:cs="Arial" w:eastAsia="Arial" w:hAnsi="Arial"/>
          <w:sz w:val="17"/>
          <w:szCs w:val="17"/>
          <w:color w:val="auto"/>
        </w:rPr>
        <w:t>, or shall take action in violation hereof, Lessee shall be entitled to notify Trustee in writing (a copy of which shall also be delivered to Lessor) with respect thereto and direct the cure of such action or failure to act. In the written direction to the Trustee, Lessee shall state that such direction is given properly in accordance with this Section 20.6(d) and Trustee shall be entitled to rely conclusively thereon and to comply without investigation with such notice and direction.</w:t>
      </w:r>
    </w:p>
    <w:p>
      <w:pPr>
        <w:spacing w:after="0" w:line="144" w:lineRule="exact"/>
        <w:rPr>
          <w:sz w:val="20"/>
          <w:szCs w:val="20"/>
          <w:color w:val="auto"/>
        </w:rPr>
      </w:pPr>
    </w:p>
    <w:p>
      <w:pPr>
        <w:ind w:left="4"/>
        <w:spacing w:after="0"/>
        <w:tabs>
          <w:tab w:leader="none" w:pos="483"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Lessee’s Obligations with respect to the Bonds</w:t>
      </w:r>
      <w:r>
        <w:rPr>
          <w:rFonts w:ascii="Arial" w:cs="Arial" w:eastAsia="Arial" w:hAnsi="Arial"/>
          <w:sz w:val="16"/>
          <w:szCs w:val="16"/>
          <w:color w:val="auto"/>
        </w:rPr>
        <w:t>. Lessee herby agrees as follows:</w:t>
      </w:r>
    </w:p>
    <w:p>
      <w:pPr>
        <w:spacing w:after="0" w:line="252" w:lineRule="exact"/>
        <w:rPr>
          <w:sz w:val="20"/>
          <w:szCs w:val="20"/>
          <w:color w:val="auto"/>
        </w:rPr>
      </w:pPr>
    </w:p>
    <w:p>
      <w:pPr>
        <w:jc w:val="both"/>
        <w:ind w:left="4" w:firstLine="645"/>
        <w:spacing w:after="0" w:line="319" w:lineRule="auto"/>
        <w:tabs>
          <w:tab w:leader="none" w:pos="150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Lessee agrees to provide the Remarketing Agent, at the expense of the Lessee, with copies of such financial information and financial statements relating to the Lessee, Jefferson Holdings and Fortress Transportation and Infrastructure Investors LLC (“</w:t>
      </w:r>
      <w:r>
        <w:rPr>
          <w:rFonts w:ascii="Arial" w:cs="Arial" w:eastAsia="Arial" w:hAnsi="Arial"/>
          <w:sz w:val="17"/>
          <w:szCs w:val="17"/>
          <w:b w:val="1"/>
          <w:bCs w:val="1"/>
          <w:i w:val="1"/>
          <w:iCs w:val="1"/>
          <w:color w:val="auto"/>
        </w:rPr>
        <w:t>FTAI</w:t>
      </w:r>
      <w:r>
        <w:rPr>
          <w:rFonts w:ascii="Arial" w:cs="Arial" w:eastAsia="Arial" w:hAnsi="Arial"/>
          <w:sz w:val="17"/>
          <w:szCs w:val="17"/>
          <w:color w:val="auto"/>
        </w:rPr>
        <w:t>”) as they become available in such quantities as may be reasonably requested from time to time by the Remarketing Agent and as shall be satisfactory to the Lessee, and the Lessee further agrees to supply such additional material relating to the Lessee or obtain such other information relating to the Lessee, Jefferson Holdings or FTAI or respond to such questions relating to the Lessee, Jefferson Holdings or FTAI as may be appropriate and which the Lessee can obtain without unreasonable effort and expense for the purpose of (a) verifying the information relating to the Lessee, Jefferson Holdings or FTAI contained in the Remarketing Circular or in the documents relating to the Lessee, Jefferson Holdings or FTAI incorporated by reference therein or in any amendments and supplements thereto and (b) preparing a new remarketing statement upon the mandatory tender of the Bonds in connection with establishing an Interest Mode as provided in the Indenture or preparing other remarketing statements as deemed necessary by the Remarketing Agent.</w:t>
      </w:r>
    </w:p>
    <w:p>
      <w:pPr>
        <w:spacing w:after="0" w:line="183" w:lineRule="exact"/>
        <w:rPr>
          <w:rFonts w:ascii="Arial" w:cs="Arial" w:eastAsia="Arial" w:hAnsi="Arial"/>
          <w:sz w:val="17"/>
          <w:szCs w:val="17"/>
          <w:color w:val="auto"/>
        </w:rPr>
      </w:pPr>
    </w:p>
    <w:p>
      <w:pPr>
        <w:ind w:left="4" w:firstLine="645"/>
        <w:spacing w:after="0" w:line="324" w:lineRule="auto"/>
        <w:tabs>
          <w:tab w:leader="none" w:pos="151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Lessee hereby agrees to notify the Remarketing Agent of any material adverse change in the financial status of the Lessee, Jefferson Holdings or FTAI, after the date hereof.</w:t>
      </w:r>
    </w:p>
    <w:p>
      <w:pPr>
        <w:spacing w:after="0" w:line="170" w:lineRule="exact"/>
        <w:rPr>
          <w:rFonts w:ascii="Arial" w:cs="Arial" w:eastAsia="Arial" w:hAnsi="Arial"/>
          <w:sz w:val="18"/>
          <w:szCs w:val="18"/>
          <w:color w:val="auto"/>
        </w:rPr>
      </w:pPr>
    </w:p>
    <w:p>
      <w:pPr>
        <w:ind w:left="1504" w:hanging="855"/>
        <w:spacing w:after="0"/>
        <w:tabs>
          <w:tab w:leader="none" w:pos="1504" w:val="left"/>
        </w:tabs>
        <w:numPr>
          <w:ilvl w:val="1"/>
          <w:numId w:val="290"/>
        </w:numPr>
        <w:rPr>
          <w:rFonts w:ascii="Arial" w:cs="Arial" w:eastAsia="Arial" w:hAnsi="Arial"/>
          <w:sz w:val="16"/>
          <w:szCs w:val="16"/>
          <w:color w:val="auto"/>
        </w:rPr>
      </w:pPr>
      <w:r>
        <w:rPr>
          <w:rFonts w:ascii="Arial" w:cs="Arial" w:eastAsia="Arial" w:hAnsi="Arial"/>
          <w:sz w:val="16"/>
          <w:szCs w:val="16"/>
          <w:color w:val="auto"/>
        </w:rPr>
        <w:t>Lessee hereby agrees to pay all fees and expenses under any Remarketing Agreement executed with the consent of the Lessee.</w:t>
      </w:r>
    </w:p>
    <w:p>
      <w:pPr>
        <w:spacing w:after="0" w:line="261" w:lineRule="exact"/>
        <w:rPr>
          <w:rFonts w:ascii="Arial" w:cs="Arial" w:eastAsia="Arial" w:hAnsi="Arial"/>
          <w:sz w:val="16"/>
          <w:szCs w:val="16"/>
          <w:color w:val="auto"/>
        </w:rPr>
      </w:pPr>
    </w:p>
    <w:p>
      <w:pPr>
        <w:jc w:val="both"/>
        <w:ind w:left="-656" w:right="20" w:firstLine="656"/>
        <w:spacing w:after="0" w:line="264" w:lineRule="auto"/>
        <w:tabs>
          <w:tab w:leader="none" w:pos="411"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Relation of the Parties</w:t>
      </w:r>
      <w:r>
        <w:rPr>
          <w:rFonts w:ascii="Arial" w:cs="Arial" w:eastAsia="Arial" w:hAnsi="Arial"/>
          <w:sz w:val="18"/>
          <w:szCs w:val="18"/>
          <w:color w:val="auto"/>
        </w:rPr>
        <w:t>. It is the intention of the parties to create hereby the relationship of landlord and tenant, and no other relation is hereby created. Nothing in this Facilities Lease shall be construed to make the parties partners or joint venturers or to render either party liable for any obligation of the other except as described herein.</w:t>
      </w:r>
    </w:p>
    <w:p>
      <w:pPr>
        <w:sectPr>
          <w:pgSz w:w="11900" w:h="16838" w:orient="portrait"/>
          <w:cols w:equalWidth="0" w:num="1">
            <w:col w:w="10764"/>
          </w:cols>
          <w:pgMar w:left="896" w:top="827" w:right="239" w:bottom="1440" w:gutter="0" w:footer="0" w:header="0"/>
        </w:sectPr>
      </w:pPr>
    </w:p>
    <w:bookmarkStart w:id="361" w:name="page362"/>
    <w:bookmarkEnd w:id="361"/>
    <w:p>
      <w:pPr>
        <w:jc w:val="both"/>
        <w:ind w:firstLine="656"/>
        <w:spacing w:after="0" w:line="255" w:lineRule="auto"/>
        <w:tabs>
          <w:tab w:leader="none" w:pos="1053"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Public Disclosure</w:t>
      </w:r>
      <w:r>
        <w:rPr>
          <w:rFonts w:ascii="Arial" w:cs="Arial" w:eastAsia="Arial" w:hAnsi="Arial"/>
          <w:sz w:val="18"/>
          <w:szCs w:val="18"/>
          <w:color w:val="auto"/>
        </w:rPr>
        <w:t>. Lessor is a governmental authority subject to the requirements of the Texas Open Meetings Act and the Texas Open Records Act (Chapters 551 and 552, Texas Government Code), and as such Lessor is required to disclose to the public (upon request) this Facilities Lease and certain other information and documents relating to the consummation of the transactions contemplated hereby. In this regard, Lessee agrees that the disclosure of this Facilities Lease or any other information or materials related to the consummation of the transactions contemplated hereby to the public by Lessor as required by the Texas Open Meetings Act, Texas Open Records Act, or any other Legal Requirement will not expose Lessor (or any party acting by, through or under Lessor) to any claim, liability, or action by Lessee.</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053"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given pursuant to this Facilities Lease shall be in writing and shall either be mailed by first class United States mail, postage prepaid, registered or certified with return receipt requested, and addressed as set forth in this </w:t>
      </w:r>
      <w:r>
        <w:rPr>
          <w:rFonts w:ascii="Arial" w:cs="Arial" w:eastAsia="Arial" w:hAnsi="Arial"/>
          <w:sz w:val="18"/>
          <w:szCs w:val="18"/>
          <w:u w:val="single" w:color="auto"/>
          <w:color w:val="auto"/>
        </w:rPr>
        <w:t>Section 23</w:t>
      </w:r>
      <w:r>
        <w:rPr>
          <w:rFonts w:ascii="Arial" w:cs="Arial" w:eastAsia="Arial" w:hAnsi="Arial"/>
          <w:sz w:val="18"/>
          <w:szCs w:val="18"/>
          <w:color w:val="auto"/>
        </w:rPr>
        <w:t>, or delivered in person to the intended addressee, or sent by prepaid telegram, facsimile or telex followed by a confirmatory letter. Notice mailed in the aforesaid manner shall become effective three (3) business days after deposit; notice given in any other manner, and any notice given to Lessor, shall be effective only upon receipt by the intended addressee. For the purposes of notice, the address 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David C. Fisher, Port Director, CEO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 of Beaumont Navigation District of Jefferson County, Texas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Post Office Drawer 2297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Beaumont, Texas 77704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409-835-0512</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Guy N. Goodson, Esq.</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GERMER PLLC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550 Fannin, Suite 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Beaumont, Texas 77701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409.654.6700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409.835.2115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Lessee: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Jefferson Railport Terminal II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Jefferson Energy Companies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9595 Six Pines Drive, STE 6370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Woodlands, TX 77380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Chief Operating Officer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Fortress Investment Group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 Nardone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798-6120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(212) 798-6110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party shall have the continuing right to change its address for notice hereunder by the giving of thirty (30) days’ prior written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56"/>
        <w:spacing w:after="0" w:line="273" w:lineRule="auto"/>
        <w:tabs>
          <w:tab w:leader="none" w:pos="108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and Binding Effect</w:t>
      </w:r>
      <w:r>
        <w:rPr>
          <w:rFonts w:ascii="Arial" w:cs="Arial" w:eastAsia="Arial" w:hAnsi="Arial"/>
          <w:sz w:val="17"/>
          <w:szCs w:val="17"/>
          <w:color w:val="auto"/>
        </w:rPr>
        <w:t xml:space="preserve">. This Facilities Lease constitutes the entire agreement between Lessor and Lessee relating to the subject matter hereof and all prior agreements relative hereto that are not contained herein are terminated; provided, however, that the Ground Lease is not hereby terminated. This Facilities Lease may be amended only by a written document duly executed by Lessor and Lessee, and any alleged amendment which is not so documented shall not be effective as to either party. The provisions of this Facilities Lease shall be binding upon and inure to the benefit of the parties hereto and their heirs, executors, administrators, and permitted successors and assigns; provided, however, that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negate, diminish or alter the restrictions on transfers applicable to Lessee set forth elsewhere in this Facilities Lease.</w:t>
      </w:r>
    </w:p>
    <w:p>
      <w:pPr>
        <w:sectPr>
          <w:pgSz w:w="11900" w:h="16838" w:orient="portrait"/>
          <w:cols w:equalWidth="0" w:num="1">
            <w:col w:w="11420"/>
          </w:cols>
          <w:pgMar w:left="240" w:top="800" w:right="239" w:bottom="1440" w:gutter="0" w:footer="0" w:header="0"/>
        </w:sectPr>
      </w:pPr>
    </w:p>
    <w:bookmarkStart w:id="362" w:name="page363"/>
    <w:bookmarkEnd w:id="362"/>
    <w:p>
      <w:pPr>
        <w:jc w:val="both"/>
        <w:ind w:left="-656" w:firstLine="656"/>
        <w:spacing w:after="0" w:line="257" w:lineRule="auto"/>
        <w:tabs>
          <w:tab w:leader="none" w:pos="411"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This Facilities Lease is intended to be performed in accordance with and only to the extent permitted by all Legal Requirements. If any provision of this Facilities Lease or the application thereof to any person or circumstance shall, for any reason and to any extent, be invalid or unenforceable, but the extent of the invalidity or unenforceability does not destroy the basis of the bargain between the parties as contained herein, the remainder of this Facilities Lease and the application of such provision to other persons or circumstances shall not be affected thereby, but rather shall be enforced to the greatest extent permitted by law.</w:t>
      </w:r>
    </w:p>
    <w:p>
      <w:pPr>
        <w:spacing w:after="0" w:line="188" w:lineRule="exact"/>
        <w:rPr>
          <w:rFonts w:ascii="Arial" w:cs="Arial" w:eastAsia="Arial" w:hAnsi="Arial"/>
          <w:sz w:val="18"/>
          <w:szCs w:val="18"/>
          <w:color w:val="auto"/>
        </w:rPr>
      </w:pPr>
    </w:p>
    <w:p>
      <w:pPr>
        <w:jc w:val="both"/>
        <w:ind w:left="-656" w:firstLine="656"/>
        <w:spacing w:after="0" w:line="273" w:lineRule="auto"/>
        <w:tabs>
          <w:tab w:leader="none" w:pos="492"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Unless the context of this Facilities Lease clearly requires otherwise, (a) pronouns, wherever used herein, and of whatever gender, shall include natural persons and corporations and associations of every kind and character; (b) the singular shall include the plural wherever and as often as may be appropriate; (c) the term “</w:t>
      </w:r>
      <w:r>
        <w:rPr>
          <w:rFonts w:ascii="Arial" w:cs="Arial" w:eastAsia="Arial" w:hAnsi="Arial"/>
          <w:sz w:val="17"/>
          <w:szCs w:val="17"/>
          <w:i w:val="1"/>
          <w:iCs w:val="1"/>
          <w:color w:val="auto"/>
        </w:rPr>
        <w:t>includes</w:t>
      </w:r>
      <w:r>
        <w:rPr>
          <w:rFonts w:ascii="Arial" w:cs="Arial" w:eastAsia="Arial" w:hAnsi="Arial"/>
          <w:sz w:val="17"/>
          <w:szCs w:val="17"/>
          <w:color w:val="auto"/>
        </w:rPr>
        <w:t>” or “</w:t>
      </w:r>
      <w:r>
        <w:rPr>
          <w:rFonts w:ascii="Arial" w:cs="Arial" w:eastAsia="Arial" w:hAnsi="Arial"/>
          <w:sz w:val="17"/>
          <w:szCs w:val="17"/>
          <w:i w:val="1"/>
          <w:iCs w:val="1"/>
          <w:color w:val="auto"/>
        </w:rPr>
        <w:t>including</w:t>
      </w:r>
      <w:r>
        <w:rPr>
          <w:rFonts w:ascii="Arial" w:cs="Arial" w:eastAsia="Arial" w:hAnsi="Arial"/>
          <w:sz w:val="17"/>
          <w:szCs w:val="17"/>
          <w:color w:val="auto"/>
        </w:rPr>
        <w:t>” shall mean including without limitation; and (d) the words “</w:t>
      </w:r>
      <w:r>
        <w:rPr>
          <w:rFonts w:ascii="Arial" w:cs="Arial" w:eastAsia="Arial" w:hAnsi="Arial"/>
          <w:sz w:val="17"/>
          <w:szCs w:val="17"/>
          <w:i w:val="1"/>
          <w:iCs w:val="1"/>
          <w:color w:val="auto"/>
        </w:rPr>
        <w:t>hereof</w:t>
      </w:r>
      <w:r>
        <w:rPr>
          <w:rFonts w:ascii="Arial" w:cs="Arial" w:eastAsia="Arial" w:hAnsi="Arial"/>
          <w:sz w:val="17"/>
          <w:szCs w:val="17"/>
          <w:color w:val="auto"/>
        </w:rPr>
        <w:t>” or “</w:t>
      </w:r>
      <w:r>
        <w:rPr>
          <w:rFonts w:ascii="Arial" w:cs="Arial" w:eastAsia="Arial" w:hAnsi="Arial"/>
          <w:sz w:val="17"/>
          <w:szCs w:val="17"/>
          <w:i w:val="1"/>
          <w:iCs w:val="1"/>
          <w:color w:val="auto"/>
        </w:rPr>
        <w:t>herein</w:t>
      </w:r>
      <w:r>
        <w:rPr>
          <w:rFonts w:ascii="Arial" w:cs="Arial" w:eastAsia="Arial" w:hAnsi="Arial"/>
          <w:sz w:val="17"/>
          <w:szCs w:val="17"/>
          <w:color w:val="auto"/>
        </w:rPr>
        <w:t>” refer to this entire Lease and not merely the Section or Article number in which such words appear. Article and Section headings in this Facilities Lease are for convenience of reference and shall not affect the construction or interpretation of this Facilities Lease. Any reference to a particular “</w:t>
      </w:r>
      <w:r>
        <w:rPr>
          <w:rFonts w:ascii="Arial" w:cs="Arial" w:eastAsia="Arial" w:hAnsi="Arial"/>
          <w:sz w:val="17"/>
          <w:szCs w:val="17"/>
          <w:i w:val="1"/>
          <w:iCs w:val="1"/>
          <w:color w:val="auto"/>
        </w:rPr>
        <w:t>Article</w:t>
      </w:r>
      <w:r>
        <w:rPr>
          <w:rFonts w:ascii="Arial" w:cs="Arial" w:eastAsia="Arial" w:hAnsi="Arial"/>
          <w:sz w:val="17"/>
          <w:szCs w:val="17"/>
          <w:color w:val="auto"/>
        </w:rPr>
        <w:t>” or “</w:t>
      </w:r>
      <w:r>
        <w:rPr>
          <w:rFonts w:ascii="Arial" w:cs="Arial" w:eastAsia="Arial" w:hAnsi="Arial"/>
          <w:sz w:val="17"/>
          <w:szCs w:val="17"/>
          <w:i w:val="1"/>
          <w:iCs w:val="1"/>
          <w:color w:val="auto"/>
        </w:rPr>
        <w:t>Section</w:t>
      </w:r>
      <w:r>
        <w:rPr>
          <w:rFonts w:ascii="Arial" w:cs="Arial" w:eastAsia="Arial" w:hAnsi="Arial"/>
          <w:sz w:val="17"/>
          <w:szCs w:val="17"/>
          <w:color w:val="auto"/>
        </w:rPr>
        <w:t>” shall be construed as referring to the indicated article or section of this Facilities Lease.</w:t>
      </w:r>
    </w:p>
    <w:p>
      <w:pPr>
        <w:spacing w:after="0" w:line="178" w:lineRule="exact"/>
        <w:rPr>
          <w:rFonts w:ascii="Arial" w:cs="Arial" w:eastAsia="Arial" w:hAnsi="Arial"/>
          <w:sz w:val="17"/>
          <w:szCs w:val="17"/>
          <w:color w:val="auto"/>
        </w:rPr>
      </w:pPr>
    </w:p>
    <w:p>
      <w:pPr>
        <w:jc w:val="both"/>
        <w:ind w:left="-656" w:firstLine="656"/>
        <w:spacing w:after="0" w:line="259" w:lineRule="auto"/>
        <w:tabs>
          <w:tab w:leader="none" w:pos="451"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If that any party hereto institutes an action or proceeding for a declaration of the rights of the parties under this Facilities Lease, for injunctive relief, for an alleged breach or default of, or any other action arising out of this Facilities Lease, or the transactions contemplated hereby, or if any party is in default of its obligations pursuant thereto, the prevailing party shall be entitled to its actual and reasonable attorneys’ fees and to any court costs incurred in addition to any other damages or relief awarded.</w:t>
      </w:r>
    </w:p>
    <w:p>
      <w:pPr>
        <w:spacing w:after="0" w:line="186" w:lineRule="exact"/>
        <w:rPr>
          <w:rFonts w:ascii="Arial" w:cs="Arial" w:eastAsia="Arial" w:hAnsi="Arial"/>
          <w:sz w:val="18"/>
          <w:szCs w:val="18"/>
          <w:color w:val="auto"/>
        </w:rPr>
      </w:pPr>
    </w:p>
    <w:p>
      <w:pPr>
        <w:jc w:val="both"/>
        <w:ind w:left="-656" w:firstLine="656"/>
        <w:spacing w:after="0" w:line="286" w:lineRule="auto"/>
        <w:tabs>
          <w:tab w:leader="none" w:pos="451"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Interest on Tenant’s Obligations</w:t>
      </w:r>
      <w:r>
        <w:rPr>
          <w:rFonts w:ascii="Arial" w:cs="Arial" w:eastAsia="Arial" w:hAnsi="Arial"/>
          <w:sz w:val="17"/>
          <w:szCs w:val="17"/>
          <w:color w:val="auto"/>
        </w:rPr>
        <w:t>. Any amount due from Lessee to Lessor that is not paid when due shall bear interest at the maximum rate allowed by law (or, if there is no maximum rate, at ten percent per annum or the amount as provided for in the Indenture) compounded annually from the date such payment is due until paid, but the payment of such interest shall not excuse or cure the default in payment.</w:t>
      </w:r>
    </w:p>
    <w:p>
      <w:pPr>
        <w:spacing w:after="0" w:line="165" w:lineRule="exact"/>
        <w:rPr>
          <w:rFonts w:ascii="Arial" w:cs="Arial" w:eastAsia="Arial" w:hAnsi="Arial"/>
          <w:sz w:val="17"/>
          <w:szCs w:val="17"/>
          <w:color w:val="auto"/>
        </w:rPr>
      </w:pPr>
    </w:p>
    <w:p>
      <w:pPr>
        <w:jc w:val="both"/>
        <w:ind w:left="-656" w:firstLine="656"/>
        <w:spacing w:after="0" w:line="279" w:lineRule="auto"/>
        <w:tabs>
          <w:tab w:leader="none" w:pos="397"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person executing this Facilities Lease on behalf of Lessee personally warrants and represents unto Lessor that (a) (if applicable) Lessee is a duly organized and existing legal entity, in good standing in the State of Texas (b) Lessee has full right and authority to execute, deliver and perform this Facilities Lease, (c) the person executing this Facilities Lease on behalf of Lessee was authorized to do so and (d) upon request of Lessor, such person will deliver to Lessor satisfactory evidence of his or her authority to execute this Facilities Lease on behalf of Lessee.</w:t>
      </w:r>
    </w:p>
    <w:p>
      <w:pPr>
        <w:spacing w:after="0" w:line="171" w:lineRule="exact"/>
        <w:rPr>
          <w:rFonts w:ascii="Arial" w:cs="Arial" w:eastAsia="Arial" w:hAnsi="Arial"/>
          <w:sz w:val="17"/>
          <w:szCs w:val="17"/>
          <w:color w:val="auto"/>
        </w:rPr>
      </w:pPr>
    </w:p>
    <w:p>
      <w:pPr>
        <w:ind w:left="404" w:hanging="404"/>
        <w:spacing w:after="0"/>
        <w:tabs>
          <w:tab w:leader="none" w:pos="40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Exhibits A, B, C, D and E</w:t>
      </w:r>
      <w:r>
        <w:rPr>
          <w:rFonts w:ascii="Arial" w:cs="Arial" w:eastAsia="Arial" w:hAnsi="Arial"/>
          <w:sz w:val="18"/>
          <w:szCs w:val="18"/>
          <w:color w:val="auto"/>
        </w:rPr>
        <w:t xml:space="preserve"> hereto are incorporated herein for any and all purposes.</w:t>
      </w:r>
    </w:p>
    <w:p>
      <w:pPr>
        <w:spacing w:after="0" w:line="225" w:lineRule="exact"/>
        <w:rPr>
          <w:rFonts w:ascii="Arial" w:cs="Arial" w:eastAsia="Arial" w:hAnsi="Arial"/>
          <w:sz w:val="18"/>
          <w:szCs w:val="18"/>
          <w:color w:val="auto"/>
        </w:rPr>
      </w:pPr>
    </w:p>
    <w:p>
      <w:pPr>
        <w:jc w:val="both"/>
        <w:ind w:left="-656" w:firstLine="656"/>
        <w:spacing w:after="0" w:line="297" w:lineRule="auto"/>
        <w:tabs>
          <w:tab w:leader="none" w:pos="424"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Lessee shall be entitled to rely upon force majeure as an excuse for timely performance hereunder (except for the payment of Rent) and shall not be entitled to rely upon force majeure as an excuse for timely performance unless Lessee (a) uses its best efforts to overcome the effects of the event of force majeure, (b) gives written notice to Lessor within thirty (30) days after the occurrence of the event describing with reasonable particularity the nature thereof, (c) commences performance of its obligation hereunder immediately upon the cessation of the event and (d) gives written notice to Lessor within thirty (30) days after the cessation of the event advising Lessor of the date upon which the event ceased to constitute an event of force majeure.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Force Majeure</w:t>
      </w:r>
      <w:r>
        <w:rPr>
          <w:rFonts w:ascii="Arial" w:cs="Arial" w:eastAsia="Arial" w:hAnsi="Arial"/>
          <w:sz w:val="18"/>
          <w:szCs w:val="18"/>
          <w:color w:val="auto"/>
        </w:rPr>
        <w:t>” shall mean:</w:t>
      </w:r>
    </w:p>
    <w:p>
      <w:pPr>
        <w:spacing w:after="0" w:line="225" w:lineRule="exact"/>
        <w:rPr>
          <w:sz w:val="20"/>
          <w:szCs w:val="20"/>
          <w:color w:val="auto"/>
        </w:rPr>
      </w:pPr>
    </w:p>
    <w:p>
      <w:pPr>
        <w:ind w:left="-656" w:right="20" w:firstLine="656"/>
        <w:spacing w:after="0" w:line="277" w:lineRule="auto"/>
        <w:tabs>
          <w:tab w:leader="none" w:pos="44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acts of God, landslides, lightning, earthquakes, hurricanes, tornadoes, blizzards and other adverse and inclement weather, fires, explosions, floods, acts of public enemy, wars, blockades, insurrections, riots or civil disturbances;</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40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labor disputes, strikes, work slowdowns, or work stoppages but nothing herein contained shall require the party subject to such labor disputes, strikes, work slowdowns, or work stoppages to settle or otherwise resolve same;</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42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orders or judgments of any federal, state or local court, administrative agency or governmental body, if not the result of willful or negligent action of the party relying thereon;</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power failure and outages affecting the Bond Financed Property; and</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other similar cause or event, provided that the foregoing is beyond the reasonable control of the party claiming force majeure.</w:t>
      </w:r>
    </w:p>
    <w:p>
      <w:pPr>
        <w:sectPr>
          <w:pgSz w:w="11900" w:h="16838" w:orient="portrait"/>
          <w:cols w:equalWidth="0" w:num="1">
            <w:col w:w="10764"/>
          </w:cols>
          <w:pgMar w:left="896" w:top="800" w:right="239" w:bottom="1440" w:gutter="0" w:footer="0" w:header="0"/>
        </w:sectPr>
      </w:pPr>
    </w:p>
    <w:bookmarkStart w:id="363" w:name="page364"/>
    <w:bookmarkEnd w:id="363"/>
    <w:p>
      <w:pPr>
        <w:ind w:firstLine="648"/>
        <w:spacing w:after="0" w:line="277" w:lineRule="auto"/>
        <w:rPr>
          <w:sz w:val="20"/>
          <w:szCs w:val="20"/>
          <w:color w:val="auto"/>
        </w:rPr>
      </w:pPr>
      <w:r>
        <w:rPr>
          <w:rFonts w:ascii="Arial" w:cs="Arial" w:eastAsia="Arial" w:hAnsi="Arial"/>
          <w:sz w:val="18"/>
          <w:szCs w:val="18"/>
          <w:color w:val="auto"/>
        </w:rPr>
        <w:t>No Force Majeure event shall excuse performance for a period longer than ninety (90) days without consent of Lessor not to be unreasonably withheld. No Force Majeure shall excuse payments of Rent or other payment obligations.</w:t>
      </w:r>
    </w:p>
    <w:p>
      <w:pPr>
        <w:spacing w:after="0" w:line="170" w:lineRule="exact"/>
        <w:rPr>
          <w:sz w:val="20"/>
          <w:szCs w:val="20"/>
          <w:color w:val="auto"/>
        </w:rPr>
      </w:pPr>
    </w:p>
    <w:p>
      <w:pPr>
        <w:ind w:firstLine="656"/>
        <w:spacing w:after="0" w:line="277" w:lineRule="auto"/>
        <w:tabs>
          <w:tab w:leader="none" w:pos="116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Both Lessor and Lessee and their respective legal counsel have reviewed and have participated in the preparation of this Facilities Lease.</w:t>
      </w:r>
    </w:p>
    <w:p>
      <w:pPr>
        <w:spacing w:after="0" w:line="170" w:lineRule="exact"/>
        <w:rPr>
          <w:rFonts w:ascii="Arial" w:cs="Arial" w:eastAsia="Arial" w:hAnsi="Arial"/>
          <w:sz w:val="18"/>
          <w:szCs w:val="18"/>
          <w:color w:val="auto"/>
        </w:rPr>
      </w:pPr>
    </w:p>
    <w:p>
      <w:pPr>
        <w:ind w:firstLine="656"/>
        <w:spacing w:after="0" w:line="277" w:lineRule="auto"/>
        <w:tabs>
          <w:tab w:leader="none" w:pos="106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Facilities Lease may be executed in two or more counterparts, each of which shall be an original, but all of which shall constitute but one instrument.</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Facilities Lease does not and is not intended to confer any rights or remedies upon any person other than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this 7th day of March, 2016.</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PORT OF BEAUMONT NAVIGATION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DISTRICT OF JEFFERSON COUNTY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TEXAS</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C. Fisher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David C. Fisher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Port Director, CEO</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this 7th day of March, 2016.</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JEFFERSON RAILPORT TERMINAL II LLC</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Alfred Salazar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Alfred Salazar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420"/>
          </w:cols>
          <w:pgMar w:left="240" w:top="584" w:right="239" w:bottom="1440" w:gutter="0" w:footer="0" w:header="0"/>
        </w:sectPr>
      </w:pPr>
    </w:p>
    <w:bookmarkStart w:id="364" w:name="page365"/>
    <w:bookmarkEnd w:id="364"/>
    <w:p>
      <w:pPr>
        <w:jc w:val="center"/>
        <w:ind w:right="-640"/>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Facilities Lease 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be attached only if, and after, the remarketing of the Series 2016 Bonds as Fixed Rate Bonds.]</w:t>
      </w:r>
    </w:p>
    <w:p>
      <w:pPr>
        <w:sectPr>
          <w:pgSz w:w="11900" w:h="16838" w:orient="portrait"/>
          <w:cols w:equalWidth="0" w:num="1">
            <w:col w:w="9019"/>
          </w:cols>
          <w:pgMar w:left="1440" w:top="584" w:right="1440" w:bottom="1440" w:gutter="0" w:footer="0" w:header="0"/>
        </w:sectPr>
      </w:pPr>
    </w:p>
    <w:bookmarkStart w:id="365" w:name="page366"/>
    <w:bookmarkEnd w:id="365"/>
    <w:p>
      <w:pPr>
        <w:jc w:val="center"/>
        <w:ind w:left="660"/>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Development Obligations</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w:t>
      </w:r>
      <w:r>
        <w:rPr>
          <w:rFonts w:ascii="Arial" w:cs="Arial" w:eastAsia="Arial" w:hAnsi="Arial"/>
          <w:sz w:val="16"/>
          <w:szCs w:val="16"/>
          <w:i w:val="1"/>
          <w:iCs w:val="1"/>
          <w:u w:val="single" w:color="auto"/>
          <w:color w:val="auto"/>
        </w:rPr>
        <w:t>Exhibit E</w:t>
      </w:r>
      <w:r>
        <w:rPr>
          <w:rFonts w:ascii="Arial" w:cs="Arial" w:eastAsia="Arial" w:hAnsi="Arial"/>
          <w:sz w:val="16"/>
          <w:szCs w:val="16"/>
          <w:color w:val="auto"/>
        </w:rPr>
        <w:t>, the following terms shall have the following meanings: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with respect to the Series 2016 Bonds, the Internal Revenue Code of 1986, as amended or such other successor federal income tax law, to the extent applicable.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Lessee’s Tax Certificate</w:t>
      </w:r>
      <w:r>
        <w:rPr>
          <w:rFonts w:ascii="Arial" w:cs="Arial" w:eastAsia="Arial" w:hAnsi="Arial"/>
          <w:sz w:val="18"/>
          <w:szCs w:val="18"/>
          <w:color w:val="auto"/>
        </w:rPr>
        <w:t>” means the certificate signed by Lessee relating to representations and covenants concerning the tax exemption of the Series 2016 Bonds.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 xml:space="preserve">” means (a) the Existing Property, as more fully described in </w:t>
      </w:r>
      <w:r>
        <w:rPr>
          <w:rFonts w:ascii="Arial" w:cs="Arial" w:eastAsia="Arial" w:hAnsi="Arial"/>
          <w:sz w:val="18"/>
          <w:szCs w:val="18"/>
          <w:i w:val="1"/>
          <w:iCs w:val="1"/>
          <w:u w:val="single" w:color="auto"/>
          <w:color w:val="auto"/>
        </w:rPr>
        <w:t>Exhibit B</w:t>
      </w:r>
      <w:r>
        <w:rPr>
          <w:rFonts w:ascii="Arial" w:cs="Arial" w:eastAsia="Arial" w:hAnsi="Arial"/>
          <w:sz w:val="18"/>
          <w:szCs w:val="18"/>
          <w:color w:val="auto"/>
        </w:rPr>
        <w:t xml:space="preserve"> to the Facilities Lease, and (b) the New Property as more fully described in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xml:space="preserve"> to the Facilities Lease, which are financed with proceeds of the Series 2016 Bonds.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Costs</w:t>
      </w:r>
      <w:r>
        <w:rPr>
          <w:rFonts w:ascii="Arial" w:cs="Arial" w:eastAsia="Arial" w:hAnsi="Arial"/>
          <w:sz w:val="18"/>
          <w:szCs w:val="18"/>
          <w:color w:val="auto"/>
        </w:rPr>
        <w:t>” means to the extent authorized or not prohibited by the Code, the Regulations, the Lessee’s Tax Certificate, and other applicable law, all costs reasonably incurred by the Lessor or the Lessee to construct the Existing Property and to acquire, construct, complete and install the New Property, whether paid or incurred prior to or after the date of the Facilities Lease; the Lessor’s and Trustee’s charges and expenses in connection with issuance of the Series 2016 Bonds.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Project Fund</w:t>
      </w:r>
      <w:r>
        <w:rPr>
          <w:rFonts w:ascii="Arial" w:cs="Arial" w:eastAsia="Arial" w:hAnsi="Arial"/>
          <w:sz w:val="17"/>
          <w:szCs w:val="17"/>
          <w:color w:val="auto"/>
        </w:rPr>
        <w:t>” means the special fund established in the name of the Lessor with the Trustee pursuant to Section 4.06 of the Indenture.</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Regulations</w:t>
      </w:r>
      <w:r>
        <w:rPr>
          <w:rFonts w:ascii="Arial" w:cs="Arial" w:eastAsia="Arial" w:hAnsi="Arial"/>
          <w:sz w:val="18"/>
          <w:szCs w:val="18"/>
          <w:color w:val="auto"/>
        </w:rPr>
        <w:t>” means the applicable proposed, temporary or final Income Tax Regulations promulgated under the Code, as such regulations may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trustee at the time serving as such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Approvals and Permits</w:t>
      </w:r>
      <w:r>
        <w:rPr>
          <w:rFonts w:ascii="Arial" w:cs="Arial" w:eastAsia="Arial" w:hAnsi="Arial"/>
          <w:sz w:val="18"/>
          <w:szCs w:val="18"/>
          <w:color w:val="auto"/>
        </w:rPr>
        <w:t>. Lessee has obtained or will obtain all licenses and permits necessary with respect to any acquisition, construction, reconstruction, improvement, expansion, or operation, as the case may be, of the New Property and all necessary approvals from any governmental bodies or agencies having jurisdiction in connection therewith.</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Changes in the Plans and Specifications</w:t>
      </w:r>
      <w:r>
        <w:rPr>
          <w:rFonts w:ascii="Arial" w:cs="Arial" w:eastAsia="Arial" w:hAnsi="Arial"/>
          <w:sz w:val="17"/>
          <w:szCs w:val="17"/>
          <w:color w:val="auto"/>
        </w:rPr>
        <w:t>. Any changes to the plans and specifications for the New Property after the Effective Date shall be approved prior to the commencement of construction of such changes to the New Property, by a duly authorized officer of Lessee and Lessor and Lessee may not make changes in, additions to, or deletions from the plans and specifications unless (a) the New Property shall continue to constitute facilities of the type that may be financed by Lessor under applicable law, (b) any required approvals of such changes, additions, or deletions have been obtained from any governmental bodies or agencies having jurisdiction, (c) Lessee shall have received the written approval of Lessor with respect to any such changes, additions or deletions (which approval may be granted or withheld in the discretion of the Lessor not to be unreasonably withheld), and (d) Lessor, at Lessor's expense, receives a Tax Opinion (as defined in the Indenture).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Disbursements of the 2016 Bond Proceeds</w:t>
      </w:r>
      <w:r>
        <w:rPr>
          <w:rFonts w:ascii="Arial" w:cs="Arial" w:eastAsia="Arial" w:hAnsi="Arial"/>
          <w:sz w:val="18"/>
          <w:szCs w:val="18"/>
          <w:color w:val="auto"/>
        </w:rPr>
        <w:t>. The proceeds received from the sale of the Series 2016 Bonds shall be applied in accordance with the Indenture and as follows. The Lessor shall not request disbursement by the Trustee of proceeds received from the sale of the Series 2016 Bonds for any New Property unless:</w:t>
      </w:r>
    </w:p>
    <w:p>
      <w:pPr>
        <w:spacing w:after="0" w:line="208" w:lineRule="exact"/>
        <w:rPr>
          <w:sz w:val="20"/>
          <w:szCs w:val="20"/>
          <w:color w:val="auto"/>
        </w:rPr>
      </w:pPr>
    </w:p>
    <w:p>
      <w:pPr>
        <w:jc w:val="both"/>
        <w:ind w:left="660" w:firstLine="645"/>
        <w:spacing w:after="0" w:line="306" w:lineRule="auto"/>
        <w:tabs>
          <w:tab w:leader="none" w:pos="215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guaranteed maximum price construction contract with respect to the New Property covered by such disbursal shall have been executed (including a contractor completion guaranty with a contractor of good reputation and ability) and such contract shall provide for draws against milestones approved by the Lessor in its sole discretion. Such construction contract will be collaterally assigned to the Trustee pursuant to the Jefferson Deed of Trust.</w:t>
      </w:r>
    </w:p>
    <w:p>
      <w:pPr>
        <w:spacing w:after="0" w:line="186" w:lineRule="exact"/>
        <w:rPr>
          <w:rFonts w:ascii="Arial" w:cs="Arial" w:eastAsia="Arial" w:hAnsi="Arial"/>
          <w:sz w:val="18"/>
          <w:szCs w:val="18"/>
          <w:color w:val="auto"/>
        </w:rPr>
      </w:pPr>
    </w:p>
    <w:p>
      <w:pPr>
        <w:jc w:val="both"/>
        <w:ind w:firstLine="1305"/>
        <w:spacing w:after="0" w:line="346" w:lineRule="auto"/>
        <w:tabs>
          <w:tab w:leader="none" w:pos="215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capital budget for the construction of the New Property is in balance and will remain in balance after such disbursement - in other words, after disbursement of any requested amount, the sum of all disbursements made for New Property shall not exceed the total of the construction costs set forth in the capital budget for all such New Property for which disbursements have been made, and Lessee shall have certified in writing to Lessor that Lessee expects that the construction of all New Property will be completed for the balance of the proceeds received from the sale of the Series 2016 Bonds together with its funds on hand or available from committed sources. Lessor may refuse to approve any disbursement request for New Property if the capital budget is or will not be in balance, unless Lessee either (i) pays Project Costs from sources other than the proceeds</w:t>
      </w:r>
    </w:p>
    <w:p>
      <w:pPr>
        <w:sectPr>
          <w:pgSz w:w="11900" w:h="16838" w:orient="portrait"/>
          <w:cols w:equalWidth="0" w:num="1">
            <w:col w:w="11420"/>
          </w:cols>
          <w:pgMar w:left="240" w:top="584" w:right="239" w:bottom="1440" w:gutter="0" w:footer="0" w:header="0"/>
        </w:sectPr>
      </w:pPr>
    </w:p>
    <w:bookmarkStart w:id="366" w:name="page367"/>
    <w:bookmarkEnd w:id="366"/>
    <w:p>
      <w:pPr>
        <w:jc w:val="both"/>
        <w:spacing w:after="0" w:line="321" w:lineRule="auto"/>
        <w:rPr>
          <w:sz w:val="20"/>
          <w:szCs w:val="20"/>
          <w:color w:val="auto"/>
        </w:rPr>
      </w:pPr>
      <w:r>
        <w:rPr>
          <w:rFonts w:ascii="Arial" w:cs="Arial" w:eastAsia="Arial" w:hAnsi="Arial"/>
          <w:sz w:val="17"/>
          <w:szCs w:val="17"/>
          <w:color w:val="auto"/>
        </w:rPr>
        <w:t>received from the sale of the Series 2016 Bonds in an amount sufficient to bring the capital budget for the construction of the New Property back in balance (and provides paid receipts or releases to Lessor as evidence of such payment) or (ii) revises the capital budget for the construction of the New Property in a manner that brings the capital budget for the construction of the New Property back in balance, which may include revising the scope and/or features of the New Property, and such revised budget is approved by the Lessor in its sole discretion. If the revisions to the capital budget would reduce the scope, features, amount or type of New Property to be constructed, then when any such reduction is submitted to Lessor for approval, it shall be accompanied by a certification from a senior officer of Lessee that such reduction will not result in a reduction of the projected operating income from the Project that would materially impair Lessee’s ability to pay its operating expenses, including without limitation rent under the Ground Lease and Rent pursuant to the Facilities Lease or adversely affect the tax-exempt status of interest on the Bonds.</w:t>
      </w:r>
    </w:p>
    <w:p>
      <w:pPr>
        <w:spacing w:after="0" w:line="177" w:lineRule="exact"/>
        <w:rPr>
          <w:sz w:val="20"/>
          <w:szCs w:val="20"/>
          <w:color w:val="auto"/>
        </w:rPr>
      </w:pPr>
    </w:p>
    <w:p>
      <w:pPr>
        <w:jc w:val="both"/>
        <w:ind w:firstLine="1305"/>
        <w:spacing w:after="0" w:line="329" w:lineRule="auto"/>
        <w:tabs>
          <w:tab w:leader="none" w:pos="214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Each disbursement request shall have been approved by an independent construction monitor engaged and paid for by Lessee, and approved by Lessor in its sole discretion. The construction monitor hired for the POB I project by the holders of the Series 2012 Bonds previously issued by Lessor is deemed approved. The independent construction monitor’s approval shall include a representation that the Project is on budget and that the capital budget for the construction of the New Property is in balance and will remain in balance after such disbursement.</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Inspection of the Project</w:t>
      </w:r>
      <w:r>
        <w:rPr>
          <w:rFonts w:ascii="Arial" w:cs="Arial" w:eastAsia="Arial" w:hAnsi="Arial"/>
          <w:sz w:val="18"/>
          <w:szCs w:val="18"/>
          <w:color w:val="auto"/>
        </w:rPr>
        <w:t>. Lessee agrees that Lessor, the Trustee and their duly authorized agents may, at reasonable times as reasonably determined by Lessee, enter upon the Site and examine and inspect the Existing Property, the New Property, and the Project and, upon the occurrence of an Event of Default, the books and records of Lessee that relate to the New Property and Project.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Nonsectarian Use of the Project</w:t>
      </w:r>
      <w:r>
        <w:rPr>
          <w:rFonts w:ascii="Arial" w:cs="Arial" w:eastAsia="Arial" w:hAnsi="Arial"/>
          <w:sz w:val="16"/>
          <w:szCs w:val="16"/>
          <w:color w:val="auto"/>
        </w:rPr>
        <w:t xml:space="preserve">. Lessee and Lessor intend that the Facilities Lease and use of the 2016 Bond proceeds and all other transactions provided for in the Facilities Lease be made in strict compliance with all applicable law and constitutional provisions of the United States and the State. Accordingly, Lessee agrees that to the full extent required from time to time by applicable law and constitutional provisions of the United States and the State in order for the lease to Lessee and all other transactions provided for in the Facilities Lease to be made and effected in compliance with such laws and constitutional provisions: (a) no part of the Project financed in whole or in part with proceeds of the Series 2016 Bonds shall be used for sectarian instruction or as a place of religious worship; (b) notwithstanding the payment in full of the Series 2016 Bonds, and notwithstanding the termination of the Facilities Lease, each such part of the Project will continue to be subject to the restrictions set out in clause (a)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for so long as it is leased or used by Lessee, or any voluntary grantee of Lessee, provided, the continuance of such restriction is necessary to preserve the exemption from federal income taxation of interest on the Series 2016 Bonds under the Code. Provided, however, that to any extent that a restriction or agreement set out in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at any time not be required in order for the lease to Lessee and all other transactions provided for in the Facilities Lease to be made and effected in compliance with applicable constitutional provisions of the United States and the State, such restriction or agreement shall, to that extent and without necessary action by any party, be without any force or effect; and provided further, that in no event shall such restriction or agreement set out in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 more expansive than required by an applicable constitutional provision.</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Project Fund</w:t>
      </w:r>
      <w:r>
        <w:rPr>
          <w:rFonts w:ascii="Arial" w:cs="Arial" w:eastAsia="Arial" w:hAnsi="Arial"/>
          <w:sz w:val="16"/>
          <w:szCs w:val="16"/>
          <w:color w:val="auto"/>
        </w:rPr>
        <w:t xml:space="preserve"> . If the moneys in the Project Fund available for the payment of the Project Costs are not sufficient to pay the Project Costs in full, Lessee agrees that Lessee shall be responsible to pay all the Project Costs in excess of the moneys available therefor in the Project Fund from its own funds. Lessor does not make any warranty, either express or implied, that the moneys paid into the Project Fund and available for payment of the Project Costs will be sufficient to reimburse Lessee for all Project Costs; Lessor shall have no obligation to complete Project or to guarantee completion of the Project. Lessee agrees that if, after exhaustion of the moneys in the Project Fund, Lessee directly pays all Project Costs pursuant to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it shall not be entitled to any diminution or abatement of the Rent or any other amounts payable under the Facilities Lease.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Procedure Upon Completion of Project</w:t>
      </w:r>
      <w:r>
        <w:rPr>
          <w:rFonts w:ascii="Arial" w:cs="Arial" w:eastAsia="Arial" w:hAnsi="Arial"/>
          <w:sz w:val="17"/>
          <w:szCs w:val="17"/>
          <w:color w:val="auto"/>
        </w:rPr>
        <w:t>. Promptly upon completion of the Project, Lessee shall furnish to the Trustee and Lessor its certificate showing such completion and the date thereof (“</w:t>
      </w:r>
      <w:r>
        <w:rPr>
          <w:rFonts w:ascii="Arial" w:cs="Arial" w:eastAsia="Arial" w:hAnsi="Arial"/>
          <w:sz w:val="17"/>
          <w:szCs w:val="17"/>
          <w:b w:val="1"/>
          <w:bCs w:val="1"/>
          <w:i w:val="1"/>
          <w:iCs w:val="1"/>
          <w:color w:val="auto"/>
        </w:rPr>
        <w:t>Completion Date</w:t>
      </w:r>
      <w:r>
        <w:rPr>
          <w:rFonts w:ascii="Arial" w:cs="Arial" w:eastAsia="Arial" w:hAnsi="Arial"/>
          <w:sz w:val="17"/>
          <w:szCs w:val="17"/>
          <w:color w:val="auto"/>
        </w:rPr>
        <w:t>”), and certifying that all construction has been completed in accordance with the Plans and Specifications relating thereto and in accordance with the requirements necessary to fulfill the assumptions regarding useful life contained in the Engineer’s Report. In addition, Lessee shall deliver to Lessor one complete set of as-built plans and specification for the New Property, certified as accurate by Lessee and its general contractor(s); one record set of “</w:t>
      </w:r>
      <w:r>
        <w:rPr>
          <w:rFonts w:ascii="Arial" w:cs="Arial" w:eastAsia="Arial" w:hAnsi="Arial"/>
          <w:sz w:val="17"/>
          <w:szCs w:val="17"/>
          <w:i w:val="1"/>
          <w:iCs w:val="1"/>
          <w:color w:val="auto"/>
        </w:rPr>
        <w:t>as built</w:t>
      </w:r>
      <w:r>
        <w:rPr>
          <w:rFonts w:ascii="Arial" w:cs="Arial" w:eastAsia="Arial" w:hAnsi="Arial"/>
          <w:sz w:val="17"/>
          <w:szCs w:val="17"/>
          <w:color w:val="auto"/>
        </w:rPr>
        <w:t>” specifications legibly marked so as to indicate the manufacturer, trade name, catalog number, and supplier of each product and item of equipment actually installed; one hard copy and one electronic copy on CD of all operating instructions and maintenance recommendations for all New Equipment, including, without limitation, a printed parts list for all items that might be subject to replacement, including all information necessary to operate and make full and efficient use of all New Equipment and to perform such maintenance and servicing as would ordinarily be done by a prudent owner; all written guarantees and warranties relating to the New Equipment; and an affidavit of bills paid substantially in the form of AIA Document G706 executed by each Contractor and any other subcontractor that Lessor requires, together with appropriate final unconditional lien waivers.</w:t>
      </w:r>
    </w:p>
    <w:p>
      <w:pPr>
        <w:sectPr>
          <w:pgSz w:w="11900" w:h="16838" w:orient="portrait"/>
          <w:cols w:equalWidth="0" w:num="1">
            <w:col w:w="11420"/>
          </w:cols>
          <w:pgMar w:left="240" w:top="611" w:right="2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22"/>
          <w:szCs w:val="22"/>
          <w:b w:val="1"/>
          <w:bCs w:val="1"/>
          <w:color w:val="auto"/>
        </w:rPr>
        <w:t>Exhibit 10.12</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NOTICE OF CONFIDENTIALITY RIGHTS: IF YOU ARE A NATURAL PERSON, YOU MAY REMOVE OR STRIKE ANY OF THE FOLLOWING INFORMATION FROM THIS INSTRUMENT BEFORE IT IS FILED FOR RECORD IN THE PUBLIC RECORDS: YOUR SOCIAL SECURITY NUMBER OR YOUR DRIVER’S LICENSE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LEASEHOLD DEED OF TRUST AND SECURITY AGREEMENT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From</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JEFFERSON RAILPORT TERMINAL II LLC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Grantor</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To</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CARLTON G. MORGAN</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Deed of Trust Trustee for the benefit of</w:t>
      </w:r>
    </w:p>
    <w:p>
      <w:pPr>
        <w:spacing w:after="0" w:line="200" w:lineRule="exact"/>
        <w:rPr>
          <w:sz w:val="20"/>
          <w:szCs w:val="20"/>
          <w:color w:val="auto"/>
        </w:rPr>
      </w:pP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BANK OF NEW YORK MELLON TRUST COMPANY, NATIONAL ASSOCIATION</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as Beneficiary</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___________________________________</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7, 2016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 Premises in: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Jefferson County, Texas</w:t>
      </w:r>
    </w:p>
    <w:p>
      <w:pPr>
        <w:spacing w:after="0" w:line="25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___________________________________</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After recording, please return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Trust Company, National Association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601 Travis Street, Floor 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Attention: Corporate Trust Department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LEASEHOLD DEED OF TRUST SECURES FUTURE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368" w:name="page369"/>
    <w:bookmarkEnd w:id="368"/>
    <w:p>
      <w:pPr>
        <w:spacing w:after="0"/>
        <w:tabs>
          <w:tab w:leader="none" w:pos="2440" w:val="left"/>
        </w:tabs>
        <w:rPr>
          <w:sz w:val="20"/>
          <w:szCs w:val="20"/>
          <w:color w:val="auto"/>
        </w:rPr>
      </w:pPr>
      <w:r>
        <w:rPr>
          <w:rFonts w:ascii="Arial" w:cs="Arial" w:eastAsia="Arial" w:hAnsi="Arial"/>
          <w:sz w:val="22"/>
          <w:szCs w:val="22"/>
          <w:b w:val="1"/>
          <w:bCs w:val="1"/>
          <w:color w:val="auto"/>
        </w:rPr>
        <w:t>STATE OF TEXAS</w:t>
      </w:r>
      <w:r>
        <w:rPr>
          <w:sz w:val="20"/>
          <w:szCs w:val="20"/>
          <w:color w:val="auto"/>
        </w:rPr>
        <w:tab/>
      </w:r>
      <w:r>
        <w:rPr>
          <w:rFonts w:ascii="Arial" w:cs="Arial" w:eastAsia="Arial" w:hAnsi="Arial"/>
          <w:sz w:val="22"/>
          <w:szCs w:val="22"/>
          <w:b w:val="1"/>
          <w:bCs w:val="1"/>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b w:val="1"/>
          <w:bCs w:val="1"/>
          <w:color w:val="auto"/>
        </w:rPr>
        <w:t>COUNTY OF JEFFERSON</w:t>
        <w:tab/>
        <w:t>)</w:t>
      </w:r>
    </w:p>
    <w:p>
      <w:pPr>
        <w:spacing w:after="0" w:line="196"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LEASEHOLD DEED OF TRUST AND SECURITY AGREEMENT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LEASEHOLD DEED OF TRUST AND SECURITY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Deed of Trust</w:t>
      </w:r>
      <w:r>
        <w:rPr>
          <w:rFonts w:ascii="Arial" w:cs="Arial" w:eastAsia="Arial" w:hAnsi="Arial"/>
          <w:sz w:val="19"/>
          <w:szCs w:val="19"/>
          <w:color w:val="auto"/>
        </w:rPr>
        <w:t>”) is dated as of March 7,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by </w:t>
      </w:r>
      <w:r>
        <w:rPr>
          <w:rFonts w:ascii="Arial" w:cs="Arial" w:eastAsia="Arial" w:hAnsi="Arial"/>
          <w:sz w:val="19"/>
          <w:szCs w:val="19"/>
          <w:b w:val="1"/>
          <w:bCs w:val="1"/>
          <w:color w:val="auto"/>
        </w:rPr>
        <w:t>JEFFERSON RAILPORT TERMINAL II LLC,</w:t>
      </w:r>
      <w:r>
        <w:rPr>
          <w:rFonts w:ascii="Arial" w:cs="Arial" w:eastAsia="Arial" w:hAnsi="Arial"/>
          <w:sz w:val="19"/>
          <w:szCs w:val="19"/>
          <w:color w:val="auto"/>
        </w:rPr>
        <w:t xml:space="preserve"> a Delaware limited liability company (the “</w:t>
      </w:r>
      <w:r>
        <w:rPr>
          <w:rFonts w:ascii="Arial" w:cs="Arial" w:eastAsia="Arial" w:hAnsi="Arial"/>
          <w:sz w:val="19"/>
          <w:szCs w:val="19"/>
          <w:u w:val="single" w:color="auto"/>
          <w:color w:val="auto"/>
        </w:rPr>
        <w:t>Grantor</w:t>
      </w:r>
      <w:r>
        <w:rPr>
          <w:rFonts w:ascii="Arial" w:cs="Arial" w:eastAsia="Arial" w:hAnsi="Arial"/>
          <w:sz w:val="19"/>
          <w:szCs w:val="19"/>
          <w:color w:val="auto"/>
        </w:rPr>
        <w:t xml:space="preserve">”) having its chief executive office at c/o Jefferson Energy Companies, 9595 Six Pines Drive, Suite 6370, The Woodlands, TX 77380 in favor of </w:t>
      </w:r>
      <w:r>
        <w:rPr>
          <w:rFonts w:ascii="Arial" w:cs="Arial" w:eastAsia="Arial" w:hAnsi="Arial"/>
          <w:sz w:val="19"/>
          <w:szCs w:val="19"/>
          <w:b w:val="1"/>
          <w:bCs w:val="1"/>
          <w:color w:val="auto"/>
        </w:rPr>
        <w:t>CARLTON G. MORGAN</w:t>
      </w:r>
      <w:r>
        <w:rPr>
          <w:rFonts w:ascii="Arial" w:cs="Arial" w:eastAsia="Arial" w:hAnsi="Arial"/>
          <w:sz w:val="19"/>
          <w:szCs w:val="19"/>
          <w:color w:val="auto"/>
        </w:rPr>
        <w:t>, as trustee herein (hereinafter referred to in such capacity as “</w:t>
      </w:r>
      <w:r>
        <w:rPr>
          <w:rFonts w:ascii="Arial" w:cs="Arial" w:eastAsia="Arial" w:hAnsi="Arial"/>
          <w:sz w:val="19"/>
          <w:szCs w:val="19"/>
          <w:u w:val="single" w:color="auto"/>
          <w:color w:val="auto"/>
        </w:rPr>
        <w:t>Deed of Trust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having an address for notice at 601 Travis Street, Floor 16, Houston, Texas 77002 for the benefit of </w:t>
      </w:r>
      <w:r>
        <w:rPr>
          <w:rFonts w:ascii="Arial" w:cs="Arial" w:eastAsia="Arial" w:hAnsi="Arial"/>
          <w:sz w:val="19"/>
          <w:szCs w:val="19"/>
          <w:b w:val="1"/>
          <w:bCs w:val="1"/>
          <w:color w:val="auto"/>
        </w:rPr>
        <w:t>THE BANK OF</w:t>
      </w:r>
      <w:r>
        <w:rPr>
          <w:rFonts w:ascii="Arial" w:cs="Arial" w:eastAsia="Arial" w:hAnsi="Arial"/>
          <w:sz w:val="19"/>
          <w:szCs w:val="19"/>
          <w:color w:val="auto"/>
        </w:rPr>
        <w:t xml:space="preserve"> </w:t>
      </w:r>
      <w:r>
        <w:rPr>
          <w:rFonts w:ascii="Arial" w:cs="Arial" w:eastAsia="Arial" w:hAnsi="Arial"/>
          <w:sz w:val="19"/>
          <w:szCs w:val="19"/>
          <w:b w:val="1"/>
          <w:bCs w:val="1"/>
          <w:color w:val="auto"/>
        </w:rPr>
        <w:t>NEW YORK MELLON TRUST COMPANY, NATIONAL ASSOCIATION</w:t>
      </w:r>
      <w:r>
        <w:rPr>
          <w:rFonts w:ascii="Arial" w:cs="Arial" w:eastAsia="Arial" w:hAnsi="Arial"/>
          <w:sz w:val="19"/>
          <w:szCs w:val="19"/>
          <w:color w:val="auto"/>
        </w:rPr>
        <w:t>, a national banking association, as trustee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Indenture (defined below) (hereinafter referred to in such capacity as the “</w:t>
      </w:r>
      <w:r>
        <w:rPr>
          <w:rFonts w:ascii="Arial" w:cs="Arial" w:eastAsia="Arial" w:hAnsi="Arial"/>
          <w:sz w:val="19"/>
          <w:szCs w:val="19"/>
          <w:u w:val="single" w:color="auto"/>
          <w:color w:val="auto"/>
        </w:rPr>
        <w:t>Beneficiary</w:t>
      </w:r>
      <w:r>
        <w:rPr>
          <w:rFonts w:ascii="Arial" w:cs="Arial" w:eastAsia="Arial" w:hAnsi="Arial"/>
          <w:sz w:val="19"/>
          <w:szCs w:val="19"/>
          <w:color w:val="auto"/>
        </w:rPr>
        <w:t>”), whose address for notice hereunder is 601 Travis Street, Floor 16, Houston, Texas 77002, Attention: Corporate Trust Department, for the benefit of Trustee (as defined in the Indenture) and the Holders of the Bonds (as defined in the Indenture) (collectively, the “</w:t>
      </w:r>
      <w:r>
        <w:rPr>
          <w:rFonts w:ascii="Arial" w:cs="Arial" w:eastAsia="Arial" w:hAnsi="Arial"/>
          <w:sz w:val="19"/>
          <w:szCs w:val="19"/>
          <w:u w:val="single" w:color="auto"/>
          <w:color w:val="auto"/>
        </w:rPr>
        <w:t>Secured Parties</w:t>
      </w:r>
      <w:r>
        <w:rPr>
          <w:rFonts w:ascii="Arial" w:cs="Arial" w:eastAsia="Arial" w:hAnsi="Arial"/>
          <w:sz w:val="19"/>
          <w:szCs w:val="19"/>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w:t>
      </w:r>
    </w:p>
    <w:p>
      <w:pPr>
        <w:spacing w:after="0" w:line="226"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This Deed of Trust is being delivered and accepted by Beneficiary to grant a deed of trust lien and security interest on the Grantors interest under the Mortgaged Leases to secure the Obligations as described below.</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The Port of Beaumont Navigation District of Jefferson County, Texas (the “</w:t>
      </w:r>
      <w:r>
        <w:rPr>
          <w:rFonts w:ascii="Arial" w:cs="Arial" w:eastAsia="Arial" w:hAnsi="Arial"/>
          <w:sz w:val="22"/>
          <w:szCs w:val="22"/>
          <w:u w:val="single" w:color="auto"/>
          <w:color w:val="auto"/>
        </w:rPr>
        <w:t>District</w:t>
      </w:r>
      <w:r>
        <w:rPr>
          <w:rFonts w:ascii="Arial" w:cs="Arial" w:eastAsia="Arial" w:hAnsi="Arial"/>
          <w:sz w:val="22"/>
          <w:szCs w:val="22"/>
          <w:color w:val="auto"/>
        </w:rPr>
        <w:t>”) was organized, created and established pursuant to the Constitution and the laws of the State of Texas as a conservation and reclamation district under Article XVI, Section 59, of the Texas Constitution, and pursuant to Chapter 147, Acts of the 51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Legislature of Texas, Regular Session, 1949, as amended (the “</w:t>
      </w:r>
      <w:r>
        <w:rPr>
          <w:rFonts w:ascii="Arial" w:cs="Arial" w:eastAsia="Arial" w:hAnsi="Arial"/>
          <w:sz w:val="22"/>
          <w:szCs w:val="22"/>
          <w:u w:val="single" w:color="auto"/>
          <w:color w:val="auto"/>
        </w:rPr>
        <w:t>Enabling Act</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District proposes to finance improvements to the port facilities of the District; and</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District has determined that it is appropriate that it issue its Dock and Wharf Facility Revenue Bonds, Series 2016 (Jefferson Energy Companies Project) (the “</w:t>
      </w:r>
      <w:r>
        <w:rPr>
          <w:rFonts w:ascii="Arial" w:cs="Arial" w:eastAsia="Arial" w:hAnsi="Arial"/>
          <w:sz w:val="21"/>
          <w:szCs w:val="21"/>
          <w:u w:val="single" w:color="auto"/>
          <w:color w:val="auto"/>
        </w:rPr>
        <w:t>Series 2016 Bonds</w:t>
      </w:r>
      <w:r>
        <w:rPr>
          <w:rFonts w:ascii="Arial" w:cs="Arial" w:eastAsia="Arial" w:hAnsi="Arial"/>
          <w:sz w:val="21"/>
          <w:szCs w:val="21"/>
          <w:color w:val="auto"/>
        </w:rPr>
        <w:t>”) to (i) reimburse and pay Jefferson Railport Terminal II LLC, a Delaware limited liability company, Grantor herein, for the development, construction and acquisition of certain facilities for the transport, loading, unloading and storage of petroleum products; (ii) pay capitalized interest during construction and (iii) pay certain costs of issuance of the Series 2016 Bonds (collectively, the “</w:t>
      </w:r>
      <w:r>
        <w:rPr>
          <w:rFonts w:ascii="Arial" w:cs="Arial" w:eastAsia="Arial" w:hAnsi="Arial"/>
          <w:sz w:val="21"/>
          <w:szCs w:val="21"/>
          <w:u w:val="single" w:color="auto"/>
          <w:color w:val="auto"/>
        </w:rPr>
        <w:t>Project</w:t>
      </w:r>
      <w:r>
        <w:rPr>
          <w:rFonts w:ascii="Arial" w:cs="Arial" w:eastAsia="Arial" w:hAnsi="Arial"/>
          <w:sz w:val="21"/>
          <w:szCs w:val="21"/>
          <w:color w:val="auto"/>
        </w:rPr>
        <w:t>”).</w:t>
      </w:r>
    </w:p>
    <w:p>
      <w:pPr>
        <w:spacing w:after="0" w:line="3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Certain improvements have been constructed by Grantor on behalf of the District, on property leased to Grantor by the District pursuant to an Agreement and Lease, dated August 27, 2013 and subsequently amended by an Amendment to Agreement and Lease, dated December 30, 2013 and a Second Amendment to Agreement and Lease, dated October 27, 2016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Lease</w:t>
      </w:r>
      <w:r>
        <w:rPr>
          <w:rFonts w:ascii="Arial" w:cs="Arial" w:eastAsia="Arial" w:hAnsi="Arial"/>
          <w:sz w:val="19"/>
          <w:szCs w:val="19"/>
          <w:color w:val="auto"/>
        </w:rPr>
        <w:t>”) and a First Amended and Restated Lease Agreement dated as February 1, 2016 (together with the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369" w:name="page370"/>
    <w:bookmarkEnd w:id="369"/>
    <w:p>
      <w:pPr>
        <w:jc w:val="both"/>
        <w:spacing w:after="0" w:line="263" w:lineRule="auto"/>
        <w:rPr>
          <w:sz w:val="20"/>
          <w:szCs w:val="20"/>
          <w:color w:val="auto"/>
        </w:rPr>
      </w:pPr>
      <w:r>
        <w:rPr>
          <w:rFonts w:ascii="Arial" w:cs="Arial" w:eastAsia="Arial" w:hAnsi="Arial"/>
          <w:sz w:val="22"/>
          <w:szCs w:val="22"/>
          <w:color w:val="auto"/>
        </w:rPr>
        <w:t>Original Lease, the “</w:t>
      </w:r>
      <w:r>
        <w:rPr>
          <w:rFonts w:ascii="Arial" w:cs="Arial" w:eastAsia="Arial" w:hAnsi="Arial"/>
          <w:sz w:val="22"/>
          <w:szCs w:val="22"/>
          <w:u w:val="single" w:color="auto"/>
          <w:color w:val="auto"/>
        </w:rPr>
        <w:t>Ground Lease</w:t>
      </w:r>
      <w:r>
        <w:rPr>
          <w:rFonts w:ascii="Arial" w:cs="Arial" w:eastAsia="Arial" w:hAnsi="Arial"/>
          <w:sz w:val="22"/>
          <w:szCs w:val="22"/>
          <w:color w:val="auto"/>
        </w:rPr>
        <w:t>”), by and between Grantor, as successor to Port of Beaumont Petroleum Transload Terminal II, LLC and the District.</w:t>
      </w:r>
    </w:p>
    <w:p>
      <w:pPr>
        <w:spacing w:after="0" w:line="3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To achieve the purposes for which the Series 2016 Bonds will be issued (i) the District will reimburse Grantor for the improvements constructed by Grantor on behalf the District under the Ground Lease; (ii) Grantor, pursuant to a Lease and Development Agreement, dated as of February 1, 2016 (the “</w:t>
      </w:r>
      <w:r>
        <w:rPr>
          <w:rFonts w:ascii="Arial" w:cs="Arial" w:eastAsia="Arial" w:hAnsi="Arial"/>
          <w:sz w:val="21"/>
          <w:szCs w:val="21"/>
          <w:u w:val="single" w:color="auto"/>
          <w:color w:val="auto"/>
        </w:rPr>
        <w:t>Facilities Lease</w:t>
      </w:r>
      <w:r>
        <w:rPr>
          <w:rFonts w:ascii="Arial" w:cs="Arial" w:eastAsia="Arial" w:hAnsi="Arial"/>
          <w:sz w:val="21"/>
          <w:szCs w:val="21"/>
          <w:color w:val="auto"/>
        </w:rPr>
        <w:t>”), between the District and Grantor, will construct additional improvements on behalf of the District (together with such improvements constructed by Grantor on behalf the District under the Ground Lease, the “</w:t>
      </w:r>
      <w:r>
        <w:rPr>
          <w:rFonts w:ascii="Arial" w:cs="Arial" w:eastAsia="Arial" w:hAnsi="Arial"/>
          <w:sz w:val="21"/>
          <w:szCs w:val="21"/>
          <w:u w:val="single" w:color="auto"/>
          <w:color w:val="auto"/>
        </w:rPr>
        <w:t>Bond Financed Property</w:t>
      </w:r>
      <w:r>
        <w:rPr>
          <w:rFonts w:ascii="Arial" w:cs="Arial" w:eastAsia="Arial" w:hAnsi="Arial"/>
          <w:sz w:val="21"/>
          <w:szCs w:val="21"/>
          <w:color w:val="auto"/>
        </w:rPr>
        <w:t>”) and (iii) Grantor will lease the Bond Financed Property from the District pursuant to the terms and conditions of the Facilities Lease.</w:t>
      </w:r>
    </w:p>
    <w:p>
      <w:pPr>
        <w:spacing w:after="0" w:line="3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Series 2016 Bonds are to be issued pursuant to the provisions of the Enabling Act, Chapter 60, Texas Water Code, as amended, and Chapter 1201, Texas Government Code, as amended (together, the “</w:t>
      </w:r>
      <w:r>
        <w:rPr>
          <w:rFonts w:ascii="Arial" w:cs="Arial" w:eastAsia="Arial" w:hAnsi="Arial"/>
          <w:sz w:val="22"/>
          <w:szCs w:val="22"/>
          <w:u w:val="single" w:color="auto"/>
          <w:color w:val="auto"/>
        </w:rPr>
        <w:t>Act</w:t>
      </w:r>
      <w:r>
        <w:rPr>
          <w:rFonts w:ascii="Arial" w:cs="Arial" w:eastAsia="Arial" w:hAnsi="Arial"/>
          <w:sz w:val="22"/>
          <w:szCs w:val="22"/>
          <w:color w:val="auto"/>
        </w:rPr>
        <w:t>”) and other applicable laws of the State of Texas and will be secured by a Trust Indenture and Security Agreement, dated as of February 1, 2016 (the “</w:t>
      </w:r>
      <w:r>
        <w:rPr>
          <w:rFonts w:ascii="Arial" w:cs="Arial" w:eastAsia="Arial" w:hAnsi="Arial"/>
          <w:sz w:val="22"/>
          <w:szCs w:val="22"/>
          <w:u w:val="single" w:color="auto"/>
          <w:color w:val="auto"/>
        </w:rPr>
        <w:t>Indenture</w:t>
      </w:r>
      <w:r>
        <w:rPr>
          <w:rFonts w:ascii="Arial" w:cs="Arial" w:eastAsia="Arial" w:hAnsi="Arial"/>
          <w:sz w:val="22"/>
          <w:szCs w:val="22"/>
          <w:color w:val="auto"/>
        </w:rPr>
        <w:t>”) between the District and Beneficiary.</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It is anticipated that the principal of the Series 2016 Bonds, plus any accrued and unpaid interest, will be paid on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Initial Bonds Remarketing Date</w:t>
      </w:r>
      <w:r>
        <w:rPr>
          <w:rFonts w:ascii="Arial" w:cs="Arial" w:eastAsia="Arial" w:hAnsi="Arial"/>
          <w:sz w:val="19"/>
          <w:szCs w:val="19"/>
          <w:color w:val="auto"/>
        </w:rPr>
        <w:t>” (as defined in the Indenture) using proceeds from the remarketing of the Series 2016 Bonds; provided, however, that if the Series 2016 Bonds have not been repurchased with proceeds of remarketing or redeemed, or defeased to a date, on or prior to the First Initial Bonds Remarketing Date, the Series 2016 Bonds will be purchased by FTAI Energy Partners LLC, a Delaware limited liability company (“</w:t>
      </w:r>
      <w:r>
        <w:rPr>
          <w:rFonts w:ascii="Arial" w:cs="Arial" w:eastAsia="Arial" w:hAnsi="Arial"/>
          <w:sz w:val="19"/>
          <w:szCs w:val="19"/>
          <w:u w:val="single" w:color="auto"/>
          <w:color w:val="auto"/>
        </w:rPr>
        <w:t>FTAI Energy</w:t>
      </w:r>
      <w:r>
        <w:rPr>
          <w:rFonts w:ascii="Arial" w:cs="Arial" w:eastAsia="Arial" w:hAnsi="Arial"/>
          <w:sz w:val="19"/>
          <w:szCs w:val="19"/>
          <w:color w:val="auto"/>
        </w:rPr>
        <w:t>”) and Grantor pursuant to a Standby Bond Purchase Agreement, dated as of February 1, 2016 (the “</w:t>
      </w:r>
      <w:r>
        <w:rPr>
          <w:rFonts w:ascii="Arial" w:cs="Arial" w:eastAsia="Arial" w:hAnsi="Arial"/>
          <w:sz w:val="19"/>
          <w:szCs w:val="19"/>
          <w:u w:val="single" w:color="auto"/>
          <w:color w:val="auto"/>
        </w:rPr>
        <w:t>Standby Bond Purchase Agreement</w:t>
      </w:r>
      <w:r>
        <w:rPr>
          <w:rFonts w:ascii="Arial" w:cs="Arial" w:eastAsia="Arial" w:hAnsi="Arial"/>
          <w:sz w:val="19"/>
          <w:szCs w:val="19"/>
          <w:color w:val="auto"/>
        </w:rPr>
        <w:t>”), among the District, Grantor, FTAI Energy and Beneficiary, which Standby Bond Purchase Agreement will be entered into as further security for the Series 2016 Bonds.</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Series 2016 Bonds will be special limited obligations of the District payable solely from the “</w:t>
      </w:r>
      <w:r>
        <w:rPr>
          <w:rFonts w:ascii="Arial" w:cs="Arial" w:eastAsia="Arial" w:hAnsi="Arial"/>
          <w:sz w:val="22"/>
          <w:szCs w:val="22"/>
          <w:u w:val="single" w:color="auto"/>
          <w:color w:val="auto"/>
        </w:rPr>
        <w:t>Trust Estate</w:t>
      </w:r>
      <w:r>
        <w:rPr>
          <w:rFonts w:ascii="Arial" w:cs="Arial" w:eastAsia="Arial" w:hAnsi="Arial"/>
          <w:sz w:val="22"/>
          <w:szCs w:val="22"/>
          <w:color w:val="auto"/>
        </w:rPr>
        <w:t>” (as defined in the Trust Indenture) and the Series 2016 Bonds shall never constitute an indebtedness or general obligation of the District, the State of Texas or any other political subdivision of the State of Texas, within the meaning of any constitutional provision or statutory limitation whatsoever.</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To secure its obligations under the Indenture, the District has assigned certain Pledged Revenues to Beneficiary pursuant to the Indenture, including Facilities Lease Rent, as defined in the Facilities Lease, payable by Grantor.</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To secure Grantor’s obligations to pay Facilities Lease Rent under the Facilities Lease (which constitute Pledged Revenues assigned to Beneficiary pursuant to the Indenture) in accordance with the Facilities Lease, and its and FTAI Energy’s obligations under the Standby Purchase Agreement, in each case as and when due, including all renewals, extensions, and modifications of the same (collectively the “</w:t>
      </w:r>
      <w:r>
        <w:rPr>
          <w:rFonts w:ascii="Arial" w:cs="Arial" w:eastAsia="Arial" w:hAnsi="Arial"/>
          <w:sz w:val="22"/>
          <w:szCs w:val="22"/>
          <w:b w:val="1"/>
          <w:bCs w:val="1"/>
          <w:u w:val="single" w:color="auto"/>
          <w:color w:val="auto"/>
        </w:rPr>
        <w:t>Obligations</w:t>
      </w:r>
      <w:r>
        <w:rPr>
          <w:rFonts w:ascii="Arial" w:cs="Arial" w:eastAsia="Arial" w:hAnsi="Arial"/>
          <w:sz w:val="22"/>
          <w:szCs w:val="22"/>
          <w:b w:val="1"/>
          <w:bCs w:val="1"/>
          <w:color w:val="auto"/>
        </w:rPr>
        <w:t>”), Grantor is executing and delivering this Deed of Trust and Security Agreement.</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3</w:t>
      </w:r>
      <w:r>
        <w:rPr>
          <w:rFonts w:ascii="Arial" w:cs="Arial" w:eastAsia="Arial" w:hAnsi="Arial"/>
          <w:sz w:val="22"/>
          <w:szCs w:val="22"/>
          <w:color w:val="auto"/>
        </w:rPr>
        <w:t>-</w:t>
      </w:r>
    </w:p>
    <w:p>
      <w:pPr>
        <w:sectPr>
          <w:pgSz w:w="11900" w:h="16838" w:orient="portrait"/>
          <w:cols w:equalWidth="0" w:num="1">
            <w:col w:w="11420"/>
          </w:cols>
          <w:pgMar w:left="240" w:top="847" w:right="239" w:bottom="1440" w:gutter="0" w:footer="0" w:header="0"/>
        </w:sectPr>
      </w:pPr>
    </w:p>
    <w:bookmarkStart w:id="370" w:name="page371"/>
    <w:bookmarkEnd w:id="370"/>
    <w:p>
      <w:pPr>
        <w:jc w:val="both"/>
        <w:ind w:right="20" w:firstLine="648"/>
        <w:spacing w:after="0" w:line="350" w:lineRule="auto"/>
        <w:rPr>
          <w:sz w:val="20"/>
          <w:szCs w:val="20"/>
          <w:color w:val="auto"/>
        </w:rPr>
      </w:pPr>
      <w:r>
        <w:rPr>
          <w:rFonts w:ascii="Arial" w:cs="Arial" w:eastAsia="Arial" w:hAnsi="Arial"/>
          <w:sz w:val="19"/>
          <w:szCs w:val="19"/>
          <w:b w:val="1"/>
          <w:bCs w:val="1"/>
          <w:color w:val="auto"/>
        </w:rPr>
        <w:t>This Deed of Trust constitutes a “construction mortgage” as described in Section 9.334 of the Texas Business and Commerce Code to the extent that it secures an obligation incurred for the construction of the Improvements.</w:t>
      </w:r>
    </w:p>
    <w:p>
      <w:pPr>
        <w:spacing w:after="0" w:line="9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Capitalized terms used herein and not otherwise defined herein shall have the meanings ascribed thereto in the document noted in this Deed of Trust, or where not noted, in the Facilities Lease and the Standby Bond Purchase Agreement as defined herein. As used herein, the following terms shall have the following meanings: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5.5 (iii) hereof</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shall mean the Bankruptcy Code and any other state or federal insolvency, reorganization, moratorium or similar law for the relief of debtors.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the failure to pay and perform the Obligations as required under the Facilities Lease and the Standby Purchase Agreement, as applicable, which failure exists beyond the cure periods that exists therein.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administrative or governmental body having jurisdiction.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means any landlord, lessor, sublandlord, sublessor, franchisor, licensor or grantor, as applicable.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occurring after the Effective Date on the business, assets, property or financial condition of the Mortgagor, taken as a whole, that would render the Mortgagor unable to perform the Obligations.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Mortgaged Leases</w:t>
      </w:r>
      <w:r>
        <w:rPr>
          <w:rFonts w:ascii="Arial" w:cs="Arial" w:eastAsia="Arial" w:hAnsi="Arial"/>
          <w:sz w:val="21"/>
          <w:szCs w:val="21"/>
          <w:color w:val="auto"/>
        </w:rPr>
        <w:t>” means, collectively, (i) the Ground Lease and (ii) the Facilities Lease, in each case, together with all assignments, modifications, extensions and renewals of the Mortgaged Leases and all credits, deposits, options, privileges and rights of the Grantor as tenant under the Mortgaged Leases, including, but not limited to, rights of first refusal, if any, and the right, if any, to renew or extend the Mortgaged Leases for a succeeding term or terms and the option to purchase, if any, all or any portion of the Premises demised under the Mortgaged Leases.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 those matters currently of public record and any additional matter that does not (i) have a material adverse effect on the value of the Leasehold Trust Estate, taken as a whole or (ii) materially adversely impair the Grantor’s ability to complete or operate the Project (as defined in the Indenture).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4</w:t>
      </w:r>
      <w:r>
        <w:rPr>
          <w:rFonts w:ascii="Arial" w:cs="Arial" w:eastAsia="Arial" w:hAnsi="Arial"/>
          <w:sz w:val="22"/>
          <w:szCs w:val="22"/>
          <w:color w:val="auto"/>
        </w:rPr>
        <w:t>-</w:t>
      </w:r>
    </w:p>
    <w:p>
      <w:pPr>
        <w:sectPr>
          <w:pgSz w:w="11900" w:h="16838" w:orient="portrait"/>
          <w:cols w:equalWidth="0" w:num="1">
            <w:col w:w="11420"/>
          </w:cols>
          <w:pgMar w:left="240" w:top="881" w:right="239" w:bottom="1440" w:gutter="0" w:footer="0" w:header="0"/>
        </w:sectPr>
      </w:pPr>
    </w:p>
    <w:bookmarkStart w:id="371" w:name="page372"/>
    <w:bookmarkEnd w:id="371"/>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present or future taxes, levies, imposts, duties, deductions, withholdings, assessments, fees or other charges imposed by any Governmental Authority, including any interest, additions to tax or penalties applicable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Tenant</w:t>
      </w:r>
      <w:r>
        <w:rPr>
          <w:rFonts w:ascii="Arial" w:cs="Arial" w:eastAsia="Arial" w:hAnsi="Arial"/>
          <w:sz w:val="22"/>
          <w:szCs w:val="22"/>
          <w:color w:val="auto"/>
        </w:rPr>
        <w:t>” means any tenant, lessee, sublessee, franchisee, licensee, grantee or obligee, as applicable.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365(h) Election</w:t>
      </w:r>
      <w:r>
        <w:rPr>
          <w:rFonts w:ascii="Arial" w:cs="Arial" w:eastAsia="Arial" w:hAnsi="Arial"/>
          <w:sz w:val="22"/>
          <w:szCs w:val="22"/>
          <w:color w:val="auto"/>
        </w:rPr>
        <w:t xml:space="preserve">” shall mean the Grantor’s election to treat the Mortgaged Lease as terminated under </w:t>
      </w:r>
      <w:r>
        <w:rPr>
          <w:rFonts w:ascii="Arial" w:cs="Arial" w:eastAsia="Arial" w:hAnsi="Arial"/>
          <w:sz w:val="22"/>
          <w:szCs w:val="22"/>
          <w:u w:val="single" w:color="auto"/>
          <w:color w:val="auto"/>
        </w:rPr>
        <w:t>Section 365(h)</w:t>
      </w:r>
      <w:r>
        <w:rPr>
          <w:rFonts w:ascii="Arial" w:cs="Arial" w:eastAsia="Arial" w:hAnsi="Arial"/>
          <w:sz w:val="22"/>
          <w:szCs w:val="22"/>
          <w:color w:val="auto"/>
        </w:rPr>
        <w:t xml:space="preserve"> of the Bankruptcy Code or any similar Bankruptcy Law, or any comparable right provided under any other Bankruptcy Law, together with all rights, remedies and privileges related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GRANTING CLAUSE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NOW, THEREFORE, IN CONSIDERATION OF the foregoing and subject to the last paragraph of this granting clause, as security for the payment or performance, as the case may be, in full of the Obligations, the Grantor does, by these presents, hereby GRANT, BARGAIN, SELL, CONVEY, TRANSFER, ASSIGN and SET OVER to the DEED OF TRUST TRUSTEE, in trust with power of sale and right of entry and possession, for the use and benefit of the BENEFICIARY for the benefit of the Secured Parties any and all of Grantor’s present and future rights, title and interest in, to, under and derived from or with respect to all of the following described property, including, but not limited to, all fixtures, accessories, attachments, and equipment pertaining thereto, to-wit subject only to Permitted Encumbrances (the “</w:t>
      </w:r>
      <w:r>
        <w:rPr>
          <w:rFonts w:ascii="Arial" w:cs="Arial" w:eastAsia="Arial" w:hAnsi="Arial"/>
          <w:sz w:val="19"/>
          <w:szCs w:val="19"/>
          <w:u w:val="single" w:color="auto"/>
          <w:color w:val="auto"/>
        </w:rPr>
        <w:t>Leasehold Trust Estate</w:t>
      </w:r>
      <w:r>
        <w:rPr>
          <w:rFonts w:ascii="Arial" w:cs="Arial" w:eastAsia="Arial" w:hAnsi="Arial"/>
          <w:sz w:val="19"/>
          <w:szCs w:val="19"/>
          <w:color w:val="auto"/>
        </w:rPr>
        <w:t>”):</w:t>
      </w:r>
    </w:p>
    <w:p>
      <w:pPr>
        <w:spacing w:after="0" w:line="151" w:lineRule="exact"/>
        <w:rPr>
          <w:sz w:val="20"/>
          <w:szCs w:val="20"/>
          <w:color w:val="auto"/>
        </w:rPr>
      </w:pPr>
    </w:p>
    <w:p>
      <w:pPr>
        <w:jc w:val="both"/>
        <w:ind w:left="660" w:firstLine="645"/>
        <w:spacing w:after="0" w:line="292" w:lineRule="auto"/>
        <w:tabs>
          <w:tab w:leader="none" w:pos="1844"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the leasehold estates of Grantor created by the Mortgaged Leases in the land more particularly described on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Land</w:t>
      </w:r>
      <w:r>
        <w:rPr>
          <w:rFonts w:ascii="Arial" w:cs="Arial" w:eastAsia="Arial" w:hAnsi="Arial"/>
          <w:sz w:val="19"/>
          <w:szCs w:val="19"/>
          <w:color w:val="auto"/>
        </w:rPr>
        <w:t>”), together with all rights appurtenant thereto, including the easements over certain other adjoining land granted by any easement or servitude agreements, covenant or restrictive agreements and all air rights, mineral rights, water rights, oil and gas rights and development rights, if any, relating thereto, and also together with all of the other easements, servitudes, rights, privileges, interests, hereditaments and appurtenances thereunto belonging or in any way appertaining and all of the estate, right, title, interest, claim or demand whatsoever of Grantor therein and in the streets and ways adjacent thereto, either in law or in equity, in possession or expectancy, now or hereafter acquire;</w:t>
      </w:r>
    </w:p>
    <w:p>
      <w:pPr>
        <w:spacing w:after="0" w:line="151" w:lineRule="exact"/>
        <w:rPr>
          <w:rFonts w:ascii="Arial" w:cs="Arial" w:eastAsia="Arial" w:hAnsi="Arial"/>
          <w:sz w:val="19"/>
          <w:szCs w:val="19"/>
          <w:color w:val="auto"/>
        </w:rPr>
      </w:pPr>
    </w:p>
    <w:p>
      <w:pPr>
        <w:ind w:left="1780" w:hanging="475"/>
        <w:spacing w:after="0"/>
        <w:tabs>
          <w:tab w:leader="none" w:pos="178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Mortgaged Leases;</w:t>
      </w:r>
    </w:p>
    <w:p>
      <w:pPr>
        <w:spacing w:after="0" w:line="219" w:lineRule="exact"/>
        <w:rPr>
          <w:rFonts w:ascii="Arial" w:cs="Arial" w:eastAsia="Arial" w:hAnsi="Arial"/>
          <w:sz w:val="22"/>
          <w:szCs w:val="22"/>
          <w:color w:val="auto"/>
        </w:rPr>
      </w:pPr>
    </w:p>
    <w:p>
      <w:pPr>
        <w:ind w:left="660" w:firstLine="645"/>
        <w:spacing w:after="0" w:line="287" w:lineRule="auto"/>
        <w:tabs>
          <w:tab w:leader="none" w:pos="1793"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interests, estates and other claims, both in law and equity, that Grantor now has or may hereafter acquire in all other easements, rights of way and rights used in connection with the Land or Improvements;</w:t>
      </w:r>
    </w:p>
    <w:p>
      <w:pPr>
        <w:spacing w:after="0" w:line="151" w:lineRule="exact"/>
        <w:rPr>
          <w:rFonts w:ascii="Arial" w:cs="Arial" w:eastAsia="Arial" w:hAnsi="Arial"/>
          <w:sz w:val="21"/>
          <w:szCs w:val="21"/>
          <w:color w:val="auto"/>
        </w:rPr>
      </w:pPr>
    </w:p>
    <w:p>
      <w:pPr>
        <w:jc w:val="both"/>
        <w:ind w:left="660" w:firstLine="645"/>
        <w:spacing w:after="0" w:line="302" w:lineRule="auto"/>
        <w:tabs>
          <w:tab w:leader="none" w:pos="1803" w:val="left"/>
        </w:tabs>
        <w:numPr>
          <w:ilvl w:val="0"/>
          <w:numId w:val="299"/>
        </w:numPr>
        <w:rPr>
          <w:rFonts w:ascii="Arial" w:cs="Arial" w:eastAsia="Arial" w:hAnsi="Arial"/>
          <w:sz w:val="19"/>
          <w:szCs w:val="19"/>
          <w:color w:val="auto"/>
        </w:rPr>
      </w:pPr>
      <w:r>
        <w:rPr>
          <w:rFonts w:ascii="Arial" w:cs="Arial" w:eastAsia="Arial" w:hAnsi="Arial"/>
          <w:sz w:val="19"/>
          <w:szCs w:val="19"/>
          <w:color w:val="auto"/>
        </w:rPr>
        <w:t>all buildings, improvements, other constructions and other improvements of every kind or description and any component part or parts thereof, structures, paving, parking areas, walkways and landscaping now or hereafter erected or located upon the Land, and all fixtures of every kind and type affixed to the Premises or attached to or forming part of any structures, buildings or improvements and replacements thereof now or hereafter erected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5</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72" w:name="page373"/>
    <w:bookmarkEnd w:id="372"/>
    <w:p>
      <w:pPr>
        <w:ind w:right="20"/>
        <w:spacing w:after="0" w:line="263" w:lineRule="auto"/>
        <w:rPr>
          <w:sz w:val="20"/>
          <w:szCs w:val="20"/>
          <w:color w:val="auto"/>
        </w:rPr>
      </w:pPr>
      <w:r>
        <w:rPr>
          <w:rFonts w:ascii="Arial" w:cs="Arial" w:eastAsia="Arial" w:hAnsi="Arial"/>
          <w:sz w:val="22"/>
          <w:szCs w:val="22"/>
          <w:color w:val="auto"/>
        </w:rPr>
        <w:t>or located upon the Land (the “</w:t>
      </w:r>
      <w:r>
        <w:rPr>
          <w:rFonts w:ascii="Arial" w:cs="Arial" w:eastAsia="Arial" w:hAnsi="Arial"/>
          <w:sz w:val="22"/>
          <w:szCs w:val="22"/>
          <w:u w:val="single" w:color="auto"/>
          <w:color w:val="auto"/>
        </w:rPr>
        <w:t>Improvements</w:t>
      </w:r>
      <w:r>
        <w:rPr>
          <w:rFonts w:ascii="Arial" w:cs="Arial" w:eastAsia="Arial" w:hAnsi="Arial"/>
          <w:sz w:val="22"/>
          <w:szCs w:val="22"/>
          <w:color w:val="auto"/>
        </w:rPr>
        <w:t>”; and the Land and Improvements are collectively referred to herein as the “</w:t>
      </w:r>
      <w:r>
        <w:rPr>
          <w:rFonts w:ascii="Arial" w:cs="Arial" w:eastAsia="Arial" w:hAnsi="Arial"/>
          <w:sz w:val="22"/>
          <w:szCs w:val="22"/>
          <w:u w:val="single" w:color="auto"/>
          <w:color w:val="auto"/>
        </w:rPr>
        <w:t>Premises</w:t>
      </w:r>
      <w:r>
        <w:rPr>
          <w:rFonts w:ascii="Arial" w:cs="Arial" w:eastAsia="Arial" w:hAnsi="Arial"/>
          <w:sz w:val="22"/>
          <w:szCs w:val="22"/>
          <w:color w:val="auto"/>
        </w:rPr>
        <w:t>”);</w:t>
      </w:r>
    </w:p>
    <w:p>
      <w:pPr>
        <w:spacing w:after="0" w:line="175" w:lineRule="exact"/>
        <w:rPr>
          <w:sz w:val="20"/>
          <w:szCs w:val="20"/>
          <w:color w:val="auto"/>
        </w:rPr>
      </w:pPr>
    </w:p>
    <w:p>
      <w:pPr>
        <w:jc w:val="both"/>
        <w:ind w:firstLine="645"/>
        <w:spacing w:after="0" w:line="257" w:lineRule="auto"/>
        <w:tabs>
          <w:tab w:leader="none" w:pos="1192"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all apparatus, appliances, building materials, equipment, fittings, furnishings, furniture, machinery and other articles of tangible personal property of every kind and nature, and replacements thereof, now or at any time hereafter placed upon or used in any way in connection with the use, enjoyment, occupancy or operation of the Premises, including all of Grantor’s books and records relating thereto and including all pumps, tanks, goods, machinery, tools, equipment, lifts (including fire sprinklers and alarm systems, fire prevention or control systems, cleaning rigs, air conditioning, heating, boilers, refrigerating, electronic monitoring, water, loading, unloading, lighting, power, sanitation, waste removal, communications, computers, window or structural, maintenance, truck or car repair and all other equipment of every kind), walk-in coolers, signs (indoor and outdoor), computer systems, cash registers and inventory control systems, all HVAC equipment, electronic data processing, telecommunications or computer equipment, refrigeration, elevators, utility systems, drainage facilities, lighting facilities, all water, sanitary and storm sewer, drainage, electricity, steam, gas, telephone and other utility equipment and facilities, pipes, fittings and all other apparatus, equipment, furniture, furnishings, and articles used in connection with the use or operation of the Premises, it being understood that the enumeration of any specific articles of property shall in no way result in or be held to exclude any items of property not specifically mentioned (the “</w:t>
      </w:r>
      <w:r>
        <w:rPr>
          <w:rFonts w:ascii="Arial" w:cs="Arial" w:eastAsia="Arial" w:hAnsi="Arial"/>
          <w:sz w:val="21"/>
          <w:szCs w:val="21"/>
          <w:u w:val="single" w:color="auto"/>
          <w:color w:val="auto"/>
        </w:rPr>
        <w:t>Personal Property</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firstLine="645"/>
        <w:spacing w:after="0" w:line="259" w:lineRule="auto"/>
        <w:tabs>
          <w:tab w:leader="none" w:pos="1143"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all general intangibles owned by Grantor and relating to design, development, operation, management and use of the Premises, all certificates of occupancy, zoning variances, building, use or other permits, approvals, authorizations and consents obtained from and all materials prepared for filing or filed with any governmental agency in connection with the development, use, operation or management of the Premises, all construction, service, engineering, consulting, leasing, architectural and other similar contracts concerning the design, construction, management, operation, occupancy and/or use of the Premises, all architectural drawings, plans, specifications, soil tests, feasibility studies, appraisals, environmental studies, engineering reports and similar materials relating to any portion of or all of the Premises, and all payment and performance bonds or warranties or guarantees relating to the Premises, all to the extent assignable (the “</w:t>
      </w:r>
      <w:r>
        <w:rPr>
          <w:rFonts w:ascii="Arial" w:cs="Arial" w:eastAsia="Arial" w:hAnsi="Arial"/>
          <w:sz w:val="21"/>
          <w:szCs w:val="21"/>
          <w:u w:val="single" w:color="auto"/>
          <w:color w:val="auto"/>
        </w:rPr>
        <w:t>Permits, Plans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Warranties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645"/>
        <w:spacing w:after="0" w:line="246" w:lineRule="auto"/>
        <w:tabs>
          <w:tab w:leader="none" w:pos="1214"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all now or hereafter existing leases or licenses (under which Grantor is landlord or licensor) and subleases (under which Grantor is sublandlord), concession, management, mineral or other agreements of a similar kind that permit the use or occupancy of the Premises for any purpose in return for any payment, or the extraction or taking of any gas, oil, water or other minerals from the Premises in return for payment of any fee, rent or royalty (collectively, “</w:t>
      </w:r>
      <w:r>
        <w:rPr>
          <w:rFonts w:ascii="Arial" w:cs="Arial" w:eastAsia="Arial" w:hAnsi="Arial"/>
          <w:sz w:val="22"/>
          <w:szCs w:val="22"/>
          <w:u w:val="single" w:color="auto"/>
          <w:color w:val="auto"/>
        </w:rPr>
        <w:t>Leases</w:t>
      </w:r>
      <w:r>
        <w:rPr>
          <w:rFonts w:ascii="Arial" w:cs="Arial" w:eastAsia="Arial" w:hAnsi="Arial"/>
          <w:sz w:val="22"/>
          <w:szCs w:val="22"/>
          <w:color w:val="auto"/>
        </w:rPr>
        <w:t>”), and all agreements or contracts for the sale or other disposition of all or any part of the Premises, now or hereafter entered into by Grantor, together with all charges, fees, income, issues, profits, receipts, rents, revenues or royalties payable thereunder (“</w:t>
      </w:r>
      <w:r>
        <w:rPr>
          <w:rFonts w:ascii="Arial" w:cs="Arial" w:eastAsia="Arial" w:hAnsi="Arial"/>
          <w:sz w:val="22"/>
          <w:szCs w:val="22"/>
          <w:u w:val="single" w:color="auto"/>
          <w:color w:val="auto"/>
        </w:rPr>
        <w:t>Rents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6</w:t>
      </w:r>
      <w:r>
        <w:rPr>
          <w:rFonts w:ascii="Arial" w:cs="Arial" w:eastAsia="Arial" w:hAnsi="Arial"/>
          <w:sz w:val="22"/>
          <w:szCs w:val="22"/>
          <w:color w:val="auto"/>
        </w:rPr>
        <w:t>-</w:t>
      </w:r>
    </w:p>
    <w:p>
      <w:pPr>
        <w:sectPr>
          <w:pgSz w:w="11900" w:h="16838" w:orient="portrait"/>
          <w:cols w:equalWidth="0" w:num="1">
            <w:col w:w="10760"/>
          </w:cols>
          <w:pgMar w:left="900" w:top="631" w:right="239" w:bottom="1440" w:gutter="0" w:footer="0" w:header="0"/>
        </w:sectPr>
      </w:pPr>
    </w:p>
    <w:bookmarkStart w:id="373" w:name="page374"/>
    <w:bookmarkEnd w:id="373"/>
    <w:p>
      <w:pPr>
        <w:jc w:val="both"/>
        <w:ind w:left="660" w:firstLine="645"/>
        <w:spacing w:after="0" w:line="259" w:lineRule="auto"/>
        <w:tabs>
          <w:tab w:leader="none" w:pos="1796" w:val="left"/>
        </w:tabs>
        <w:numPr>
          <w:ilvl w:val="0"/>
          <w:numId w:val="301"/>
        </w:numPr>
        <w:rPr>
          <w:rFonts w:ascii="Arial" w:cs="Arial" w:eastAsia="Arial" w:hAnsi="Arial"/>
          <w:sz w:val="21"/>
          <w:szCs w:val="21"/>
          <w:color w:val="auto"/>
        </w:rPr>
      </w:pPr>
      <w:r>
        <w:rPr>
          <w:rFonts w:ascii="Arial" w:cs="Arial" w:eastAsia="Arial" w:hAnsi="Arial"/>
          <w:sz w:val="21"/>
          <w:szCs w:val="21"/>
          <w:color w:val="auto"/>
        </w:rPr>
        <w:t>all real estate tax refunds and all proceeds of the conversion, voluntary or involuntary, of any of the Leasehold Trust Estate into cash or liquidated claims and not otherwise payable to tenants under the Leases (“</w:t>
      </w:r>
      <w:r>
        <w:rPr>
          <w:rFonts w:ascii="Arial" w:cs="Arial" w:eastAsia="Arial" w:hAnsi="Arial"/>
          <w:sz w:val="21"/>
          <w:szCs w:val="21"/>
          <w:u w:val="single" w:color="auto"/>
          <w:color w:val="auto"/>
        </w:rPr>
        <w:t>Proceeds</w:t>
      </w:r>
      <w:r>
        <w:rPr>
          <w:rFonts w:ascii="Arial" w:cs="Arial" w:eastAsia="Arial" w:hAnsi="Arial"/>
          <w:sz w:val="21"/>
          <w:szCs w:val="21"/>
          <w:color w:val="auto"/>
        </w:rPr>
        <w:t>”), including Proceeds of insurance maintained by the Grantor and condemnation awards, any awards that may become due by reason of the taking by eminent domain or any transfer in lieu thereof of the whole or any part of the Premises or any rights appurtenant thereto, and any awards for change of grade of streets, together with any and all moneys now or hereafter on deposit for the payment of real estate taxes, assessments or common area charges levied against the Leasehold Trust Estate, unearned premiums on policies of fire and other insurance maintained by the Grantor covering any interest in the Leasehold Trust Estate or required by the Indenture; and</w:t>
      </w:r>
    </w:p>
    <w:p>
      <w:pPr>
        <w:spacing w:after="0" w:line="184" w:lineRule="exact"/>
        <w:rPr>
          <w:rFonts w:ascii="Arial" w:cs="Arial" w:eastAsia="Arial" w:hAnsi="Arial"/>
          <w:sz w:val="21"/>
          <w:szCs w:val="21"/>
          <w:color w:val="auto"/>
        </w:rPr>
      </w:pPr>
    </w:p>
    <w:p>
      <w:pPr>
        <w:jc w:val="both"/>
        <w:ind w:left="660" w:firstLine="645"/>
        <w:spacing w:after="0" w:line="292" w:lineRule="auto"/>
        <w:tabs>
          <w:tab w:leader="none" w:pos="189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all extensions, improvements, betterments, renewals, substitutes and replacements of and all additions and appurtenances to, the Premises, the Personal Property, the Permits, Plans and Warranties, the easements and rights of way and the Leases, hereinafter acquired by or released to the Grantor or constructed, assembled or placed by the Grantor on the Premises, and all conversions of the security constituted thereby, immediately upon such acquisition, release, construction, assembling, placement or conversion, as the case may be, and in each such case, without any further mortgage, deed of trust, conveyance, assignment or other act by the Grantor, all of which shall become subject to the lieu of this Deed of Trust as fully and completely, and with the same effect, as though now owned by the Grantor and specifically described herein.</w:t>
      </w:r>
    </w:p>
    <w:p>
      <w:pPr>
        <w:spacing w:after="0" w:line="15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Representations, Warranties and Covenants of Grantor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Grantor agrees, covenants, represents and/or warrants as follows:</w:t>
      </w:r>
    </w:p>
    <w:p>
      <w:pPr>
        <w:spacing w:after="0" w:line="220"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Title, Deed of Trust Lien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8" w:lineRule="auto"/>
        <w:tabs>
          <w:tab w:leader="none" w:pos="1851" w:val="left"/>
        </w:tabs>
        <w:numPr>
          <w:ilvl w:val="0"/>
          <w:numId w:val="302"/>
        </w:numPr>
        <w:rPr>
          <w:rFonts w:ascii="Arial" w:cs="Arial" w:eastAsia="Arial" w:hAnsi="Arial"/>
          <w:sz w:val="21"/>
          <w:szCs w:val="21"/>
          <w:color w:val="auto"/>
        </w:rPr>
      </w:pPr>
      <w:r>
        <w:rPr>
          <w:rFonts w:ascii="Arial" w:cs="Arial" w:eastAsia="Arial" w:hAnsi="Arial"/>
          <w:sz w:val="21"/>
          <w:szCs w:val="21"/>
          <w:color w:val="auto"/>
        </w:rPr>
        <w:t xml:space="preserve">Grantor has good and valid recorded leasehold interests in the Mortgaged Lease and the Premises leased thereunder subject only to Permitted Encumbrances. Grantor has title to the easements and rights of way subject to Permitted Encumbrances, other than with respect to the easements and rights of way listed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w:t>
      </w:r>
    </w:p>
    <w:p>
      <w:pPr>
        <w:spacing w:after="0" w:line="160" w:lineRule="exact"/>
        <w:rPr>
          <w:rFonts w:ascii="Arial" w:cs="Arial" w:eastAsia="Arial" w:hAnsi="Arial"/>
          <w:sz w:val="21"/>
          <w:szCs w:val="21"/>
          <w:color w:val="auto"/>
        </w:rPr>
      </w:pPr>
    </w:p>
    <w:p>
      <w:pPr>
        <w:ind w:left="1740" w:hanging="435"/>
        <w:spacing w:after="0"/>
        <w:tabs>
          <w:tab w:leader="none" w:pos="17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This Deed of Trust has been duly executed and delivered by Grantor.</w:t>
      </w:r>
    </w:p>
    <w:p>
      <w:pPr>
        <w:spacing w:after="0" w:line="233" w:lineRule="exact"/>
        <w:rPr>
          <w:rFonts w:ascii="Arial" w:cs="Arial" w:eastAsia="Arial" w:hAnsi="Arial"/>
          <w:sz w:val="22"/>
          <w:szCs w:val="22"/>
          <w:color w:val="auto"/>
        </w:rPr>
      </w:pPr>
    </w:p>
    <w:p>
      <w:pPr>
        <w:jc w:val="both"/>
        <w:ind w:firstLine="1305"/>
        <w:spacing w:after="0" w:line="294" w:lineRule="auto"/>
        <w:tabs>
          <w:tab w:leader="none" w:pos="171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recordation of this Deed of Trust (i) does not require any consent or approval of, registration or filing with, or any other action by, any Governmental Authority, except such as have been obtained or made and are in full force and effect and except filings necessary to perfect the lien of this Deed of Trust, (ii) will not violate any applicable law or regulation or the charter, by-laws or other organizational documents of Grantor or any order of any Governmental Authority, except to the extent such violation could not reasonably be expected to have a Material Adverse Effect, (iii) will not violate or result in a default under any indenture, agreement or other instrument binding upon Grantor or its assets, or give rise to a right thereunder to require any payment to be made by Grantor, except to the extent such violation could not reasonably be expected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7</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74" w:name="page375"/>
    <w:bookmarkEnd w:id="374"/>
    <w:p>
      <w:pPr>
        <w:spacing w:after="0" w:line="263" w:lineRule="auto"/>
        <w:rPr>
          <w:sz w:val="20"/>
          <w:szCs w:val="20"/>
          <w:color w:val="auto"/>
        </w:rPr>
      </w:pPr>
      <w:r>
        <w:rPr>
          <w:rFonts w:ascii="Arial" w:cs="Arial" w:eastAsia="Arial" w:hAnsi="Arial"/>
          <w:sz w:val="22"/>
          <w:szCs w:val="22"/>
          <w:color w:val="auto"/>
        </w:rPr>
        <w:t>to have a Material Adverse Effect, and (iv) will not result in the creation or imposition of any lien on any asset of Grantor, except the lien of this Deed of Trust.</w:t>
      </w:r>
    </w:p>
    <w:p>
      <w:pPr>
        <w:spacing w:after="0" w:line="175" w:lineRule="exact"/>
        <w:rPr>
          <w:sz w:val="20"/>
          <w:szCs w:val="20"/>
          <w:color w:val="auto"/>
        </w:rPr>
      </w:pPr>
    </w:p>
    <w:p>
      <w:pPr>
        <w:ind w:firstLine="1305"/>
        <w:spacing w:after="0" w:line="301" w:lineRule="auto"/>
        <w:tabs>
          <w:tab w:leader="none" w:pos="1742" w:val="left"/>
        </w:tabs>
        <w:numPr>
          <w:ilvl w:val="0"/>
          <w:numId w:val="303"/>
        </w:numPr>
        <w:rPr>
          <w:rFonts w:ascii="Arial" w:cs="Arial" w:eastAsia="Arial" w:hAnsi="Arial"/>
          <w:sz w:val="21"/>
          <w:szCs w:val="21"/>
          <w:color w:val="auto"/>
        </w:rPr>
      </w:pPr>
      <w:r>
        <w:rPr>
          <w:rFonts w:ascii="Arial" w:cs="Arial" w:eastAsia="Arial" w:hAnsi="Arial"/>
          <w:sz w:val="21"/>
          <w:szCs w:val="21"/>
          <w:color w:val="auto"/>
        </w:rPr>
        <w:t>This Deed of Trust when duly recorded in the public records of the county where the Premises are located will create a valid, perfected and enforceable lien upon and security interest in all of the Leasehold Trust Estate.</w:t>
      </w:r>
    </w:p>
    <w:p>
      <w:pPr>
        <w:spacing w:after="0" w:line="137" w:lineRule="exact"/>
        <w:rPr>
          <w:rFonts w:ascii="Arial" w:cs="Arial" w:eastAsia="Arial" w:hAnsi="Arial"/>
          <w:sz w:val="21"/>
          <w:szCs w:val="21"/>
          <w:color w:val="auto"/>
        </w:rPr>
      </w:pPr>
    </w:p>
    <w:p>
      <w:pPr>
        <w:jc w:val="both"/>
        <w:ind w:firstLine="1305"/>
        <w:spacing w:after="0" w:line="278" w:lineRule="auto"/>
        <w:tabs>
          <w:tab w:leader="none" w:pos="1824" w:val="left"/>
        </w:tabs>
        <w:numPr>
          <w:ilvl w:val="0"/>
          <w:numId w:val="303"/>
        </w:numPr>
        <w:rPr>
          <w:rFonts w:ascii="Arial" w:cs="Arial" w:eastAsia="Arial" w:hAnsi="Arial"/>
          <w:sz w:val="21"/>
          <w:szCs w:val="21"/>
          <w:color w:val="auto"/>
        </w:rPr>
      </w:pPr>
      <w:r>
        <w:rPr>
          <w:rFonts w:ascii="Arial" w:cs="Arial" w:eastAsia="Arial" w:hAnsi="Arial"/>
          <w:sz w:val="21"/>
          <w:szCs w:val="21"/>
          <w:color w:val="auto"/>
        </w:rPr>
        <w:t>Grantor will forever warrant and defend its title to the Leasehold Trust Estate, the rights of Deed of Trust Trustee and Beneficiary therein under this Deed of Trust and the validity and priority of the lien of this Deed of Trust thereon against the claims of all persons and parties except those having rights under Permitted Encumbrances.</w:t>
      </w:r>
    </w:p>
    <w:p>
      <w:pPr>
        <w:spacing w:after="0" w:line="160"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Obligations</w:t>
      </w:r>
      <w:r>
        <w:rPr>
          <w:rFonts w:ascii="Arial" w:cs="Arial" w:eastAsia="Arial" w:hAnsi="Arial"/>
          <w:sz w:val="21"/>
          <w:szCs w:val="21"/>
          <w:color w:val="auto"/>
        </w:rPr>
        <w:t>. Grantor expressly covenants and agrees to pay when due, and to timely perform, the Obligations in accordance with the terms of the Facilities Lease and the Standby Bond Purchase Agreement.</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Payment of Taxes, and Other Obligations</w:t>
      </w:r>
      <w:r>
        <w:rPr>
          <w:rFonts w:ascii="Arial" w:cs="Arial" w:eastAsia="Arial" w:hAnsi="Arial"/>
          <w:sz w:val="22"/>
          <w:szCs w:val="22"/>
          <w:color w:val="auto"/>
        </w:rPr>
        <w:t>. Grantor shall, in accordance with and subject to, the applicable provisions of the Mortgaged Leases, pay and discharge all Taxes and other obligations with respect to the Leasehold Trust Estate.</w:t>
      </w:r>
    </w:p>
    <w:p>
      <w:pPr>
        <w:spacing w:after="0" w:line="17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Maintenance of Leasehold Trust Estate</w:t>
      </w:r>
      <w:r>
        <w:rPr>
          <w:rFonts w:ascii="Arial" w:cs="Arial" w:eastAsia="Arial" w:hAnsi="Arial"/>
          <w:sz w:val="22"/>
          <w:szCs w:val="22"/>
          <w:color w:val="auto"/>
        </w:rPr>
        <w:t>. Grantor will maintain the Premises and the Personal Property in the manner and to the extent required by the Mortgage Leases.</w:t>
      </w:r>
    </w:p>
    <w:p>
      <w:pPr>
        <w:spacing w:after="0" w:line="161" w:lineRule="exact"/>
        <w:rPr>
          <w:sz w:val="20"/>
          <w:szCs w:val="20"/>
          <w:color w:val="auto"/>
        </w:rPr>
      </w:pPr>
    </w:p>
    <w:p>
      <w:pPr>
        <w:jc w:val="both"/>
        <w:ind w:right="20" w:firstLine="1297"/>
        <w:spacing w:after="0" w:line="276"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Insurance</w:t>
      </w:r>
      <w:r>
        <w:rPr>
          <w:rFonts w:ascii="Arial" w:cs="Arial" w:eastAsia="Arial" w:hAnsi="Arial"/>
          <w:sz w:val="22"/>
          <w:szCs w:val="22"/>
          <w:color w:val="auto"/>
        </w:rPr>
        <w:t>. Grantor will keep or cause to be kept the Improvements and Personal Property insured against such risks, and in the manner, described in the Mortgaged Leases.</w:t>
      </w:r>
    </w:p>
    <w:p>
      <w:pPr>
        <w:spacing w:after="0" w:line="16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Casualty Condemnation/Eminent Domain</w:t>
      </w:r>
      <w:r>
        <w:rPr>
          <w:rFonts w:ascii="Arial" w:cs="Arial" w:eastAsia="Arial" w:hAnsi="Arial"/>
          <w:sz w:val="22"/>
          <w:szCs w:val="22"/>
          <w:color w:val="auto"/>
        </w:rPr>
        <w:t>. In accordance with and to the extent required by the Indenture, Grantor shall give Beneficiary written notice of casualty or other damage to the Leasehold Trust Estate or any proceeding for the taking of the Leasehold Trust Estate or any portion thereof or interest therein under power of eminent domain or by condemnation or any similar proceeding.</w:t>
      </w:r>
    </w:p>
    <w:p>
      <w:pPr>
        <w:spacing w:after="0" w:line="185"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Assignment of Leases and Rents</w:t>
      </w:r>
      <w:r>
        <w:rPr>
          <w:rFonts w:ascii="Arial" w:cs="Arial" w:eastAsia="Arial" w:hAnsi="Arial"/>
          <w:sz w:val="19"/>
          <w:szCs w:val="19"/>
          <w:color w:val="auto"/>
        </w:rPr>
        <w:t>. To the maximum extent permitted by applicable law, (a) Grantor hereby irrevocably and absolutely grants, transfers and assigns to the Beneficiary all of its right title and interest in all Leases, together with any and all extensions and renewals thereof to Deed of Trust Trustee for purposes of securing and discharging the performance by Grantor of the Obligations. Grantor has not assigned or executed any assignment of, and will not assign or execute any assignment of, any Leases or the Rents payable thereunder to anyone other than to Beneficiary.</w:t>
      </w:r>
    </w:p>
    <w:p>
      <w:pPr>
        <w:spacing w:after="0" w:line="147" w:lineRule="exact"/>
        <w:rPr>
          <w:sz w:val="20"/>
          <w:szCs w:val="20"/>
          <w:color w:val="auto"/>
        </w:rPr>
      </w:pPr>
    </w:p>
    <w:p>
      <w:pPr>
        <w:jc w:val="both"/>
        <w:ind w:firstLine="656"/>
        <w:spacing w:after="0" w:line="250" w:lineRule="auto"/>
        <w:tabs>
          <w:tab w:leader="none" w:pos="1299"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To the maximum extent permitted by applicable law, and subject to Section 1.7(c), Grantor has assigned and transferred to Beneficiary all of Grantor’s right, title and interest in and to the Rents now or hereafter arising from each Lease heretofore or hereafter made or agreed to by Grantor, it being intended that this assignment establish, subject to Section 1.7(c), an absolute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8</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75" w:name="page376"/>
    <w:bookmarkEnd w:id="375"/>
    <w:p>
      <w:pPr>
        <w:jc w:val="both"/>
        <w:spacing w:after="0" w:line="292" w:lineRule="auto"/>
        <w:rPr>
          <w:sz w:val="20"/>
          <w:szCs w:val="20"/>
          <w:color w:val="auto"/>
        </w:rPr>
      </w:pPr>
      <w:r>
        <w:rPr>
          <w:rFonts w:ascii="Arial" w:cs="Arial" w:eastAsia="Arial" w:hAnsi="Arial"/>
          <w:sz w:val="19"/>
          <w:szCs w:val="19"/>
          <w:color w:val="auto"/>
        </w:rPr>
        <w:t>transfer and assignment of all Rents and all Leases to Beneficiary and not merely to grant a security interest therein. To the maximum extent permitted by applicable law, and subject to Section 1.7(c), so long as an Event of Default shall have occurred and be continuing, Beneficiary may in Grantor’s name and stead (with or without first taking possession of any of the Leasehold Trust Estate personally or by receiver as provided herein) operate the Leasehold Trust Estate and rent, lease or let all or any portion of any of the Leasehold Trust Estate to any party or parties at such rental and upon such terms as Beneficiary shall, in its sole and reasonable discretion, determine, and may collect and have the benefit of all of said Rents arising from or accruing at any time thereafter or that may thereafter become due under any Lease in accordance with the Indenture;</w:t>
      </w:r>
    </w:p>
    <w:p>
      <w:pPr>
        <w:spacing w:after="0" w:line="151" w:lineRule="exact"/>
        <w:rPr>
          <w:sz w:val="20"/>
          <w:szCs w:val="20"/>
          <w:color w:val="auto"/>
        </w:rPr>
      </w:pPr>
    </w:p>
    <w:p>
      <w:pPr>
        <w:jc w:val="both"/>
        <w:ind w:firstLine="656"/>
        <w:spacing w:after="0" w:line="286" w:lineRule="auto"/>
        <w:tabs>
          <w:tab w:leader="none" w:pos="1192" w:val="left"/>
        </w:tabs>
        <w:numPr>
          <w:ilvl w:val="0"/>
          <w:numId w:val="305"/>
        </w:numPr>
        <w:rPr>
          <w:rFonts w:ascii="Arial" w:cs="Arial" w:eastAsia="Arial" w:hAnsi="Arial"/>
          <w:sz w:val="19"/>
          <w:szCs w:val="19"/>
          <w:color w:val="auto"/>
        </w:rPr>
      </w:pPr>
      <w:r>
        <w:rPr>
          <w:rFonts w:ascii="Arial" w:cs="Arial" w:eastAsia="Arial" w:hAnsi="Arial"/>
          <w:sz w:val="19"/>
          <w:szCs w:val="19"/>
          <w:color w:val="auto"/>
        </w:rPr>
        <w:t>So long as an Event of Default shall not have occurred and be continuing, Beneficiary will not exercise any of its rights under Section 1.7(b), and Grantor shall receive and collect the Rents accruing under any Lease; but after the occurrence and during the continuance of any Event of Default, Beneficiary may, at its option, receive and collect all Rents and enter upon the Premises and Improvements through its officers, agents, employees or attorneys for such purpose and for the operation and maintenance thereof. Grantor hereby irrevocably authorizes and directs each tenant, if any, and each successor, if any, to the interest of any tenant under any Lease, respectively, to rely upon any notice of a claimed Event of Default sent by Beneficiary to any such tenant or any of such tenant’s successors in interest, and thereafter to pay Rents to Beneficiary without any obligation or right to inquire as to whether an Event of Default actually exists and even if some notice to the contrary is received from the Grantor, who shall have no right or claim against any such tenant or successor in interest for any such Rents so paid to Beneficiary. Each tenant or any of such tenant’s successors in interest from whom Beneficiary or any officer, agent, attorney or employee of Beneficiary shall have collected any Rents, shall be authorized to pay Rents to Grantor only after such tenant or any of their successors in interest shall have received written notice from Beneficiary that the Event of Default is no longer continuing, unless and until a further notice of an Event of Default is given by Beneficiary to such tenant or any of its successors in interest.</w:t>
      </w:r>
    </w:p>
    <w:p>
      <w:pPr>
        <w:spacing w:after="0" w:line="167" w:lineRule="exact"/>
        <w:rPr>
          <w:rFonts w:ascii="Arial" w:cs="Arial" w:eastAsia="Arial" w:hAnsi="Arial"/>
          <w:sz w:val="19"/>
          <w:szCs w:val="19"/>
          <w:color w:val="auto"/>
        </w:rPr>
      </w:pPr>
    </w:p>
    <w:p>
      <w:pPr>
        <w:jc w:val="both"/>
        <w:ind w:firstLine="656"/>
        <w:spacing w:after="0" w:line="263" w:lineRule="auto"/>
        <w:tabs>
          <w:tab w:leader="none" w:pos="1168" w:val="left"/>
        </w:tabs>
        <w:numPr>
          <w:ilvl w:val="0"/>
          <w:numId w:val="305"/>
        </w:numPr>
        <w:rPr>
          <w:rFonts w:ascii="Arial" w:cs="Arial" w:eastAsia="Arial" w:hAnsi="Arial"/>
          <w:sz w:val="21"/>
          <w:szCs w:val="21"/>
          <w:color w:val="auto"/>
        </w:rPr>
      </w:pPr>
      <w:r>
        <w:rPr>
          <w:rFonts w:ascii="Arial" w:cs="Arial" w:eastAsia="Arial" w:hAnsi="Arial"/>
          <w:sz w:val="21"/>
          <w:szCs w:val="21"/>
          <w:color w:val="auto"/>
        </w:rPr>
        <w:t>Neither Deed of Trust Trustee nor Beneficiary will become a party in possession so long as it does not enter or take actual possession of the Leasehold Trust Estate. In addition, neither Deed of Trust Trustee nor Beneficiary shall be responsible or liable for performing any of the obligations of the landlord under any Lease, for any waste by any tenant, or others, for any dangerous or defective conditions of any of the Leasehold Trust Estate, for negligence in the management, upkeep, repair or control of any of the Leasehold Trust Estate or any other act or omission by any other person.</w:t>
      </w:r>
    </w:p>
    <w:p>
      <w:pPr>
        <w:spacing w:after="0" w:line="176"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Restrictions on Transfers and Encumbrances</w:t>
      </w:r>
      <w:r>
        <w:rPr>
          <w:rFonts w:ascii="Arial" w:cs="Arial" w:eastAsia="Arial" w:hAnsi="Arial"/>
          <w:sz w:val="22"/>
          <w:szCs w:val="22"/>
          <w:color w:val="auto"/>
        </w:rPr>
        <w:t>. Grantor shall comply with all requirements under the Indenture, Mortgaged Leases and the Standby Purchase Agreement relating to any covenant not to sell, convey, alienate, assign, lease, sublease, license, mortgage, pledge, encumber or otherwise transfer, create, or suffer the creation of any lien, charge or other form of encumbrance upon any interest in or any part of the Leasehold Trust Estate, or be divested of its title to the Leasehold Trust Estate or any interest therein in any manner or way, whether voluntarily or involuntarily (other than resulting from a condemnation), or engage in 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9</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76" w:name="page377"/>
    <w:bookmarkEnd w:id="376"/>
    <w:p>
      <w:pPr>
        <w:jc w:val="both"/>
        <w:spacing w:after="0" w:line="263" w:lineRule="auto"/>
        <w:rPr>
          <w:sz w:val="20"/>
          <w:szCs w:val="20"/>
          <w:color w:val="auto"/>
        </w:rPr>
      </w:pPr>
      <w:r>
        <w:rPr>
          <w:rFonts w:ascii="Arial" w:cs="Arial" w:eastAsia="Arial" w:hAnsi="Arial"/>
          <w:sz w:val="22"/>
          <w:szCs w:val="22"/>
          <w:color w:val="auto"/>
        </w:rPr>
        <w:t>common, cooperative, joint, time-sharing or other congregate ownership of all or part thereof, except in each case, Permitted Encumbrances.</w:t>
      </w:r>
    </w:p>
    <w:p>
      <w:pPr>
        <w:spacing w:after="0" w:line="17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To the extent the Leasehold Trust Estate consists of items of personal property which are or are to become Fixtures under applicable law, this Deed of Trust shall also be construed as a security agreement under the UCC. The Grantor, in order to secure the due and punctual payment and performance of the Obligations, hereby grants to the Beneficiary for its benefit and for the benefit of the Secured Parties, a security interest in and to such Collateral and Fixtures. Upon and during the continuance of an Event of Default, the Beneficiary shall be entitled with respect to the Collateral and Fixtures, to exercise all remedies hereunder or available under the UCC with respect thereto and all other remedies available under applicable law, and, without limiting the foregoing, the Collateral and Fixtures, may, at the Beneficiary’s option,</w:t>
      </w:r>
    </w:p>
    <w:p>
      <w:pPr>
        <w:spacing w:after="0" w:line="5" w:lineRule="exact"/>
        <w:rPr>
          <w:sz w:val="20"/>
          <w:szCs w:val="20"/>
          <w:color w:val="auto"/>
        </w:rPr>
      </w:pPr>
    </w:p>
    <w:p>
      <w:pPr>
        <w:jc w:val="both"/>
        <w:ind w:firstLine="8"/>
        <w:spacing w:after="0" w:line="257" w:lineRule="auto"/>
        <w:tabs>
          <w:tab w:leader="none" w:pos="291" w:val="left"/>
        </w:tabs>
        <w:numPr>
          <w:ilvl w:val="0"/>
          <w:numId w:val="306"/>
        </w:numPr>
        <w:rPr>
          <w:rFonts w:ascii="Arial" w:cs="Arial" w:eastAsia="Arial" w:hAnsi="Arial"/>
          <w:sz w:val="21"/>
          <w:szCs w:val="21"/>
          <w:color w:val="auto"/>
        </w:rPr>
      </w:pPr>
      <w:r>
        <w:rPr>
          <w:rFonts w:ascii="Arial" w:cs="Arial" w:eastAsia="Arial" w:hAnsi="Arial"/>
          <w:sz w:val="21"/>
          <w:szCs w:val="21"/>
          <w:color w:val="auto"/>
        </w:rPr>
        <w:t xml:space="preserve">be sold hereunder together with any sale of any portion of the Leasehold Trust Estate or otherwise, (ii) be sold separately pursuant to the UCC, or (iii) be dealt with by the Beneficiary in any other manner permitted under applicable law. The Beneficiary may require the Grantor to assemble the Collateral and Fixtures, and make it available to the Beneficiary at a place to be designated by the Beneficiary. The Grantor acknowledges and agrees that a disposition of such collateral in accordance with the Beneficiary’s rights and remedies in respect to the Leasehold Trust Estate as heretofore provided is a commercially reasonable disposition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Beneficiary shall give the Grantor not less than ten (10) days’ prior notice of the time and place of any intended disposition.</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SECTION 1.11. </w:t>
      </w:r>
      <w:r>
        <w:rPr>
          <w:rFonts w:ascii="Arial" w:cs="Arial" w:eastAsia="Arial" w:hAnsi="Arial"/>
          <w:sz w:val="21"/>
          <w:szCs w:val="21"/>
          <w:u w:val="single" w:color="auto"/>
          <w:color w:val="auto"/>
        </w:rPr>
        <w:t>Filing and Recording</w:t>
      </w:r>
      <w:r>
        <w:rPr>
          <w:rFonts w:ascii="Arial" w:cs="Arial" w:eastAsia="Arial" w:hAnsi="Arial"/>
          <w:sz w:val="21"/>
          <w:szCs w:val="21"/>
          <w:color w:val="auto"/>
        </w:rPr>
        <w:t xml:space="preserve">. Grantor will cause this Deed of Trust to be filed, registered or recorded and, if necessary, refiled, rerecorded and reregistered, in such manner and in such places as may be required by any present or future law in order to publish notice of and fully to perfect the lien hereof upon, and the security interest of Beneficiary in, the Leasehold Trust Estate until this Deed of Trust is terminated and released in full in accordance with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hereof. In connection therewith, Grantor will pay all filing, registration and recording fees, all Federal, state, county and municipal recording, documentary or intangible taxes and other taxes, duties, imposts, assessments and charges, and all reasonable expenses incidental to or arising out of or in connection with the execution, delivery and recording of this Deed of Trust, any deed of trust supplemental hereto or any instrument of further assurance.</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Further Assurances</w:t>
      </w:r>
      <w:r>
        <w:rPr>
          <w:rFonts w:ascii="Arial" w:cs="Arial" w:eastAsia="Arial" w:hAnsi="Arial"/>
          <w:sz w:val="21"/>
          <w:szCs w:val="21"/>
          <w:color w:val="auto"/>
        </w:rPr>
        <w:t>. Promptly following demand by Beneficiary in its reasonable discretion, Grantor will, at the cost of Grantor and without expense to Deed of Trust Trustee or Beneficiary, do, execute, acknowledge and deliver all such further acts, deeds, conveyances, assignments, notices of assignment, transfers and assurances as Deed of Trust Trustee or Beneficiary shall from time to time reasonably require for the better assuring, conveying, assigning, transferring and confirming unto Deed of Trust Trustee and/or Beneficiary, as applicable, the property and rights hereby conveyed or assigned or intended now or hereafter so to be, or which Grantor may be or may hereafter become bound to convey or assign to Deed of Trust Trustee and/or Beneficiary, as applicable, or for carrying out the intention or facilitating the performance of the terms of this Deed of Trust, or for filing, registering or recording this Deed of Trust, and promptly following demand, Grantor will also execute and deliver and hereby appoints Deed of Trust Trustee and Beneficiary as its true and lawful attorneys-in-fact and agents, for Grantor and in its name,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10</w:t>
      </w:r>
      <w:r>
        <w:rPr>
          <w:rFonts w:ascii="Arial" w:cs="Arial" w:eastAsia="Arial" w:hAnsi="Arial"/>
          <w:sz w:val="22"/>
          <w:szCs w:val="22"/>
          <w:color w:val="auto"/>
        </w:rPr>
        <w:t>-</w:t>
      </w:r>
    </w:p>
    <w:p>
      <w:pPr>
        <w:sectPr>
          <w:pgSz w:w="11900" w:h="16838" w:orient="portrait"/>
          <w:cols w:equalWidth="0" w:num="1">
            <w:col w:w="11420"/>
          </w:cols>
          <w:pgMar w:left="240" w:top="632" w:right="239" w:bottom="1440" w:gutter="0" w:footer="0" w:header="0"/>
        </w:sectPr>
      </w:pPr>
    </w:p>
    <w:bookmarkStart w:id="377" w:name="page378"/>
    <w:bookmarkEnd w:id="377"/>
    <w:p>
      <w:pPr>
        <w:jc w:val="both"/>
        <w:spacing w:after="0" w:line="250" w:lineRule="auto"/>
        <w:rPr>
          <w:sz w:val="20"/>
          <w:szCs w:val="20"/>
          <w:color w:val="auto"/>
        </w:rPr>
      </w:pPr>
      <w:r>
        <w:rPr>
          <w:rFonts w:ascii="Arial" w:cs="Arial" w:eastAsia="Arial" w:hAnsi="Arial"/>
          <w:sz w:val="22"/>
          <w:szCs w:val="22"/>
          <w:color w:val="auto"/>
        </w:rPr>
        <w:t>place and stead, in any and all capacities, to execute and file to the extent it may lawfully do so, one or more financing statements, security agreements or comparable security instruments reasonably requested by Deed of Trust Trustee and/or Beneficiary to evidence more effectively the lien hereof upon the Leasehold Trust Estate and to perform each and every act and thing reasonably requisite and necessary to be done to accomplish the same.</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Additions to Leasehold Trust Estate</w:t>
      </w:r>
      <w:r>
        <w:rPr>
          <w:rFonts w:ascii="Arial" w:cs="Arial" w:eastAsia="Arial" w:hAnsi="Arial"/>
          <w:sz w:val="19"/>
          <w:szCs w:val="19"/>
          <w:color w:val="auto"/>
        </w:rPr>
        <w:t>. All right, title and interest of Grantor in and to all extensions, improvements, betterments, renewals, substitutions and replacements of, and all additions and appurtenances to, the Leasehold Trust Estate hereafter acquired by or released to Grantor or constructed, assembled or placed by Grantor upon the Premises, and all conversions of the security constituted thereby, immediately upon such acquisition, release, construction, assembling, placement or conversion, as the case may be, and in each such case without any further deed of trust, conveyance; assignment or other act by Grantor, other than Excluded Assets, shall become subject to the lien and security interest of this Deed of Trust as fully and completely and with the same effect as though now owned by Grantor and specifically described in the grant of the Leasehold Trust Estate above, but at any and all tines Grantor will execute and deliver to Deed of Trust Trustee and/or Beneficiary any and all such further assurances, deeds of trust, conveyances or assignments thereof as Deed of Trust Trustee or Beneficiary may reasonably require for the purpose of expressly and specifically subjecting the same to the lien and security interest of this Deed of Trust.</w:t>
      </w:r>
    </w:p>
    <w:p>
      <w:pPr>
        <w:spacing w:after="0" w:line="15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No Claims Against Deed of Trust Trustee or Beneficiary</w:t>
      </w:r>
      <w:r>
        <w:rPr>
          <w:rFonts w:ascii="Arial" w:cs="Arial" w:eastAsia="Arial" w:hAnsi="Arial"/>
          <w:sz w:val="22"/>
          <w:szCs w:val="22"/>
          <w:color w:val="auto"/>
        </w:rPr>
        <w:t>. Nothing contained in this Deed of Trust shall constitute any consent or request by Deed of Trust Trustee or Beneficiary, express or implied, for the performance of any labor or services or the furnishing of any materials or other property in respect of the Leasehold Trust Estate or any part thereof, nor as giving Grantor any right, power or authority to contract for or permit the performance of any labor or services or the furnishing of any materials or other property in such fashion as would permit the making of any claim against Deed of Trust Trustee or Beneficiary in respect thereof.</w:t>
      </w:r>
    </w:p>
    <w:p>
      <w:pPr>
        <w:spacing w:after="0" w:line="18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Fixture Filing</w:t>
      </w:r>
      <w:r>
        <w:rPr>
          <w:rFonts w:ascii="Arial" w:cs="Arial" w:eastAsia="Arial" w:hAnsi="Arial"/>
          <w:sz w:val="22"/>
          <w:szCs w:val="22"/>
          <w:color w:val="auto"/>
        </w:rPr>
        <w:t>. To the extent that the Leasehold Trust Estate includes items of personal property which are or are to become fixtures, under applicable law, and to the extent permitted under applicable law, the filing hereof in the real estate records of the county in which such Leasehold Trust Estate is located shall also operate from the date of such recording as a fixture filing with respect to such Leasehold Trust Estate, and the following information is applicable for the purpose of such filing, to wit: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11</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78" w:name="page379"/>
    <w:bookmarkEnd w:id="378"/>
    <w:tbl>
      <w:tblPr>
        <w:tblLayout w:type="fixed"/>
        <w:tblInd w:w="660" w:type="dxa"/>
        <w:tblCellMar>
          <w:top w:w="0" w:type="dxa"/>
          <w:left w:w="0" w:type="dxa"/>
          <w:bottom w:w="0" w:type="dxa"/>
          <w:right w:w="0" w:type="dxa"/>
        </w:tblCellMar>
      </w:tblPr>
      <w:tr>
        <w:trPr>
          <w:trHeight w:val="281"/>
        </w:trPr>
        <w:tc>
          <w:tcPr>
            <w:tcW w:w="3900" w:type="dxa"/>
            <w:vAlign w:val="bottom"/>
          </w:tcPr>
          <w:p>
            <w:pPr>
              <w:spacing w:after="0"/>
              <w:rPr>
                <w:sz w:val="20"/>
                <w:szCs w:val="20"/>
                <w:color w:val="auto"/>
              </w:rPr>
            </w:pPr>
            <w:r>
              <w:rPr>
                <w:rFonts w:ascii="Arial" w:cs="Arial" w:eastAsia="Arial" w:hAnsi="Arial"/>
                <w:sz w:val="22"/>
                <w:szCs w:val="22"/>
                <w:b w:val="1"/>
                <w:bCs w:val="1"/>
                <w:color w:val="auto"/>
              </w:rPr>
              <w:t>Name and Address of the debtor:</w:t>
            </w:r>
          </w:p>
        </w:tc>
        <w:tc>
          <w:tcPr>
            <w:tcW w:w="4520" w:type="dxa"/>
            <w:vAlign w:val="bottom"/>
          </w:tcPr>
          <w:p>
            <w:pPr>
              <w:ind w:left="800"/>
              <w:spacing w:after="0"/>
              <w:rPr>
                <w:sz w:val="20"/>
                <w:szCs w:val="20"/>
                <w:color w:val="auto"/>
              </w:rPr>
            </w:pPr>
            <w:r>
              <w:rPr>
                <w:rFonts w:ascii="Arial" w:cs="Arial" w:eastAsia="Arial" w:hAnsi="Arial"/>
                <w:sz w:val="22"/>
                <w:szCs w:val="22"/>
                <w:b w:val="1"/>
                <w:bCs w:val="1"/>
                <w:color w:val="auto"/>
                <w:w w:val="87"/>
              </w:rPr>
              <w:t>Name and Address of the secured party:</w:t>
            </w:r>
          </w:p>
        </w:tc>
      </w:tr>
    </w:tbl>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551815</wp:posOffset>
            </wp:positionH>
            <wp:positionV relativeFrom="page">
              <wp:posOffset>492125</wp:posOffset>
            </wp:positionV>
            <wp:extent cx="5977255" cy="2204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7255" cy="220408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color w:val="auto"/>
        </w:rPr>
        <w:t>The Grantor having the address described in the The Beneficiary having the address described in the</w:t>
      </w:r>
    </w:p>
    <w:p>
      <w:pPr>
        <w:spacing w:after="0" w:line="33" w:lineRule="exact"/>
        <w:rPr>
          <w:sz w:val="20"/>
          <w:szCs w:val="20"/>
          <w:color w:val="auto"/>
        </w:rPr>
      </w:pPr>
    </w:p>
    <w:p>
      <w:pPr>
        <w:ind w:left="660"/>
        <w:spacing w:after="0"/>
        <w:tabs>
          <w:tab w:leader="none" w:pos="5340" w:val="left"/>
        </w:tabs>
        <w:rPr>
          <w:sz w:val="20"/>
          <w:szCs w:val="20"/>
          <w:color w:val="auto"/>
        </w:rPr>
      </w:pPr>
      <w:r>
        <w:rPr>
          <w:rFonts w:ascii="Arial" w:cs="Arial" w:eastAsia="Arial" w:hAnsi="Arial"/>
          <w:sz w:val="22"/>
          <w:szCs w:val="22"/>
          <w:color w:val="auto"/>
        </w:rPr>
        <w:t>Preamble hereof.</w:t>
      </w:r>
      <w:r>
        <w:rPr>
          <w:sz w:val="20"/>
          <w:szCs w:val="20"/>
          <w:color w:val="auto"/>
        </w:rPr>
        <w:tab/>
      </w:r>
      <w:r>
        <w:rPr>
          <w:rFonts w:ascii="Arial" w:cs="Arial" w:eastAsia="Arial" w:hAnsi="Arial"/>
          <w:sz w:val="21"/>
          <w:szCs w:val="21"/>
          <w:color w:val="auto"/>
        </w:rPr>
        <w:t>Preamble hereof, from which address information</w:t>
      </w:r>
    </w:p>
    <w:p>
      <w:pPr>
        <w:ind w:left="660"/>
        <w:spacing w:after="0" w:line="215" w:lineRule="auto"/>
        <w:rPr>
          <w:sz w:val="20"/>
          <w:szCs w:val="20"/>
          <w:color w:val="auto"/>
        </w:rPr>
      </w:pPr>
      <w:r>
        <w:rPr>
          <w:rFonts w:ascii="Arial" w:cs="Arial" w:eastAsia="Arial" w:hAnsi="Arial"/>
          <w:sz w:val="18"/>
          <w:szCs w:val="18"/>
          <w:color w:val="auto"/>
        </w:rPr>
        <w:t xml:space="preserve">The Grantor is a limited liability company organized </w:t>
      </w:r>
      <w:r>
        <w:rPr>
          <w:rFonts w:ascii="Arial" w:cs="Arial" w:eastAsia="Arial" w:hAnsi="Arial"/>
          <w:sz w:val="34"/>
          <w:szCs w:val="34"/>
          <w:color w:val="auto"/>
          <w:vertAlign w:val="superscript"/>
        </w:rPr>
        <w:t>concerning the security interest may be obtained.</w:t>
      </w:r>
    </w:p>
    <w:p>
      <w:pPr>
        <w:ind w:left="660"/>
        <w:spacing w:after="0" w:line="231" w:lineRule="auto"/>
        <w:rPr>
          <w:sz w:val="20"/>
          <w:szCs w:val="20"/>
          <w:color w:val="auto"/>
        </w:rPr>
      </w:pPr>
      <w:r>
        <w:rPr>
          <w:rFonts w:ascii="Arial" w:cs="Arial" w:eastAsia="Arial" w:hAnsi="Arial"/>
          <w:sz w:val="22"/>
          <w:szCs w:val="22"/>
          <w:color w:val="auto"/>
        </w:rPr>
        <w:t>under the laws of the State of Delaware whose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Organization Number is 5559432.</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This Financing Statement covers the following types or items of property: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Leasehold Trust Estate.</w:t>
      </w:r>
    </w:p>
    <w:p>
      <w:pPr>
        <w:spacing w:after="0" w:line="8" w:lineRule="exact"/>
        <w:rPr>
          <w:sz w:val="20"/>
          <w:szCs w:val="20"/>
          <w:color w:val="auto"/>
        </w:rPr>
      </w:pPr>
    </w:p>
    <w:p>
      <w:pPr>
        <w:ind w:left="660" w:right="1420"/>
        <w:spacing w:after="0" w:line="237" w:lineRule="auto"/>
        <w:rPr>
          <w:sz w:val="20"/>
          <w:szCs w:val="20"/>
          <w:color w:val="auto"/>
        </w:rPr>
      </w:pPr>
      <w:r>
        <w:rPr>
          <w:rFonts w:ascii="Arial" w:cs="Arial" w:eastAsia="Arial" w:hAnsi="Arial"/>
          <w:sz w:val="22"/>
          <w:szCs w:val="22"/>
          <w:color w:val="auto"/>
        </w:rPr>
        <w:t>This instrument covers goods or items of personal property which are or are to become fixtures upon the property.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Grantor is the record owner of the Land.</w:t>
      </w:r>
    </w:p>
    <w:p>
      <w:pPr>
        <w:spacing w:after="0" w:line="200" w:lineRule="exact"/>
        <w:rPr>
          <w:sz w:val="20"/>
          <w:szCs w:val="20"/>
          <w:color w:val="auto"/>
        </w:rPr>
      </w:pPr>
    </w:p>
    <w:p>
      <w:pPr>
        <w:spacing w:after="0" w:line="209" w:lineRule="exact"/>
        <w:rPr>
          <w:sz w:val="20"/>
          <w:szCs w:val="20"/>
          <w:color w:val="auto"/>
        </w:rPr>
      </w:pPr>
    </w:p>
    <w:p>
      <w:pPr>
        <w:jc w:val="both"/>
        <w:ind w:firstLine="1305"/>
        <w:spacing w:after="0" w:line="307" w:lineRule="auto"/>
        <w:tabs>
          <w:tab w:leader="none" w:pos="187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In addition, the Grantor hereby authorizes the Beneficiary to file appropriate financing and continuation statements under the UCC in effect in the jurisdiction in which the Leasehold Trust Estate is located or where the Grantor is located/organized or any other applicable jurisdiction as may be required by law in order to create, establish, preserve and protect the liens and security interests intended to be granted to the Beneficiary pursuant to this Deed of Trust in the Leasehold Trust Estate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220"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Demand for Payment</w:t>
      </w:r>
      <w:r>
        <w:rPr>
          <w:rFonts w:ascii="Arial" w:cs="Arial" w:eastAsia="Arial" w:hAnsi="Arial"/>
          <w:sz w:val="21"/>
          <w:szCs w:val="21"/>
          <w:color w:val="auto"/>
        </w:rPr>
        <w:t>. If an Event of Default shall occur and be continuing, then, upon written demand of Beneficiary in accordance with the terms of the Indenture, the Deed of Trust Trustee and Beneficiary shall be entitled and empowered to institute an action or proceedings at law or in equity for the collection of the sums so due and unpaid, to prosecute any such action or proceedings to judgment or final decree, to enforce any such judgment or final decree against Grantor and to collect, in any manner provided by law, all moneys adjudged or decreed to be payable.</w:t>
      </w:r>
    </w:p>
    <w:p>
      <w:pPr>
        <w:spacing w:after="0" w:line="174"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Rights To Take Possession, Operate and Apply Revenues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8" w:lineRule="auto"/>
        <w:tabs>
          <w:tab w:leader="none" w:pos="1743" w:val="left"/>
        </w:tabs>
        <w:numPr>
          <w:ilvl w:val="0"/>
          <w:numId w:val="308"/>
        </w:numPr>
        <w:rPr>
          <w:rFonts w:ascii="Arial" w:cs="Arial" w:eastAsia="Arial" w:hAnsi="Arial"/>
          <w:sz w:val="22"/>
          <w:szCs w:val="22"/>
          <w:color w:val="auto"/>
        </w:rPr>
      </w:pPr>
      <w:r>
        <w:rPr>
          <w:rFonts w:ascii="Arial" w:cs="Arial" w:eastAsia="Arial" w:hAnsi="Arial"/>
          <w:sz w:val="22"/>
          <w:szCs w:val="22"/>
          <w:color w:val="auto"/>
        </w:rPr>
        <w:t>If an Event of Default shall occur and be continuing, Grantor shall, upon demand of Beneficiary (or of Trustee at the direction of Beneficiary as so required by applicable law), forthwith surrender to Deed of Trust Trustee or Beneficiary (as applicable in accordance with applicable law) actual possession of the Leasehold Trust Estate and, if and to the extent not prohibited by applicable law, Deed of Trust Trustee or Beneficiary itself, as applicable, or by such officers or agents as it may appoint, may then enter and take possession of all the Leasehold Trust Estate without the appointment of a receiver or an application therefor, exclude Grantor and its agents and employees wholly therefrom, and have access to the books, papers and accounts of Grantor.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12</w:t>
      </w:r>
      <w:r>
        <w:rPr>
          <w:rFonts w:ascii="Arial" w:cs="Arial" w:eastAsia="Arial" w:hAnsi="Arial"/>
          <w:sz w:val="22"/>
          <w:szCs w:val="22"/>
          <w:color w:val="auto"/>
        </w:rPr>
        <w:t>-</w:t>
      </w:r>
    </w:p>
    <w:p>
      <w:pPr>
        <w:sectPr>
          <w:pgSz w:w="11900" w:h="16838" w:orient="portrait"/>
          <w:cols w:equalWidth="0" w:num="1">
            <w:col w:w="11420"/>
          </w:cols>
          <w:pgMar w:left="240" w:top="787" w:right="239" w:bottom="1440" w:gutter="0" w:footer="0" w:header="0"/>
        </w:sectPr>
      </w:pPr>
    </w:p>
    <w:bookmarkStart w:id="379" w:name="page380"/>
    <w:bookmarkEnd w:id="379"/>
    <w:p>
      <w:pPr>
        <w:jc w:val="both"/>
        <w:ind w:firstLine="1305"/>
        <w:spacing w:after="0" w:line="289" w:lineRule="auto"/>
        <w:tabs>
          <w:tab w:leader="none" w:pos="1891" w:val="left"/>
        </w:tabs>
        <w:numPr>
          <w:ilvl w:val="0"/>
          <w:numId w:val="309"/>
        </w:numPr>
        <w:rPr>
          <w:rFonts w:ascii="Arial" w:cs="Arial" w:eastAsia="Arial" w:hAnsi="Arial"/>
          <w:sz w:val="19"/>
          <w:szCs w:val="19"/>
          <w:color w:val="auto"/>
        </w:rPr>
      </w:pPr>
      <w:r>
        <w:rPr>
          <w:rFonts w:ascii="Arial" w:cs="Arial" w:eastAsia="Arial" w:hAnsi="Arial"/>
          <w:sz w:val="19"/>
          <w:szCs w:val="19"/>
          <w:color w:val="auto"/>
        </w:rPr>
        <w:t>If in accordance with Section 2.3(a) above Grantor shall for any reason fail to surrender or deliver the Leasehold Trust Estate or any part thereof after such demand by Beneficiary (or Deed of Trust Trustee at the direction of Beneficiary as so required by applicable law), Deed of Trust Trustee and/or Beneficiary may to the extent not prohibited by applicable law, obtain a judgment or decree conferring upon Deed of Trust Trustee and/or Beneficiary, as applicable, the right to immediate possession or requiring Grantor to deliver immediate possession of the Leasehold Trust Estate to Deed of Trust Trustee and/or Beneficiary, as applicable, to the entry of which judgment or decree Grantor hereby specifically consents. Subject to Section 7.03 of the Indenture, Grantor will pay to Beneficiary, within the time period set forth therein, all reasonable expenses of obtaining such judgment or decree, including reasonable compensation to Deed of Trust Trustee’s and Beneficiary’s attorneys and agents with interest on any overdue amounts therefrom, at the rate per annum applicable to overdue amounts under the Indenture as provided in and to the extent then applicable under Section 2.11 of the Indenture, but in no event to exceed the maximum rate permitted by law (the “</w:t>
      </w:r>
      <w:r>
        <w:rPr>
          <w:rFonts w:ascii="Arial" w:cs="Arial" w:eastAsia="Arial" w:hAnsi="Arial"/>
          <w:sz w:val="19"/>
          <w:szCs w:val="19"/>
          <w:u w:val="single" w:color="auto"/>
          <w:color w:val="auto"/>
        </w:rPr>
        <w:t>Default Rate</w:t>
      </w:r>
      <w:r>
        <w:rPr>
          <w:rFonts w:ascii="Arial" w:cs="Arial" w:eastAsia="Arial" w:hAnsi="Arial"/>
          <w:sz w:val="19"/>
          <w:szCs w:val="19"/>
          <w:color w:val="auto"/>
        </w:rPr>
        <w:t>”); and all such expenses and compensation shall, until paid, be secured by this Deed of Trust.</w:t>
      </w:r>
    </w:p>
    <w:p>
      <w:pPr>
        <w:spacing w:after="0" w:line="158" w:lineRule="exact"/>
        <w:rPr>
          <w:rFonts w:ascii="Arial" w:cs="Arial" w:eastAsia="Arial" w:hAnsi="Arial"/>
          <w:sz w:val="19"/>
          <w:szCs w:val="19"/>
          <w:color w:val="auto"/>
        </w:rPr>
      </w:pPr>
    </w:p>
    <w:p>
      <w:pPr>
        <w:jc w:val="both"/>
        <w:ind w:firstLine="1305"/>
        <w:spacing w:after="0" w:line="286" w:lineRule="auto"/>
        <w:tabs>
          <w:tab w:leader="none" w:pos="173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Upon every such entry or taking of possession, Deed of Trust Trustee and/or Beneficiary, as applicable, may, to the extent not prohibited by applicable law, hold, store, use, operate, manage and control the Leasehold Trust Estate, conduct the business thereof and, from time to time, (i) make all necessary and proper maintenance, repairs, renewals, replacements, additions, betterments and improvements thereto and thereon, (ii) insure or keep the Leasehold Trust Estate insured in the manner and amounts required pursuant to the Indenture, (iii) manage and operate the Leasehold Trust Estate in its reasonable discretion and exercise all the rights and powers of Grantor to the same extent as Grantor could in its own name or otherwise with respect to the same, or (iv) enter into any and all agreements with respect to the exercise by others of any of the powers herein granted to Deed of Trust Trustee and/or Beneficiary, all as may from time to time be directed or determined by Beneficiary to be in its best interest and Grantor hereby appoints Deed of Trust Trustee and Beneficiary as its true and lawful attorneys-in-fact and agents, for Grantor and in its name, place and stead, in any and all capacities, to perform any of the foregoing acts. During the time of such possession, Beneficiary may collect and receive all the Rents, issues, profits and revenues from the Leasehold Trust Estate, including those past due as well as those accruing thereafter, and, after deducting, in all cases subject to Section 7.03 of the Indenture, (i) all reasonable expenses of taking, holding, managing and operating the Leasehold Trust Estate (including reasonable compensation for the services of all persons employed for such purposes), (ii) the reasonable costs of all such maintenance, repairs, renewals, replacements, additions, betterments, improvements, purchases and acquisitions, (iii) the reasonable costs of insurance, (iv) such taxes, assessments and other similar charges as Beneficiary may at its option pay, (v) other proper and reasonable charges upon the Leasehold Trust Estate or any part thereof and (vi) the reasonable compensation, expenses and disbursements of the attorneys and. agents of Deed of Trust Trustee and Beneficiary, Deed of Trust Trustee or Beneficiary, as applicable, shall apply the remainder of the moneys and proceeds so received in accordance with Section 2.8 hereof.</w:t>
      </w:r>
    </w:p>
    <w:p>
      <w:pPr>
        <w:spacing w:after="0" w:line="158" w:lineRule="exact"/>
        <w:rPr>
          <w:rFonts w:ascii="Arial" w:cs="Arial" w:eastAsia="Arial" w:hAnsi="Arial"/>
          <w:sz w:val="19"/>
          <w:szCs w:val="19"/>
          <w:color w:val="auto"/>
        </w:rPr>
      </w:pPr>
    </w:p>
    <w:p>
      <w:pPr>
        <w:jc w:val="both"/>
        <w:ind w:firstLine="1305"/>
        <w:spacing w:after="0" w:line="260" w:lineRule="auto"/>
        <w:tabs>
          <w:tab w:leader="none" w:pos="1796" w:val="left"/>
        </w:tabs>
        <w:numPr>
          <w:ilvl w:val="0"/>
          <w:numId w:val="309"/>
        </w:numPr>
        <w:rPr>
          <w:rFonts w:ascii="Arial" w:cs="Arial" w:eastAsia="Arial" w:hAnsi="Arial"/>
          <w:sz w:val="22"/>
          <w:szCs w:val="22"/>
          <w:color w:val="auto"/>
        </w:rPr>
      </w:pPr>
      <w:r>
        <w:rPr>
          <w:rFonts w:ascii="Arial" w:cs="Arial" w:eastAsia="Arial" w:hAnsi="Arial"/>
          <w:sz w:val="22"/>
          <w:szCs w:val="22"/>
          <w:color w:val="auto"/>
        </w:rPr>
        <w:t>Whenever, before any sale of the Leasehold Trust Estate under Section 2.6, all Obligations that are then due shall have been paid and all Events of Default fully cured, Deed of Trust Trustee and/or Beneficiary, as applicable, will surrender possession of the Leasehold Trust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13</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0" w:name="page381"/>
    <w:bookmarkEnd w:id="380"/>
    <w:p>
      <w:pPr>
        <w:jc w:val="both"/>
        <w:spacing w:after="0" w:line="263" w:lineRule="auto"/>
        <w:rPr>
          <w:sz w:val="20"/>
          <w:szCs w:val="20"/>
          <w:color w:val="auto"/>
        </w:rPr>
      </w:pPr>
      <w:r>
        <w:rPr>
          <w:rFonts w:ascii="Arial" w:cs="Arial" w:eastAsia="Arial" w:hAnsi="Arial"/>
          <w:sz w:val="22"/>
          <w:szCs w:val="22"/>
          <w:color w:val="auto"/>
        </w:rPr>
        <w:t>Estate back to Grantor, its successors or assigns. The same right of taking possession shall, however, arise again if any subsequent Event of Default shall occur and be continuing.</w:t>
      </w:r>
    </w:p>
    <w:p>
      <w:pPr>
        <w:spacing w:after="0" w:line="17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Right To Cure Grantor’s Failure to Perform</w:t>
      </w:r>
      <w:r>
        <w:rPr>
          <w:rFonts w:ascii="Arial" w:cs="Arial" w:eastAsia="Arial" w:hAnsi="Arial"/>
          <w:sz w:val="19"/>
          <w:szCs w:val="19"/>
          <w:color w:val="auto"/>
        </w:rPr>
        <w:t>. Should Grantor fail in the payment, performance or observance of any term, covenant or condition required by this Deed of Trust or of Grantor under the Indenture (with respect to the Leasehold Trust Estate) beyond any applicable notice and cure periods, Beneficiary may pay, perform or observe the same, and all payments made or out-of-pocket costs or expenses incurred by Beneficiary in connection therewith shall be secured hereby and, subject to Section 7.03 of the Indenture, shall be, within the time period set forth therein, repaid by Grantor to Beneficiary with interest on overdue amounts thereon at the Default Rate. Upon the occurrence and during the continuance of an Event of Default, Beneficiary is hereby empowered to enter and to authorize its agents to enter upon the Leasehold Trust Estate or any part thereof for the purpose of performing or observing any such defaulted term, covenant or condition without having any obligation to so perform or observe and without thereby becoming liable to Grantor, to any person in possession holding under Grantor or to any other person absent its (or its agents) gross negligence, bad faith or willful misconduct</w:t>
      </w:r>
    </w:p>
    <w:p>
      <w:pPr>
        <w:spacing w:after="0" w:line="15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Right to a Receiver</w:t>
      </w:r>
      <w:r>
        <w:rPr>
          <w:rFonts w:ascii="Arial" w:cs="Arial" w:eastAsia="Arial" w:hAnsi="Arial"/>
          <w:sz w:val="19"/>
          <w:szCs w:val="19"/>
          <w:color w:val="auto"/>
        </w:rPr>
        <w:t>. If an Event of Default shall occur and be continuing, Beneficiary, upon application to a court of competent jurisdiction, shall be entitled as a matter of right to the appointment of a receiver to take possession of and to operate the Leasehold Trust Estate and to collect and apply the Rents. The receiver shall have all of the rights and powers permitted under the laws of the state wherein the Leasehold Trust Estate is located. Subject to Section 7.03 of the Indenture, Grantor shall pay to Beneficiary, within the time period set forth therein, all reasonable expenses, including receiver’s fees, reasonable attorney’s fees and disbursements, costs and agent’s compensation incurred pursuant to the provisions of this Section 2.5; and all such expenses shall be secured by this Deed of Trust and shall be repaid by Grantor to Beneficiary with interest on overdue amounts at the Default Rate from the date incurred until the date so paid by Grantor.</w:t>
      </w:r>
    </w:p>
    <w:p>
      <w:pPr>
        <w:spacing w:after="0" w:line="156"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Foreclosure and Sale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9" w:lineRule="auto"/>
        <w:tabs>
          <w:tab w:leader="none" w:pos="1757" w:val="left"/>
        </w:tabs>
        <w:numPr>
          <w:ilvl w:val="0"/>
          <w:numId w:val="310"/>
        </w:numPr>
        <w:rPr>
          <w:rFonts w:ascii="Arial" w:cs="Arial" w:eastAsia="Arial" w:hAnsi="Arial"/>
          <w:sz w:val="19"/>
          <w:szCs w:val="19"/>
          <w:color w:val="auto"/>
        </w:rPr>
      </w:pPr>
      <w:r>
        <w:rPr>
          <w:rFonts w:ascii="Arial" w:cs="Arial" w:eastAsia="Arial" w:hAnsi="Arial"/>
          <w:sz w:val="19"/>
          <w:szCs w:val="19"/>
          <w:color w:val="auto"/>
        </w:rPr>
        <w:t>If an Event of Default shall occur and be continuing, Beneficiary may elect to sell or cause the Deed of Trust Trustee to sell the Leasehold Trust Estate or any part of the Leasehold Trust Estate by exercise of the power of foreclosure or of sale granted to Deed of Trust Trustee and/or Beneficiary by applicable law or this Deed of Trust. In such case, Deed of Trust Trustee or Beneficiary may commence a civil action to foreclose this Deed of Trust, or it may proceed and sell the Leasehold Trust Estate to satisfy any Obligation. Beneficiary and Deed of Trust Trustee shall comply with the requirements of the Texas Property Code then in effect (or other applicable law) with regard to any such sale or any other foreclosure sale contemplated by this Deed of Trust. Deed of Trust Trustee or Beneficiary or an officer appointed by a judgment of foreclosure to sell the Leasehold Trust Estate, may sell all or such parts of the Leasehold Trust Estate as may be chosen by Deed of Trust Trustee or Beneficiary at the time and place of sale fixed by it in a notice of sale, either as a whole or in separate lots, parcels or items as Deed of Trust Trustee or Beneficiary shall deem expedient, and in such order as it may determine, at public auction to the highest bidder. Deed of Trust Trustee or Beneficiary or an officer appointed by a judgment of foreclosure to sell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14</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1" w:name="page382"/>
    <w:bookmarkEnd w:id="381"/>
    <w:p>
      <w:pPr>
        <w:jc w:val="both"/>
        <w:spacing w:after="0" w:line="297" w:lineRule="auto"/>
        <w:rPr>
          <w:sz w:val="20"/>
          <w:szCs w:val="20"/>
          <w:color w:val="auto"/>
        </w:rPr>
      </w:pPr>
      <w:r>
        <w:rPr>
          <w:rFonts w:ascii="Arial" w:cs="Arial" w:eastAsia="Arial" w:hAnsi="Arial"/>
          <w:sz w:val="19"/>
          <w:szCs w:val="19"/>
          <w:color w:val="auto"/>
        </w:rPr>
        <w:t>the Leasehold Trust Estate may postpone any foreclosure or other sale of all or any portion of the Leasehold Trust Estate by public announcement at such time and place of sale, and from time to time thereafter may postpone such sale by public announcement or subsequently noticed sale. Without further notice, Deed of Trust Trustee or Beneficiary or an officer appointed to sell the Leasehold Trust Estate may make such sale at the time fixed by the last postponement, or may, in its discretion, give a new notice of sale. Any person, including Grantor, Deed of Trust Trustee or Beneficiary or any designee or affiliate thereof, may purchase at such sale.</w:t>
      </w:r>
    </w:p>
    <w:p>
      <w:pPr>
        <w:spacing w:after="0" w:line="147" w:lineRule="exact"/>
        <w:rPr>
          <w:sz w:val="20"/>
          <w:szCs w:val="20"/>
          <w:color w:val="auto"/>
        </w:rPr>
      </w:pPr>
    </w:p>
    <w:p>
      <w:pPr>
        <w:jc w:val="both"/>
        <w:ind w:firstLine="1305"/>
        <w:spacing w:after="0" w:line="254" w:lineRule="auto"/>
        <w:tabs>
          <w:tab w:leader="none" w:pos="1864"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Leasehold Trust Estate may be sold subject to unpaid taxes and Permitted Encumbrances, and, after deducting all costs, fees and expenses of Deed of Trust Trustee or Beneficiary (including costs of evidence of title in connection with the sale), Deed of Trust Trustee or Beneficiary or an officer that makes any sale shall apply the proceeds of sale in the manner set forth in Section 2.8.</w:t>
      </w:r>
    </w:p>
    <w:p>
      <w:pPr>
        <w:spacing w:after="0" w:line="185" w:lineRule="exact"/>
        <w:rPr>
          <w:rFonts w:ascii="Arial" w:cs="Arial" w:eastAsia="Arial" w:hAnsi="Arial"/>
          <w:sz w:val="22"/>
          <w:szCs w:val="22"/>
          <w:color w:val="auto"/>
        </w:rPr>
      </w:pPr>
    </w:p>
    <w:p>
      <w:pPr>
        <w:jc w:val="both"/>
        <w:ind w:firstLine="1305"/>
        <w:spacing w:after="0" w:line="320" w:lineRule="auto"/>
        <w:tabs>
          <w:tab w:leader="none" w:pos="1743" w:val="left"/>
        </w:tabs>
        <w:numPr>
          <w:ilvl w:val="0"/>
          <w:numId w:val="311"/>
        </w:numPr>
        <w:rPr>
          <w:rFonts w:ascii="Arial" w:cs="Arial" w:eastAsia="Arial" w:hAnsi="Arial"/>
          <w:sz w:val="19"/>
          <w:szCs w:val="19"/>
          <w:color w:val="auto"/>
        </w:rPr>
      </w:pPr>
      <w:r>
        <w:rPr>
          <w:rFonts w:ascii="Arial" w:cs="Arial" w:eastAsia="Arial" w:hAnsi="Arial"/>
          <w:sz w:val="19"/>
          <w:szCs w:val="19"/>
          <w:color w:val="auto"/>
        </w:rPr>
        <w:t>Any foreclosure or other sale of less than the whole of the Leasehold Trust Estate or any defective or irregular sale made hereunder shall not exhaust the power of foreclosure or of sale provided for herein; and subsequent sales may be made hereunder until the Obligations have been satisfied, or the entirety of the Leasehold Trust Estate has been sold.</w:t>
      </w:r>
    </w:p>
    <w:p>
      <w:pPr>
        <w:spacing w:after="0" w:line="125" w:lineRule="exact"/>
        <w:rPr>
          <w:rFonts w:ascii="Arial" w:cs="Arial" w:eastAsia="Arial" w:hAnsi="Arial"/>
          <w:sz w:val="19"/>
          <w:szCs w:val="19"/>
          <w:color w:val="auto"/>
        </w:rPr>
      </w:pPr>
    </w:p>
    <w:p>
      <w:pPr>
        <w:jc w:val="both"/>
        <w:ind w:firstLine="1305"/>
        <w:spacing w:after="0" w:line="264" w:lineRule="auto"/>
        <w:tabs>
          <w:tab w:leader="none" w:pos="1769" w:val="left"/>
        </w:tabs>
        <w:numPr>
          <w:ilvl w:val="0"/>
          <w:numId w:val="311"/>
        </w:numPr>
        <w:rPr>
          <w:rFonts w:ascii="Arial" w:cs="Arial" w:eastAsia="Arial" w:hAnsi="Arial"/>
          <w:sz w:val="21"/>
          <w:szCs w:val="21"/>
          <w:color w:val="auto"/>
        </w:rPr>
      </w:pPr>
      <w:r>
        <w:rPr>
          <w:rFonts w:ascii="Arial" w:cs="Arial" w:eastAsia="Arial" w:hAnsi="Arial"/>
          <w:sz w:val="21"/>
          <w:szCs w:val="21"/>
          <w:color w:val="auto"/>
        </w:rPr>
        <w:t>If an Event of Default shall occur and be continuing, Beneficiary (or Deed of Trust Trustee at the direction of Beneficiary as so required by applicable law), may instead of, or in addition to, exercising the rights described in Section 2.6(a) above and either with or without entry or taking possession as herein permitted, proceed by a suit or suits in law or in equity or by any other appropriate proceeding or remedy (i) to specifically enforce payment of some or all of the Obligations, or the performance of any term, covenant, condition or agreement of this Deed of Trust or any other right, or (ii) to pursue any other remedy available to Beneficiary, all as Beneficiary shall determine most effectual for such purposes.</w:t>
      </w:r>
    </w:p>
    <w:p>
      <w:pPr>
        <w:spacing w:after="0" w:line="175"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Other Remedies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16"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In case an Event of Default shall occur and be continuing, Beneficiary (or Deed of Trust Trustee at the direction of Beneficiary as so required by applicable law) may also exercise, to the extent not prohibited by law, any or all of the remedies available to a secured party under the UCC.</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5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 connection with a sale of the Leasehold Trust Estate and the application of the proceeds of sale as provided in Section 2.8, Beneficiary (or Deed of Trust Trustee at the direction of Beneficiary as so required by applicable law) shall be entitled to enforce payment of and to receive up to the principal amount of the Obligations, including, without limitation, all other charges, payments and costs due under this Deed of Trust, and to recover a deficiency judgment for any portion of the aggregate principal amount of the Obligations remaining unpaid, with interest in accordance with the Indenture.</w:t>
      </w:r>
    </w:p>
    <w:p>
      <w:pPr>
        <w:spacing w:after="0" w:line="14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Application of Sale Proceeds and Rents</w:t>
      </w:r>
      <w:r>
        <w:rPr>
          <w:rFonts w:ascii="Arial" w:cs="Arial" w:eastAsia="Arial" w:hAnsi="Arial"/>
          <w:sz w:val="22"/>
          <w:szCs w:val="22"/>
          <w:color w:val="auto"/>
        </w:rPr>
        <w:t>. After any foreclosure sale of all or any of the Leasehold Trust Estate, Beneficiary shall receive and apply the proceeds of the sale together with any Rents that may have been collected and any other sums that then may be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15</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2" w:name="page383"/>
    <w:bookmarkEnd w:id="382"/>
    <w:p>
      <w:pPr>
        <w:jc w:val="both"/>
        <w:ind w:right="20"/>
        <w:spacing w:after="0" w:line="263" w:lineRule="auto"/>
        <w:rPr>
          <w:sz w:val="20"/>
          <w:szCs w:val="20"/>
          <w:color w:val="auto"/>
        </w:rPr>
      </w:pPr>
      <w:r>
        <w:rPr>
          <w:rFonts w:ascii="Arial" w:cs="Arial" w:eastAsia="Arial" w:hAnsi="Arial"/>
          <w:sz w:val="22"/>
          <w:szCs w:val="22"/>
          <w:color w:val="auto"/>
        </w:rPr>
        <w:t>held by Beneficiary under this Deed of Trust in the same manner as the proceeds of the Trust Estate (as defined in the Indenture) are to be applied pursuant to Section 7.06 of the Indenture.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Upon any sale of the Leasehold Trust Estate by the Deed of Trust Trustee or Beneficiary (including pursuant to a power of sale granted by statute or under a judicial proceeding), the receipt of the purchase money by the Beneficiary (or Deed of Trust Trustee at the direction of Beneficiary as so required by applicable law) or of the officer making the sale shall be a sufficient discharge to the purchaser or purchasers of the Leasehold Trust Estate so sold and such purchaser or purchasers shall not be obligated to see to the application of any part of the purchase money paid over to the Beneficiary or such officer or be answerable in any way for the misapplication thereof.</w:t>
      </w:r>
    </w:p>
    <w:p>
      <w:pPr>
        <w:spacing w:after="0" w:line="19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Grantor as Tenant Holding Over</w:t>
      </w:r>
      <w:r>
        <w:rPr>
          <w:rFonts w:ascii="Arial" w:cs="Arial" w:eastAsia="Arial" w:hAnsi="Arial"/>
          <w:sz w:val="21"/>
          <w:szCs w:val="21"/>
          <w:color w:val="auto"/>
        </w:rPr>
        <w:t>. If Grantor remains in possession of any of the Leasehold Trust Estate after any foreclosure sale by Deed of Trust Trustee or Beneficiary, at Beneficiary’s election Grantor shall be deemed a tenant holding over and shall forthwith surrender possession to the purchaser or purchasers at such sale or be summarily dispossessed or evicted according to provisions of law applicable to tenants holding over.</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u w:val="single" w:color="auto"/>
          <w:color w:val="auto"/>
        </w:rPr>
        <w:t>Waiver of Appraisement, Valuation, Stay, Extension and Redemption Laws</w:t>
      </w:r>
      <w:r>
        <w:rPr>
          <w:rFonts w:ascii="Arial" w:cs="Arial" w:eastAsia="Arial" w:hAnsi="Arial"/>
          <w:sz w:val="21"/>
          <w:szCs w:val="21"/>
          <w:color w:val="auto"/>
        </w:rPr>
        <w:t>. Grantor waives, to the extent not prohibited by law, (i) the benefit of all laws now existing or that hereafter may be enacted (x) providing for any appraisement or valuation of any portion of the Leasehold Trust Estate and/or (y) in any way extending the time for the enforcement or the collection of amounts due under any of the Obligations or creating or extending a period of redemption from any sale made in collecting said debt or any other amounts due to Deed of Trust Trustee or Beneficiary, (ii) any right to at any time insist upon, plead, claim or take the benefit or advantage of any law now or hereafter in force providing for any homestead exemption, stay, statute of limitations, extension or redemption, or sale of the Leasehold Trust Estate as separate tracts, units or estates or as a single parcel in the event of foreclosure or notice of deficiency, and (iii) all rights of redemption, valuation, appraisement, stay of execution, notice of election to mature or declare due the whole of or each of the Obligations and marshaling in the event of foreclosure of this Deed of Trust.</w:t>
      </w:r>
    </w:p>
    <w:p>
      <w:pPr>
        <w:spacing w:after="0" w:line="18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Discontinuance of Proceedings</w:t>
      </w:r>
      <w:r>
        <w:rPr>
          <w:rFonts w:ascii="Arial" w:cs="Arial" w:eastAsia="Arial" w:hAnsi="Arial"/>
          <w:sz w:val="22"/>
          <w:szCs w:val="22"/>
          <w:color w:val="auto"/>
        </w:rPr>
        <w:t>. In case Deed of Trust Trustee or Beneficiary shall proceed to enforce any right, power or remedy under this Deed of Trust by foreclosure, entry or otherwise, and such proceedings shall be discontinued or abandoned for any reason, or shall be determined adversely to Deed of Trust Trustee or Beneficiary, then and in every such case Grantor, Deed of Trust Trustee and Beneficiary shall be restored to their former positions and rights hereunder, and all rights, powers and remedies of Grantor, Deed of Trust Trustee and Beneficiary shall continue as if no such proceeding had been taken.</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Suits To Protect the Leasehold Trust Estate</w:t>
      </w:r>
      <w:r>
        <w:rPr>
          <w:rFonts w:ascii="Arial" w:cs="Arial" w:eastAsia="Arial" w:hAnsi="Arial"/>
          <w:sz w:val="22"/>
          <w:szCs w:val="22"/>
          <w:color w:val="auto"/>
        </w:rPr>
        <w:t>. Upon the occurrence and during the continuance of an Event of Default, Beneficiary (or Deed of Trust Trustee at the direction of Beneficiary as so required by applicable law) shall have power (a) to institute and maintain suits and proceedings to prevent any impairment of the Leasehold Trust Estate by any acts that may be unlawful or in violation of this Deed of Trust, (b) to preserve or protect its interest in the Leasehold Trust Estate and in the Rents arising therefrom and (c) to restrain the enforcement of or compliance with any legislation or other governmental enactment, rule or order that may be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16</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3" w:name="page384"/>
    <w:bookmarkEnd w:id="383"/>
    <w:p>
      <w:pPr>
        <w:jc w:val="both"/>
        <w:spacing w:after="0" w:line="263" w:lineRule="auto"/>
        <w:rPr>
          <w:sz w:val="20"/>
          <w:szCs w:val="20"/>
          <w:color w:val="auto"/>
        </w:rPr>
      </w:pPr>
      <w:r>
        <w:rPr>
          <w:rFonts w:ascii="Arial" w:cs="Arial" w:eastAsia="Arial" w:hAnsi="Arial"/>
          <w:sz w:val="22"/>
          <w:szCs w:val="22"/>
          <w:color w:val="auto"/>
        </w:rPr>
        <w:t>unconstitutional or otherwise invalid if the enforcement of or compliance with such enactment, rule or order would impair the security or be prejudicial to the interest of Deed of Trust Trustee and/or Beneficiary hereunder.</w:t>
      </w:r>
    </w:p>
    <w:p>
      <w:pPr>
        <w:spacing w:after="0" w:line="17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Filing Proofs of Claim</w:t>
      </w:r>
      <w:r>
        <w:rPr>
          <w:rFonts w:ascii="Arial" w:cs="Arial" w:eastAsia="Arial" w:hAnsi="Arial"/>
          <w:sz w:val="19"/>
          <w:szCs w:val="19"/>
          <w:color w:val="auto"/>
        </w:rPr>
        <w:t>. In case of any receivership, insolvency, bankruptcy, reorganization, arrangement, adjustment, composition or other proceedings affecting Grantor, Beneficiary (or Deed of Trust Trustee at the direction of Beneficiary as so required by applicable law) shall, to the extent permitted by law, be entitled to file such proofs of claim and other documents as may be necessary or advisable in order to have the claims of Beneficiary allowed in such proceedings for the Obligations secured by this Deed of Trust at the date of the institution of such proceedings and for any interest accrued, late charges and additional interest or other amounts due or that may become due and payable hereunder after such date.</w:t>
      </w:r>
    </w:p>
    <w:p>
      <w:pPr>
        <w:spacing w:after="0" w:line="147"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0" w:lineRule="auto"/>
        <w:tabs>
          <w:tab w:leader="none" w:pos="1865" w:val="left"/>
        </w:tabs>
        <w:numPr>
          <w:ilvl w:val="1"/>
          <w:numId w:val="313"/>
        </w:numPr>
        <w:rPr>
          <w:rFonts w:ascii="Arial" w:cs="Arial" w:eastAsia="Arial" w:hAnsi="Arial"/>
          <w:sz w:val="19"/>
          <w:szCs w:val="19"/>
          <w:color w:val="auto"/>
        </w:rPr>
      </w:pPr>
      <w:r>
        <w:rPr>
          <w:rFonts w:ascii="Arial" w:cs="Arial" w:eastAsia="Arial" w:hAnsi="Arial"/>
          <w:sz w:val="19"/>
          <w:szCs w:val="19"/>
          <w:color w:val="auto"/>
        </w:rPr>
        <w:t>No delay or failure by Deed of Trust Trustee and/or Beneficiary to exercise any right, power or remedy accruing upon any breach or Event of Default shall exhaust or impair any such right, power or remedy or be construed to be a waiver of any such breach or Event of Default or acquiescence therein; and every right, power and remedy given by this Deed of Trust to Deed of Trust Trustee or Beneficiary may be exercised from time to time and as often as may be deemed expedient by Deed of Trust Trustee or Beneficiary. No consent or waiver by Beneficiary to or of any breach or Event of Default by Grantor in the performance of the Obligations shall be deemed or construed to be a consent or waiver to or of any other breach or Event of Default in the performance of the same or of any other Obligations by Grantor hereunder. No failure on the part of Deed of Trust Trustee or Beneficiary to complain of any act or failure to act or to declare an Event of Default, irrespective of how long such failure continues, shall constitute a waiver by Deed of Trust Trustee or Beneficiary of their respective rights hereunder or impair any rights, powers or remedies consequent on any future Event of Default by Grantor.</w:t>
      </w:r>
    </w:p>
    <w:p>
      <w:pPr>
        <w:spacing w:after="0" w:line="155" w:lineRule="exact"/>
        <w:rPr>
          <w:rFonts w:ascii="Arial" w:cs="Arial" w:eastAsia="Arial" w:hAnsi="Arial"/>
          <w:sz w:val="19"/>
          <w:szCs w:val="19"/>
          <w:color w:val="auto"/>
        </w:rPr>
      </w:pPr>
    </w:p>
    <w:p>
      <w:pPr>
        <w:jc w:val="both"/>
        <w:ind w:firstLine="1305"/>
        <w:spacing w:after="0" w:line="288" w:lineRule="auto"/>
        <w:tabs>
          <w:tab w:leader="none" w:pos="1769" w:val="left"/>
        </w:tabs>
        <w:numPr>
          <w:ilvl w:val="1"/>
          <w:numId w:val="313"/>
        </w:numPr>
        <w:rPr>
          <w:rFonts w:ascii="Arial" w:cs="Arial" w:eastAsia="Arial" w:hAnsi="Arial"/>
          <w:sz w:val="19"/>
          <w:szCs w:val="19"/>
          <w:color w:val="auto"/>
        </w:rPr>
      </w:pPr>
      <w:r>
        <w:rPr>
          <w:rFonts w:ascii="Arial" w:cs="Arial" w:eastAsia="Arial" w:hAnsi="Arial"/>
          <w:sz w:val="19"/>
          <w:szCs w:val="19"/>
          <w:color w:val="auto"/>
        </w:rPr>
        <w:t>Even if Beneficiary (i) grants some forbearance or an extension of time for the payment of any sums secured hereby, (ii) takes other or additional security for the payment of any sums secured hereby, (iii) waives or does not exercise some right granted herein, (iv) releases a part of the Leasehold Trust Estate from this Deed of Trust, (v) agrees to change some of the terms, covenants, conditions or agreements of the Facilities Lease or the Standby Purchase Agreement, (vi) consents to the filing of a map, plat or replat affecting the Premises, (vii) consents to the granting of an easement or other right affecting the Premises or</w:t>
      </w:r>
    </w:p>
    <w:p>
      <w:pPr>
        <w:spacing w:after="0" w:line="3" w:lineRule="exact"/>
        <w:rPr>
          <w:rFonts w:ascii="Arial" w:cs="Arial" w:eastAsia="Arial" w:hAnsi="Arial"/>
          <w:sz w:val="19"/>
          <w:szCs w:val="19"/>
          <w:color w:val="auto"/>
        </w:rPr>
      </w:pPr>
    </w:p>
    <w:p>
      <w:pPr>
        <w:jc w:val="both"/>
        <w:ind w:firstLine="8"/>
        <w:spacing w:after="0" w:line="257" w:lineRule="auto"/>
        <w:tabs>
          <w:tab w:leader="none" w:pos="493" w:val="left"/>
        </w:tabs>
        <w:numPr>
          <w:ilvl w:val="0"/>
          <w:numId w:val="314"/>
        </w:numPr>
        <w:rPr>
          <w:rFonts w:ascii="Arial" w:cs="Arial" w:eastAsia="Arial" w:hAnsi="Arial"/>
          <w:sz w:val="21"/>
          <w:szCs w:val="21"/>
          <w:color w:val="auto"/>
        </w:rPr>
      </w:pPr>
      <w:r>
        <w:rPr>
          <w:rFonts w:ascii="Arial" w:cs="Arial" w:eastAsia="Arial" w:hAnsi="Arial"/>
          <w:sz w:val="21"/>
          <w:szCs w:val="21"/>
          <w:color w:val="auto"/>
        </w:rPr>
        <w:t>makes or consents to an agreement subordinating the lien hereof on the Leasehold Trust Estate, no such act or omission shall preclude Deed of Trust Trustee or Beneficiary from exercising any other right, power or privilege herein granted or intended to be granted in the event of any breach or Event of Default then made or of any subsequent default; nor, except as otherwise expressly provided in an instrument executed by Beneficiary, shall this Deed of Trust be altered thereby. In the event of the sale or transfer by operation of law or otherwise of all or part of the Leasehold Trust Estate, Beneficiary (or Trustee at the direction of Beneficiary as so required by applicable law) is hereby authorized and empowered to deal with any vendee or transferee with reference to the Leasehold Trust Estate secured hereby, or with reference to any of the terms, covenants, conditions or agreements hereof, as fully and to the same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17</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4" w:name="page385"/>
    <w:bookmarkEnd w:id="384"/>
    <w:p>
      <w:pPr>
        <w:jc w:val="both"/>
        <w:spacing w:after="0" w:line="263" w:lineRule="auto"/>
        <w:rPr>
          <w:sz w:val="20"/>
          <w:szCs w:val="20"/>
          <w:color w:val="auto"/>
        </w:rPr>
      </w:pPr>
      <w:r>
        <w:rPr>
          <w:rFonts w:ascii="Arial" w:cs="Arial" w:eastAsia="Arial" w:hAnsi="Arial"/>
          <w:sz w:val="22"/>
          <w:szCs w:val="22"/>
          <w:color w:val="auto"/>
        </w:rPr>
        <w:t>extent as it might deal with the original parties hereto and without in any way releasing or discharging any liabilities, obligations or undertakings.</w:t>
      </w:r>
    </w:p>
    <w:p>
      <w:pPr>
        <w:spacing w:after="0" w:line="17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SECTION 2.15. </w:t>
      </w:r>
      <w:r>
        <w:rPr>
          <w:rFonts w:ascii="Arial" w:cs="Arial" w:eastAsia="Arial" w:hAnsi="Arial"/>
          <w:sz w:val="21"/>
          <w:szCs w:val="21"/>
          <w:u w:val="single" w:color="auto"/>
          <w:color w:val="auto"/>
        </w:rPr>
        <w:t>Waiver of Trial by Jury</w:t>
      </w:r>
      <w:r>
        <w:rPr>
          <w:rFonts w:ascii="Arial" w:cs="Arial" w:eastAsia="Arial" w:hAnsi="Arial"/>
          <w:sz w:val="21"/>
          <w:szCs w:val="21"/>
          <w:color w:val="auto"/>
        </w:rPr>
        <w:t>. EACH PARTY HERETO HEREBY WAIVES, TO THE FULLEST EXTENT PERMITTED BY APPLICABLE LAW, ANY RIGHT IT MAY HAVE TO A TRIAL BY JURY IN RESPECT OF ANY LITIGATION DIRECTLY OR INDIRECTLY ARISING OUT OF, UNDER OR IN CONNECTION WITH THIS DEED OF TRUST.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DEED OF TRUST BY, AMONG OTHER THINGS, THE MUTUAL WAIVERS AND CERTIFICATIONS IN THIS SECTION 2.15.</w:t>
      </w:r>
    </w:p>
    <w:p>
      <w:pPr>
        <w:spacing w:after="0" w:line="18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Remedies Cumulative</w:t>
      </w:r>
      <w:r>
        <w:rPr>
          <w:rFonts w:ascii="Arial" w:cs="Arial" w:eastAsia="Arial" w:hAnsi="Arial"/>
          <w:sz w:val="22"/>
          <w:szCs w:val="22"/>
          <w:color w:val="auto"/>
        </w:rPr>
        <w:t>. No right, power or remedy conferred upon or reserved to Deed of Trust Trustee or Beneficiary by this Deed of Trust is intended to be exclusive of any other right, power or remedy, and each and every such right, power and remedy shall be cumulative and concurrent and in addition to any other right, power and remedy given hereunder or now or hereafter existing at law or in equity or by statute.</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Partial Invalidity</w:t>
      </w:r>
      <w:r>
        <w:rPr>
          <w:rFonts w:ascii="Arial" w:cs="Arial" w:eastAsia="Arial" w:hAnsi="Arial"/>
          <w:sz w:val="22"/>
          <w:szCs w:val="22"/>
          <w:color w:val="auto"/>
        </w:rPr>
        <w:t>. In the event any one or more of the provisions contained in this Deed of Trust shall for any reason be held to be invalid, illegal or unenforceable in any respect, such invalidity, illegality or unenforceability shall not affect any other provision of this Deed of Trust, and this Deed of Trust shall be construed as if such invalid, illegal or unenforceable provision had never been contained herein or therein.</w:t>
      </w:r>
    </w:p>
    <w:p>
      <w:pPr>
        <w:spacing w:after="0" w:line="18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communications hereunder shall be in writing and given to Grantor and to the Beneficiary as provided in the Indenture.</w:t>
      </w:r>
    </w:p>
    <w:p>
      <w:pPr>
        <w:spacing w:after="0" w:line="16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of the grants, covenants, terms, provisions and conditions herein shall run with the Premises and shall apply to, bind and inure to, the benefit of the permitted successors and assigns of Grantor and the successors and assigns of Deed of Trust Trustee and Beneficiary.</w:t>
      </w:r>
    </w:p>
    <w:p>
      <w:pPr>
        <w:spacing w:after="0" w:line="177"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Termination and Amendment</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824" w:val="left"/>
        </w:tabs>
        <w:numPr>
          <w:ilvl w:val="0"/>
          <w:numId w:val="315"/>
        </w:numPr>
        <w:rPr>
          <w:rFonts w:ascii="Arial" w:cs="Arial" w:eastAsia="Arial" w:hAnsi="Arial"/>
          <w:sz w:val="22"/>
          <w:szCs w:val="22"/>
          <w:color w:val="auto"/>
        </w:rPr>
      </w:pPr>
      <w:r>
        <w:rPr>
          <w:rFonts w:ascii="Arial" w:cs="Arial" w:eastAsia="Arial" w:hAnsi="Arial"/>
          <w:sz w:val="22"/>
          <w:szCs w:val="22"/>
          <w:color w:val="auto"/>
        </w:rPr>
        <w:t>Upon satisfaction of all conditions of Section 10.01 of the Indenture, this Deed of Trust and the liens and security interests granted hereby shall terminate.</w:t>
      </w:r>
    </w:p>
    <w:p>
      <w:pPr>
        <w:spacing w:after="0" w:line="160" w:lineRule="exact"/>
        <w:rPr>
          <w:rFonts w:ascii="Arial" w:cs="Arial" w:eastAsia="Arial" w:hAnsi="Arial"/>
          <w:sz w:val="22"/>
          <w:szCs w:val="22"/>
          <w:color w:val="auto"/>
        </w:rPr>
      </w:pPr>
    </w:p>
    <w:p>
      <w:pPr>
        <w:ind w:right="20" w:firstLine="1305"/>
        <w:spacing w:after="0" w:line="276" w:lineRule="auto"/>
        <w:tabs>
          <w:tab w:leader="none" w:pos="1958" w:val="left"/>
        </w:tabs>
        <w:numPr>
          <w:ilvl w:val="0"/>
          <w:numId w:val="315"/>
        </w:numPr>
        <w:rPr>
          <w:rFonts w:ascii="Arial" w:cs="Arial" w:eastAsia="Arial" w:hAnsi="Arial"/>
          <w:sz w:val="22"/>
          <w:szCs w:val="22"/>
          <w:color w:val="auto"/>
        </w:rPr>
      </w:pPr>
      <w:r>
        <w:rPr>
          <w:rFonts w:ascii="Arial" w:cs="Arial" w:eastAsia="Arial" w:hAnsi="Arial"/>
          <w:sz w:val="22"/>
          <w:szCs w:val="22"/>
          <w:color w:val="auto"/>
        </w:rPr>
        <w:t>At the request of the Borrower, the Beneficiary will amend, supplement, modify (which amendment, supplement or modification may include a partial release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18</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5" w:name="page386"/>
    <w:bookmarkEnd w:id="385"/>
    <w:p>
      <w:pPr>
        <w:spacing w:after="0" w:line="263" w:lineRule="auto"/>
        <w:rPr>
          <w:sz w:val="20"/>
          <w:szCs w:val="20"/>
          <w:color w:val="auto"/>
        </w:rPr>
      </w:pPr>
      <w:r>
        <w:rPr>
          <w:rFonts w:ascii="Arial" w:cs="Arial" w:eastAsia="Arial" w:hAnsi="Arial"/>
          <w:sz w:val="22"/>
          <w:szCs w:val="22"/>
          <w:color w:val="auto"/>
        </w:rPr>
        <w:t>subordination) this Deed of Trust and its lien on any property held by the Deed of Trust Trustee, as required in Article 9 of the Indenture.</w:t>
      </w:r>
    </w:p>
    <w:p>
      <w:pPr>
        <w:spacing w:after="0" w:line="175" w:lineRule="exact"/>
        <w:rPr>
          <w:sz w:val="20"/>
          <w:szCs w:val="20"/>
          <w:color w:val="auto"/>
        </w:rPr>
      </w:pPr>
    </w:p>
    <w:p>
      <w:pPr>
        <w:jc w:val="both"/>
        <w:ind w:firstLine="1305"/>
        <w:spacing w:after="0" w:line="251" w:lineRule="auto"/>
        <w:tabs>
          <w:tab w:leader="none" w:pos="177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In connection with any amendment, supplement, modification pursuant to paragraph (a) or (b) of this Section 3.4, the Beneficiary shall (or shall direct the Deed of Trust Trustee to) execute and deliver to the Grantor the documents and shall perform such other actions reasonably requested by the Grantor, in each case, as required by Article 9 of the Indenture. Any execution and delivery of documents pursuant to this Section 3.4 shall be without recourse to or warranty by the Deed of Trust Trustee or Beneficiary.</w:t>
      </w:r>
    </w:p>
    <w:p>
      <w:pPr>
        <w:spacing w:after="0" w:line="19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Deed of Trust, the singular shall include the plural as the context requires and the following words and phrases shall have the following meanings: (a) “including” shall mean “including but not limited to”; (b) “provisions” shall mean “provisions, terms, covenants and/or conditions”; (c) “lien” shall mean “lien, charge, encumbrance, security interest, mortgage or deed of trust”; (d) “obligation” shall mean “obligation, duty, covenant and/or condition”; (e) “any of the Leasehold Trust Estate” shall mean “the Leasehold Trust Estate or any part thereof or interest therein”. Any act that Deed of Trust Trustee or Beneficiary is permitted to perform hereunder may be performed at any time and from time to time by Deed of Trust Trustee or Beneficiary or any person or entity designated by Deed of Trust Trustee or Beneficiary. Any act that is prohibited to Grantor hereunder is also prohibited to all lessees of any of the Leasehold Trust Estate. For the term of this Deed of Trust, each appointment of Deed of Trust Trustee or Beneficiary as attorney-in-fact for Grantor under this Deed of Trust is irrevocable, with power of substitution and coupled with an interest. Subject to the applicable provisions hereof, Beneficiary has the right to refuse to grant its consent, approval or acceptance or to indicate its satisfaction, in its sole discretion, whenever such consent, approval, acceptance or satisfaction is required hereunder.</w:t>
      </w:r>
    </w:p>
    <w:p>
      <w:pPr>
        <w:spacing w:after="0" w:line="16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Deed of Trust may not be changed or terminated orally. Any agreement made by Grantor and Beneficiary after the date of this Deed of Trust relating to this Deed of Trust shall be superior to the rights of the holder of any intervening or subordinate deed of trust, lien or encumbrance.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Deed of Trust Trustee’s Powers and Liabilities</w:t>
      </w:r>
    </w:p>
    <w:p>
      <w:pPr>
        <w:spacing w:after="0" w:line="22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SECTION 4.1. The Deed of Trust Trustee, by acceptance hereof, covenants faithfully to perform and fulfill the trusts herein created, being liable, however, only for gross negligence, bad faith or willful misconduct, and hereby waives any statutory fee and agrees to accept reasonable compensation, in lieu thereof, for any services rendered by it in accordance with the terms thereof. All authorities, powers and discretions given in this Deed of Trust to the Deed of Trust Trustee and/or the Beneficiary may be exercised by either, without the other, with the same effect as if exercised jointly.</w:t>
      </w:r>
    </w:p>
    <w:p>
      <w:pPr>
        <w:spacing w:after="0" w:line="17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SECTION 4.2. The Deed of Trust Trustee may resign at any time upon giving thirty (30) days’ notice in writing to the Grantor and to the Beneficiary;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19</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6" w:name="page387"/>
    <w:bookmarkEnd w:id="386"/>
    <w:p>
      <w:pPr>
        <w:jc w:val="both"/>
        <w:ind w:firstLine="1297"/>
        <w:spacing w:after="0" w:line="288" w:lineRule="auto"/>
        <w:rPr>
          <w:sz w:val="20"/>
          <w:szCs w:val="20"/>
          <w:color w:val="auto"/>
        </w:rPr>
      </w:pPr>
      <w:r>
        <w:rPr>
          <w:rFonts w:ascii="Arial" w:cs="Arial" w:eastAsia="Arial" w:hAnsi="Arial"/>
          <w:sz w:val="19"/>
          <w:szCs w:val="19"/>
          <w:color w:val="auto"/>
        </w:rPr>
        <w:t>SECTION 4.3. The Beneficiary may remove the Deed of Trust Trustee at any time or from time to time and select a successor deed of trust trustee. In the event of the death, removal, resignation, refusal to act, in-ability to act or absence of the Deed of Trust Trustee from the state in which the Premises are located, or in its sole discretion for any reason whatsoever. The Beneficiary may, upon notice to the Grantor and without specifying the reason therefore and without applying to any court, select and appoint a successor deed of trust trustee, and all powers, rights, duties and authority of the former deed of trust trustee, as aforesaid, shall thereupon become vested in such successor. Such substitute deed of trust trustee shall not be required to give bond for the faithful performance of his duties unless required by the Beneficiary. Such substitute deed of trust trustee shall be appointed by written instrument duly recorded in the county where the Land is located. The Grantor hereby ratifies and confirms any and all acts that the herein named Deed of Trust Trustee, or his successor or successors in this trust, shall do lawfully by virtue hereof. The Grantor hereby agrees, on behalf of itself and its heirs, executors, administrators and assigns, that the recitals contained in any deed or deeds executed in due form by any Deed of Trust Trustee or substitute deed of trust trustee, acting under the provisions of this instrument, shall be prima facie evidence of the facts recited, and that it shall not be necessary to prove in any court, otherwise than by such recitals, the existence of the facts essential to authorize the execution and delivery of such deed or deeds and the passing of title thereby;</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SECTION 4.4. The Deed of Trust Trustee shall not be required to see that this Deed of Trust is recorded nor liable for its validity or its priority as a first deed of trust, or otherwise, nor shall the Deed of Trust Trustee be answerable or responsible for performance or observance of the covenants and agreements imposed upon the Grantor or the Beneficiary by this Deed of Trust or any other agreement. The Deed of Trust Trustee, as well as the Beneficiary, shall have authority in their respective discretion to employ agents and attorneys in the execution of this trust and to protect the interest of the Beneficiary hereunder, and to the fullest extent permitted by law they shall be compensated and all expenses relating to the employment of such agents and/or attorneys, including expenses of litigation, shall be paid out of the proceeds of the sale of the Leasehold Trust Estate conveyed hereby should a sale be had, but if no such sale be had, all sums so paid out shall be recoverable to the fullest extent permitted by law by all remedies at law or in equity; and</w:t>
      </w:r>
    </w:p>
    <w:p>
      <w:pPr>
        <w:spacing w:after="0" w:line="18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SECTION 4.5. At any time, or from time to time, without liability therefore and with ten (10) days’ prior written notice to the Grantor, upon written request of the Beneficiary and with-out affecting the effect of this Deed of Trust upon the remainder of the Leasehold Trust Estate, the Deed of Trust Trustee may (A) reconvey any part of the Leasehold Trust Estate, (B) consent in writing to the making of any map or plat thereof, so long as the Grantor has consented thereto, (C) join in granting any easement thereon, so long as the Grantor has consented thereto, or (D) join in any extension agreement or any agreement subordinating the lien or charge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Mortgaged Leases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Deed of Trust is subject to the following provisions relating to the particular laws of the state wherein the Premises are located: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20</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7" w:name="page388"/>
    <w:bookmarkEnd w:id="387"/>
    <w:p>
      <w:pPr>
        <w:jc w:val="both"/>
        <w:ind w:firstLine="1297"/>
        <w:spacing w:after="0" w:line="284"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Representations, Warranties and Covenants</w:t>
      </w:r>
      <w:r>
        <w:rPr>
          <w:rFonts w:ascii="Arial" w:cs="Arial" w:eastAsia="Arial" w:hAnsi="Arial"/>
          <w:sz w:val="19"/>
          <w:szCs w:val="19"/>
          <w:color w:val="auto"/>
        </w:rPr>
        <w:t>. The Grantor represents and warrants to the Beneficiary that (a) the Mortgaged Leases are unmodified and in full force and effect, (b) all rent and other charges therein have been paid to the extent they are payable to the date hereof, (c) the Grantor enjoys the quiet and peaceful possession of the property demised thereby, (d) the Grantor is not in default under any of the terms thereof and there are no circumstances which, with the passage of time or the giving of notice or both, would constitute an event of default thereunder, and (e) the Lessor thereunder is not in default in any material respect under any of the terms or provisions thereof on the part of the Lessor to be observed or performed (but this statement is made for the benefit of and may only be relied upon by the Beneficiary and Secured Parties). The Grantor shall promptly pay, when due and payable, the rent and other charges payable pursuant to the Mortgaged Leases, and will timely perform and observe all of the other terms, covenants and conditions required to be performed and observed by the Grantor as lessee under the Mortgaged Leases. The Grantor shall notify the Beneficiary in writing of any default by the Grantor in the performance or observance of any terms, covenants or conditions on the part of the Grantor to be performed or observed under the Mortgaged Leases within ten (10) days after the Grantor knows of such default. The Grantor shall, promptly following the receipt thereof, deliver a copy of any notice of default given to the Grantor by the Lessor pursuant to the Mortgaged Leases and promptly notify the Beneficiary in writing of any default by the Lessor in the performance or observance of any of the terms, covenants or conditions on the part of the Lessor to be performed or observed thereunder. Unless required under the terms of the Mortgaged Leases, except as restricted by the Indenture, the Grantor shall not, without the prior written consent of the Beneficiary (which may be granted or withheld in the Beneficiary’s sole and absolute discretion) (i) terminate, or surrender the Mortgaged Leases, or (ii) enter into any modification of the Mortgaged Leases in violation of Article 9 of the Indenture, and any such attempted termination, modification or surrender without the Beneficiary’s written consent shall be void. The Grantor shall, within thirty (30) days after written request from the Beneficiary, use commercially reasonable efforts to obtain from the Lessor and deliver to the Beneficiary a certificate setting forth the name of the Tenant thereunder and stating that the Mortgaged Leases is in full force and effect, is unmodified or, if the Mortgaged Leases has been modified, the date of each modification (together with copies of each such modification), that no notice of termination thereof has been served on the Grantor, stating that to the best of Lessor’s knowledge, no default or event which with notice or lapse of time (or both) would become a default is existing under the Mortgaged Leases, stating the date to which rent has been paid, and specifying the nature of any defaults, if any, and containing such other statements and representations as may be reasonably requested by the Beneficiary.</w:t>
      </w:r>
    </w:p>
    <w:p>
      <w:pPr>
        <w:spacing w:after="0" w:line="200" w:lineRule="exact"/>
        <w:rPr>
          <w:sz w:val="20"/>
          <w:szCs w:val="20"/>
          <w:color w:val="auto"/>
        </w:rPr>
      </w:pPr>
    </w:p>
    <w:p>
      <w:pPr>
        <w:spacing w:after="0" w:line="23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No Merger; Acquisition; Power of Attorney</w:t>
      </w:r>
      <w:r>
        <w:rPr>
          <w:rFonts w:ascii="Arial" w:cs="Arial" w:eastAsia="Arial" w:hAnsi="Arial"/>
          <w:sz w:val="19"/>
          <w:szCs w:val="19"/>
          <w:color w:val="auto"/>
        </w:rPr>
        <w:t>. So long as any of the Obligations remain unpaid or unperformed, the fee title to and the leasehold estate in the Premises subject to the Mortgaged Leases shall not merge but shall always be kept separate and distinct notwithstanding the union of such estates in the Lessor or the Grantor, or in a third party, by purchase or otherwise. If the Grantor acquires the fee title or any other estate, title or interest in the property demised by the Mortgaged Leases, or any part thereof, the lien of this Deed of Trust shall attach to, cover and be a lien upon such acquired estate, title or interest and the same shall thereupon be and become a part of the Leasehold Trust Estate with the same force and effect as if specifically encumbered herein. The Grantor agrees to execute all instruments and documents that the Beneficiary may reasonably require to ratify, confirm and further evidence the lien of this Deed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21</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8" w:name="page389"/>
    <w:bookmarkEnd w:id="388"/>
    <w:p>
      <w:pPr>
        <w:jc w:val="both"/>
        <w:spacing w:after="0" w:line="250" w:lineRule="auto"/>
        <w:rPr>
          <w:sz w:val="20"/>
          <w:szCs w:val="20"/>
          <w:color w:val="auto"/>
        </w:rPr>
      </w:pPr>
      <w:r>
        <w:rPr>
          <w:rFonts w:ascii="Arial" w:cs="Arial" w:eastAsia="Arial" w:hAnsi="Arial"/>
          <w:sz w:val="22"/>
          <w:szCs w:val="22"/>
          <w:color w:val="auto"/>
        </w:rPr>
        <w:t>Trust on the acquired estate, title or interest. Furthermore, the Grantor hereby appoints the Beneficiary as its true and lawful attorney-in-fact to execute and deliver, following the occurrence and during the continuance of an Event of Default, all such instruments and documents in the name and on behalf of the Grantor. This power, being coupled with an interest, shall be irrevocable as long as any portion of the Obligations remains unpaid.</w:t>
      </w:r>
    </w:p>
    <w:p>
      <w:pPr>
        <w:spacing w:after="0" w:line="188"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New Leases</w:t>
      </w:r>
      <w:r>
        <w:rPr>
          <w:rFonts w:ascii="Arial" w:cs="Arial" w:eastAsia="Arial" w:hAnsi="Arial"/>
          <w:sz w:val="19"/>
          <w:szCs w:val="19"/>
          <w:color w:val="auto"/>
        </w:rPr>
        <w:t>. If the Mortgaged Leases shall be terminated prior to the natural expiration of its term due to default by the Grantor or any Tenant thereunder, and if, pursuant to the provisions of the Mortgaged Leases, the Beneficiary or its designee shall acquire from the Lessor a new lease of the Premises subject to the Mortgaged Leases, the Grantor shall have no right, title or interest in or to such new lease or the leasehold estate created thereby, or renewal privileges therein contained.</w:t>
      </w:r>
    </w:p>
    <w:p>
      <w:pPr>
        <w:spacing w:after="0" w:line="1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contained herein, this Deed of Trust shall not constitute an assignment of the Mortgaged Leases within the meaning of any provision thereof prohibiting its assignment and the Beneficiary shall have no liability or obligation thereunder by reason of its acceptance of this Deed of Trust. The Beneficiary shall be liable for the obligations of the Tenant arising out of the Mortgaged Leases for only that period of time for which the Beneficiary is in possession of the Premises demised thereunder or has acquired, by foreclosure or otherwise, and is holding all of the Grantor’s right, title and interest therein.</w:t>
      </w:r>
    </w:p>
    <w:p>
      <w:pPr>
        <w:spacing w:after="0" w:line="175"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Treatment of Mortgaged Leases In Bankruptcy</w:t>
      </w:r>
      <w:r>
        <w:rPr>
          <w:rFonts w:ascii="Arial" w:cs="Arial" w:eastAsia="Arial" w:hAnsi="Arial"/>
          <w:sz w:val="19"/>
          <w:szCs w:val="19"/>
          <w:color w:val="auto"/>
        </w:rPr>
        <w:t>.</w:t>
      </w:r>
    </w:p>
    <w:p>
      <w:pPr>
        <w:spacing w:after="0" w:line="233" w:lineRule="exact"/>
        <w:rPr>
          <w:sz w:val="20"/>
          <w:szCs w:val="20"/>
          <w:color w:val="auto"/>
        </w:rPr>
      </w:pPr>
    </w:p>
    <w:p>
      <w:pPr>
        <w:jc w:val="both"/>
        <w:ind w:left="660" w:firstLine="969"/>
        <w:spacing w:after="0" w:line="248" w:lineRule="auto"/>
        <w:tabs>
          <w:tab w:leader="none" w:pos="201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If any Landlord or grantor under the Mortgaged Leases rejects or disaffirms, or seeks or purports to reject or disaffirm, such Mortgaged Leases pursuant to any Bankruptcy Law, then the Grantor shall not exercise the 365(h) Election except as otherwise provided in this paragraph. To the extent permitted by law, the Grantor shall not suffer or permit the termination of the Mortgaged Leases by exercise of the 365(h) Election or otherwise without the Beneficiary’s consent. The Grantor acknowledges that because the Mortgaged Leases is a primary element of the Beneficiary’s security for the Obligations, it is not anticipated that the Beneficiary would consent to termination of the Mortgaged Leases. If the Grantor makes any 365(h) Election in violation of this Deed of Trust, then such 365(h) Election shall be void and of no force or effect.</w:t>
      </w:r>
    </w:p>
    <w:p>
      <w:pPr>
        <w:spacing w:after="0" w:line="191" w:lineRule="exact"/>
        <w:rPr>
          <w:rFonts w:ascii="Arial" w:cs="Arial" w:eastAsia="Arial" w:hAnsi="Arial"/>
          <w:sz w:val="22"/>
          <w:szCs w:val="22"/>
          <w:color w:val="auto"/>
        </w:rPr>
      </w:pPr>
    </w:p>
    <w:p>
      <w:pPr>
        <w:jc w:val="both"/>
        <w:ind w:left="660" w:firstLine="969"/>
        <w:spacing w:after="0" w:line="300" w:lineRule="auto"/>
        <w:tabs>
          <w:tab w:leader="none" w:pos="2144"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The Grantor hereby assigns to the Beneficiary the 365(h) Election with respect to the Mortgaged Leases until the Obligations have been satisfied in full. The Grantor acknowledges and agrees that the foregoing assignment of the 365(h) Election and related rights is one of the rights that the Beneficiary may use at any time to protect and preserve the Beneficiary’s other rights and interests under this Mortgage. The Grantor further acknowledges that exercise of the 365(h) Election in favor of terminating the Mortgaged Leases would constitute waste prohibited by this Deed of Trust.</w:t>
      </w:r>
    </w:p>
    <w:p>
      <w:pPr>
        <w:spacing w:after="0" w:line="147" w:lineRule="exact"/>
        <w:rPr>
          <w:rFonts w:ascii="Arial" w:cs="Arial" w:eastAsia="Arial" w:hAnsi="Arial"/>
          <w:sz w:val="19"/>
          <w:szCs w:val="19"/>
          <w:color w:val="auto"/>
        </w:rPr>
      </w:pPr>
    </w:p>
    <w:p>
      <w:pPr>
        <w:jc w:val="both"/>
        <w:ind w:left="660" w:firstLine="969"/>
        <w:spacing w:after="0" w:line="260" w:lineRule="auto"/>
        <w:tabs>
          <w:tab w:leader="none" w:pos="2258" w:val="left"/>
        </w:tabs>
        <w:numPr>
          <w:ilvl w:val="0"/>
          <w:numId w:val="317"/>
        </w:numPr>
        <w:rPr>
          <w:rFonts w:ascii="Arial" w:cs="Arial" w:eastAsia="Arial" w:hAnsi="Arial"/>
          <w:sz w:val="22"/>
          <w:szCs w:val="22"/>
          <w:color w:val="auto"/>
        </w:rPr>
      </w:pPr>
      <w:r>
        <w:rPr>
          <w:rFonts w:ascii="Arial" w:cs="Arial" w:eastAsia="Arial" w:hAnsi="Arial"/>
          <w:sz w:val="22"/>
          <w:szCs w:val="22"/>
          <w:color w:val="auto"/>
        </w:rPr>
        <w:t xml:space="preserve">The Grantor acknowledges that if the 365(h) Election is exercised in favor of Grantor’s remaining in possession under the Mortgaged Leases, then the Grantor’s resulting occupancy rights, as adjusted by the effect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365</w:t>
      </w:r>
      <w:r>
        <w:rPr>
          <w:rFonts w:ascii="Arial" w:cs="Arial" w:eastAsia="Arial" w:hAnsi="Arial"/>
          <w:sz w:val="22"/>
          <w:szCs w:val="22"/>
          <w:color w:val="auto"/>
        </w:rPr>
        <w:t xml:space="preserve"> of Title II of the United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22</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89" w:name="page390"/>
    <w:bookmarkEnd w:id="389"/>
    <w:p>
      <w:pPr>
        <w:ind w:left="660"/>
        <w:spacing w:after="0" w:line="263" w:lineRule="auto"/>
        <w:rPr>
          <w:sz w:val="20"/>
          <w:szCs w:val="20"/>
          <w:color w:val="auto"/>
        </w:rPr>
      </w:pPr>
      <w:r>
        <w:rPr>
          <w:rFonts w:ascii="Arial" w:cs="Arial" w:eastAsia="Arial" w:hAnsi="Arial"/>
          <w:sz w:val="22"/>
          <w:szCs w:val="22"/>
          <w:color w:val="auto"/>
        </w:rPr>
        <w:t>States Code (the “</w:t>
      </w:r>
      <w:r>
        <w:rPr>
          <w:rFonts w:ascii="Arial" w:cs="Arial" w:eastAsia="Arial" w:hAnsi="Arial"/>
          <w:sz w:val="22"/>
          <w:szCs w:val="22"/>
          <w:u w:val="single" w:color="auto"/>
          <w:color w:val="auto"/>
        </w:rPr>
        <w:t>Bankruptcy Code</w:t>
      </w:r>
      <w:r>
        <w:rPr>
          <w:rFonts w:ascii="Arial" w:cs="Arial" w:eastAsia="Arial" w:hAnsi="Arial"/>
          <w:sz w:val="22"/>
          <w:szCs w:val="22"/>
          <w:color w:val="auto"/>
        </w:rPr>
        <w:t>”), shall then be part of the Leasehold Trust Estate and shall be subject to the lien of this Deed of Trust.</w:t>
      </w:r>
    </w:p>
    <w:p>
      <w:pPr>
        <w:spacing w:after="0" w:line="175" w:lineRule="exact"/>
        <w:rPr>
          <w:sz w:val="20"/>
          <w:szCs w:val="20"/>
          <w:color w:val="auto"/>
        </w:rPr>
      </w:pPr>
    </w:p>
    <w:p>
      <w:pPr>
        <w:ind w:right="20" w:firstLine="1297"/>
        <w:spacing w:after="0" w:line="358"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Rejection of Mortgaged Leases by Landlord</w:t>
      </w:r>
      <w:r>
        <w:rPr>
          <w:rFonts w:ascii="Arial" w:cs="Arial" w:eastAsia="Arial" w:hAnsi="Arial"/>
          <w:sz w:val="19"/>
          <w:szCs w:val="19"/>
          <w:color w:val="auto"/>
        </w:rPr>
        <w:t>. If a Landlord under the Mortgaged Leases rejects or disaffirms the Mortgaged Leases or purports or seeks to disaffirm such Mortgaged Leases pursuant to any Bankruptcy Law, then:</w:t>
      </w:r>
    </w:p>
    <w:p>
      <w:pPr>
        <w:spacing w:after="0" w:line="91" w:lineRule="exact"/>
        <w:rPr>
          <w:sz w:val="20"/>
          <w:szCs w:val="20"/>
          <w:color w:val="auto"/>
        </w:rPr>
      </w:pPr>
    </w:p>
    <w:p>
      <w:pPr>
        <w:jc w:val="both"/>
        <w:ind w:left="660" w:firstLine="969"/>
        <w:spacing w:after="0" w:line="254" w:lineRule="auto"/>
        <w:tabs>
          <w:tab w:leader="none" w:pos="2016" w:val="left"/>
        </w:tabs>
        <w:numPr>
          <w:ilvl w:val="0"/>
          <w:numId w:val="318"/>
        </w:numPr>
        <w:rPr>
          <w:rFonts w:ascii="Arial" w:cs="Arial" w:eastAsia="Arial" w:hAnsi="Arial"/>
          <w:sz w:val="22"/>
          <w:szCs w:val="22"/>
          <w:color w:val="auto"/>
        </w:rPr>
      </w:pPr>
      <w:r>
        <w:rPr>
          <w:rFonts w:ascii="Arial" w:cs="Arial" w:eastAsia="Arial" w:hAnsi="Arial"/>
          <w:sz w:val="22"/>
          <w:szCs w:val="22"/>
          <w:color w:val="auto"/>
        </w:rPr>
        <w:t>The Grantor shall remain in possession of the Premises demised under such Mortgaged Leases so rejected or disaffirmed and shall perform all acts necessary for the Grantor to remain in such possession for the unexpired term of such Mortgaged Leases, whether the then existing terms and provisions of such Mortgaged Leases require such acts or otherwise; and</w:t>
      </w:r>
    </w:p>
    <w:p>
      <w:pPr>
        <w:spacing w:after="0" w:line="185" w:lineRule="exact"/>
        <w:rPr>
          <w:rFonts w:ascii="Arial" w:cs="Arial" w:eastAsia="Arial" w:hAnsi="Arial"/>
          <w:sz w:val="22"/>
          <w:szCs w:val="22"/>
          <w:color w:val="auto"/>
        </w:rPr>
      </w:pPr>
    </w:p>
    <w:p>
      <w:pPr>
        <w:jc w:val="both"/>
        <w:ind w:left="660" w:firstLine="969"/>
        <w:spacing w:after="0" w:line="254" w:lineRule="auto"/>
        <w:tabs>
          <w:tab w:leader="none" w:pos="209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 xml:space="preserve">All the terms and provisions of this Deed of Trust and the lien created by this Deed of Trust shall remain in full force and effect and shall extend automatically to all of the Grantor’s rights and remedies arising at any time under, or pursuant to, </w:t>
      </w:r>
      <w:r>
        <w:rPr>
          <w:rFonts w:ascii="Arial" w:cs="Arial" w:eastAsia="Arial" w:hAnsi="Arial"/>
          <w:sz w:val="22"/>
          <w:szCs w:val="22"/>
          <w:u w:val="single" w:color="auto"/>
          <w:color w:val="auto"/>
        </w:rPr>
        <w:t>Section 365(h)</w:t>
      </w:r>
      <w:r>
        <w:rPr>
          <w:rFonts w:ascii="Arial" w:cs="Arial" w:eastAsia="Arial" w:hAnsi="Arial"/>
          <w:sz w:val="22"/>
          <w:szCs w:val="22"/>
          <w:color w:val="auto"/>
        </w:rPr>
        <w:t xml:space="preserve"> of the Bankruptcy Code, including all of the Grantor’s rights to remain in possession of the leased Premises.</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Assignment of Claims to Beneficiary</w:t>
      </w:r>
      <w:r>
        <w:rPr>
          <w:rFonts w:ascii="Arial" w:cs="Arial" w:eastAsia="Arial" w:hAnsi="Arial"/>
          <w:sz w:val="19"/>
          <w:szCs w:val="19"/>
          <w:color w:val="auto"/>
        </w:rPr>
        <w:t>. The Grantor, immediately upon learning that any Landlord or grantor under the Mortgaged Leases has failed to perform the terms and provisions thereunder (including by reason of a rejection or disaffirmance or purported rejection or disaffirmance of such Mortgaged Leases pursuant to any Bankruptcy Law), shall notify the Beneficiary of any such failure to perform. The Grantor unconditionally assigns, transfers, and sets over to the Beneficiary any and all damage claims thereunder. This assignment constitutes a present, irrevocable, and unconditional assignment of all damage claims under the Mortgaged Leases, and shall continue in effect until the Obligations have been satisfied in full. Notwithstanding the foregoing, the Beneficiary grants to the Grantor a revocable license to exercise any such Mortgaged Leases damage claims which license may only be revoked by the Beneficiary upon the occurrence and during the continuance of any Event of Default.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State-Specific Provisions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Deed of Trust is subject to the following provisions relating to the particular laws of the state wherein the Premises are located. In the event of any inconsistencies between the terms and conditions of this Article VI and the other provisions of this Deed of Trust, the terms and conditions of this Article VI shall control and be binding.</w:t>
      </w:r>
    </w:p>
    <w:p>
      <w:pPr>
        <w:spacing w:after="0" w:line="18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u w:val="single" w:color="auto"/>
          <w:color w:val="auto"/>
        </w:rPr>
        <w:t>Applicable Law; Certain Particular Provisions</w:t>
      </w:r>
      <w:r>
        <w:rPr>
          <w:rFonts w:ascii="Arial" w:cs="Arial" w:eastAsia="Arial" w:hAnsi="Arial"/>
          <w:sz w:val="21"/>
          <w:szCs w:val="21"/>
          <w:color w:val="auto"/>
        </w:rPr>
        <w:t>. This Deed of Trust shall be governed by and construed in accordance with the internal law of the state of where the Premises are located, except that Grantor expressly acknowledges that by their terms, the Facilities Lease, the Stand y Purchase Agreement and the Indenture shall be governed by the internal law of the states identified therein, without regard to principles of conflict of law. Grantor, Deed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23</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90" w:name="page391"/>
    <w:bookmarkEnd w:id="390"/>
    <w:p>
      <w:pPr>
        <w:ind w:right="20"/>
        <w:spacing w:after="0" w:line="263" w:lineRule="auto"/>
        <w:rPr>
          <w:sz w:val="20"/>
          <w:szCs w:val="20"/>
          <w:color w:val="auto"/>
        </w:rPr>
      </w:pPr>
      <w:r>
        <w:rPr>
          <w:rFonts w:ascii="Arial" w:cs="Arial" w:eastAsia="Arial" w:hAnsi="Arial"/>
          <w:sz w:val="22"/>
          <w:szCs w:val="22"/>
          <w:color w:val="auto"/>
        </w:rPr>
        <w:t>Trust Trustee and Beneficiary agree to submit to jurisdiction and the laying of venue for any suit on this Deed of Trust in the state where the Premises are located.</w:t>
      </w:r>
    </w:p>
    <w:p>
      <w:pPr>
        <w:spacing w:after="0" w:line="175"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Texas Law Provisions</w:t>
      </w:r>
      <w:r>
        <w:rPr>
          <w:rFonts w:ascii="Arial" w:cs="Arial" w:eastAsia="Arial" w:hAnsi="Arial"/>
          <w:sz w:val="19"/>
          <w:szCs w:val="19"/>
          <w:color w:val="auto"/>
        </w:rPr>
        <w:t>.</w:t>
      </w:r>
    </w:p>
    <w:p>
      <w:pPr>
        <w:spacing w:after="0" w:line="227" w:lineRule="exact"/>
        <w:rPr>
          <w:sz w:val="20"/>
          <w:szCs w:val="20"/>
          <w:color w:val="auto"/>
        </w:rPr>
      </w:pPr>
    </w:p>
    <w:p>
      <w:pPr>
        <w:jc w:val="both"/>
        <w:ind w:firstLine="1305"/>
        <w:spacing w:after="0" w:line="287" w:lineRule="auto"/>
        <w:tabs>
          <w:tab w:leader="none" w:pos="173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Appraisement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Grantor hereby waives appraisement, or does not waive appraisement, at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Beneficiary, to be exercised at any time prior to or at entry of judgment in any action to foreclose this Deed of Trust. Grantor expressly agrees that the Deed of Trust Trustee may offer the Leasehold Trust Estate as a whole or in such parcels or lots as the Beneficiary, in its sole discretion elects, regardless of the manner in which the Leasehold Trust Estate may be described. Furthermore, in the event an interest in any of the Leasehold Trust Estate is foreclosed upon pursuant to a judicial or non-judicial foreclosure sale, the Grantor agrees as follows: notwithstanding the provisions of Sections 51.003, 51.004, and 51.005 of the Texas Property Code (as the same may be amended from time to time), and to the extent permitted by law, the Grantor agrees that Beneficiary or Deed of Trust Trustee, as the case may be, shall be entitled to seek a deficiency judgment from the Grantor and any other party obligated in respect of the Obligations equal to the difference between the amount of the Obligations and the amount for which the Leasehold Trust Estate was sold pursuant to judicial or non-judicial foreclosure sale. The Grantor expressly recognizes that this Section constitutes a waiver of the above-cited provisions of the Texas Property Code which would otherwise permit the Grantor and other persons against whom recovery of deficiencies is sought (even absent the initiation of deficiency proceedings against them) to present competent evidence of the fair market value of the Leasehold Trust Estate as of the date of the foreclosure sale and offset against any deficiency the amount by which the foreclosure sale price is determined to be less than such fair market value. The Grantor further recognizes and agrees that this waiver creates an irrebuttable presumption that the foreclosure sale price is equal to the fair market value of the Leasehold Trust Estate for purposes of calculating deficiencies owed by the Grantor or any other person against whom recovery of a deficiency is sought.</w:t>
      </w:r>
    </w:p>
    <w:p>
      <w:pPr>
        <w:spacing w:after="0" w:line="150" w:lineRule="exact"/>
        <w:rPr>
          <w:rFonts w:ascii="Arial" w:cs="Arial" w:eastAsia="Arial" w:hAnsi="Arial"/>
          <w:sz w:val="19"/>
          <w:szCs w:val="19"/>
          <w:color w:val="auto"/>
        </w:rPr>
      </w:pPr>
    </w:p>
    <w:p>
      <w:pPr>
        <w:jc w:val="both"/>
        <w:ind w:firstLine="1305"/>
        <w:spacing w:after="0" w:line="289" w:lineRule="auto"/>
        <w:tabs>
          <w:tab w:leader="none" w:pos="1796"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 on Interest</w:t>
      </w:r>
      <w:r>
        <w:rPr>
          <w:rFonts w:ascii="Arial" w:cs="Arial" w:eastAsia="Arial" w:hAnsi="Arial"/>
          <w:sz w:val="19"/>
          <w:szCs w:val="19"/>
          <w:color w:val="auto"/>
        </w:rPr>
        <w:t>. All agreements between Grantor and Beneficiary, whether now existing or hereafter</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and whether written or oral, are hereby limited so that in no contingency, whether by reason of acceleration of the maturity of any of the Obligations or otherwise, shall the interest contracted for, charged or received by Beneficiary exceed the maximum amount permissible under applicable law. If from any circumstance whatsoever, interest would otherwise be payable to Beneficiary in excess of the maximum lawful amount, the interest payable to Beneficiary shall be reduced to the maximum amount permitted under applicable law; and if from any circumstance Beneficiary shall ever receive anything of value deemed interest by applicable law in excess of the maximum lawful amount, an amount equal to any excessive interest shall be applied to the reduction of the principal balance of the Obligations and not to the payment of interest or, if such excessive interest exceeds the unpaid balance of principal of the Obligations, such excess shall be refunded to Grantor. All interest paid or agreed to be paid to Beneficiary shall, to the extent permitted by applicable law, be amortized, prorated, allocated, and spread throughout the full period until payment in full of the principal of the Obligations (including the period of any renewal or extension thereof) so that the interest thereon for such full period shall not exceed the maximum amount permitted by applicable law. This paragraph shall control all agreements between Grantor and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24</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91" w:name="page392"/>
    <w:bookmarkEnd w:id="391"/>
    <w:p>
      <w:pPr>
        <w:ind w:left="1720" w:hanging="415"/>
        <w:spacing w:after="0"/>
        <w:tabs>
          <w:tab w:leader="none" w:pos="1720"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9" w:lineRule="auto"/>
        <w:tabs>
          <w:tab w:leader="none" w:pos="1837"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THIS DEED OF TRUST AND THE FACILITIES LEASE AND THE STANDBY PURCHASE AGREEMENT EMBODY THE FINAL, ENTIRE AGREEMENT AMONG THE PARTIES HERETO AND SUPERCEDE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94" w:lineRule="exact"/>
        <w:rPr>
          <w:rFonts w:ascii="Arial" w:cs="Arial" w:eastAsia="Arial" w:hAnsi="Arial"/>
          <w:sz w:val="22"/>
          <w:szCs w:val="22"/>
          <w:color w:val="auto"/>
        </w:rPr>
      </w:pPr>
    </w:p>
    <w:p>
      <w:pPr>
        <w:jc w:val="both"/>
        <w:ind w:firstLine="1305"/>
        <w:spacing w:after="0" w:line="285" w:lineRule="auto"/>
        <w:tabs>
          <w:tab w:leader="none" w:pos="185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Upon the occurrence of any Event of Default, then, without limitation to any other rights or remedies of Beneficiary contained herein, Deed of Trust Trustee shall be and is hereby authorized and empowered, and it is the Deed of Trust Trustee’s special duty, when requested so to do by Beneficiary after such default, to sell the Leasehold Trust Estate covered hereby at public auction to the highest bidder for cash between the hours of ten o’clock a.m. and four o’clock p.m. of the first Tuesday in any month, at the county court house in the county in which the Leasehold Trust Estate is situated (or, if the Leasehold Trust Estate is located in more than one county, the sale may be made at the county courthouse in any county in which the Leasehold Trust Estate is located), after complying with the statutes and procedures of the State of Texas governing such sales and after advertising the time, place, and terms of said sale and the Leasehold Trust Estate to be sold and by posting or causing to be posted for at least twenty-one consecutive days prior to the date of said sale written or printed notice thereof at the courthouse door of the county in which the sale is to be made and if the Leasehold Trust Estate is located in more than one county, one notice shall be posted at the courthouse door of each county in which the Leasehold Trust Estate is located. In addition to such posting of notice, Beneficiary shall at least twenty-one (21) days preceding the date of sale file a copy of such notice with the clerk of each county in which the Leasehold Trust Estate is located and shall serve written notice of the proposed sale by certified mail on Grantor and on each other debtor, if any, obligated to pay the Obligations. Service of such notice shall be completed upon deposit of the notice enclosed in a postpaid wrapper, properly addressed to Grantor and such other debtors at their most recent address or addresses as shown by the records of Beneficiary in a post office or official depository under the care and custody of the United States Postal Service. The affidavit of any person having knowledge of the facts to the effect that such service was completed shall be prima facie evidence of the fact of service. Grantor agree that no notice of any sale other than as set out in this paragraph need be given by Deed of Trust Trustee, Beneficiary or any other person. Notwithstanding the foregoing provisions of this paragraph, notice of such sale given in accordance with the applicable laws of the State of Texas in effect at the time of such sale shall constitute sufficient notice of such sale. The Grantor do hereby authorize and empower said Deed of Trust Trustee and each and all of his or its successors in this trust, to sell the Leasehold Trust Estate, together, or in lots or parcels, as Deed of Trust Trustee shall deem expedient. If the proceeds of the sale of only part of the Leasehold Trust Estate are less than the sum of the then-outstanding Obligations and all amounts owed under this Deed of Trust, this Deed of Trust and the lien covering the Leasehold Trust Estate will remain in full force and effect as to the unsold portion of the Leasehold Trust Estate. After each sale, the Deed of Trust Trustee will execute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25</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392" w:name="page393"/>
    <w:bookmarkEnd w:id="392"/>
    <w:p>
      <w:pPr>
        <w:jc w:val="both"/>
        <w:spacing w:after="0" w:line="260" w:lineRule="auto"/>
        <w:rPr>
          <w:sz w:val="20"/>
          <w:szCs w:val="20"/>
          <w:color w:val="auto"/>
        </w:rPr>
      </w:pPr>
      <w:r>
        <w:rPr>
          <w:rFonts w:ascii="Arial" w:cs="Arial" w:eastAsia="Arial" w:hAnsi="Arial"/>
          <w:sz w:val="21"/>
          <w:szCs w:val="21"/>
          <w:color w:val="auto"/>
        </w:rPr>
        <w:t>deliver to the purchaser or purchasers of the Leasehold Trust Estate good and sufficient deeds of conveyance thereof in the name of Grantor by fee simple or leasehold title, as applicable, with covenants of general warranty, and the title of such purchaser or purchasers, when so made by Deed of Trust Trustee, Grantor bind themselves to warrant and forever defend; and to receive the proceeds of said sale. A purchaser’s obligation is only to deliver the sales price to the Deed of Trust Trustee, and no purchaser will be responsible for the proper application of the sales proceeds. The proceeds of any sale held by Deed of Trust Trustee or any receiver or public officer in foreclosure of the liens evidenced hereby shall be applied pursuant to Section 17 of the Facilities Lease and Section 17 of the Ground Lease.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auto"/>
        </w:rPr>
        <w:t>26</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393" w:name="page394"/>
    <w:bookmarkEnd w:id="393"/>
    <w:p>
      <w:pPr>
        <w:ind w:firstLine="648"/>
        <w:spacing w:after="0" w:line="263" w:lineRule="auto"/>
        <w:rPr>
          <w:sz w:val="20"/>
          <w:szCs w:val="20"/>
          <w:color w:val="auto"/>
        </w:rPr>
      </w:pPr>
      <w:r>
        <w:rPr>
          <w:rFonts w:ascii="Arial" w:cs="Arial" w:eastAsia="Arial" w:hAnsi="Arial"/>
          <w:sz w:val="22"/>
          <w:szCs w:val="22"/>
          <w:color w:val="auto"/>
        </w:rPr>
        <w:t>IN WITNESS WHEREOF, Grantor has executed this Deed of Trust on the date of the acknowledgement set forth below, to be effective as of the Effective Date.</w:t>
      </w:r>
    </w:p>
    <w:p>
      <w:pPr>
        <w:spacing w:after="0" w:line="32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GRANTOR: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JEFFERSON RAILPORT TERMINAL II LLC, a Delaware</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limited liability company</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Alfred Salazar</w:t>
      </w:r>
    </w:p>
    <w:p>
      <w:pPr>
        <w:ind w:left="5740"/>
        <w:spacing w:after="0" w:line="238" w:lineRule="auto"/>
        <w:rPr>
          <w:sz w:val="20"/>
          <w:szCs w:val="20"/>
          <w:color w:val="auto"/>
        </w:rPr>
      </w:pPr>
      <w:r>
        <w:rPr>
          <w:rFonts w:ascii="Arial" w:cs="Arial" w:eastAsia="Arial" w:hAnsi="Arial"/>
          <w:sz w:val="22"/>
          <w:szCs w:val="22"/>
          <w:color w:val="auto"/>
        </w:rPr>
        <w:t>Print Name: Alfred Salazar</w:t>
      </w:r>
    </w:p>
    <w:p>
      <w:pPr>
        <w:ind w:left="57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STATE OF TEXAS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COUNTY OF HARRIS</w:t>
      </w:r>
    </w:p>
    <w:p>
      <w:pPr>
        <w:spacing w:after="0" w:line="260" w:lineRule="exact"/>
        <w:rPr>
          <w:sz w:val="20"/>
          <w:szCs w:val="20"/>
          <w:color w:val="auto"/>
        </w:rPr>
      </w:pPr>
    </w:p>
    <w:p>
      <w:pPr>
        <w:ind w:right="500" w:firstLine="648"/>
        <w:spacing w:after="0" w:line="287" w:lineRule="auto"/>
        <w:rPr>
          <w:sz w:val="20"/>
          <w:szCs w:val="20"/>
          <w:color w:val="auto"/>
        </w:rPr>
      </w:pPr>
      <w:r>
        <w:rPr>
          <w:rFonts w:ascii="Arial" w:cs="Arial" w:eastAsia="Arial" w:hAnsi="Arial"/>
          <w:sz w:val="21"/>
          <w:szCs w:val="21"/>
          <w:color w:val="auto"/>
        </w:rPr>
        <w:t>The foregoing instrument was acknowledged before me by Alfred Salazar, the Authorized Signatory of JEFFERSON RAILPORT TERMINAL II LLC, a Delaware limited liability company, this the 3rd day of March, 2016.</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/s/Donna Bruney</w:t>
            </w:r>
          </w:p>
        </w:tc>
      </w:tr>
      <w:tr>
        <w:trPr>
          <w:trHeight w:val="287"/>
        </w:trPr>
        <w:tc>
          <w:tcPr>
            <w:tcW w:w="1060" w:type="dxa"/>
            <w:vAlign w:val="bottom"/>
          </w:tcPr>
          <w:p>
            <w:pPr>
              <w:spacing w:after="0"/>
              <w:rPr>
                <w:sz w:val="20"/>
                <w:szCs w:val="20"/>
                <w:color w:val="auto"/>
              </w:rPr>
            </w:pPr>
            <w:r>
              <w:rPr>
                <w:rFonts w:ascii="Arial" w:cs="Arial" w:eastAsia="Arial" w:hAnsi="Arial"/>
                <w:sz w:val="22"/>
                <w:szCs w:val="22"/>
                <w:color w:val="auto"/>
              </w:rPr>
              <w:t>(Seal)</w:t>
            </w:r>
          </w:p>
        </w:tc>
        <w:tc>
          <w:tcPr>
            <w:tcW w:w="4080" w:type="dxa"/>
            <w:vAlign w:val="bottom"/>
            <w:gridSpan w:val="2"/>
          </w:tcPr>
          <w:p>
            <w:pPr>
              <w:ind w:left="540"/>
              <w:spacing w:after="0"/>
              <w:rPr>
                <w:sz w:val="20"/>
                <w:szCs w:val="20"/>
                <w:color w:val="auto"/>
              </w:rPr>
            </w:pPr>
            <w:r>
              <w:rPr>
                <w:rFonts w:ascii="Arial" w:cs="Arial" w:eastAsia="Arial" w:hAnsi="Arial"/>
                <w:sz w:val="22"/>
                <w:szCs w:val="22"/>
                <w:color w:val="auto"/>
              </w:rPr>
              <w:t>Notary Public – State of Texas</w:t>
            </w:r>
          </w:p>
        </w:tc>
      </w:tr>
    </w:tbl>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11300"/>
          </w:cols>
          <w:pgMar w:left="240" w:top="631" w:right="35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FORTRESS TRANSPORTATION AND INFRASTRUCTURE INVESTORS LLC</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Subsidiary</w:t>
            </w:r>
          </w:p>
        </w:tc>
        <w:tc>
          <w:tcPr>
            <w:tcW w:w="4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Jurisdiction of Incorporation/Organization</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Fortress Worldwide Transportation and Infrastructure General Partnership</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AirOpCo 1Bermuda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WWTAI Finance Ltd.</w:t>
            </w:r>
          </w:p>
        </w:tc>
        <w:tc>
          <w:tcPr>
            <w:tcW w:w="4400" w:type="dxa"/>
            <w:vAlign w:val="bottom"/>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Offshore Co 1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WWTAI Container Holdco Ltd. (f/k/a WWTAI Container GP 1 Ltd.)</w:t>
            </w:r>
          </w:p>
        </w:tc>
        <w:tc>
          <w:tcPr>
            <w:tcW w:w="4400" w:type="dxa"/>
            <w:vAlign w:val="bottom"/>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Container 1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Intermodal Finance 1 Ltd.</w:t>
            </w:r>
          </w:p>
        </w:tc>
        <w:tc>
          <w:tcPr>
            <w:tcW w:w="4400" w:type="dxa"/>
            <w:vAlign w:val="bottom"/>
          </w:tcPr>
          <w:p>
            <w:pPr>
              <w:ind w:left="4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AirOpCo II Limited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Subsea 88 Ltd.</w:t>
            </w:r>
          </w:p>
        </w:tc>
        <w:tc>
          <w:tcPr>
            <w:tcW w:w="4400" w:type="dxa"/>
            <w:vAlign w:val="bottom"/>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Intermodal Finance II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IES Pioneer Ltd.</w:t>
            </w:r>
          </w:p>
        </w:tc>
        <w:tc>
          <w:tcPr>
            <w:tcW w:w="4400" w:type="dxa"/>
            <w:vAlign w:val="bottom"/>
          </w:tcPr>
          <w:p>
            <w:pPr>
              <w:ind w:left="44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Intermodal Finance III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7020" w:type="dxa"/>
            <w:vAlign w:val="bottom"/>
          </w:tcPr>
          <w:p>
            <w:pPr>
              <w:ind w:left="40"/>
              <w:spacing w:after="0"/>
              <w:rPr>
                <w:sz w:val="20"/>
                <w:szCs w:val="20"/>
                <w:color w:val="auto"/>
              </w:rPr>
            </w:pPr>
            <w:r>
              <w:rPr>
                <w:rFonts w:ascii="Arial" w:cs="Arial" w:eastAsia="Arial" w:hAnsi="Arial"/>
                <w:sz w:val="18"/>
                <w:szCs w:val="18"/>
                <w:color w:val="auto"/>
                <w:w w:val="96"/>
              </w:rPr>
              <w:t>Fortress Transportation and Infrastructure Investors LLC (f/k/a Fortress Transportation and</w:t>
            </w:r>
          </w:p>
        </w:tc>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22"/>
        </w:trPr>
        <w:tc>
          <w:tcPr>
            <w:tcW w:w="7020" w:type="dxa"/>
            <w:vAlign w:val="bottom"/>
            <w:vMerge w:val="restart"/>
          </w:tcPr>
          <w:p>
            <w:pPr>
              <w:ind w:left="40"/>
              <w:spacing w:after="0"/>
              <w:rPr>
                <w:sz w:val="20"/>
                <w:szCs w:val="20"/>
                <w:color w:val="auto"/>
              </w:rPr>
            </w:pPr>
            <w:r>
              <w:rPr>
                <w:rFonts w:ascii="Arial" w:cs="Arial" w:eastAsia="Arial" w:hAnsi="Arial"/>
                <w:sz w:val="18"/>
                <w:szCs w:val="18"/>
                <w:color w:val="auto"/>
              </w:rPr>
              <w:t>Infrastructure Investors Ltd.)</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Energy Co 1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Central Maine &amp; Quebec Railway US Inc.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CMQ Canada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Central Maine &amp; Quebec Railway Canada Inc.</w:t>
            </w:r>
          </w:p>
        </w:tc>
        <w:tc>
          <w:tcPr>
            <w:tcW w:w="4400" w:type="dxa"/>
            <w:vAlign w:val="bottom"/>
          </w:tcPr>
          <w:p>
            <w:pPr>
              <w:ind w:left="4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Railroad Acquisition Holdings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Jefferson Storage I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Pride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WWTAI AirOpCo I USA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HiLoad Ltd. (process of dissolution)</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Energy Co1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IES Pioneer Ltd.</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Energy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Midstream Holdings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Railcar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Energy Partners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Midstream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Energy Development Holdings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FTAI Energy Downstream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Gulf Coast Management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JGC Investment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2010 Bond Holdings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Jefferson 2012 Bond Holdings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Gulf Coast Energy Holdings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Jefferson Gulf Coast Energy Partners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DRE Liabilities LLC</w:t>
            </w:r>
          </w:p>
        </w:tc>
        <w:tc>
          <w:tcPr>
            <w:tcW w:w="4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Jefferson Terminal Logistics LLC</w:t>
            </w:r>
          </w:p>
        </w:tc>
        <w:tc>
          <w:tcPr>
            <w:tcW w:w="4400" w:type="dxa"/>
            <w:vAlign w:val="bottom"/>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Jefferson Railport Terminal I LLC</w:t>
            </w:r>
          </w:p>
        </w:tc>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70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395" w:name="page396"/>
    <w:bookmarkEnd w:id="3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40"/>
              <w:spacing w:after="0"/>
              <w:rPr>
                <w:sz w:val="20"/>
                <w:szCs w:val="20"/>
                <w:color w:val="auto"/>
              </w:rPr>
            </w:pPr>
            <w:r>
              <w:rPr>
                <w:rFonts w:ascii="Arial" w:cs="Arial" w:eastAsia="Arial" w:hAnsi="Arial"/>
                <w:sz w:val="18"/>
                <w:szCs w:val="18"/>
                <w:color w:val="auto"/>
              </w:rPr>
              <w:t>Jefferson Railport Terminal II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Gas Processing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Jefferson Gulf Coast Real Estate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Truck Terminal I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Jefferson Docks I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Railport Terminal I (Texas)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Texas</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Jefferson Pipeline I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Offshore Holdings L.P.</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Cayman Islands</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FTAI Midstream GP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Partners Holdings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FTAI Midstream GP Holdings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WWTAI IES MT6015 Ltd.</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Malaysia</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AirOpCo 1ET Bermuda Ltd.</w:t>
            </w:r>
          </w:p>
        </w:tc>
        <w:tc>
          <w:tcPr>
            <w:tcW w:w="5640" w:type="dxa"/>
            <w:vAlign w:val="bottom"/>
          </w:tcPr>
          <w:p>
            <w:pPr>
              <w:ind w:left="1680"/>
              <w:spacing w:after="0"/>
              <w:rPr>
                <w:sz w:val="20"/>
                <w:szCs w:val="20"/>
                <w:color w:val="auto"/>
              </w:rPr>
            </w:pPr>
            <w:r>
              <w:rPr>
                <w:rFonts w:ascii="Arial" w:cs="Arial" w:eastAsia="Arial" w:hAnsi="Arial"/>
                <w:sz w:val="18"/>
                <w:szCs w:val="18"/>
                <w:color w:val="auto"/>
              </w:rPr>
              <w:t>Bermuda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AirOpCo 1ASL Bermuda Ltd.</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Bermuda</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AirOpCo 1JT Bermuda Ltd.</w:t>
            </w:r>
          </w:p>
        </w:tc>
        <w:tc>
          <w:tcPr>
            <w:tcW w:w="5640" w:type="dxa"/>
            <w:vAlign w:val="bottom"/>
          </w:tcPr>
          <w:p>
            <w:pPr>
              <w:ind w:left="1680"/>
              <w:spacing w:after="0"/>
              <w:rPr>
                <w:sz w:val="20"/>
                <w:szCs w:val="20"/>
                <w:color w:val="auto"/>
              </w:rPr>
            </w:pPr>
            <w:r>
              <w:rPr>
                <w:rFonts w:ascii="Arial" w:cs="Arial" w:eastAsia="Arial" w:hAnsi="Arial"/>
                <w:sz w:val="18"/>
                <w:szCs w:val="18"/>
                <w:color w:val="auto"/>
              </w:rPr>
              <w:t>Bermuda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AirOpCo 1KOME Bermuda Ltd.(process of dissolution)</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Bermuda</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AirOpCo II ME Ireland Limited</w:t>
            </w:r>
          </w:p>
        </w:tc>
        <w:tc>
          <w:tcPr>
            <w:tcW w:w="5640" w:type="dxa"/>
            <w:vAlign w:val="bottom"/>
          </w:tcPr>
          <w:p>
            <w:pPr>
              <w:ind w:left="1680"/>
              <w:spacing w:after="0"/>
              <w:rPr>
                <w:sz w:val="20"/>
                <w:szCs w:val="20"/>
                <w:color w:val="auto"/>
              </w:rPr>
            </w:pPr>
            <w:r>
              <w:rPr>
                <w:rFonts w:ascii="Arial" w:cs="Arial" w:eastAsia="Arial" w:hAnsi="Arial"/>
                <w:sz w:val="18"/>
                <w:szCs w:val="18"/>
                <w:color w:val="auto"/>
              </w:rPr>
              <w:t>Ireland</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AirOpCo II KO Ireland Limited</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Ireland</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Delaware River Partners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DRP Holdco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WWTAI AirOpCo Malta Limited</w:t>
            </w:r>
          </w:p>
        </w:tc>
        <w:tc>
          <w:tcPr>
            <w:tcW w:w="5640" w:type="dxa"/>
            <w:vAlign w:val="bottom"/>
          </w:tcPr>
          <w:p>
            <w:pPr>
              <w:ind w:left="1680"/>
              <w:spacing w:after="0"/>
              <w:rPr>
                <w:sz w:val="20"/>
                <w:szCs w:val="20"/>
                <w:color w:val="auto"/>
              </w:rPr>
            </w:pPr>
            <w:r>
              <w:rPr>
                <w:rFonts w:ascii="Arial" w:cs="Arial" w:eastAsia="Arial" w:hAnsi="Arial"/>
                <w:sz w:val="18"/>
                <w:szCs w:val="18"/>
                <w:color w:val="auto"/>
              </w:rPr>
              <w:t>Malta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AirOpCo I SD Ireland Limited</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Ireland</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WWTAI AirOpCo 2 Bermuda Ltd.</w:t>
            </w:r>
          </w:p>
        </w:tc>
        <w:tc>
          <w:tcPr>
            <w:tcW w:w="5640" w:type="dxa"/>
            <w:vAlign w:val="bottom"/>
          </w:tcPr>
          <w:p>
            <w:pPr>
              <w:ind w:left="1680"/>
              <w:spacing w:after="0"/>
              <w:rPr>
                <w:sz w:val="20"/>
                <w:szCs w:val="20"/>
                <w:color w:val="auto"/>
              </w:rPr>
            </w:pPr>
            <w:r>
              <w:rPr>
                <w:rFonts w:ascii="Arial" w:cs="Arial" w:eastAsia="Arial" w:hAnsi="Arial"/>
                <w:sz w:val="18"/>
                <w:szCs w:val="18"/>
                <w:color w:val="auto"/>
              </w:rPr>
              <w:t>Bermuda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 River Partners Holdco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Ohio River Partners Finance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Jefferson Energy Canco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Jefferson Energy Canada ULC</w:t>
            </w:r>
          </w:p>
        </w:tc>
        <w:tc>
          <w:tcPr>
            <w:tcW w:w="5640" w:type="dxa"/>
            <w:vAlign w:val="bottom"/>
          </w:tcPr>
          <w:p>
            <w:pPr>
              <w:ind w:left="1680"/>
              <w:spacing w:after="0"/>
              <w:rPr>
                <w:sz w:val="20"/>
                <w:szCs w:val="20"/>
                <w:color w:val="auto"/>
              </w:rPr>
            </w:pPr>
            <w:r>
              <w:rPr>
                <w:rFonts w:ascii="Arial" w:cs="Arial" w:eastAsia="Arial" w:hAnsi="Arial"/>
                <w:sz w:val="18"/>
                <w:szCs w:val="18"/>
                <w:color w:val="auto"/>
              </w:rPr>
              <w:t>Canada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 River Partners Shareholder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Jefferson Energy Marketing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 River Partners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FTAI Energy Marketing LLC</w:t>
            </w:r>
          </w:p>
        </w:tc>
        <w:tc>
          <w:tcPr>
            <w:tcW w:w="56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FTAI Pride Chartering LLC</w:t>
            </w:r>
          </w:p>
        </w:tc>
        <w:tc>
          <w:tcPr>
            <w:tcW w:w="56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Marshall Islands</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FTAI Pride Labuan Ltd.</w:t>
            </w:r>
          </w:p>
        </w:tc>
        <w:tc>
          <w:tcPr>
            <w:tcW w:w="5640" w:type="dxa"/>
            <w:vAlign w:val="bottom"/>
          </w:tcPr>
          <w:p>
            <w:pPr>
              <w:ind w:left="1680"/>
              <w:spacing w:after="0"/>
              <w:rPr>
                <w:sz w:val="20"/>
                <w:szCs w:val="20"/>
                <w:color w:val="auto"/>
              </w:rPr>
            </w:pPr>
            <w:r>
              <w:rPr>
                <w:rFonts w:ascii="Arial" w:cs="Arial" w:eastAsia="Arial" w:hAnsi="Arial"/>
                <w:sz w:val="18"/>
                <w:szCs w:val="18"/>
                <w:color w:val="auto"/>
              </w:rPr>
              <w:t>Malaysia</w:t>
            </w:r>
          </w:p>
        </w:tc>
      </w:tr>
      <w:tr>
        <w:trPr>
          <w:trHeight w:val="27"/>
        </w:trPr>
        <w:tc>
          <w:tcPr>
            <w:tcW w:w="57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Jefferson Railport Terminal II Holdings LLC</w:t>
            </w:r>
          </w:p>
        </w:tc>
        <w:tc>
          <w:tcPr>
            <w:tcW w:w="5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7"/>
        </w:trPr>
        <w:tc>
          <w:tcPr>
            <w:tcW w:w="578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firstLine="8"/>
        <w:spacing w:after="0" w:line="342" w:lineRule="auto"/>
        <w:tabs>
          <w:tab w:leader="none" w:pos="39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40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44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firstLine="656"/>
        <w:spacing w:after="0" w:line="264" w:lineRule="auto"/>
        <w:tabs>
          <w:tab w:leader="none" w:pos="105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Rules 13a-14(a) and 15d-14(a)];</w:t>
      </w:r>
    </w:p>
    <w:p>
      <w:pPr>
        <w:spacing w:after="0" w:line="171" w:lineRule="exact"/>
        <w:rPr>
          <w:rFonts w:ascii="Arial" w:cs="Arial" w:eastAsia="Arial" w:hAnsi="Arial"/>
          <w:sz w:val="18"/>
          <w:szCs w:val="18"/>
          <w:color w:val="auto"/>
        </w:rPr>
      </w:pPr>
    </w:p>
    <w:p>
      <w:pPr>
        <w:ind w:firstLine="656"/>
        <w:spacing w:after="0" w:line="308" w:lineRule="auto"/>
        <w:tabs>
          <w:tab w:leader="none" w:pos="1151" w:val="left"/>
        </w:tabs>
        <w:numPr>
          <w:ilvl w:val="1"/>
          <w:numId w:val="3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firstLine="656"/>
        <w:spacing w:after="0" w:line="264" w:lineRule="auto"/>
        <w:tabs>
          <w:tab w:leader="none" w:pos="1063"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firstLine="656"/>
        <w:spacing w:after="0" w:line="277" w:lineRule="auto"/>
        <w:tabs>
          <w:tab w:leader="none" w:pos="103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656"/>
        <w:spacing w:after="0" w:line="277" w:lineRule="auto"/>
        <w:tabs>
          <w:tab w:leader="none" w:pos="1033"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March 9,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G. Atkeson, certify that:</w:t>
      </w:r>
    </w:p>
    <w:p>
      <w:pPr>
        <w:spacing w:after="0" w:line="225" w:lineRule="exact"/>
        <w:rPr>
          <w:sz w:val="20"/>
          <w:szCs w:val="20"/>
          <w:color w:val="auto"/>
        </w:rPr>
      </w:pPr>
    </w:p>
    <w:p>
      <w:pPr>
        <w:ind w:left="320" w:hanging="312"/>
        <w:spacing w:after="0"/>
        <w:tabs>
          <w:tab w:leader="none" w:pos="3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firstLine="8"/>
        <w:spacing w:after="0" w:line="342" w:lineRule="auto"/>
        <w:tabs>
          <w:tab w:leader="none" w:pos="39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40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44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firstLine="656"/>
        <w:spacing w:after="0" w:line="264" w:lineRule="auto"/>
        <w:tabs>
          <w:tab w:leader="none" w:pos="105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Rules 13a-14(a) and 15d-14(a)];</w:t>
      </w:r>
    </w:p>
    <w:p>
      <w:pPr>
        <w:spacing w:after="0" w:line="171" w:lineRule="exact"/>
        <w:rPr>
          <w:rFonts w:ascii="Arial" w:cs="Arial" w:eastAsia="Arial" w:hAnsi="Arial"/>
          <w:sz w:val="18"/>
          <w:szCs w:val="18"/>
          <w:color w:val="auto"/>
        </w:rPr>
      </w:pPr>
    </w:p>
    <w:p>
      <w:pPr>
        <w:ind w:firstLine="656"/>
        <w:spacing w:after="0" w:line="308" w:lineRule="auto"/>
        <w:tabs>
          <w:tab w:leader="none" w:pos="1151" w:val="left"/>
        </w:tabs>
        <w:numPr>
          <w:ilvl w:val="1"/>
          <w:numId w:val="3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firstLine="656"/>
        <w:spacing w:after="0" w:line="264" w:lineRule="auto"/>
        <w:tabs>
          <w:tab w:leader="none" w:pos="1063"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firstLine="656"/>
        <w:spacing w:after="0" w:line="277" w:lineRule="auto"/>
        <w:tabs>
          <w:tab w:leader="none" w:pos="10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656"/>
        <w:spacing w:after="0" w:line="277" w:lineRule="auto"/>
        <w:tabs>
          <w:tab w:leader="none" w:pos="1033"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March 9,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0"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2015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2015 as filed with the Securities and Exchange Commission on the date hereof (the “Report”), Jonathan G. Atkeson, as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Jonathan G. Atkeson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9, 2016</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abstractNum>
  <w:abstractNum w:abstractNumId="1">
    <w:nsid w:val="F856867"/>
    <w:multiLevelType w:val="hybridMultilevel"/>
    <w:lvl w:ilvl="0">
      <w:lvlJc w:val="left"/>
      <w:lvlText w:val="☐"/>
      <w:numFmt w:val="bullet"/>
      <w:start w:val="1"/>
    </w:lvl>
  </w:abstractNum>
  <w:abstractNum w:abstractNumId="2">
    <w:nsid w:val="11B1CC33"/>
    <w:multiLevelType w:val="hybridMultilevel"/>
    <w:lvl w:ilvl="0">
      <w:lvlJc w:val="left"/>
      <w:lvlText w:val="•"/>
      <w:numFmt w:val="bullet"/>
      <w:start w:val="1"/>
    </w:lvl>
  </w:abstractNum>
  <w:abstractNum w:abstractNumId="3">
    <w:nsid w:val="2E22FBB7"/>
    <w:multiLevelType w:val="hybridMultilevel"/>
    <w:lvl w:ilvl="0">
      <w:lvlJc w:val="left"/>
      <w:lvlText w:val="•"/>
      <w:numFmt w:val="bullet"/>
      <w:start w:val="1"/>
    </w:lvl>
  </w:abstractNum>
  <w:abstractNum w:abstractNumId="4">
    <w:nsid w:val="29934699"/>
    <w:multiLevelType w:val="hybridMultilevel"/>
    <w:lvl w:ilvl="0">
      <w:lvlJc w:val="left"/>
      <w:lvlText w:val="•"/>
      <w:numFmt w:val="bullet"/>
      <w:start w:val="1"/>
    </w:lvl>
  </w:abstractNum>
  <w:abstractNum w:abstractNumId="5">
    <w:nsid w:val="77485850"/>
    <w:multiLevelType w:val="hybridMultilevel"/>
    <w:lvl w:ilvl="0">
      <w:lvlJc w:val="left"/>
      <w:lvlText w:val="(%1)"/>
      <w:numFmt w:val="decimal"/>
      <w:start w:val="1"/>
    </w:lvl>
  </w:abstractNum>
  <w:abstractNum w:abstractNumId="6">
    <w:nsid w:val="744939A3"/>
    <w:multiLevelType w:val="hybridMultilevel"/>
    <w:lvl w:ilvl="0">
      <w:lvlJc w:val="left"/>
      <w:lvlText w:val="(%1)"/>
      <w:numFmt w:val="decimal"/>
      <w:start w:val="1"/>
    </w:lvl>
  </w:abstractNum>
  <w:abstractNum w:abstractNumId="7">
    <w:nsid w:val="4FA0D2E3"/>
    <w:multiLevelType w:val="hybridMultilevel"/>
    <w:lvl w:ilvl="0">
      <w:lvlJc w:val="left"/>
      <w:lvlText w:val="•"/>
      <w:numFmt w:val="bullet"/>
      <w:start w:val="1"/>
    </w:lvl>
  </w:abstractNum>
  <w:abstractNum w:abstractNumId="8">
    <w:nsid w:val="6B1D2C14"/>
    <w:multiLevelType w:val="hybridMultilevel"/>
    <w:lvl w:ilvl="0">
      <w:lvlJc w:val="left"/>
      <w:lvlText w:val="•"/>
      <w:numFmt w:val="bullet"/>
      <w:start w:val="1"/>
    </w:lvl>
  </w:abstractNum>
  <w:abstractNum w:abstractNumId="9">
    <w:nsid w:val="68B867D3"/>
    <w:multiLevelType w:val="hybridMultilevel"/>
    <w:lvl w:ilvl="0">
      <w:lvlJc w:val="left"/>
      <w:lvlText w:val="•"/>
      <w:numFmt w:val="bullet"/>
      <w:start w:val="1"/>
    </w:lvl>
  </w:abstractNum>
  <w:abstractNum w:abstractNumId="10">
    <w:nsid w:val="3F7F5DD9"/>
    <w:multiLevelType w:val="hybridMultilevel"/>
    <w:lvl w:ilvl="0">
      <w:lvlJc w:val="left"/>
      <w:lvlText w:val="▪"/>
      <w:numFmt w:val="bullet"/>
      <w:start w:val="1"/>
    </w:lvl>
  </w:abstractNum>
  <w:abstractNum w:abstractNumId="11">
    <w:nsid w:val="2AE05A34"/>
    <w:multiLevelType w:val="hybridMultilevel"/>
    <w:lvl w:ilvl="0">
      <w:lvlJc w:val="left"/>
      <w:lvlText w:val="•"/>
      <w:numFmt w:val="bullet"/>
      <w:start w:val="1"/>
    </w:lvl>
  </w:abstractNum>
  <w:abstractNum w:abstractNumId="12">
    <w:nsid w:val="32794FF7"/>
    <w:multiLevelType w:val="hybridMultilevel"/>
    <w:lvl w:ilvl="0">
      <w:lvlJc w:val="left"/>
      <w:lvlText w:val="•"/>
      <w:numFmt w:val="bullet"/>
      <w:start w:val="1"/>
    </w:lvl>
  </w:abstractNum>
  <w:abstractNum w:abstractNumId="13">
    <w:nsid w:val="5454945E"/>
    <w:multiLevelType w:val="hybridMultilevel"/>
    <w:lvl w:ilvl="0">
      <w:lvlJc w:val="left"/>
      <w:lvlText w:val="•"/>
      <w:numFmt w:val="bullet"/>
      <w:start w:val="1"/>
    </w:lvl>
  </w:abstractNum>
  <w:abstractNum w:abstractNumId="14">
    <w:nsid w:val="4DEFDFA0"/>
    <w:multiLevelType w:val="hybridMultilevel"/>
    <w:lvl w:ilvl="0">
      <w:lvlJc w:val="left"/>
      <w:lvlText w:val="•"/>
      <w:numFmt w:val="bullet"/>
      <w:start w:val="1"/>
    </w:lvl>
  </w:abstractNum>
  <w:abstractNum w:abstractNumId="15">
    <w:nsid w:val="2123D5F2"/>
    <w:multiLevelType w:val="hybridMultilevel"/>
    <w:lvl w:ilvl="0">
      <w:lvlJc w:val="left"/>
      <w:lvlText w:val="•"/>
      <w:numFmt w:val="bullet"/>
      <w:start w:val="1"/>
    </w:lvl>
  </w:abstractNum>
  <w:abstractNum w:abstractNumId="16">
    <w:nsid w:val="135B8110"/>
    <w:multiLevelType w:val="hybridMultilevel"/>
    <w:lvl w:ilvl="0">
      <w:lvlJc w:val="left"/>
      <w:lvlText w:val="(%1)"/>
      <w:numFmt w:val="lowerLetter"/>
      <w:start w:val="4"/>
    </w:lvl>
  </w:abstractNum>
  <w:abstractNum w:abstractNumId="17">
    <w:nsid w:val="94927A8"/>
    <w:multiLevelType w:val="hybridMultilevel"/>
    <w:lvl w:ilvl="0">
      <w:lvlJc w:val="left"/>
      <w:lvlText w:val="(%1)"/>
      <w:numFmt w:val="upperLetter"/>
      <w:start w:val="1"/>
    </w:lvl>
  </w:abstractNum>
  <w:abstractNum w:abstractNumId="18">
    <w:nsid w:val="DCDF8F6"/>
    <w:multiLevelType w:val="hybridMultilevel"/>
    <w:lvl w:ilvl="0">
      <w:lvlJc w:val="left"/>
      <w:lvlText w:val="(%1)"/>
      <w:numFmt w:val="decimal"/>
      <w:start w:val="1"/>
    </w:lvl>
  </w:abstractNum>
  <w:abstractNum w:abstractNumId="19">
    <w:nsid w:val="52D7B105"/>
    <w:multiLevelType w:val="hybridMultilevel"/>
    <w:lvl w:ilvl="0">
      <w:lvlJc w:val="left"/>
      <w:lvlText w:val="•"/>
      <w:numFmt w:val="bullet"/>
      <w:start w:val="1"/>
    </w:lvl>
  </w:abstractNum>
  <w:abstractNum w:abstractNumId="20">
    <w:nsid w:val="2E8A6394"/>
    <w:multiLevelType w:val="hybridMultilevel"/>
    <w:lvl w:ilvl="0">
      <w:lvlJc w:val="left"/>
      <w:lvlText w:val="(%1)"/>
      <w:numFmt w:val="lowerLetter"/>
      <w:start w:val="2"/>
    </w:lvl>
  </w:abstractNum>
  <w:abstractNum w:abstractNumId="21">
    <w:nsid w:val="24E60401"/>
    <w:multiLevelType w:val="hybridMultilevel"/>
    <w:lvl w:ilvl="0">
      <w:lvlJc w:val="left"/>
      <w:lvlText w:val="(%1)"/>
      <w:numFmt w:val="lowerLetter"/>
      <w:start w:val="2"/>
    </w:lvl>
  </w:abstractNum>
  <w:abstractNum w:abstractNumId="22">
    <w:nsid w:val="2A6AD9BE"/>
    <w:multiLevelType w:val="hybridMultilevel"/>
    <w:lvl w:ilvl="0">
      <w:lvlJc w:val="left"/>
      <w:lvlText w:val="(%1)"/>
      <w:numFmt w:val="decimal"/>
      <w:start w:val="1"/>
    </w:lvl>
    <w:lvl w:ilvl="1">
      <w:lvlJc w:val="left"/>
      <w:lvlText w:val="(%2)"/>
      <w:numFmt w:val="lowerRoman"/>
      <w:start w:val="2"/>
    </w:lvl>
  </w:abstractNum>
  <w:abstractNum w:abstractNumId="23">
    <w:nsid w:val="BAAC1B4"/>
    <w:multiLevelType w:val="hybridMultilevel"/>
    <w:lvl w:ilvl="0">
      <w:lvlJc w:val="left"/>
      <w:lvlText w:val="(%1)"/>
      <w:numFmt w:val="decimal"/>
      <w:start w:val="3"/>
    </w:lvl>
  </w:abstractNum>
  <w:abstractNum w:abstractNumId="24">
    <w:nsid w:val="36B2ACBC"/>
    <w:multiLevelType w:val="hybridMultilevel"/>
    <w:lvl w:ilvl="0">
      <w:lvlJc w:val="left"/>
      <w:lvlText w:val="(%1)"/>
      <w:numFmt w:val="decimal"/>
      <w:start w:val="1"/>
    </w:lvl>
  </w:abstractNum>
  <w:abstractNum w:abstractNumId="25">
    <w:nsid w:val="779D8544"/>
    <w:multiLevelType w:val="hybridMultilevel"/>
    <w:lvl w:ilvl="0">
      <w:lvlJc w:val="left"/>
      <w:lvlText w:val="(%1)"/>
      <w:numFmt w:val="decimal"/>
      <w:start w:val="1"/>
    </w:lvl>
  </w:abstractNum>
  <w:abstractNum w:abstractNumId="26">
    <w:nsid w:val="4AB26E78"/>
    <w:multiLevelType w:val="hybridMultilevel"/>
    <w:lvl w:ilvl="0">
      <w:lvlJc w:val="left"/>
      <w:lvlText w:val="(%1)"/>
      <w:numFmt w:val="decimal"/>
      <w:start w:val="1"/>
    </w:lvl>
  </w:abstractNum>
  <w:abstractNum w:abstractNumId="27">
    <w:nsid w:val="21FAA2FA"/>
    <w:multiLevelType w:val="hybridMultilevel"/>
    <w:lvl w:ilvl="0">
      <w:lvlJc w:val="left"/>
      <w:lvlText w:val="(%1)"/>
      <w:numFmt w:val="decimal"/>
      <w:start w:val="1"/>
    </w:lvl>
  </w:abstractNum>
  <w:abstractNum w:abstractNumId="28">
    <w:nsid w:val="5451CF49"/>
    <w:multiLevelType w:val="hybridMultilevel"/>
    <w:lvl w:ilvl="0">
      <w:lvlJc w:val="left"/>
      <w:lvlText w:val="(%1)"/>
      <w:numFmt w:val="decimal"/>
      <w:start w:val="1"/>
    </w:lvl>
  </w:abstractNum>
  <w:abstractNum w:abstractNumId="29">
    <w:nsid w:val="6181EF69"/>
    <w:multiLevelType w:val="hybridMultilevel"/>
    <w:lvl w:ilvl="0">
      <w:lvlJc w:val="left"/>
      <w:lvlText w:val="(%1)"/>
      <w:numFmt w:val="decimal"/>
      <w:start w:val="2"/>
    </w:lvl>
  </w:abstractNum>
  <w:abstractNum w:abstractNumId="30">
    <w:nsid w:val="3E6400E6"/>
    <w:multiLevelType w:val="hybridMultilevel"/>
    <w:lvl w:ilvl="0">
      <w:lvlJc w:val="left"/>
      <w:lvlText w:val="(%1)"/>
      <w:numFmt w:val="decimal"/>
      <w:start w:val="1"/>
    </w:lvl>
  </w:abstractNum>
  <w:abstractNum w:abstractNumId="31">
    <w:nsid w:val="14217E23"/>
    <w:multiLevelType w:val="hybridMultilevel"/>
    <w:lvl w:ilvl="0">
      <w:lvlJc w:val="left"/>
      <w:lvlText w:val="(%1)"/>
      <w:numFmt w:val="decimal"/>
      <w:start w:val="2"/>
    </w:lvl>
  </w:abstractNum>
  <w:abstractNum w:abstractNumId="32">
    <w:nsid w:val="710757D0"/>
    <w:multiLevelType w:val="hybridMultilevel"/>
    <w:lvl w:ilvl="0">
      <w:lvlJc w:val="left"/>
      <w:lvlText w:val="(%1)"/>
      <w:numFmt w:val="decimal"/>
      <w:start w:val="1"/>
    </w:lvl>
  </w:abstractNum>
  <w:abstractNum w:abstractNumId="33">
    <w:nsid w:val="5015CD1A"/>
    <w:multiLevelType w:val="hybridMultilevel"/>
    <w:lvl w:ilvl="0">
      <w:lvlJc w:val="left"/>
      <w:lvlText w:val="(%1)"/>
      <w:numFmt w:val="decimal"/>
      <w:start w:val="2"/>
    </w:lvl>
  </w:abstractNum>
  <w:abstractNum w:abstractNumId="34">
    <w:nsid w:val="424479DA"/>
    <w:multiLevelType w:val="hybridMultilevel"/>
    <w:lvl w:ilvl="0">
      <w:lvlJc w:val="left"/>
      <w:lvlText w:val="(%1)"/>
      <w:numFmt w:val="decimal"/>
      <w:start w:val="1"/>
    </w:lvl>
  </w:abstractNum>
  <w:abstractNum w:abstractNumId="35">
    <w:nsid w:val="1A9A9E69"/>
    <w:multiLevelType w:val="hybridMultilevel"/>
    <w:lvl w:ilvl="0">
      <w:lvlJc w:val="left"/>
      <w:lvlText w:val="(%1)"/>
      <w:numFmt w:val="decimal"/>
      <w:start w:val="2"/>
    </w:lvl>
  </w:abstractNum>
  <w:abstractNum w:abstractNumId="36">
    <w:nsid w:val="475E256A"/>
    <w:multiLevelType w:val="hybridMultilevel"/>
    <w:lvl w:ilvl="0">
      <w:lvlJc w:val="left"/>
      <w:lvlText w:val="(%1)"/>
      <w:numFmt w:val="decimal"/>
      <w:start w:val="3"/>
    </w:lvl>
  </w:abstractNum>
  <w:abstractNum w:abstractNumId="37">
    <w:nsid w:val="368DB37E"/>
    <w:multiLevelType w:val="hybridMultilevel"/>
    <w:lvl w:ilvl="0">
      <w:lvlJc w:val="left"/>
      <w:lvlText w:val="(%1)"/>
      <w:numFmt w:val="decimal"/>
      <w:start w:val="4"/>
    </w:lvl>
  </w:abstractNum>
  <w:abstractNum w:abstractNumId="38">
    <w:nsid w:val="6A3B714C"/>
    <w:multiLevelType w:val="hybridMultilevel"/>
    <w:lvl w:ilvl="0">
      <w:lvlJc w:val="left"/>
      <w:lvlText w:val="(%1)"/>
      <w:numFmt w:val="lowerRoman"/>
      <w:start w:val="3"/>
    </w:lvl>
  </w:abstractNum>
  <w:abstractNum w:abstractNumId="39">
    <w:nsid w:val="327B517E"/>
    <w:multiLevelType w:val="hybridMultilevel"/>
    <w:lvl w:ilvl="0">
      <w:lvlJc w:val="left"/>
      <w:lvlText w:val="(%1)"/>
      <w:numFmt w:val="decimal"/>
      <w:start w:val="1"/>
    </w:lvl>
  </w:abstractNum>
  <w:abstractNum w:abstractNumId="40">
    <w:nsid w:val="1F461B51"/>
    <w:multiLevelType w:val="hybridMultilevel"/>
    <w:lvl w:ilvl="0">
      <w:lvlJc w:val="left"/>
      <w:lvlText w:val="(%1)"/>
      <w:numFmt w:val="decimal"/>
      <w:start w:val="2"/>
    </w:lvl>
  </w:abstractNum>
  <w:abstractNum w:abstractNumId="41">
    <w:nsid w:val="29BACF25"/>
    <w:multiLevelType w:val="hybridMultilevel"/>
    <w:lvl w:ilvl="0">
      <w:lvlJc w:val="left"/>
      <w:lvlText w:val="(%1)"/>
      <w:numFmt w:val="decimal"/>
      <w:start w:val="1"/>
    </w:lvl>
  </w:abstractNum>
  <w:abstractNum w:abstractNumId="42">
    <w:nsid w:val="5D5BABB3"/>
    <w:multiLevelType w:val="hybridMultilevel"/>
    <w:lvl w:ilvl="0">
      <w:lvlJc w:val="left"/>
      <w:lvlText w:val="(%1)"/>
      <w:numFmt w:val="decimal"/>
      <w:start w:val="2"/>
    </w:lvl>
    <w:lvl w:ilvl="1">
      <w:lvlJc w:val="left"/>
      <w:lvlText w:val="(%2)"/>
      <w:numFmt w:val="lowerRoman"/>
      <w:start w:val="1"/>
    </w:lvl>
  </w:abstractNum>
  <w:abstractNum w:abstractNumId="43">
    <w:nsid w:val="51BF6B48"/>
    <w:multiLevelType w:val="hybridMultilevel"/>
    <w:lvl w:ilvl="0">
      <w:lvlJc w:val="left"/>
      <w:lvlText w:val="(%1)"/>
      <w:numFmt w:val="decimal"/>
      <w:start w:val="1"/>
    </w:lvl>
  </w:abstractNum>
  <w:abstractNum w:abstractNumId="44">
    <w:nsid w:val="7E0F6384"/>
    <w:multiLevelType w:val="hybridMultilevel"/>
    <w:lvl w:ilvl="0">
      <w:lvlJc w:val="left"/>
      <w:lvlText w:val="(%1)"/>
      <w:numFmt w:val="decimal"/>
      <w:start w:val="2"/>
    </w:lvl>
  </w:abstractNum>
  <w:abstractNum w:abstractNumId="45">
    <w:nsid w:val="2B4B8B53"/>
    <w:multiLevelType w:val="hybridMultilevel"/>
    <w:lvl w:ilvl="0">
      <w:lvlJc w:val="left"/>
      <w:lvlText w:val="(%1)"/>
      <w:numFmt w:val="lowerRoman"/>
      <w:start w:val="3"/>
    </w:lvl>
    <w:lvl w:ilvl="1">
      <w:lvlJc w:val="left"/>
      <w:lvlText w:val="•"/>
      <w:numFmt w:val="bullet"/>
      <w:start w:val="1"/>
    </w:lvl>
  </w:abstractNum>
  <w:abstractNum w:abstractNumId="46">
    <w:nsid w:val="72E3413A"/>
    <w:multiLevelType w:val="hybridMultilevel"/>
    <w:lvl w:ilvl="0">
      <w:lvlJc w:val="left"/>
      <w:lvlText w:val="•"/>
      <w:numFmt w:val="bullet"/>
      <w:start w:val="1"/>
    </w:lvl>
  </w:abstractNum>
  <w:abstractNum w:abstractNumId="47">
    <w:nsid w:val="116AE494"/>
    <w:multiLevelType w:val="hybridMultilevel"/>
    <w:lvl w:ilvl="0">
      <w:lvlJc w:val="left"/>
      <w:lvlText w:val="(%1)"/>
      <w:numFmt w:val="lowerRoman"/>
      <w:start w:val="4"/>
    </w:lvl>
    <w:lvl w:ilvl="1">
      <w:lvlJc w:val="left"/>
      <w:lvlText w:val="•"/>
      <w:numFmt w:val="bullet"/>
      <w:start w:val="1"/>
    </w:lvl>
  </w:abstractNum>
  <w:abstractNum w:abstractNumId="48">
    <w:nsid w:val="3494B2FB"/>
    <w:multiLevelType w:val="hybridMultilevel"/>
    <w:lvl w:ilvl="0">
      <w:lvlJc w:val="left"/>
      <w:lvlText w:val="(%1)"/>
      <w:numFmt w:val="lowerRoman"/>
      <w:start w:val="2"/>
    </w:lvl>
  </w:abstractNum>
  <w:abstractNum w:abstractNumId="49">
    <w:nsid w:val="B13A31"/>
    <w:multiLevelType w:val="hybridMultilevel"/>
    <w:lvl w:ilvl="0">
      <w:lvlJc w:val="left"/>
      <w:lvlText w:val="•"/>
      <w:numFmt w:val="bullet"/>
      <w:start w:val="1"/>
    </w:lvl>
  </w:abstractNum>
  <w:abstractNum w:abstractNumId="50">
    <w:nsid w:val="64429599"/>
    <w:multiLevelType w:val="hybridMultilevel"/>
    <w:lvl w:ilvl="0">
      <w:lvlJc w:val="left"/>
      <w:lvlText w:val="(%1)"/>
      <w:numFmt w:val="decimal"/>
      <w:start w:val="1"/>
    </w:lvl>
  </w:abstractNum>
  <w:abstractNum w:abstractNumId="51">
    <w:nsid w:val="631F1690"/>
    <w:multiLevelType w:val="hybridMultilevel"/>
    <w:lvl w:ilvl="0">
      <w:lvlJc w:val="left"/>
      <w:lvlText w:val="\emdash "/>
      <w:numFmt w:val="bullet"/>
      <w:start w:val="1"/>
    </w:lvl>
  </w:abstractNum>
  <w:abstractNum w:abstractNumId="52">
    <w:nsid w:val="25973E32"/>
    <w:multiLevelType w:val="hybridMultilevel"/>
    <w:lvl w:ilvl="0">
      <w:lvlJc w:val="left"/>
      <w:lvlText w:val="(%1)"/>
      <w:numFmt w:val="decimal"/>
      <w:start w:val="565"/>
    </w:lvl>
  </w:abstractNum>
  <w:abstractNum w:abstractNumId="53">
    <w:nsid w:val="EAD6F57"/>
    <w:multiLevelType w:val="hybridMultilevel"/>
    <w:lvl w:ilvl="0">
      <w:lvlJc w:val="left"/>
      <w:lvlText w:val="\emdash "/>
      <w:numFmt w:val="bullet"/>
      <w:start w:val="1"/>
    </w:lvl>
  </w:abstractNum>
  <w:abstractNum w:abstractNumId="54">
    <w:nsid w:val="6EC9D844"/>
    <w:multiLevelType w:val="hybridMultilevel"/>
    <w:lvl w:ilvl="0">
      <w:lvlJc w:val="left"/>
      <w:lvlText w:val="(%1)"/>
      <w:numFmt w:val="decimal"/>
      <w:start w:val="321"/>
    </w:lvl>
  </w:abstractNum>
  <w:abstractNum w:abstractNumId="55">
    <w:nsid w:val="5C49EAEE"/>
    <w:multiLevelType w:val="hybridMultilevel"/>
    <w:lvl w:ilvl="0">
      <w:lvlJc w:val="left"/>
      <w:lvlText w:val="\emdash "/>
      <w:numFmt w:val="bullet"/>
      <w:start w:val="1"/>
    </w:lvl>
  </w:abstractNum>
  <w:abstractNum w:abstractNumId="56">
    <w:nsid w:val="64AF49B"/>
    <w:multiLevelType w:val="hybridMultilevel"/>
    <w:lvl w:ilvl="0">
      <w:lvlJc w:val="left"/>
      <w:lvlText w:val="%1."/>
      <w:numFmt w:val="decimal"/>
      <w:start w:val="1"/>
    </w:lvl>
  </w:abstractNum>
  <w:abstractNum w:abstractNumId="57">
    <w:nsid w:val="397C46BC"/>
    <w:multiLevelType w:val="hybridMultilevel"/>
    <w:lvl w:ilvl="0">
      <w:lvlJc w:val="left"/>
      <w:lvlText w:val="(%1)"/>
      <w:numFmt w:val="lowerRoman"/>
      <w:start w:val="2"/>
    </w:lvl>
  </w:abstractNum>
  <w:abstractNum w:abstractNumId="58">
    <w:nsid w:val="7E448DE9"/>
    <w:multiLevelType w:val="hybridMultilevel"/>
    <w:lvl w:ilvl="0">
      <w:lvlJc w:val="left"/>
      <w:lvlText w:val="%1."/>
      <w:numFmt w:val="decimal"/>
      <w:start w:val="3"/>
    </w:lvl>
  </w:abstractNum>
  <w:abstractNum w:abstractNumId="59">
    <w:nsid w:val="5A9CC3E5"/>
    <w:multiLevelType w:val="hybridMultilevel"/>
    <w:lvl w:ilvl="0">
      <w:lvlJc w:val="left"/>
      <w:lvlText w:val="%1."/>
      <w:numFmt w:val="decimal"/>
      <w:start w:val="4"/>
    </w:lvl>
  </w:abstractNum>
  <w:abstractNum w:abstractNumId="60">
    <w:nsid w:val="1AFE3625"/>
    <w:multiLevelType w:val="hybridMultilevel"/>
    <w:lvl w:ilvl="0">
      <w:lvlJc w:val="left"/>
      <w:lvlText w:val="%1."/>
      <w:numFmt w:val="decimal"/>
      <w:start w:val="6"/>
    </w:lvl>
  </w:abstractNum>
  <w:abstractNum w:abstractNumId="61">
    <w:nsid w:val="3CA88ECF"/>
    <w:multiLevelType w:val="hybridMultilevel"/>
    <w:lvl w:ilvl="0">
      <w:lvlJc w:val="left"/>
      <w:lvlText w:val="%1."/>
      <w:numFmt w:val="decimal"/>
      <w:start w:val="7"/>
    </w:lvl>
  </w:abstractNum>
  <w:abstractNum w:abstractNumId="62">
    <w:nsid w:val="6EBE4208"/>
    <w:multiLevelType w:val="hybridMultilevel"/>
    <w:lvl w:ilvl="0">
      <w:lvlJc w:val="left"/>
      <w:lvlText w:val="%1."/>
      <w:numFmt w:val="decimal"/>
      <w:start w:val="8"/>
    </w:lvl>
  </w:abstractNum>
  <w:abstractNum w:abstractNumId="63">
    <w:nsid w:val="C058DF5"/>
    <w:multiLevelType w:val="hybridMultilevel"/>
    <w:lvl w:ilvl="0">
      <w:lvlJc w:val="left"/>
      <w:lvlText w:val="%1."/>
      <w:numFmt w:val="decimal"/>
      <w:start w:val="10"/>
    </w:lvl>
  </w:abstractNum>
  <w:abstractNum w:abstractNumId="64">
    <w:nsid w:val="CBE5BE9"/>
    <w:multiLevelType w:val="hybridMultilevel"/>
    <w:lvl w:ilvl="0">
      <w:lvlJc w:val="left"/>
      <w:lvlText w:val="•"/>
      <w:numFmt w:val="bullet"/>
      <w:start w:val="1"/>
    </w:lvl>
  </w:abstractNum>
  <w:abstractNum w:abstractNumId="65">
    <w:nsid w:val="3102BBE2"/>
    <w:multiLevelType w:val="hybridMultilevel"/>
    <w:lvl w:ilvl="0">
      <w:lvlJc w:val="left"/>
      <w:lvlText w:val="•"/>
      <w:numFmt w:val="bullet"/>
      <w:start w:val="1"/>
    </w:lvl>
  </w:abstractNum>
  <w:abstractNum w:abstractNumId="66">
    <w:nsid w:val="26A02C5E"/>
    <w:multiLevelType w:val="hybridMultilevel"/>
    <w:lvl w:ilvl="0">
      <w:lvlJc w:val="left"/>
      <w:lvlText w:val="%1."/>
      <w:numFmt w:val="decimal"/>
      <w:start w:val="11"/>
    </w:lvl>
  </w:abstractNum>
  <w:abstractNum w:abstractNumId="67">
    <w:nsid w:val="541C8153"/>
    <w:multiLevelType w:val="hybridMultilevel"/>
    <w:lvl w:ilvl="0">
      <w:lvlJc w:val="left"/>
      <w:lvlText w:val="%1."/>
      <w:numFmt w:val="decimal"/>
      <w:start w:val="12"/>
    </w:lvl>
  </w:abstractNum>
  <w:abstractNum w:abstractNumId="68">
    <w:nsid w:val="67906F60"/>
    <w:multiLevelType w:val="hybridMultilevel"/>
    <w:lvl w:ilvl="0">
      <w:lvlJc w:val="left"/>
      <w:lvlText w:val="%1."/>
      <w:numFmt w:val="decimal"/>
      <w:start w:val="13"/>
    </w:lvl>
  </w:abstractNum>
  <w:abstractNum w:abstractNumId="69">
    <w:nsid w:val="10DB9DAA"/>
    <w:multiLevelType w:val="hybridMultilevel"/>
    <w:lvl w:ilvl="0">
      <w:lvlJc w:val="left"/>
      <w:lvlText w:val="%1."/>
      <w:numFmt w:val="decimal"/>
      <w:start w:val="14"/>
    </w:lvl>
  </w:abstractNum>
  <w:abstractNum w:abstractNumId="70">
    <w:nsid w:val="697D2D2"/>
    <w:multiLevelType w:val="hybridMultilevel"/>
    <w:lvl w:ilvl="0">
      <w:lvlJc w:val="left"/>
      <w:lvlText w:val="%1."/>
      <w:numFmt w:val="decimal"/>
      <w:start w:val="15"/>
    </w:lvl>
  </w:abstractNum>
  <w:abstractNum w:abstractNumId="71">
    <w:nsid w:val="6D68AB2"/>
    <w:multiLevelType w:val="hybridMultilevel"/>
    <w:lvl w:ilvl="0">
      <w:lvlJc w:val="left"/>
      <w:lvlText w:val="%1."/>
      <w:numFmt w:val="decimal"/>
      <w:start w:val="16"/>
    </w:lvl>
  </w:abstractNum>
  <w:abstractNum w:abstractNumId="72">
    <w:nsid w:val="3A966CD0"/>
    <w:multiLevelType w:val="hybridMultilevel"/>
    <w:lvl w:ilvl="0">
      <w:lvlJc w:val="left"/>
      <w:lvlText w:val="%1."/>
      <w:numFmt w:val="decimal"/>
      <w:start w:val="17"/>
    </w:lvl>
  </w:abstractNum>
  <w:abstractNum w:abstractNumId="73">
    <w:nsid w:val="63F37E85"/>
    <w:multiLevelType w:val="hybridMultilevel"/>
    <w:lvl w:ilvl="0">
      <w:lvlJc w:val="left"/>
      <w:lvlText w:val="%1."/>
      <w:numFmt w:val="decimal"/>
      <w:start w:val="19"/>
    </w:lvl>
  </w:abstractNum>
  <w:abstractNum w:abstractNumId="74">
    <w:nsid w:val="5895F5FA"/>
    <w:multiLevelType w:val="hybridMultilevel"/>
    <w:lvl w:ilvl="0">
      <w:lvlJc w:val="left"/>
      <w:lvlText w:val="(%1)"/>
      <w:numFmt w:val="lowerRoman"/>
      <w:start w:val="2"/>
    </w:lvl>
  </w:abstractNum>
  <w:abstractNum w:abstractNumId="75">
    <w:nsid w:val="38A5D054"/>
    <w:multiLevelType w:val="hybridMultilevel"/>
    <w:lvl w:ilvl="0">
      <w:lvlJc w:val="left"/>
      <w:lvlText w:val="(%1)"/>
      <w:numFmt w:val="lowerRoman"/>
      <w:start w:val="1"/>
    </w:lvl>
  </w:abstractNum>
  <w:abstractNum w:abstractNumId="76">
    <w:nsid w:val="F3F09D8"/>
    <w:multiLevelType w:val="hybridMultilevel"/>
    <w:lvl w:ilvl="0">
      <w:lvlJc w:val="left"/>
      <w:lvlText w:val="•"/>
      <w:numFmt w:val="bullet"/>
      <w:start w:val="1"/>
    </w:lvl>
  </w:abstractNum>
  <w:abstractNum w:abstractNumId="77">
    <w:nsid w:val="4B793735"/>
    <w:multiLevelType w:val="hybridMultilevel"/>
    <w:lvl w:ilvl="0">
      <w:lvlJc w:val="left"/>
      <w:lvlText w:val="(%1)"/>
      <w:numFmt w:val="lowerRoman"/>
      <w:start w:val="1"/>
    </w:lvl>
  </w:abstractNum>
  <w:abstractNum w:abstractNumId="78">
    <w:nsid w:val="4A10B4E8"/>
    <w:multiLevelType w:val="hybridMultilevel"/>
    <w:lvl w:ilvl="0">
      <w:lvlJc w:val="left"/>
      <w:lvlText w:val="(%1)"/>
      <w:numFmt w:val="lowerLetter"/>
      <w:start w:val="1"/>
    </w:lvl>
    <w:lvl w:ilvl="1">
      <w:lvlJc w:val="left"/>
      <w:lvlText w:val="%2."/>
      <w:numFmt w:val="decimal"/>
      <w:start w:val="1"/>
    </w:lvl>
  </w:abstractNum>
  <w:abstractNum w:abstractNumId="79">
    <w:nsid w:val="43D3BCD4"/>
    <w:multiLevelType w:val="hybridMultilevel"/>
    <w:lvl w:ilvl="0">
      <w:lvlJc w:val="left"/>
      <w:lvlText w:val="(%1)"/>
      <w:numFmt w:val="lowerLetter"/>
      <w:start w:val="2"/>
    </w:lvl>
  </w:abstractNum>
  <w:abstractNum w:abstractNumId="80">
    <w:nsid w:val="4C2A7166"/>
    <w:multiLevelType w:val="hybridMultilevel"/>
    <w:lvl w:ilvl="0">
      <w:lvlJc w:val="left"/>
      <w:lvlText w:val="†"/>
      <w:numFmt w:val="bullet"/>
      <w:start w:val="1"/>
    </w:lvl>
  </w:abstractNum>
  <w:abstractNum w:abstractNumId="81">
    <w:nsid w:val="2E534A82"/>
    <w:multiLevelType w:val="hybridMultilevel"/>
    <w:lvl w:ilvl="0">
      <w:lvlJc w:val="left"/>
      <w:lvlText w:val="%1."/>
      <w:numFmt w:val="decimal"/>
      <w:start w:val="1"/>
    </w:lvl>
  </w:abstractNum>
  <w:abstractNum w:abstractNumId="82">
    <w:nsid w:val="26F2D364"/>
    <w:multiLevelType w:val="hybridMultilevel"/>
    <w:lvl w:ilvl="0">
      <w:lvlJc w:val="left"/>
      <w:lvlText w:val="%1."/>
      <w:numFmt w:val="upperLetter"/>
      <w:start w:val="1"/>
    </w:lvl>
  </w:abstractNum>
  <w:abstractNum w:abstractNumId="83">
    <w:nsid w:val="71C1AF98"/>
    <w:multiLevelType w:val="hybridMultilevel"/>
    <w:lvl w:ilvl="0">
      <w:lvlJc w:val="left"/>
      <w:lvlText w:val="%1."/>
      <w:numFmt w:val="upperLetter"/>
      <w:start w:val="8"/>
    </w:lvl>
  </w:abstractNum>
  <w:abstractNum w:abstractNumId="84">
    <w:nsid w:val="3D00B9D9"/>
    <w:multiLevelType w:val="hybridMultilevel"/>
    <w:lvl w:ilvl="0">
      <w:lvlJc w:val="left"/>
      <w:lvlText w:val="(%1)"/>
      <w:numFmt w:val="lowerLetter"/>
      <w:start w:val="1"/>
    </w:lvl>
    <w:lvl w:ilvl="1">
      <w:lvlJc w:val="left"/>
      <w:lvlText w:val="(%2)"/>
      <w:numFmt w:val="decimal"/>
      <w:start w:val="1"/>
    </w:lvl>
  </w:abstractNum>
  <w:abstractNum w:abstractNumId="85">
    <w:nsid w:val="15BCABA8"/>
    <w:multiLevelType w:val="hybridMultilevel"/>
    <w:lvl w:ilvl="0">
      <w:lvlJc w:val="left"/>
      <w:lvlText w:val="(%1)"/>
      <w:numFmt w:val="decimal"/>
      <w:start w:val="2"/>
    </w:lvl>
  </w:abstractNum>
  <w:abstractNum w:abstractNumId="86">
    <w:nsid w:val="4E0B9A87"/>
    <w:multiLevelType w:val="hybridMultilevel"/>
    <w:lvl w:ilvl="0">
      <w:lvlJc w:val="left"/>
      <w:lvlText w:val="(%1)"/>
      <w:numFmt w:val="lowerRoman"/>
      <w:start w:val="1"/>
    </w:lvl>
  </w:abstractNum>
  <w:abstractNum w:abstractNumId="87">
    <w:nsid w:val="434BAE75"/>
    <w:multiLevelType w:val="hybridMultilevel"/>
    <w:lvl w:ilvl="0">
      <w:lvlJc w:val="left"/>
      <w:lvlText w:val="(%1)"/>
      <w:numFmt w:val="lowerLetter"/>
      <w:start w:val="1"/>
    </w:lvl>
  </w:abstractNum>
  <w:abstractNum w:abstractNumId="88">
    <w:nsid w:val="4F38F265"/>
    <w:multiLevelType w:val="hybridMultilevel"/>
    <w:lvl w:ilvl="0">
      <w:lvlJc w:val="left"/>
      <w:lvlText w:val="(%1)"/>
      <w:numFmt w:val="lowerLetter"/>
      <w:start w:val="3"/>
    </w:lvl>
  </w:abstractNum>
  <w:abstractNum w:abstractNumId="89">
    <w:nsid w:val="4C502870"/>
    <w:multiLevelType w:val="hybridMultilevel"/>
    <w:lvl w:ilvl="0">
      <w:lvlJc w:val="left"/>
      <w:lvlText w:val="(%1)"/>
      <w:numFmt w:val="decimal"/>
      <w:start w:val="1"/>
    </w:lvl>
  </w:abstractNum>
  <w:abstractNum w:abstractNumId="90">
    <w:nsid w:val="1DE8725A"/>
    <w:multiLevelType w:val="hybridMultilevel"/>
    <w:lvl w:ilvl="0">
      <w:lvlJc w:val="left"/>
      <w:lvlText w:val="(%1)"/>
      <w:numFmt w:val="lowerLetter"/>
      <w:start w:val="1"/>
    </w:lvl>
  </w:abstractNum>
  <w:abstractNum w:abstractNumId="91">
    <w:nsid w:val="6A37288A"/>
    <w:multiLevelType w:val="hybridMultilevel"/>
    <w:lvl w:ilvl="0">
      <w:lvlJc w:val="left"/>
      <w:lvlText w:val="(%1)"/>
      <w:numFmt w:val="lowerLetter"/>
      <w:start w:val="1"/>
    </w:lvl>
    <w:lvl w:ilvl="1">
      <w:lvlJc w:val="left"/>
      <w:lvlText w:val="(%2)"/>
      <w:numFmt w:val="decimal"/>
      <w:start w:val="1"/>
    </w:lvl>
  </w:abstractNum>
  <w:abstractNum w:abstractNumId="92">
    <w:nsid w:val="8F8B73F"/>
    <w:multiLevelType w:val="hybridMultilevel"/>
    <w:lvl w:ilvl="0">
      <w:lvlJc w:val="left"/>
      <w:lvlText w:val="(%1)"/>
      <w:numFmt w:val="decimal"/>
      <w:start w:val="5"/>
    </w:lvl>
  </w:abstractNum>
  <w:abstractNum w:abstractNumId="93">
    <w:nsid w:val="CA6B462"/>
    <w:multiLevelType w:val="hybridMultilevel"/>
    <w:lvl w:ilvl="0">
      <w:lvlJc w:val="left"/>
      <w:lvlText w:val="(%1)"/>
      <w:numFmt w:val="lowerLetter"/>
      <w:start w:val="1"/>
    </w:lvl>
  </w:abstractNum>
  <w:abstractNum w:abstractNumId="94">
    <w:nsid w:val="763CB680"/>
    <w:multiLevelType w:val="hybridMultilevel"/>
    <w:lvl w:ilvl="0">
      <w:lvlJc w:val="left"/>
      <w:lvlText w:val="(%1)"/>
      <w:numFmt w:val="lowerLetter"/>
      <w:start w:val="6"/>
    </w:lvl>
  </w:abstractNum>
  <w:abstractNum w:abstractNumId="95">
    <w:nsid w:val="15B71329"/>
    <w:multiLevelType w:val="hybridMultilevel"/>
    <w:lvl w:ilvl="0">
      <w:lvlJc w:val="left"/>
      <w:lvlText w:val="(%1)"/>
      <w:numFmt w:val="lowerLetter"/>
      <w:start w:val="1"/>
    </w:lvl>
  </w:abstractNum>
  <w:abstractNum w:abstractNumId="96">
    <w:nsid w:val="3DA97044"/>
    <w:multiLevelType w:val="hybridMultilevel"/>
    <w:lvl w:ilvl="0">
      <w:lvlJc w:val="left"/>
      <w:lvlText w:val="(%1)"/>
      <w:numFmt w:val="lowerLetter"/>
      <w:start w:val="1"/>
    </w:lvl>
  </w:abstractNum>
  <w:abstractNum w:abstractNumId="97">
    <w:nsid w:val="1CDCE2DE"/>
    <w:multiLevelType w:val="hybridMultilevel"/>
    <w:lvl w:ilvl="0">
      <w:lvlJc w:val="left"/>
      <w:lvlText w:val="(%1)"/>
      <w:numFmt w:val="lowerLetter"/>
      <w:start w:val="4"/>
    </w:lvl>
  </w:abstractNum>
  <w:abstractNum w:abstractNumId="98">
    <w:nsid w:val="69D3947C"/>
    <w:multiLevelType w:val="hybridMultilevel"/>
    <w:lvl w:ilvl="0">
      <w:lvlJc w:val="left"/>
      <w:lvlText w:val="(%1)"/>
      <w:numFmt w:val="lowerLetter"/>
      <w:start w:val="5"/>
    </w:lvl>
  </w:abstractNum>
  <w:abstractNum w:abstractNumId="99">
    <w:nsid w:val="2539DFA5"/>
    <w:multiLevelType w:val="hybridMultilevel"/>
    <w:lvl w:ilvl="0">
      <w:lvlJc w:val="left"/>
      <w:lvlText w:val="(%1)"/>
      <w:numFmt w:val="lowerRoman"/>
      <w:start w:val="2"/>
    </w:lvl>
    <w:lvl w:ilvl="1">
      <w:lvlJc w:val="left"/>
      <w:lvlText w:val="(%2)"/>
      <w:numFmt w:val="lowerRoman"/>
      <w:start w:val="1"/>
    </w:lvl>
  </w:abstractNum>
  <w:abstractNum w:abstractNumId="100">
    <w:nsid w:val="2DB88089"/>
    <w:multiLevelType w:val="hybridMultilevel"/>
    <w:lvl w:ilvl="0">
      <w:lvlJc w:val="left"/>
      <w:lvlText w:val="(%1)"/>
      <w:numFmt w:val="lowerLetter"/>
      <w:start w:val="1"/>
    </w:lvl>
  </w:abstractNum>
  <w:abstractNum w:abstractNumId="101">
    <w:nsid w:val="706B674E"/>
    <w:multiLevelType w:val="hybridMultilevel"/>
    <w:lvl w:ilvl="0">
      <w:lvlJc w:val="left"/>
      <w:lvlText w:val="(%1)"/>
      <w:numFmt w:val="lowerLetter"/>
      <w:start w:val="2"/>
    </w:lvl>
  </w:abstractNum>
  <w:abstractNum w:abstractNumId="102">
    <w:nsid w:val="2C106A57"/>
    <w:multiLevelType w:val="hybridMultilevel"/>
    <w:lvl w:ilvl="0">
      <w:lvlJc w:val="left"/>
      <w:lvlText w:val="(%1)"/>
      <w:numFmt w:val="lowerLetter"/>
      <w:start w:val="1"/>
    </w:lvl>
  </w:abstractNum>
  <w:abstractNum w:abstractNumId="103">
    <w:nsid w:val="684EED59"/>
    <w:multiLevelType w:val="hybridMultilevel"/>
    <w:lvl w:ilvl="0">
      <w:lvlJc w:val="left"/>
      <w:lvlText w:val="(%1)"/>
      <w:numFmt w:val="lowerLetter"/>
      <w:start w:val="5"/>
    </w:lvl>
  </w:abstractNum>
  <w:abstractNum w:abstractNumId="104">
    <w:nsid w:val="545EE5D3"/>
    <w:multiLevelType w:val="hybridMultilevel"/>
    <w:lvl w:ilvl="0">
      <w:lvlJc w:val="left"/>
      <w:lvlText w:val="(%1)"/>
      <w:numFmt w:val="lowerLetter"/>
      <w:start w:val="12"/>
    </w:lvl>
  </w:abstractNum>
  <w:abstractNum w:abstractNumId="105">
    <w:nsid w:val="4A66051"/>
    <w:multiLevelType w:val="hybridMultilevel"/>
    <w:lvl w:ilvl="0">
      <w:lvlJc w:val="left"/>
      <w:lvlText w:val="%1"/>
      <w:numFmt w:val="decimal"/>
      <w:start w:val="1"/>
    </w:lvl>
    <w:lvl w:ilvl="1">
      <w:lvlJc w:val="left"/>
      <w:lvlText w:val="(%2)"/>
      <w:numFmt w:val="lowerLetter"/>
      <w:start w:val="1"/>
    </w:lvl>
  </w:abstractNum>
  <w:abstractNum w:abstractNumId="106">
    <w:nsid w:val="20F4BDAD"/>
    <w:multiLevelType w:val="hybridMultilevel"/>
    <w:lvl w:ilvl="0">
      <w:lvlJc w:val="left"/>
      <w:lvlText w:val="(%1)"/>
      <w:numFmt w:val="decimal"/>
      <w:start w:val="3"/>
    </w:lvl>
    <w:lvl w:ilvl="1">
      <w:lvlJc w:val="left"/>
      <w:lvlText w:val="%2"/>
      <w:numFmt w:val="lowerLetter"/>
      <w:start w:val="1"/>
    </w:lvl>
  </w:abstractNum>
  <w:abstractNum w:abstractNumId="107">
    <w:nsid w:val="639DEFAC"/>
    <w:multiLevelType w:val="hybridMultilevel"/>
    <w:lvl w:ilvl="0">
      <w:lvlJc w:val="left"/>
      <w:lvlText w:val="(%1)"/>
      <w:numFmt w:val="lowerLetter"/>
      <w:start w:val="1"/>
    </w:lvl>
  </w:abstractNum>
  <w:abstractNum w:abstractNumId="108">
    <w:nsid w:val="501F9786"/>
    <w:multiLevelType w:val="hybridMultilevel"/>
    <w:lvl w:ilvl="0">
      <w:lvlJc w:val="left"/>
      <w:lvlText w:val="(%1)"/>
      <w:numFmt w:val="lowerLetter"/>
      <w:start w:val="1"/>
    </w:lvl>
  </w:abstractNum>
  <w:abstractNum w:abstractNumId="109">
    <w:nsid w:val="6B057295"/>
    <w:multiLevelType w:val="hybridMultilevel"/>
    <w:lvl w:ilvl="0">
      <w:lvlJc w:val="left"/>
      <w:lvlText w:val="(%1)"/>
      <w:numFmt w:val="lowerLetter"/>
      <w:start w:val="2"/>
    </w:lvl>
    <w:lvl w:ilvl="1">
      <w:lvlJc w:val="left"/>
      <w:lvlText w:val="(%2)"/>
      <w:numFmt w:val="lowerRoman"/>
      <w:start w:val="1"/>
    </w:lvl>
  </w:abstractNum>
  <w:abstractNum w:abstractNumId="110">
    <w:nsid w:val="2771AC80"/>
    <w:multiLevelType w:val="hybridMultilevel"/>
    <w:lvl w:ilvl="0">
      <w:lvlJc w:val="left"/>
      <w:lvlText w:val="(%1)"/>
      <w:numFmt w:val="lowerRoman"/>
      <w:start w:val="1"/>
    </w:lvl>
  </w:abstractNum>
  <w:abstractNum w:abstractNumId="111">
    <w:nsid w:val="1C4A08EC"/>
    <w:multiLevelType w:val="hybridMultilevel"/>
    <w:lvl w:ilvl="0">
      <w:lvlJc w:val="left"/>
      <w:lvlText w:val="(%1)"/>
      <w:numFmt w:val="lowerLetter"/>
      <w:start w:val="5"/>
    </w:lvl>
  </w:abstractNum>
  <w:abstractNum w:abstractNumId="112">
    <w:nsid w:val="1958BD17"/>
    <w:multiLevelType w:val="hybridMultilevel"/>
    <w:lvl w:ilvl="0">
      <w:lvlJc w:val="left"/>
      <w:lvlText w:val="(%1)"/>
      <w:numFmt w:val="lowerLetter"/>
      <w:start w:val="1"/>
    </w:lvl>
  </w:abstractNum>
  <w:abstractNum w:abstractNumId="113">
    <w:nsid w:val="4E647FE4"/>
    <w:multiLevelType w:val="hybridMultilevel"/>
    <w:lvl w:ilvl="0">
      <w:lvlJc w:val="left"/>
      <w:lvlText w:val="(%1)"/>
      <w:numFmt w:val="lowerLetter"/>
      <w:start w:val="2"/>
    </w:lvl>
  </w:abstractNum>
  <w:abstractNum w:abstractNumId="114">
    <w:nsid w:val="E0BB885"/>
    <w:multiLevelType w:val="hybridMultilevel"/>
    <w:lvl w:ilvl="0">
      <w:lvlJc w:val="left"/>
      <w:lvlText w:val="%1"/>
      <w:numFmt w:val="lowerLetter"/>
      <w:start w:val="1"/>
    </w:lvl>
    <w:lvl w:ilvl="1">
      <w:lvlJc w:val="left"/>
      <w:lvlText w:val="(%2)"/>
      <w:numFmt w:val="lowerRoman"/>
      <w:start w:val="1"/>
    </w:lvl>
  </w:abstractNum>
  <w:abstractNum w:abstractNumId="115">
    <w:nsid w:val="565976F1"/>
    <w:multiLevelType w:val="hybridMultilevel"/>
    <w:lvl w:ilvl="0">
      <w:lvlJc w:val="left"/>
      <w:lvlText w:val="(%1)"/>
      <w:numFmt w:val="lowerLetter"/>
      <w:start w:val="3"/>
    </w:lvl>
    <w:lvl w:ilvl="1">
      <w:lvlJc w:val="left"/>
      <w:lvlText w:val="%2"/>
      <w:numFmt w:val="lowerRoman"/>
      <w:start w:val="1"/>
    </w:lvl>
  </w:abstractNum>
  <w:abstractNum w:abstractNumId="116">
    <w:nsid w:val="64212B8C"/>
    <w:multiLevelType w:val="hybridMultilevel"/>
    <w:lvl w:ilvl="0">
      <w:lvlJc w:val="left"/>
      <w:lvlText w:val="(%1)"/>
      <w:numFmt w:val="lowerLetter"/>
      <w:start w:val="1"/>
    </w:lvl>
  </w:abstractNum>
  <w:abstractNum w:abstractNumId="117">
    <w:nsid w:val="5C17530C"/>
    <w:multiLevelType w:val="hybridMultilevel"/>
    <w:lvl w:ilvl="0">
      <w:lvlJc w:val="left"/>
      <w:lvlText w:val="(%1)"/>
      <w:numFmt w:val="lowerLetter"/>
      <w:start w:val="3"/>
    </w:lvl>
  </w:abstractNum>
  <w:abstractNum w:abstractNumId="118">
    <w:nsid w:val="19A52566"/>
    <w:multiLevelType w:val="hybridMultilevel"/>
    <w:lvl w:ilvl="0">
      <w:lvlJc w:val="left"/>
      <w:lvlText w:val="(%1)"/>
      <w:numFmt w:val="lowerLetter"/>
      <w:start w:val="1"/>
    </w:lvl>
  </w:abstractNum>
  <w:abstractNum w:abstractNumId="119">
    <w:nsid w:val="335A1DF1"/>
    <w:multiLevelType w:val="hybridMultilevel"/>
    <w:lvl w:ilvl="0">
      <w:lvlJc w:val="left"/>
      <w:lvlText w:val="(%1)"/>
      <w:numFmt w:val="lowerLetter"/>
      <w:start w:val="5"/>
    </w:lvl>
    <w:lvl w:ilvl="1">
      <w:lvlJc w:val="left"/>
      <w:lvlText w:val="(%2)"/>
      <w:numFmt w:val="lowerRoman"/>
      <w:start w:val="1"/>
    </w:lvl>
  </w:abstractNum>
  <w:abstractNum w:abstractNumId="120">
    <w:nsid w:val="28677B7C"/>
    <w:multiLevelType w:val="hybridMultilevel"/>
    <w:lvl w:ilvl="0">
      <w:lvlJc w:val="left"/>
      <w:lvlText w:val="%1"/>
      <w:numFmt w:val="upperLetter"/>
      <w:start w:val="1"/>
    </w:lvl>
    <w:lvl w:ilvl="1">
      <w:lvlJc w:val="left"/>
      <w:lvlText w:val="(%2)"/>
      <w:numFmt w:val="lowerRoman"/>
      <w:start w:val="4"/>
    </w:lvl>
  </w:abstractNum>
  <w:abstractNum w:abstractNumId="121">
    <w:nsid w:val="378D97C0"/>
    <w:multiLevelType w:val="hybridMultilevel"/>
    <w:lvl w:ilvl="0">
      <w:lvlJc w:val="left"/>
      <w:lvlText w:val="(%1)"/>
      <w:numFmt w:val="upperLetter"/>
      <w:start w:val="1"/>
    </w:lvl>
    <w:lvl w:ilvl="1">
      <w:lvlJc w:val="left"/>
      <w:lvlText w:val="(%2)"/>
      <w:numFmt w:val="lowerRoman"/>
      <w:start w:val="5"/>
    </w:lvl>
  </w:abstractNum>
  <w:abstractNum w:abstractNumId="122">
    <w:nsid w:val="1D91467C"/>
    <w:multiLevelType w:val="hybridMultilevel"/>
    <w:lvl w:ilvl="0">
      <w:lvlJc w:val="left"/>
      <w:lvlText w:val="(%1)"/>
      <w:numFmt w:val="lowerLetter"/>
      <w:start w:val="6"/>
    </w:lvl>
  </w:abstractNum>
  <w:abstractNum w:abstractNumId="123">
    <w:nsid w:val="316032BB"/>
    <w:multiLevelType w:val="hybridMultilevel"/>
    <w:lvl w:ilvl="0">
      <w:lvlJc w:val="left"/>
      <w:lvlText w:val="(%1)"/>
      <w:numFmt w:val="lowerLetter"/>
      <w:start w:val="1"/>
    </w:lvl>
  </w:abstractNum>
  <w:abstractNum w:abstractNumId="124">
    <w:nsid w:val="44344C22"/>
    <w:multiLevelType w:val="hybridMultilevel"/>
    <w:lvl w:ilvl="0">
      <w:lvlJc w:val="left"/>
      <w:lvlText w:val="(%1)"/>
      <w:numFmt w:val="lowerRoman"/>
      <w:start w:val="2"/>
    </w:lvl>
  </w:abstractNum>
  <w:abstractNum w:abstractNumId="125">
    <w:nsid w:val="13CDFCFC"/>
    <w:multiLevelType w:val="hybridMultilevel"/>
    <w:lvl w:ilvl="0">
      <w:lvlJc w:val="left"/>
      <w:lvlText w:val="(%1)"/>
      <w:numFmt w:val="lowerLetter"/>
      <w:start w:val="1"/>
    </w:lvl>
  </w:abstractNum>
  <w:abstractNum w:abstractNumId="126">
    <w:nsid w:val="471745E4"/>
    <w:multiLevelType w:val="hybridMultilevel"/>
    <w:lvl w:ilvl="0">
      <w:lvlJc w:val="left"/>
      <w:lvlText w:val="(%1)"/>
      <w:numFmt w:val="lowerLetter"/>
      <w:start w:val="1"/>
    </w:lvl>
  </w:abstractNum>
  <w:abstractNum w:abstractNumId="127">
    <w:nsid w:val="1DDBC66"/>
    <w:multiLevelType w:val="hybridMultilevel"/>
    <w:lvl w:ilvl="0">
      <w:lvlJc w:val="left"/>
      <w:lvlText w:val="(%1)"/>
      <w:numFmt w:val="lowerLetter"/>
      <w:start w:val="6"/>
    </w:lvl>
  </w:abstractNum>
  <w:abstractNum w:abstractNumId="128">
    <w:nsid w:val="30AADFDA"/>
    <w:multiLevelType w:val="hybridMultilevel"/>
    <w:lvl w:ilvl="0">
      <w:lvlJc w:val="left"/>
      <w:lvlText w:val="(%1)"/>
      <w:numFmt w:val="lowerLetter"/>
      <w:start w:val="1"/>
    </w:lvl>
    <w:lvl w:ilvl="1">
      <w:lvlJc w:val="left"/>
      <w:lvlText w:val="(%2)"/>
      <w:numFmt w:val="lowerLetter"/>
      <w:start w:val="35"/>
    </w:lvl>
  </w:abstractNum>
  <w:abstractNum w:abstractNumId="129">
    <w:nsid w:val="30EADA61"/>
    <w:multiLevelType w:val="hybridMultilevel"/>
    <w:lvl w:ilvl="0">
      <w:lvlJc w:val="left"/>
      <w:lvlText w:val="(%1)"/>
      <w:numFmt w:val="lowerLetter"/>
      <w:start w:val="1"/>
    </w:lvl>
  </w:abstractNum>
  <w:abstractNum w:abstractNumId="130">
    <w:nsid w:val="27179C0B"/>
    <w:multiLevelType w:val="hybridMultilevel"/>
    <w:lvl w:ilvl="0">
      <w:lvlJc w:val="left"/>
      <w:lvlText w:val="(%1)"/>
      <w:numFmt w:val="lowerLetter"/>
      <w:start w:val="2"/>
    </w:lvl>
    <w:lvl w:ilvl="1">
      <w:lvlJc w:val="left"/>
      <w:lvlText w:val="(%2)"/>
      <w:numFmt w:val="decimal"/>
      <w:start w:val="1"/>
    </w:lvl>
  </w:abstractNum>
  <w:abstractNum w:abstractNumId="131">
    <w:nsid w:val="5E636063"/>
    <w:multiLevelType w:val="hybridMultilevel"/>
    <w:lvl w:ilvl="0">
      <w:lvlJc w:val="left"/>
      <w:lvlText w:val="%1"/>
      <w:numFmt w:val="lowerLetter"/>
      <w:start w:val="1"/>
    </w:lvl>
    <w:lvl w:ilvl="1">
      <w:lvlJc w:val="left"/>
      <w:lvlText w:val="(%2)"/>
      <w:numFmt w:val="decimal"/>
      <w:start w:val="3"/>
    </w:lvl>
  </w:abstractNum>
  <w:abstractNum w:abstractNumId="132">
    <w:nsid w:val="215641AF"/>
    <w:multiLevelType w:val="hybridMultilevel"/>
    <w:lvl w:ilvl="0">
      <w:lvlJc w:val="left"/>
      <w:lvlText w:val="(%1)"/>
      <w:numFmt w:val="lowerLetter"/>
      <w:start w:val="5"/>
    </w:lvl>
    <w:lvl w:ilvl="1">
      <w:lvlJc w:val="left"/>
      <w:lvlText w:val="%2"/>
      <w:numFmt w:val="decimal"/>
      <w:start w:val="1"/>
    </w:lvl>
  </w:abstractNum>
  <w:abstractNum w:abstractNumId="133">
    <w:nsid w:val="53280662"/>
    <w:multiLevelType w:val="hybridMultilevel"/>
    <w:lvl w:ilvl="0">
      <w:lvlJc w:val="left"/>
      <w:lvlText w:val="(%1)"/>
      <w:numFmt w:val="lowerLetter"/>
      <w:start w:val="1"/>
    </w:lvl>
  </w:abstractNum>
  <w:abstractNum w:abstractNumId="134">
    <w:nsid w:val="46B24DBC"/>
    <w:multiLevelType w:val="hybridMultilevel"/>
    <w:lvl w:ilvl="0">
      <w:lvlJc w:val="left"/>
      <w:lvlText w:val="(%1)"/>
      <w:numFmt w:val="decimal"/>
      <w:start w:val="1"/>
    </w:lvl>
  </w:abstractNum>
  <w:abstractNum w:abstractNumId="135">
    <w:nsid w:val="75B52783"/>
    <w:multiLevelType w:val="hybridMultilevel"/>
    <w:lvl w:ilvl="0">
      <w:lvlJc w:val="left"/>
      <w:lvlText w:val="(%1)"/>
      <w:numFmt w:val="lowerLetter"/>
      <w:start w:val="1"/>
    </w:lvl>
  </w:abstractNum>
  <w:abstractNum w:abstractNumId="136">
    <w:nsid w:val="57CE66B4"/>
    <w:multiLevelType w:val="hybridMultilevel"/>
    <w:lvl w:ilvl="0">
      <w:lvlJc w:val="left"/>
      <w:lvlText w:val="(%1)"/>
      <w:numFmt w:val="decimal"/>
      <w:start w:val="1"/>
    </w:lvl>
  </w:abstractNum>
  <w:abstractNum w:abstractNumId="137">
    <w:nsid w:val="67A70B69"/>
    <w:multiLevelType w:val="hybridMultilevel"/>
    <w:lvl w:ilvl="0">
      <w:lvlJc w:val="left"/>
      <w:lvlText w:val="(%1)"/>
      <w:numFmt w:val="decimal"/>
      <w:start w:val="4"/>
    </w:lvl>
    <w:lvl w:ilvl="1">
      <w:lvlJc w:val="left"/>
      <w:lvlText w:val="(%2)"/>
      <w:numFmt w:val="upperLetter"/>
      <w:start w:val="1"/>
    </w:lvl>
  </w:abstractNum>
  <w:abstractNum w:abstractNumId="138">
    <w:nsid w:val="5953172F"/>
    <w:multiLevelType w:val="hybridMultilevel"/>
    <w:lvl w:ilvl="0">
      <w:lvlJc w:val="left"/>
      <w:lvlText w:val="(%1)"/>
      <w:numFmt w:val="lowerLetter"/>
      <w:start w:val="1"/>
    </w:lvl>
  </w:abstractNum>
  <w:abstractNum w:abstractNumId="139">
    <w:nsid w:val="27EDFE3A"/>
    <w:multiLevelType w:val="hybridMultilevel"/>
    <w:lvl w:ilvl="0">
      <w:lvlJc w:val="left"/>
      <w:lvlText w:val="(%1)"/>
      <w:numFmt w:val="lowerRoman"/>
      <w:start w:val="1"/>
    </w:lvl>
  </w:abstractNum>
  <w:abstractNum w:abstractNumId="140">
    <w:nsid w:val="52AC7DFF"/>
    <w:multiLevelType w:val="hybridMultilevel"/>
    <w:lvl w:ilvl="0">
      <w:lvlJc w:val="left"/>
      <w:lvlText w:val="(%1)"/>
      <w:numFmt w:val="lowerLetter"/>
      <w:start w:val="2"/>
    </w:lvl>
  </w:abstractNum>
  <w:abstractNum w:abstractNumId="141">
    <w:nsid w:val="C4C3AF"/>
    <w:multiLevelType w:val="hybridMultilevel"/>
    <w:lvl w:ilvl="0">
      <w:lvlJc w:val="left"/>
      <w:lvlText w:val="(%1)"/>
      <w:numFmt w:val="decimal"/>
      <w:start w:val="1"/>
    </w:lvl>
    <w:lvl w:ilvl="1">
      <w:lvlJc w:val="left"/>
      <w:lvlText w:val="(%2)"/>
      <w:numFmt w:val="upperLetter"/>
      <w:start w:val="1"/>
    </w:lvl>
  </w:abstractNum>
  <w:abstractNum w:abstractNumId="142">
    <w:nsid w:val="44380727"/>
    <w:multiLevelType w:val="hybridMultilevel"/>
    <w:lvl w:ilvl="0">
      <w:lvlJc w:val="left"/>
      <w:lvlText w:val="(%1)"/>
      <w:numFmt w:val="decimal"/>
      <w:start w:val="1"/>
    </w:lvl>
  </w:abstractNum>
  <w:abstractNum w:abstractNumId="143">
    <w:nsid w:val="6C053B16"/>
    <w:multiLevelType w:val="hybridMultilevel"/>
    <w:lvl w:ilvl="0">
      <w:lvlJc w:val="left"/>
      <w:lvlText w:val="(%1)"/>
      <w:numFmt w:val="lowerRoman"/>
      <w:start w:val="1"/>
    </w:lvl>
  </w:abstractNum>
  <w:abstractNum w:abstractNumId="144">
    <w:nsid w:val="4F294393"/>
    <w:multiLevelType w:val="hybridMultilevel"/>
    <w:lvl w:ilvl="0">
      <w:lvlJc w:val="left"/>
      <w:lvlText w:val="(%1)"/>
      <w:numFmt w:val="lowerLetter"/>
      <w:start w:val="1"/>
    </w:lvl>
  </w:abstractNum>
  <w:abstractNum w:abstractNumId="145">
    <w:nsid w:val="5243BFAC"/>
    <w:multiLevelType w:val="hybridMultilevel"/>
    <w:lvl w:ilvl="0">
      <w:lvlJc w:val="left"/>
      <w:lvlText w:val="(%1)"/>
      <w:numFmt w:val="lowerLetter"/>
      <w:start w:val="1"/>
    </w:lvl>
  </w:abstractNum>
  <w:abstractNum w:abstractNumId="146">
    <w:nsid w:val="425EB207"/>
    <w:multiLevelType w:val="hybridMultilevel"/>
    <w:lvl w:ilvl="0">
      <w:lvlJc w:val="left"/>
      <w:lvlText w:val="(%1)"/>
      <w:numFmt w:val="lowerLetter"/>
      <w:start w:val="5"/>
    </w:lvl>
  </w:abstractNum>
  <w:abstractNum w:abstractNumId="147">
    <w:nsid w:val="334A6F1F"/>
    <w:multiLevelType w:val="hybridMultilevel"/>
    <w:lvl w:ilvl="0">
      <w:lvlJc w:val="left"/>
      <w:lvlText w:val="(%1)"/>
      <w:numFmt w:val="lowerLetter"/>
      <w:start w:val="1"/>
    </w:lvl>
    <w:lvl w:ilvl="1">
      <w:lvlJc w:val="left"/>
      <w:lvlText w:val="(%2)"/>
      <w:numFmt w:val="lowerRoman"/>
      <w:start w:val="1"/>
    </w:lvl>
  </w:abstractNum>
  <w:abstractNum w:abstractNumId="148">
    <w:nsid w:val="2E5B12B8"/>
    <w:multiLevelType w:val="hybridMultilevel"/>
    <w:lvl w:ilvl="0">
      <w:lvlJc w:val="left"/>
      <w:lvlText w:val="(%1)"/>
      <w:numFmt w:val="lowerLetter"/>
      <w:start w:val="1"/>
    </w:lvl>
  </w:abstractNum>
  <w:abstractNum w:abstractNumId="149">
    <w:nsid w:val="5C03D76D"/>
    <w:multiLevelType w:val="hybridMultilevel"/>
    <w:lvl w:ilvl="0">
      <w:lvlJc w:val="left"/>
      <w:lvlText w:val="(%1)"/>
      <w:numFmt w:val="lowerLetter"/>
      <w:start w:val="1"/>
    </w:lvl>
  </w:abstractNum>
  <w:abstractNum w:abstractNumId="150">
    <w:nsid w:val="66A48D11"/>
    <w:multiLevelType w:val="hybridMultilevel"/>
    <w:lvl w:ilvl="0">
      <w:lvlJc w:val="left"/>
      <w:lvlText w:val="(%1)"/>
      <w:numFmt w:val="lowerLetter"/>
      <w:start w:val="3"/>
    </w:lvl>
    <w:lvl w:ilvl="1">
      <w:lvlJc w:val="left"/>
      <w:lvlText w:val="(%2)"/>
      <w:numFmt w:val="decimal"/>
      <w:start w:val="1"/>
    </w:lvl>
  </w:abstractNum>
  <w:abstractNum w:abstractNumId="151">
    <w:nsid w:val="56C28E34"/>
    <w:multiLevelType w:val="hybridMultilevel"/>
    <w:lvl w:ilvl="0">
      <w:lvlJc w:val="left"/>
      <w:lvlText w:val="(%1)"/>
      <w:numFmt w:val="lowerLetter"/>
      <w:start w:val="1"/>
    </w:lvl>
  </w:abstractNum>
  <w:abstractNum w:abstractNumId="152">
    <w:nsid w:val="13916F2D"/>
    <w:multiLevelType w:val="hybridMultilevel"/>
    <w:lvl w:ilvl="0">
      <w:lvlJc w:val="left"/>
      <w:lvlText w:val="(%1)"/>
      <w:numFmt w:val="lowerLetter"/>
      <w:start w:val="2"/>
    </w:lvl>
    <w:lvl w:ilvl="1">
      <w:lvlJc w:val="left"/>
      <w:lvlText w:val="(%2)"/>
      <w:numFmt w:val="lowerRoman"/>
      <w:start w:val="1"/>
    </w:lvl>
  </w:abstractNum>
  <w:abstractNum w:abstractNumId="153">
    <w:nsid w:val="435D38D"/>
    <w:multiLevelType w:val="hybridMultilevel"/>
    <w:lvl w:ilvl="0">
      <w:lvlJc w:val="left"/>
      <w:lvlText w:val="(%1)"/>
      <w:numFmt w:val="lowerLetter"/>
      <w:start w:val="1"/>
    </w:lvl>
  </w:abstractNum>
  <w:abstractNum w:abstractNumId="154">
    <w:nsid w:val="822C0EF"/>
    <w:multiLevelType w:val="hybridMultilevel"/>
    <w:lvl w:ilvl="0">
      <w:lvlJc w:val="left"/>
      <w:lvlText w:val="(%1)"/>
      <w:numFmt w:val="lowerLetter"/>
      <w:start w:val="2"/>
    </w:lvl>
  </w:abstractNum>
  <w:abstractNum w:abstractNumId="155">
    <w:nsid w:val="57C5BB4F"/>
    <w:multiLevelType w:val="hybridMultilevel"/>
    <w:lvl w:ilvl="0">
      <w:lvlJc w:val="left"/>
      <w:lvlText w:val="(%1)"/>
      <w:numFmt w:val="lowerLetter"/>
      <w:start w:val="9"/>
    </w:lvl>
  </w:abstractNum>
  <w:abstractNum w:abstractNumId="156">
    <w:nsid w:val="1803D089"/>
    <w:multiLevelType w:val="hybridMultilevel"/>
    <w:lvl w:ilvl="0">
      <w:lvlJc w:val="left"/>
      <w:lvlText w:val="(%1)"/>
      <w:numFmt w:val="decimal"/>
      <w:start w:val="1"/>
    </w:lvl>
  </w:abstractNum>
  <w:abstractNum w:abstractNumId="157">
    <w:nsid w:val="4F3A06D4"/>
    <w:multiLevelType w:val="hybridMultilevel"/>
    <w:lvl w:ilvl="0">
      <w:lvlJc w:val="left"/>
      <w:lvlText w:val="(%1)"/>
      <w:numFmt w:val="lowerLetter"/>
      <w:start w:val="1"/>
    </w:lvl>
    <w:lvl w:ilvl="1">
      <w:lvlJc w:val="left"/>
      <w:lvlText w:val="(%2)"/>
      <w:numFmt w:val="decimal"/>
      <w:start w:val="1"/>
    </w:lvl>
  </w:abstractNum>
  <w:abstractNum w:abstractNumId="158">
    <w:nsid w:val="59A377B6"/>
    <w:multiLevelType w:val="hybridMultilevel"/>
    <w:lvl w:ilvl="0">
      <w:lvlJc w:val="left"/>
      <w:lvlText w:val="(%1)"/>
      <w:numFmt w:val="decimal"/>
      <w:start w:val="2"/>
    </w:lvl>
  </w:abstractNum>
  <w:abstractNum w:abstractNumId="159">
    <w:nsid w:val="48AEB063"/>
    <w:multiLevelType w:val="hybridMultilevel"/>
    <w:lvl w:ilvl="0">
      <w:lvlJc w:val="left"/>
      <w:lvlText w:val="(%1)"/>
      <w:numFmt w:val="lowerLetter"/>
      <w:start w:val="5"/>
    </w:lvl>
  </w:abstractNum>
  <w:abstractNum w:abstractNumId="160">
    <w:nsid w:val="24E135"/>
    <w:multiLevelType w:val="hybridMultilevel"/>
    <w:lvl w:ilvl="0">
      <w:lvlJc w:val="left"/>
      <w:lvlText w:val="(%1)"/>
      <w:numFmt w:val="lowerLetter"/>
      <w:start w:val="1"/>
    </w:lvl>
  </w:abstractNum>
  <w:abstractNum w:abstractNumId="161">
    <w:nsid w:val="BB13C1"/>
    <w:multiLevelType w:val="hybridMultilevel"/>
    <w:lvl w:ilvl="0">
      <w:lvlJc w:val="left"/>
      <w:lvlText w:val="(%1)"/>
      <w:numFmt w:val="lowerLetter"/>
      <w:start w:val="4"/>
    </w:lvl>
  </w:abstractNum>
  <w:abstractNum w:abstractNumId="162">
    <w:nsid w:val="271210C7"/>
    <w:multiLevelType w:val="hybridMultilevel"/>
    <w:lvl w:ilvl="0">
      <w:lvlJc w:val="left"/>
      <w:lvlText w:val="(%1)"/>
      <w:numFmt w:val="decimal"/>
      <w:start w:val="1"/>
    </w:lvl>
  </w:abstractNum>
  <w:abstractNum w:abstractNumId="163">
    <w:nsid w:val="217B22E4"/>
    <w:multiLevelType w:val="hybridMultilevel"/>
    <w:lvl w:ilvl="0">
      <w:lvlJc w:val="left"/>
      <w:lvlText w:val="(%1)"/>
      <w:numFmt w:val="decimal"/>
      <w:start w:val="7"/>
    </w:lvl>
  </w:abstractNum>
  <w:abstractNum w:abstractNumId="164">
    <w:nsid w:val="53E31A24"/>
    <w:multiLevelType w:val="hybridMultilevel"/>
    <w:lvl w:ilvl="0">
      <w:lvlJc w:val="left"/>
      <w:lvlText w:val="(%1)"/>
      <w:numFmt w:val="decimal"/>
      <w:start w:val="1"/>
    </w:lvl>
  </w:abstractNum>
  <w:abstractNum w:abstractNumId="165">
    <w:nsid w:val="6DC45E83"/>
    <w:multiLevelType w:val="hybridMultilevel"/>
    <w:lvl w:ilvl="0">
      <w:lvlJc w:val="left"/>
      <w:lvlText w:val="(%1)"/>
      <w:numFmt w:val="decimal"/>
      <w:start w:val="3"/>
    </w:lvl>
  </w:abstractNum>
  <w:abstractNum w:abstractNumId="166">
    <w:nsid w:val="17304A67"/>
    <w:multiLevelType w:val="hybridMultilevel"/>
    <w:lvl w:ilvl="0">
      <w:lvlJc w:val="left"/>
      <w:lvlText w:val="(%1)"/>
      <w:numFmt w:val="decimal"/>
      <w:start w:val="1"/>
    </w:lvl>
  </w:abstractNum>
  <w:abstractNum w:abstractNumId="167">
    <w:nsid w:val="2BB180D8"/>
    <w:multiLevelType w:val="hybridMultilevel"/>
    <w:lvl w:ilvl="0">
      <w:lvlJc w:val="left"/>
      <w:lvlText w:val="(%1)"/>
      <w:numFmt w:val="lowerLetter"/>
      <w:start w:val="1"/>
    </w:lvl>
    <w:lvl w:ilvl="1">
      <w:lvlJc w:val="left"/>
      <w:lvlText w:val="(%2)"/>
      <w:numFmt w:val="decimal"/>
      <w:start w:val="1"/>
    </w:lvl>
  </w:abstractNum>
  <w:abstractNum w:abstractNumId="168">
    <w:nsid w:val="556B69ED"/>
    <w:multiLevelType w:val="hybridMultilevel"/>
    <w:lvl w:ilvl="0">
      <w:lvlJc w:val="left"/>
      <w:lvlText w:val="(%1)"/>
      <w:numFmt w:val="lowerLetter"/>
      <w:start w:val="1"/>
    </w:lvl>
    <w:lvl w:ilvl="1">
      <w:lvlJc w:val="left"/>
      <w:lvlText w:val="(%2)"/>
      <w:numFmt w:val="decimal"/>
      <w:start w:val="1"/>
    </w:lvl>
  </w:abstractNum>
  <w:abstractNum w:abstractNumId="169">
    <w:nsid w:val="70836196"/>
    <w:multiLevelType w:val="hybridMultilevel"/>
    <w:lvl w:ilvl="0">
      <w:lvlJc w:val="left"/>
      <w:lvlText w:val="(%1)"/>
      <w:numFmt w:val="lowerLetter"/>
      <w:start w:val="1"/>
    </w:lvl>
  </w:abstractNum>
  <w:abstractNum w:abstractNumId="170">
    <w:nsid w:val="539F7F12"/>
    <w:multiLevelType w:val="hybridMultilevel"/>
    <w:lvl w:ilvl="0">
      <w:lvlJc w:val="left"/>
      <w:lvlText w:val="(%1)"/>
      <w:numFmt w:val="lowerLetter"/>
      <w:start w:val="2"/>
    </w:lvl>
  </w:abstractNum>
  <w:abstractNum w:abstractNumId="171">
    <w:nsid w:val="2817E7EC"/>
    <w:multiLevelType w:val="hybridMultilevel"/>
    <w:lvl w:ilvl="0">
      <w:lvlJc w:val="left"/>
      <w:lvlText w:val="%1."/>
      <w:numFmt w:val="decimal"/>
      <w:start w:val="1"/>
    </w:lvl>
  </w:abstractNum>
  <w:abstractNum w:abstractNumId="172">
    <w:nsid w:val="71482545"/>
    <w:multiLevelType w:val="hybridMultilevel"/>
    <w:lvl w:ilvl="0">
      <w:lvlJc w:val="left"/>
      <w:lvlText w:val="%1."/>
      <w:numFmt w:val="decimal"/>
      <w:start w:val="2"/>
    </w:lvl>
  </w:abstractNum>
  <w:abstractNum w:abstractNumId="173">
    <w:nsid w:val="17D78639"/>
    <w:multiLevelType w:val="hybridMultilevel"/>
    <w:lvl w:ilvl="0">
      <w:lvlJc w:val="left"/>
      <w:lvlText w:val="%1."/>
      <w:numFmt w:val="decimal"/>
      <w:start w:val="3"/>
    </w:lvl>
  </w:abstractNum>
  <w:abstractNum w:abstractNumId="174">
    <w:nsid w:val="141D2302"/>
    <w:multiLevelType w:val="hybridMultilevel"/>
    <w:lvl w:ilvl="0">
      <w:lvlJc w:val="left"/>
      <w:lvlText w:val="(%1)"/>
      <w:numFmt w:val="lowerLetter"/>
      <w:start w:val="1"/>
    </w:lvl>
  </w:abstractNum>
  <w:abstractNum w:abstractNumId="175">
    <w:nsid w:val="407168D8"/>
    <w:multiLevelType w:val="hybridMultilevel"/>
    <w:lvl w:ilvl="0">
      <w:lvlJc w:val="left"/>
      <w:lvlText w:val="%1."/>
      <w:numFmt w:val="decimal"/>
      <w:start w:val="4"/>
    </w:lvl>
  </w:abstractNum>
  <w:abstractNum w:abstractNumId="176">
    <w:nsid w:val="6A1B45E5"/>
    <w:multiLevelType w:val="hybridMultilevel"/>
    <w:lvl w:ilvl="0">
      <w:lvlJc w:val="left"/>
      <w:lvlText w:val="%1."/>
      <w:numFmt w:val="decimal"/>
      <w:start w:val="6"/>
    </w:lvl>
  </w:abstractNum>
  <w:abstractNum w:abstractNumId="177">
    <w:nsid w:val="567BD50A"/>
    <w:multiLevelType w:val="hybridMultilevel"/>
    <w:lvl w:ilvl="0">
      <w:lvlJc w:val="left"/>
      <w:lvlText w:val="%1."/>
      <w:numFmt w:val="decimal"/>
      <w:start w:val="1"/>
    </w:lvl>
  </w:abstractNum>
  <w:abstractNum w:abstractNumId="178">
    <w:nsid w:val="73BBD7F8"/>
    <w:multiLevelType w:val="hybridMultilevel"/>
    <w:lvl w:ilvl="0">
      <w:lvlJc w:val="left"/>
      <w:lvlText w:val="%1."/>
      <w:numFmt w:val="decimal"/>
      <w:start w:val="2"/>
    </w:lvl>
  </w:abstractNum>
  <w:abstractNum w:abstractNumId="179">
    <w:nsid w:val="1876589D"/>
    <w:multiLevelType w:val="hybridMultilevel"/>
    <w:lvl w:ilvl="0">
      <w:lvlJc w:val="left"/>
      <w:lvlText w:val="%1."/>
      <w:numFmt w:val="decimal"/>
      <w:start w:val="3"/>
    </w:lvl>
  </w:abstractNum>
  <w:abstractNum w:abstractNumId="180">
    <w:nsid w:val="327FAC77"/>
    <w:multiLevelType w:val="hybridMultilevel"/>
    <w:lvl w:ilvl="0">
      <w:lvlJc w:val="left"/>
      <w:lvlText w:val="(%1)"/>
      <w:numFmt w:val="lowerLetter"/>
      <w:start w:val="2"/>
    </w:lvl>
  </w:abstractNum>
  <w:abstractNum w:abstractNumId="181">
    <w:nsid w:val="5A606509"/>
    <w:multiLevelType w:val="hybridMultilevel"/>
    <w:lvl w:ilvl="0">
      <w:lvlJc w:val="left"/>
      <w:lvlText w:val="%1."/>
      <w:numFmt w:val="decimal"/>
      <w:start w:val="4"/>
    </w:lvl>
  </w:abstractNum>
  <w:abstractNum w:abstractNumId="182">
    <w:nsid w:val="6F38E6D1"/>
    <w:multiLevelType w:val="hybridMultilevel"/>
    <w:lvl w:ilvl="0">
      <w:lvlJc w:val="left"/>
      <w:lvlText w:val="(%1)"/>
      <w:numFmt w:val="lowerLetter"/>
      <w:start w:val="1"/>
    </w:lvl>
  </w:abstractNum>
  <w:abstractNum w:abstractNumId="183">
    <w:nsid w:val="46111BA5"/>
    <w:multiLevelType w:val="hybridMultilevel"/>
    <w:lvl w:ilvl="0">
      <w:lvlJc w:val="left"/>
      <w:lvlText w:val="%1."/>
      <w:numFmt w:val="decimal"/>
      <w:start w:val="5"/>
    </w:lvl>
  </w:abstractNum>
  <w:abstractNum w:abstractNumId="184">
    <w:nsid w:val="5E963896"/>
    <w:multiLevelType w:val="hybridMultilevel"/>
    <w:lvl w:ilvl="0">
      <w:lvlJc w:val="left"/>
      <w:lvlText w:val="(%1)"/>
      <w:numFmt w:val="lowerLetter"/>
      <w:start w:val="1"/>
    </w:lvl>
  </w:abstractNum>
  <w:abstractNum w:abstractNumId="185">
    <w:nsid w:val="775BA7C1"/>
    <w:multiLevelType w:val="hybridMultilevel"/>
    <w:lvl w:ilvl="0">
      <w:lvlJc w:val="left"/>
      <w:lvlText w:val="(%1)"/>
      <w:numFmt w:val="lowerLetter"/>
      <w:start w:val="2"/>
    </w:lvl>
  </w:abstractNum>
  <w:abstractNum w:abstractNumId="186">
    <w:nsid w:val="1DD6D6F4"/>
    <w:multiLevelType w:val="hybridMultilevel"/>
    <w:lvl w:ilvl="0">
      <w:lvlJc w:val="left"/>
      <w:lvlText w:val="%1."/>
      <w:numFmt w:val="decimal"/>
      <w:start w:val="6"/>
    </w:lvl>
  </w:abstractNum>
  <w:abstractNum w:abstractNumId="187">
    <w:nsid w:val="769A091F"/>
    <w:multiLevelType w:val="hybridMultilevel"/>
    <w:lvl w:ilvl="0">
      <w:lvlJc w:val="left"/>
      <w:lvlText w:val="%1."/>
      <w:numFmt w:val="decimal"/>
      <w:start w:val="7"/>
    </w:lvl>
  </w:abstractNum>
  <w:abstractNum w:abstractNumId="188">
    <w:nsid w:val="4695AE95"/>
    <w:multiLevelType w:val="hybridMultilevel"/>
    <w:lvl w:ilvl="0">
      <w:lvlJc w:val="left"/>
      <w:lvlText w:val="%1."/>
      <w:numFmt w:val="decimal"/>
      <w:start w:val="8"/>
    </w:lvl>
  </w:abstractNum>
  <w:abstractNum w:abstractNumId="189">
    <w:nsid w:val="777A4EAA"/>
    <w:multiLevelType w:val="hybridMultilevel"/>
    <w:lvl w:ilvl="0">
      <w:lvlJc w:val="left"/>
      <w:lvlText w:val="%1."/>
      <w:numFmt w:val="decimal"/>
      <w:start w:val="11"/>
    </w:lvl>
  </w:abstractNum>
  <w:abstractNum w:abstractNumId="190">
    <w:nsid w:val="3F48B982"/>
    <w:multiLevelType w:val="hybridMultilevel"/>
    <w:lvl w:ilvl="0">
      <w:lvlJc w:val="left"/>
      <w:lvlText w:val="%1."/>
      <w:numFmt w:val="decimal"/>
      <w:start w:val="1"/>
    </w:lvl>
  </w:abstractNum>
  <w:abstractNum w:abstractNumId="191">
    <w:nsid w:val="46BA8FCA"/>
    <w:multiLevelType w:val="hybridMultilevel"/>
    <w:lvl w:ilvl="0">
      <w:lvlJc w:val="left"/>
      <w:lvlText w:val="%1."/>
      <w:numFmt w:val="decimal"/>
      <w:start w:val="2"/>
    </w:lvl>
  </w:abstractNum>
  <w:abstractNum w:abstractNumId="192">
    <w:nsid w:val="7835626C"/>
    <w:multiLevelType w:val="hybridMultilevel"/>
    <w:lvl w:ilvl="0">
      <w:lvlJc w:val="left"/>
      <w:lvlText w:val="%1."/>
      <w:numFmt w:val="decimal"/>
      <w:start w:val="3"/>
    </w:lvl>
  </w:abstractNum>
  <w:abstractNum w:abstractNumId="193">
    <w:nsid w:val="665ACA49"/>
    <w:multiLevelType w:val="hybridMultilevel"/>
    <w:lvl w:ilvl="0">
      <w:lvlJc w:val="left"/>
      <w:lvlText w:val="(%1)"/>
      <w:numFmt w:val="lowerLetter"/>
      <w:start w:val="1"/>
    </w:lvl>
  </w:abstractNum>
  <w:abstractNum w:abstractNumId="194">
    <w:nsid w:val="6835B2AE"/>
    <w:multiLevelType w:val="hybridMultilevel"/>
    <w:lvl w:ilvl="0">
      <w:lvlJc w:val="left"/>
      <w:lvlText w:val="(%1)"/>
      <w:numFmt w:val="lowerLetter"/>
      <w:start w:val="4"/>
    </w:lvl>
  </w:abstractNum>
  <w:abstractNum w:abstractNumId="195">
    <w:nsid w:val="4C187C90"/>
    <w:multiLevelType w:val="hybridMultilevel"/>
    <w:lvl w:ilvl="0">
      <w:lvlJc w:val="left"/>
      <w:lvlText w:val="%1."/>
      <w:numFmt w:val="decimal"/>
      <w:start w:val="4"/>
    </w:lvl>
  </w:abstractNum>
  <w:abstractNum w:abstractNumId="196">
    <w:nsid w:val="541F28CD"/>
    <w:multiLevelType w:val="hybridMultilevel"/>
    <w:lvl w:ilvl="0">
      <w:lvlJc w:val="left"/>
      <w:lvlText w:val="(%1)"/>
      <w:numFmt w:val="lowerLetter"/>
      <w:start w:val="1"/>
    </w:lvl>
  </w:abstractNum>
  <w:abstractNum w:abstractNumId="197">
    <w:nsid w:val="7F65FD16"/>
    <w:multiLevelType w:val="hybridMultilevel"/>
    <w:lvl w:ilvl="0">
      <w:lvlJc w:val="left"/>
      <w:lvlText w:val="%1."/>
      <w:numFmt w:val="decimal"/>
      <w:start w:val="5"/>
    </w:lvl>
  </w:abstractNum>
  <w:abstractNum w:abstractNumId="198">
    <w:nsid w:val="77C9FD68"/>
    <w:multiLevelType w:val="hybridMultilevel"/>
    <w:lvl w:ilvl="0">
      <w:lvlJc w:val="left"/>
      <w:lvlText w:val="(%1)"/>
      <w:numFmt w:val="lowerLetter"/>
      <w:start w:val="1"/>
    </w:lvl>
  </w:abstractNum>
  <w:abstractNum w:abstractNumId="199">
    <w:nsid w:val="298A92BA"/>
    <w:multiLevelType w:val="hybridMultilevel"/>
    <w:lvl w:ilvl="0">
      <w:lvlJc w:val="left"/>
      <w:lvlText w:val="%1."/>
      <w:numFmt w:val="decimal"/>
      <w:start w:val="6"/>
    </w:lvl>
  </w:abstractNum>
  <w:abstractNum w:abstractNumId="200">
    <w:nsid w:val="6FE95EAC"/>
    <w:multiLevelType w:val="hybridMultilevel"/>
    <w:lvl w:ilvl="0">
      <w:lvlJc w:val="left"/>
      <w:lvlText w:val="%1."/>
      <w:numFmt w:val="decimal"/>
      <w:start w:val="7"/>
    </w:lvl>
  </w:abstractNum>
  <w:abstractNum w:abstractNumId="201">
    <w:nsid w:val="4B697C7A"/>
    <w:multiLevelType w:val="hybridMultilevel"/>
    <w:lvl w:ilvl="0">
      <w:lvlJc w:val="left"/>
      <w:lvlText w:val="%1."/>
      <w:numFmt w:val="decimal"/>
      <w:start w:val="8"/>
    </w:lvl>
  </w:abstractNum>
  <w:abstractNum w:abstractNumId="202">
    <w:nsid w:val="51A27AA6"/>
    <w:multiLevelType w:val="hybridMultilevel"/>
    <w:lvl w:ilvl="0">
      <w:lvlJc w:val="left"/>
      <w:lvlText w:val="%1."/>
      <w:numFmt w:val="decimal"/>
      <w:start w:val="1"/>
    </w:lvl>
  </w:abstractNum>
  <w:abstractNum w:abstractNumId="203">
    <w:nsid w:val="613183F2"/>
    <w:multiLevelType w:val="hybridMultilevel"/>
    <w:lvl w:ilvl="0">
      <w:lvlJc w:val="left"/>
      <w:lvlText w:val="%1."/>
      <w:numFmt w:val="decimal"/>
      <w:start w:val="2"/>
    </w:lvl>
  </w:abstractNum>
  <w:abstractNum w:abstractNumId="204">
    <w:nsid w:val="634102B4"/>
    <w:multiLevelType w:val="hybridMultilevel"/>
    <w:lvl w:ilvl="0">
      <w:lvlJc w:val="left"/>
      <w:lvlText w:val="%1."/>
      <w:numFmt w:val="decimal"/>
      <w:start w:val="3"/>
    </w:lvl>
  </w:abstractNum>
  <w:abstractNum w:abstractNumId="205">
    <w:nsid w:val="65BF9DA8"/>
    <w:multiLevelType w:val="hybridMultilevel"/>
    <w:lvl w:ilvl="0">
      <w:lvlJc w:val="left"/>
      <w:lvlText w:val="(%1)"/>
      <w:numFmt w:val="lowerLetter"/>
      <w:start w:val="1"/>
    </w:lvl>
  </w:abstractNum>
  <w:abstractNum w:abstractNumId="206">
    <w:nsid w:val="21A2ECCA"/>
    <w:multiLevelType w:val="hybridMultilevel"/>
    <w:lvl w:ilvl="0">
      <w:lvlJc w:val="left"/>
      <w:lvlText w:val="(%1)"/>
      <w:numFmt w:val="lowerLetter"/>
      <w:start w:val="2"/>
    </w:lvl>
  </w:abstractNum>
  <w:abstractNum w:abstractNumId="207">
    <w:nsid w:val="4D5C4899"/>
    <w:multiLevelType w:val="hybridMultilevel"/>
    <w:lvl w:ilvl="0">
      <w:lvlJc w:val="left"/>
      <w:lvlText w:val="%1"/>
      <w:numFmt w:val="lowerLetter"/>
      <w:start w:val="1"/>
    </w:lvl>
    <w:lvl w:ilvl="1">
      <w:lvlJc w:val="left"/>
      <w:lvlText w:val="(%2)"/>
      <w:numFmt w:val="lowerRoman"/>
      <w:start w:val="1"/>
    </w:lvl>
  </w:abstractNum>
  <w:abstractNum w:abstractNumId="208">
    <w:nsid w:val="3C3B72B2"/>
    <w:multiLevelType w:val="hybridMultilevel"/>
    <w:lvl w:ilvl="0">
      <w:lvlJc w:val="left"/>
      <w:lvlText w:val="(%1)"/>
      <w:numFmt w:val="lowerLetter"/>
      <w:start w:val="3"/>
    </w:lvl>
    <w:lvl w:ilvl="1">
      <w:lvlJc w:val="left"/>
      <w:lvlText w:val="%2"/>
      <w:numFmt w:val="lowerRoman"/>
      <w:start w:val="1"/>
    </w:lvl>
  </w:abstractNum>
  <w:abstractNum w:abstractNumId="209">
    <w:nsid w:val="155EC4C2"/>
    <w:multiLevelType w:val="hybridMultilevel"/>
    <w:lvl w:ilvl="0">
      <w:lvlJc w:val="left"/>
      <w:lvlText w:val="%1."/>
      <w:numFmt w:val="decimal"/>
      <w:start w:val="5"/>
    </w:lvl>
  </w:abstractNum>
  <w:abstractNum w:abstractNumId="210">
    <w:nsid w:val="65D2A137"/>
    <w:multiLevelType w:val="hybridMultilevel"/>
    <w:lvl w:ilvl="0">
      <w:lvlJc w:val="left"/>
      <w:lvlText w:val="%1."/>
      <w:numFmt w:val="decimal"/>
      <w:start w:val="1"/>
    </w:lvl>
  </w:abstractNum>
  <w:abstractNum w:abstractNumId="211">
    <w:nsid w:val="6EBB1F2A"/>
    <w:multiLevelType w:val="hybridMultilevel"/>
    <w:lvl w:ilvl="0">
      <w:lvlJc w:val="left"/>
      <w:lvlText w:val="%1."/>
      <w:numFmt w:val="decimal"/>
      <w:start w:val="2"/>
    </w:lvl>
  </w:abstractNum>
  <w:abstractNum w:abstractNumId="212">
    <w:nsid w:val="6FBF29CB"/>
    <w:multiLevelType w:val="hybridMultilevel"/>
    <w:lvl w:ilvl="0">
      <w:lvlJc w:val="left"/>
      <w:lvlText w:val="(%1)"/>
      <w:numFmt w:val="decimal"/>
      <w:start w:val="5"/>
    </w:lvl>
  </w:abstractNum>
  <w:abstractNum w:abstractNumId="213">
    <w:nsid w:val="550B8808"/>
    <w:multiLevelType w:val="hybridMultilevel"/>
    <w:lvl w:ilvl="0">
      <w:lvlJc w:val="left"/>
      <w:lvlText w:val="%1."/>
      <w:numFmt w:val="decimal"/>
      <w:start w:val="3"/>
    </w:lvl>
  </w:abstractNum>
  <w:abstractNum w:abstractNumId="214">
    <w:nsid w:val="34CC3ACF"/>
    <w:multiLevelType w:val="hybridMultilevel"/>
    <w:lvl w:ilvl="0">
      <w:lvlJc w:val="left"/>
      <w:lvlText w:val="(%1)"/>
      <w:numFmt w:val="lowerLetter"/>
      <w:start w:val="2"/>
    </w:lvl>
  </w:abstractNum>
  <w:abstractNum w:abstractNumId="215">
    <w:nsid w:val="4E556261"/>
    <w:multiLevelType w:val="hybridMultilevel"/>
    <w:lvl w:ilvl="0">
      <w:lvlJc w:val="left"/>
      <w:lvlText w:val="(%1)"/>
      <w:numFmt w:val="lowerLetter"/>
      <w:start w:val="3"/>
    </w:lvl>
  </w:abstractNum>
  <w:abstractNum w:abstractNumId="216">
    <w:nsid w:val="4C672FC9"/>
    <w:multiLevelType w:val="hybridMultilevel"/>
    <w:lvl w:ilvl="0">
      <w:lvlJc w:val="left"/>
      <w:lvlText w:val="%1."/>
      <w:numFmt w:val="decimal"/>
      <w:start w:val="4"/>
    </w:lvl>
  </w:abstractNum>
  <w:abstractNum w:abstractNumId="217">
    <w:nsid w:val="52A311C3"/>
    <w:multiLevelType w:val="hybridMultilevel"/>
    <w:lvl w:ilvl="0">
      <w:lvlJc w:val="left"/>
      <w:lvlText w:val="(%1)"/>
      <w:numFmt w:val="lowerLetter"/>
      <w:start w:val="2"/>
    </w:lvl>
  </w:abstractNum>
  <w:abstractNum w:abstractNumId="218">
    <w:nsid w:val="44EF6B80"/>
    <w:multiLevelType w:val="hybridMultilevel"/>
    <w:lvl w:ilvl="0">
      <w:lvlJc w:val="left"/>
      <w:lvlText w:val="%1."/>
      <w:numFmt w:val="decimal"/>
      <w:start w:val="5"/>
    </w:lvl>
  </w:abstractNum>
  <w:abstractNum w:abstractNumId="219">
    <w:nsid w:val="12FCDE5E"/>
    <w:multiLevelType w:val="hybridMultilevel"/>
    <w:lvl w:ilvl="0">
      <w:lvlJc w:val="left"/>
      <w:lvlText w:val="(%1)"/>
      <w:numFmt w:val="lowerLetter"/>
      <w:start w:val="1"/>
    </w:lvl>
  </w:abstractNum>
  <w:abstractNum w:abstractNumId="220">
    <w:nsid w:val="4A1D606E"/>
    <w:multiLevelType w:val="hybridMultilevel"/>
    <w:lvl w:ilvl="0">
      <w:lvlJc w:val="left"/>
      <w:lvlText w:val="%1."/>
      <w:numFmt w:val="decimal"/>
      <w:start w:val="6"/>
    </w:lvl>
  </w:abstractNum>
  <w:abstractNum w:abstractNumId="221">
    <w:nsid w:val="4382503"/>
    <w:multiLevelType w:val="hybridMultilevel"/>
    <w:lvl w:ilvl="0">
      <w:lvlJc w:val="left"/>
      <w:lvlText w:val="%1."/>
      <w:numFmt w:val="decimal"/>
      <w:start w:val="7"/>
    </w:lvl>
  </w:abstractNum>
  <w:abstractNum w:abstractNumId="222">
    <w:nsid w:val="59B76E28"/>
    <w:multiLevelType w:val="hybridMultilevel"/>
    <w:lvl w:ilvl="0">
      <w:lvlJc w:val="left"/>
      <w:lvlText w:val="%1."/>
      <w:numFmt w:val="decimal"/>
      <w:start w:val="8"/>
    </w:lvl>
  </w:abstractNum>
  <w:abstractNum w:abstractNumId="223">
    <w:nsid w:val="4252C2DA"/>
    <w:multiLevelType w:val="hybridMultilevel"/>
    <w:lvl w:ilvl="0">
      <w:lvlJc w:val="left"/>
      <w:lvlText w:val="(%1)"/>
      <w:numFmt w:val="lowerRoman"/>
      <w:start w:val="1"/>
    </w:lvl>
  </w:abstractNum>
  <w:abstractNum w:abstractNumId="224">
    <w:nsid w:val="6A92EF4C"/>
    <w:multiLevelType w:val="hybridMultilevel"/>
    <w:lvl w:ilvl="0">
      <w:lvlJc w:val="left"/>
      <w:lvlText w:val="%1."/>
      <w:numFmt w:val="decimal"/>
      <w:start w:val="1"/>
    </w:lvl>
  </w:abstractNum>
  <w:abstractNum w:abstractNumId="225">
    <w:nsid w:val="41ED20D7"/>
    <w:multiLevelType w:val="hybridMultilevel"/>
    <w:lvl w:ilvl="0">
      <w:lvlJc w:val="left"/>
      <w:lvlText w:val="%1."/>
      <w:numFmt w:val="decimal"/>
      <w:start w:val="6"/>
    </w:lvl>
  </w:abstractNum>
  <w:abstractNum w:abstractNumId="226">
    <w:nsid w:val="E6B3F6A"/>
    <w:multiLevelType w:val="hybridMultilevel"/>
    <w:lvl w:ilvl="0">
      <w:lvlJc w:val="left"/>
      <w:lvlText w:val="%1"/>
      <w:numFmt w:val="upperLetter"/>
      <w:start w:val="35"/>
    </w:lvl>
  </w:abstractNum>
  <w:abstractNum w:abstractNumId="227">
    <w:nsid w:val="3EB21819"/>
    <w:multiLevelType w:val="hybridMultilevel"/>
    <w:lvl w:ilvl="0">
      <w:lvlJc w:val="left"/>
      <w:lvlText w:val="(%1)"/>
      <w:numFmt w:val="lowerLetter"/>
      <w:start w:val="1"/>
    </w:lvl>
  </w:abstractNum>
  <w:abstractNum w:abstractNumId="228">
    <w:nsid w:val="41531DED"/>
    <w:multiLevelType w:val="hybridMultilevel"/>
    <w:lvl w:ilvl="0">
      <w:lvlJc w:val="left"/>
      <w:lvlText w:val="(%1)"/>
      <w:numFmt w:val="lowerLetter"/>
      <w:start w:val="1"/>
    </w:lvl>
  </w:abstractNum>
  <w:abstractNum w:abstractNumId="229">
    <w:nsid w:val="6353CD2"/>
    <w:multiLevelType w:val="hybridMultilevel"/>
    <w:lvl w:ilvl="0">
      <w:lvlJc w:val="left"/>
      <w:lvlText w:val="(%1)"/>
      <w:numFmt w:val="lowerLetter"/>
      <w:start w:val="2"/>
    </w:lvl>
  </w:abstractNum>
  <w:abstractNum w:abstractNumId="230">
    <w:nsid w:val="683CAAD3"/>
    <w:multiLevelType w:val="hybridMultilevel"/>
    <w:lvl w:ilvl="0">
      <w:lvlJc w:val="left"/>
      <w:lvlText w:val="(%1)"/>
      <w:numFmt w:val="lowerLetter"/>
      <w:start w:val="1"/>
    </w:lvl>
  </w:abstractNum>
  <w:abstractNum w:abstractNumId="231">
    <w:nsid w:val="313C7C99"/>
    <w:multiLevelType w:val="hybridMultilevel"/>
    <w:lvl w:ilvl="0">
      <w:lvlJc w:val="left"/>
      <w:lvlText w:val="(%1)"/>
      <w:numFmt w:val="lowerLetter"/>
      <w:start w:val="5"/>
    </w:lvl>
  </w:abstractNum>
  <w:abstractNum w:abstractNumId="232">
    <w:nsid w:val="519EB94C"/>
    <w:multiLevelType w:val="hybridMultilevel"/>
    <w:lvl w:ilvl="0">
      <w:lvlJc w:val="left"/>
      <w:lvlText w:val="(%1)"/>
      <w:numFmt w:val="lowerLetter"/>
      <w:start w:val="1"/>
    </w:lvl>
  </w:abstractNum>
  <w:abstractNum w:abstractNumId="233">
    <w:nsid w:val="39DF2579"/>
    <w:multiLevelType w:val="hybridMultilevel"/>
    <w:lvl w:ilvl="0">
      <w:lvlJc w:val="left"/>
      <w:lvlText w:val="(%1)"/>
      <w:numFmt w:val="lowerLetter"/>
      <w:start w:val="7"/>
    </w:lvl>
  </w:abstractNum>
  <w:abstractNum w:abstractNumId="234">
    <w:nsid w:val="126E008B"/>
    <w:multiLevelType w:val="hybridMultilevel"/>
    <w:lvl w:ilvl="0">
      <w:lvlJc w:val="left"/>
      <w:lvlText w:val="(%1)"/>
      <w:numFmt w:val="lowerRoman"/>
      <w:start w:val="2"/>
    </w:lvl>
  </w:abstractNum>
  <w:abstractNum w:abstractNumId="235">
    <w:nsid w:val="34DFBC00"/>
    <w:multiLevelType w:val="hybridMultilevel"/>
    <w:lvl w:ilvl="0">
      <w:lvlJc w:val="left"/>
      <w:lvlText w:val="(%1)"/>
      <w:numFmt w:val="lowerLetter"/>
      <w:start w:val="1"/>
    </w:lvl>
  </w:abstractNum>
  <w:abstractNum w:abstractNumId="236">
    <w:nsid w:val="1F9EC322"/>
    <w:multiLevelType w:val="hybridMultilevel"/>
    <w:lvl w:ilvl="0">
      <w:lvlJc w:val="left"/>
      <w:lvlText w:val="%1."/>
      <w:numFmt w:val="decimal"/>
      <w:start w:val="1"/>
    </w:lvl>
  </w:abstractNum>
  <w:abstractNum w:abstractNumId="237">
    <w:nsid w:val="3410ED56"/>
    <w:multiLevelType w:val="hybridMultilevel"/>
    <w:lvl w:ilvl="0">
      <w:lvlJc w:val="left"/>
      <w:lvlText w:val="(%1)"/>
      <w:numFmt w:val="lowerLetter"/>
      <w:start w:val="1"/>
    </w:lvl>
  </w:abstractNum>
  <w:abstractNum w:abstractNumId="238">
    <w:nsid w:val="23C049A"/>
    <w:multiLevelType w:val="hybridMultilevel"/>
    <w:lvl w:ilvl="0">
      <w:lvlJc w:val="left"/>
      <w:lvlText w:val="(%1)"/>
      <w:numFmt w:val="lowerLetter"/>
      <w:start w:val="3"/>
    </w:lvl>
  </w:abstractNum>
  <w:abstractNum w:abstractNumId="239">
    <w:nsid w:val="5BDA35D4"/>
    <w:multiLevelType w:val="hybridMultilevel"/>
    <w:lvl w:ilvl="0">
      <w:lvlJc w:val="left"/>
      <w:lvlText w:val="%1"/>
      <w:numFmt w:val="lowerLetter"/>
      <w:start w:val="1"/>
    </w:lvl>
    <w:lvl w:ilvl="1">
      <w:lvlJc w:val="left"/>
      <w:lvlText w:val="(%2)"/>
      <w:numFmt w:val="lowerLetter"/>
      <w:start w:val="1"/>
    </w:lvl>
  </w:abstractNum>
  <w:abstractNum w:abstractNumId="240">
    <w:nsid w:val="496FB218"/>
    <w:multiLevelType w:val="hybridMultilevel"/>
    <w:lvl w:ilvl="0">
      <w:lvlJc w:val="left"/>
      <w:lvlText w:val="(%1)"/>
      <w:numFmt w:val="lowerLetter"/>
      <w:start w:val="35"/>
    </w:lvl>
    <w:lvl w:ilvl="1">
      <w:lvlJc w:val="left"/>
      <w:lvlText w:val="%2"/>
      <w:numFmt w:val="lowerLetter"/>
      <w:start w:val="1"/>
    </w:lvl>
  </w:abstractNum>
  <w:abstractNum w:abstractNumId="241">
    <w:nsid w:val="680EA5D1"/>
    <w:multiLevelType w:val="hybridMultilevel"/>
    <w:lvl w:ilvl="0">
      <w:lvlJc w:val="left"/>
      <w:lvlText w:val="(%1)"/>
      <w:numFmt w:val="lowerLetter"/>
      <w:start w:val="5"/>
    </w:lvl>
  </w:abstractNum>
  <w:abstractNum w:abstractNumId="242">
    <w:nsid w:val="4A9554FE"/>
    <w:multiLevelType w:val="hybridMultilevel"/>
    <w:lvl w:ilvl="0">
      <w:lvlJc w:val="left"/>
      <w:lvlText w:val="(%1)"/>
      <w:numFmt w:val="lowerLetter"/>
      <w:start w:val="2"/>
    </w:lvl>
  </w:abstractNum>
  <w:abstractNum w:abstractNumId="243">
    <w:nsid w:val="392EDBE4"/>
    <w:multiLevelType w:val="hybridMultilevel"/>
    <w:lvl w:ilvl="0">
      <w:lvlJc w:val="left"/>
      <w:lvlText w:val="(%1)"/>
      <w:numFmt w:val="lowerLetter"/>
      <w:start w:val="3"/>
    </w:lvl>
  </w:abstractNum>
  <w:abstractNum w:abstractNumId="244">
    <w:nsid w:val="3D1A2DD9"/>
    <w:multiLevelType w:val="hybridMultilevel"/>
    <w:lvl w:ilvl="0">
      <w:lvlJc w:val="left"/>
      <w:lvlText w:val="(%1)"/>
      <w:numFmt w:val="lowerLetter"/>
      <w:start w:val="1"/>
    </w:lvl>
    <w:lvl w:ilvl="1">
      <w:lvlJc w:val="left"/>
      <w:lvlText w:val="(%2)"/>
      <w:numFmt w:val="lowerLetter"/>
      <w:start w:val="2"/>
    </w:lvl>
  </w:abstractNum>
  <w:abstractNum w:abstractNumId="245">
    <w:nsid w:val="7F618F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6">
    <w:nsid w:val="7843E45"/>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47">
    <w:nsid w:val="9815DA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48">
    <w:nsid w:val="5204A191"/>
    <w:multiLevelType w:val="hybridMultilevel"/>
    <w:lvl w:ilvl="0">
      <w:lvlJc w:val="left"/>
      <w:lvlText w:val="1"/>
      <w:numFmt w:val="bullet"/>
      <w:start w:val="1"/>
    </w:lvl>
  </w:abstractNum>
  <w:abstractNum w:abstractNumId="249">
    <w:nsid w:val="4C73A9C6"/>
    <w:multiLevelType w:val="hybridMultilevel"/>
    <w:lvl w:ilvl="0">
      <w:lvlJc w:val="left"/>
      <w:lvlText w:val="(%1)"/>
      <w:numFmt w:val="lowerLetter"/>
      <w:start w:val="1"/>
    </w:lvl>
  </w:abstractNum>
  <w:abstractNum w:abstractNumId="250">
    <w:nsid w:val="1C7E3C01"/>
    <w:multiLevelType w:val="hybridMultilevel"/>
    <w:lvl w:ilvl="0">
      <w:lvlJc w:val="left"/>
      <w:lvlText w:val="(%1)"/>
      <w:numFmt w:val="lowerLetter"/>
      <w:start w:val="5"/>
    </w:lvl>
  </w:abstractNum>
  <w:abstractNum w:abstractNumId="251">
    <w:nsid w:val="1C2201FF"/>
    <w:multiLevelType w:val="hybridMultilevel"/>
    <w:lvl w:ilvl="0">
      <w:lvlJc w:val="left"/>
      <w:lvlText w:val="(%1)"/>
      <w:numFmt w:val="decimal"/>
      <w:start w:val="2"/>
    </w:lvl>
  </w:abstractNum>
  <w:abstractNum w:abstractNumId="252">
    <w:nsid w:val="50ABCEC9"/>
    <w:multiLevelType w:val="hybridMultilevel"/>
    <w:lvl w:ilvl="0">
      <w:lvlJc w:val="left"/>
      <w:lvlText w:val="%1"/>
      <w:numFmt w:val="upperLetter"/>
      <w:start w:val="1"/>
    </w:lvl>
    <w:lvl w:ilvl="1">
      <w:lvlJc w:val="left"/>
      <w:lvlText w:val="(%2)"/>
      <w:numFmt w:val="lowerLetter"/>
      <w:start w:val="1"/>
    </w:lvl>
  </w:abstractNum>
  <w:abstractNum w:abstractNumId="253">
    <w:nsid w:val="7635AA2A"/>
    <w:multiLevelType w:val="hybridMultilevel"/>
    <w:lvl w:ilvl="0">
      <w:lvlJc w:val="left"/>
      <w:lvlText w:val="(%1)"/>
      <w:numFmt w:val="upperLetter"/>
      <w:start w:val="2"/>
    </w:lvl>
    <w:lvl w:ilvl="1">
      <w:lvlJc w:val="left"/>
      <w:lvlText w:val="%2"/>
      <w:numFmt w:val="lowerLetter"/>
      <w:start w:val="1"/>
    </w:lvl>
  </w:abstractNum>
  <w:abstractNum w:abstractNumId="254">
    <w:nsid w:val="5E74C4D9"/>
    <w:multiLevelType w:val="hybridMultilevel"/>
    <w:lvl w:ilvl="0">
      <w:lvlJc w:val="left"/>
      <w:lvlText w:val="(%1)"/>
      <w:numFmt w:val="lowerLetter"/>
      <w:start w:val="2"/>
    </w:lvl>
  </w:abstractNum>
  <w:abstractNum w:abstractNumId="255">
    <w:nsid w:val="3B3EBE15"/>
    <w:multiLevelType w:val="hybridMultilevel"/>
    <w:lvl w:ilvl="0">
      <w:lvlJc w:val="left"/>
      <w:lvlText w:val="%1."/>
      <w:numFmt w:val="upperLetter"/>
      <w:start w:val="1"/>
    </w:lvl>
  </w:abstractNum>
  <w:abstractNum w:abstractNumId="256">
    <w:nsid w:val="3822CB01"/>
    <w:multiLevelType w:val="hybridMultilevel"/>
    <w:lvl w:ilvl="0">
      <w:lvlJc w:val="left"/>
      <w:lvlText w:val="%1."/>
      <w:numFmt w:val="upperLetter"/>
      <w:start w:val="5"/>
    </w:lvl>
  </w:abstractNum>
  <w:abstractNum w:abstractNumId="257">
    <w:nsid w:val="6CE00443"/>
    <w:multiLevelType w:val="hybridMultilevel"/>
    <w:lvl w:ilvl="0">
      <w:lvlJc w:val="left"/>
      <w:lvlText w:val="H"/>
      <w:numFmt w:val="bullet"/>
      <w:start w:val="1"/>
    </w:lvl>
  </w:abstractNum>
  <w:abstractNum w:abstractNumId="258">
    <w:nsid w:val="79F0D62F"/>
    <w:multiLevelType w:val="hybridMultilevel"/>
    <w:lvl w:ilvl="0">
      <w:lvlJc w:val="left"/>
      <w:lvlText w:val="%1."/>
      <w:numFmt w:val="upperLetter"/>
      <w:start w:val="9"/>
    </w:lvl>
  </w:abstractNum>
  <w:abstractNum w:abstractNumId="259">
    <w:nsid w:val="7975E8EE"/>
    <w:multiLevelType w:val="hybridMultilevel"/>
    <w:lvl w:ilvl="0">
      <w:lvlJc w:val="left"/>
      <w:lvlText w:val="L"/>
      <w:numFmt w:val="bullet"/>
      <w:start w:val="1"/>
    </w:lvl>
  </w:abstractNum>
  <w:abstractNum w:abstractNumId="260">
    <w:nsid w:val="73154115"/>
    <w:multiLevelType w:val="hybridMultilevel"/>
    <w:lvl w:ilvl="0">
      <w:lvlJc w:val="left"/>
      <w:lvlText w:val="%1."/>
      <w:numFmt w:val="upperLetter"/>
      <w:start w:val="13"/>
    </w:lvl>
  </w:abstractNum>
  <w:abstractNum w:abstractNumId="261">
    <w:nsid w:val="622D8102"/>
    <w:multiLevelType w:val="hybridMultilevel"/>
    <w:lvl w:ilvl="0">
      <w:lvlJc w:val="left"/>
      <w:lvlText w:val="%1."/>
      <w:numFmt w:val="upperLetter"/>
      <w:start w:val="14"/>
    </w:lvl>
  </w:abstractNum>
  <w:abstractNum w:abstractNumId="262">
    <w:nsid w:val="2AB26587"/>
    <w:multiLevelType w:val="hybridMultilevel"/>
    <w:lvl w:ilvl="0">
      <w:lvlJc w:val="left"/>
      <w:lvlText w:val="%1."/>
      <w:numFmt w:val="decimal"/>
      <w:start w:val="1"/>
    </w:lvl>
  </w:abstractNum>
  <w:abstractNum w:abstractNumId="263">
    <w:nsid w:val="44B3FA61"/>
    <w:multiLevelType w:val="hybridMultilevel"/>
    <w:lvl w:ilvl="0">
      <w:lvlJc w:val="left"/>
      <w:lvlText w:val="%1."/>
      <w:numFmt w:val="decimal"/>
      <w:start w:val="4"/>
    </w:lvl>
  </w:abstractNum>
  <w:abstractNum w:abstractNumId="264">
    <w:nsid w:val="1C0CA67C"/>
    <w:multiLevelType w:val="hybridMultilevel"/>
    <w:lvl w:ilvl="0">
      <w:lvlJc w:val="left"/>
      <w:lvlText w:val="(%1)"/>
      <w:numFmt w:val="decimal"/>
      <w:start w:val="120"/>
    </w:lvl>
  </w:abstractNum>
  <w:abstractNum w:abstractNumId="265">
    <w:nsid w:val="3D206613"/>
    <w:multiLevelType w:val="hybridMultilevel"/>
    <w:lvl w:ilvl="0">
      <w:lvlJc w:val="left"/>
      <w:lvlText w:val="%1."/>
      <w:numFmt w:val="decimal"/>
      <w:start w:val="5"/>
    </w:lvl>
  </w:abstractNum>
  <w:abstractNum w:abstractNumId="266">
    <w:nsid w:val="7993B662"/>
    <w:multiLevelType w:val="hybridMultilevel"/>
    <w:lvl w:ilvl="0">
      <w:lvlJc w:val="left"/>
      <w:lvlText w:val="%1."/>
      <w:numFmt w:val="decimal"/>
      <w:start w:val="9"/>
    </w:lvl>
  </w:abstractNum>
  <w:abstractNum w:abstractNumId="267">
    <w:nsid w:val="3BAB699E"/>
    <w:multiLevelType w:val="hybridMultilevel"/>
    <w:lvl w:ilvl="0">
      <w:lvlJc w:val="left"/>
      <w:lvlText w:val="%1."/>
      <w:numFmt w:val="decimal"/>
      <w:start w:val="10"/>
    </w:lvl>
  </w:abstractNum>
  <w:abstractNum w:abstractNumId="268">
    <w:nsid w:val="71315369"/>
    <w:multiLevelType w:val="hybridMultilevel"/>
    <w:lvl w:ilvl="0">
      <w:lvlJc w:val="left"/>
      <w:lvlText w:val="(%1)"/>
      <w:numFmt w:val="upperLetter"/>
      <w:start w:val="1"/>
    </w:lvl>
  </w:abstractNum>
  <w:abstractNum w:abstractNumId="269">
    <w:nsid w:val="7BCFBAFC"/>
    <w:multiLevelType w:val="hybridMultilevel"/>
    <w:lvl w:ilvl="0">
      <w:lvlJc w:val="left"/>
      <w:lvlText w:val="%1."/>
      <w:numFmt w:val="decimal"/>
      <w:start w:val="11"/>
    </w:lvl>
  </w:abstractNum>
  <w:abstractNum w:abstractNumId="270">
    <w:nsid w:val="17859F72"/>
    <w:multiLevelType w:val="hybridMultilevel"/>
    <w:lvl w:ilvl="0">
      <w:lvlJc w:val="left"/>
      <w:lvlText w:val="%1"/>
      <w:numFmt w:val="lowerRoman"/>
      <w:start w:val="1"/>
    </w:lvl>
    <w:lvl w:ilvl="1">
      <w:lvlJc w:val="left"/>
      <w:lvlText w:val="%2."/>
      <w:numFmt w:val="decimal"/>
      <w:start w:val="12"/>
    </w:lvl>
  </w:abstractNum>
  <w:abstractNum w:abstractNumId="271">
    <w:nsid w:val="3AA10581"/>
    <w:multiLevelType w:val="hybridMultilevel"/>
    <w:lvl w:ilvl="0">
      <w:lvlJc w:val="left"/>
      <w:lvlText w:val="(%1)"/>
      <w:numFmt w:val="lowerRoman"/>
      <w:start w:val="4"/>
    </w:lvl>
    <w:lvl w:ilvl="1">
      <w:lvlJc w:val="left"/>
      <w:lvlText w:val="%2."/>
      <w:numFmt w:val="decimal"/>
      <w:start w:val="13"/>
    </w:lvl>
  </w:abstractNum>
  <w:abstractNum w:abstractNumId="272">
    <w:nsid w:val="63DE60CD"/>
    <w:multiLevelType w:val="hybridMultilevel"/>
    <w:lvl w:ilvl="0">
      <w:lvlJc w:val="left"/>
      <w:lvlText w:val="%1."/>
      <w:numFmt w:val="decimal"/>
      <w:start w:val="14"/>
    </w:lvl>
  </w:abstractNum>
  <w:abstractNum w:abstractNumId="273">
    <w:nsid w:val="621AF471"/>
    <w:multiLevelType w:val="hybridMultilevel"/>
    <w:lvl w:ilvl="0">
      <w:lvlJc w:val="left"/>
      <w:lvlText w:val="%1."/>
      <w:numFmt w:val="decimal"/>
      <w:start w:val="15"/>
    </w:lvl>
  </w:abstractNum>
  <w:abstractNum w:abstractNumId="274">
    <w:nsid w:val="73CFE165"/>
    <w:multiLevelType w:val="hybridMultilevel"/>
    <w:lvl w:ilvl="0">
      <w:lvlJc w:val="left"/>
      <w:lvlText w:val="%1."/>
      <w:numFmt w:val="decimal"/>
      <w:start w:val="16"/>
    </w:lvl>
  </w:abstractNum>
  <w:abstractNum w:abstractNumId="275">
    <w:nsid w:val="20F88EA6"/>
    <w:multiLevelType w:val="hybridMultilevel"/>
    <w:lvl w:ilvl="0">
      <w:lvlJc w:val="left"/>
      <w:lvlText w:val="%1."/>
      <w:numFmt w:val="decimal"/>
      <w:start w:val="17"/>
    </w:lvl>
  </w:abstractNum>
  <w:abstractNum w:abstractNumId="276">
    <w:nsid w:val="617C843E"/>
    <w:multiLevelType w:val="hybridMultilevel"/>
    <w:lvl w:ilvl="0">
      <w:lvlJc w:val="left"/>
      <w:lvlText w:val="(%1)"/>
      <w:numFmt w:val="decimal"/>
      <w:start w:val="30"/>
    </w:lvl>
  </w:abstractNum>
  <w:abstractNum w:abstractNumId="277">
    <w:nsid w:val="7B541FAB"/>
    <w:multiLevelType w:val="hybridMultilevel"/>
    <w:lvl w:ilvl="0">
      <w:lvlJc w:val="left"/>
      <w:lvlText w:val="%1."/>
      <w:numFmt w:val="decimal"/>
      <w:start w:val="18"/>
    </w:lvl>
  </w:abstractNum>
  <w:abstractNum w:abstractNumId="278">
    <w:nsid w:val="2A79EC49"/>
    <w:multiLevelType w:val="hybridMultilevel"/>
    <w:lvl w:ilvl="0">
      <w:lvlJc w:val="left"/>
      <w:lvlText w:val="%1."/>
      <w:numFmt w:val="decimal"/>
      <w:start w:val="19"/>
    </w:lvl>
  </w:abstractNum>
  <w:abstractNum w:abstractNumId="279">
    <w:nsid w:val="338125CF"/>
    <w:multiLevelType w:val="hybridMultilevel"/>
    <w:lvl w:ilvl="0">
      <w:lvlJc w:val="left"/>
      <w:lvlText w:val="(%1)"/>
      <w:numFmt w:val="lowerLetter"/>
      <w:start w:val="1"/>
    </w:lvl>
  </w:abstractNum>
  <w:abstractNum w:abstractNumId="280">
    <w:nsid w:val="47C7C971"/>
    <w:multiLevelType w:val="hybridMultilevel"/>
    <w:lvl w:ilvl="0">
      <w:lvlJc w:val="left"/>
      <w:lvlText w:val="(%1)"/>
      <w:numFmt w:val="lowerLetter"/>
      <w:start w:val="2"/>
    </w:lvl>
  </w:abstractNum>
  <w:abstractNum w:abstractNumId="281">
    <w:nsid w:val="46F8284B"/>
    <w:multiLevelType w:val="hybridMultilevel"/>
    <w:lvl w:ilvl="0">
      <w:lvlJc w:val="left"/>
      <w:lvlText w:val="%1."/>
      <w:numFmt w:val="decimal"/>
      <w:start w:val="20"/>
    </w:lvl>
  </w:abstractNum>
  <w:abstractNum w:abstractNumId="282">
    <w:nsid w:val="4FA327CE"/>
    <w:multiLevelType w:val="hybridMultilevel"/>
    <w:lvl w:ilvl="0">
      <w:lvlJc w:val="left"/>
      <w:lvlText w:val="(%1)"/>
      <w:numFmt w:val="lowerLetter"/>
      <w:start w:val="1"/>
    </w:lvl>
  </w:abstractNum>
  <w:abstractNum w:abstractNumId="283">
    <w:nsid w:val="1873983A"/>
    <w:multiLevelType w:val="hybridMultilevel"/>
    <w:lvl w:ilvl="0">
      <w:lvlJc w:val="left"/>
      <w:lvlText w:val="(%1)"/>
      <w:numFmt w:val="lowerLetter"/>
      <w:start w:val="1"/>
    </w:lvl>
  </w:abstractNum>
  <w:abstractNum w:abstractNumId="284">
    <w:nsid w:val="3D2DD275"/>
    <w:multiLevelType w:val="hybridMultilevel"/>
    <w:lvl w:ilvl="0">
      <w:lvlJc w:val="left"/>
      <w:lvlText w:val="(%1)"/>
      <w:numFmt w:val="lowerRoman"/>
      <w:start w:val="1"/>
    </w:lvl>
  </w:abstractNum>
  <w:abstractNum w:abstractNumId="285">
    <w:nsid w:val="2E17ECA7"/>
    <w:multiLevelType w:val="hybridMultilevel"/>
    <w:lvl w:ilvl="0">
      <w:lvlJc w:val="left"/>
      <w:lvlText w:val="(%1)"/>
      <w:numFmt w:val="lowerLetter"/>
      <w:start w:val="2"/>
    </w:lvl>
  </w:abstractNum>
  <w:abstractNum w:abstractNumId="286">
    <w:nsid w:val="53B2564F"/>
    <w:multiLevelType w:val="hybridMultilevel"/>
    <w:lvl w:ilvl="0">
      <w:lvlJc w:val="left"/>
      <w:lvlText w:val="(%1)"/>
      <w:numFmt w:val="lowerRoman"/>
      <w:start w:val="1"/>
    </w:lvl>
  </w:abstractNum>
  <w:abstractNum w:abstractNumId="287">
    <w:nsid w:val="75509D76"/>
    <w:multiLevelType w:val="hybridMultilevel"/>
    <w:lvl w:ilvl="0">
      <w:lvlJc w:val="left"/>
      <w:lvlText w:val="(%1)"/>
      <w:numFmt w:val="lowerRoman"/>
      <w:start w:val="2"/>
    </w:lvl>
  </w:abstractNum>
  <w:abstractNum w:abstractNumId="288">
    <w:nsid w:val="1AF7F0EA"/>
    <w:multiLevelType w:val="hybridMultilevel"/>
    <w:lvl w:ilvl="0">
      <w:lvlJc w:val="left"/>
      <w:lvlText w:val="(%1)"/>
      <w:numFmt w:val="lowerLetter"/>
      <w:start w:val="3"/>
    </w:lvl>
  </w:abstractNum>
  <w:abstractNum w:abstractNumId="289">
    <w:nsid w:val="4DA32C7E"/>
    <w:multiLevelType w:val="hybridMultilevel"/>
    <w:lvl w:ilvl="0">
      <w:lvlJc w:val="left"/>
      <w:lvlText w:val="%1"/>
      <w:numFmt w:val="decimal"/>
      <w:start w:val="1"/>
    </w:lvl>
    <w:lvl w:ilvl="1">
      <w:lvlJc w:val="left"/>
      <w:lvlText w:val="(%2)"/>
      <w:numFmt w:val="lowerLetter"/>
      <w:start w:val="1"/>
    </w:lvl>
  </w:abstractNum>
  <w:abstractNum w:abstractNumId="290">
    <w:nsid w:val="6EC68664"/>
    <w:multiLevelType w:val="hybridMultilevel"/>
    <w:lvl w:ilvl="0">
      <w:lvlJc w:val="left"/>
      <w:lvlText w:val="%1."/>
      <w:numFmt w:val="decimal"/>
      <w:start w:val="21"/>
    </w:lvl>
    <w:lvl w:ilvl="1">
      <w:lvlJc w:val="left"/>
      <w:lvlText w:val="%2"/>
      <w:numFmt w:val="lowerLetter"/>
      <w:start w:val="1"/>
    </w:lvl>
  </w:abstractNum>
  <w:abstractNum w:abstractNumId="291">
    <w:nsid w:val="E0D31FF"/>
    <w:multiLevelType w:val="hybridMultilevel"/>
    <w:lvl w:ilvl="0">
      <w:lvlJc w:val="left"/>
      <w:lvlText w:val="%1."/>
      <w:numFmt w:val="decimal"/>
      <w:start w:val="22"/>
    </w:lvl>
  </w:abstractNum>
  <w:abstractNum w:abstractNumId="292">
    <w:nsid w:val="2FD0AD81"/>
    <w:multiLevelType w:val="hybridMultilevel"/>
    <w:lvl w:ilvl="0">
      <w:lvlJc w:val="left"/>
      <w:lvlText w:val="%1."/>
      <w:numFmt w:val="decimal"/>
      <w:start w:val="24"/>
    </w:lvl>
  </w:abstractNum>
  <w:abstractNum w:abstractNumId="293">
    <w:nsid w:val="1978EBEB"/>
    <w:multiLevelType w:val="hybridMultilevel"/>
    <w:lvl w:ilvl="0">
      <w:lvlJc w:val="left"/>
      <w:lvlText w:val="%1."/>
      <w:numFmt w:val="decimal"/>
      <w:start w:val="25"/>
    </w:lvl>
  </w:abstractNum>
  <w:abstractNum w:abstractNumId="294">
    <w:nsid w:val="52C12C61"/>
    <w:multiLevelType w:val="hybridMultilevel"/>
    <w:lvl w:ilvl="0">
      <w:lvlJc w:val="left"/>
      <w:lvlText w:val="(%1)"/>
      <w:numFmt w:val="lowerLetter"/>
      <w:start w:val="1"/>
    </w:lvl>
  </w:abstractNum>
  <w:abstractNum w:abstractNumId="295">
    <w:nsid w:val="4BDD53FD"/>
    <w:multiLevelType w:val="hybridMultilevel"/>
    <w:lvl w:ilvl="0">
      <w:lvlJc w:val="left"/>
      <w:lvlText w:val="%1."/>
      <w:numFmt w:val="decimal"/>
      <w:start w:val="32"/>
    </w:lvl>
  </w:abstractNum>
  <w:abstractNum w:abstractNumId="296">
    <w:nsid w:val="569951FE"/>
    <w:multiLevelType w:val="hybridMultilevel"/>
    <w:lvl w:ilvl="0">
      <w:lvlJc w:val="left"/>
      <w:lvlText w:val="(%1)"/>
      <w:numFmt w:val="lowerLetter"/>
      <w:start w:val="1"/>
    </w:lvl>
  </w:abstractNum>
  <w:abstractNum w:abstractNumId="297">
    <w:nsid w:val="4C54E2C3"/>
    <w:multiLevelType w:val="hybridMultilevel"/>
    <w:lvl w:ilvl="0">
      <w:lvlJc w:val="left"/>
      <w:lvlText w:val="(%1)"/>
      <w:numFmt w:val="lowerLetter"/>
      <w:start w:val="3"/>
    </w:lvl>
  </w:abstractNum>
  <w:abstractNum w:abstractNumId="298">
    <w:nsid w:val="788BD9B"/>
    <w:multiLevelType w:val="hybridMultilevel"/>
    <w:lvl w:ilvl="0">
      <w:lvlJc w:val="left"/>
      <w:lvlText w:val="(%1)"/>
      <w:numFmt w:val="decimal"/>
      <w:start w:val="1"/>
    </w:lvl>
  </w:abstractNum>
  <w:abstractNum w:abstractNumId="299">
    <w:nsid w:val="47CAA567"/>
    <w:multiLevelType w:val="hybridMultilevel"/>
    <w:lvl w:ilvl="0">
      <w:lvlJc w:val="left"/>
      <w:lvlText w:val="(%1)"/>
      <w:numFmt w:val="decimal"/>
      <w:start w:val="5"/>
    </w:lvl>
  </w:abstractNum>
  <w:abstractNum w:abstractNumId="300">
    <w:nsid w:val="48249DBF"/>
    <w:multiLevelType w:val="hybridMultilevel"/>
    <w:lvl w:ilvl="0">
      <w:lvlJc w:val="left"/>
      <w:lvlText w:val="(%1)"/>
      <w:numFmt w:val="decimal"/>
      <w:start w:val="8"/>
    </w:lvl>
  </w:abstractNum>
  <w:abstractNum w:abstractNumId="301">
    <w:nsid w:val="1F0E5D0D"/>
    <w:multiLevelType w:val="hybridMultilevel"/>
    <w:lvl w:ilvl="0">
      <w:lvlJc w:val="left"/>
      <w:lvlText w:val="(%1)"/>
      <w:numFmt w:val="lowerLetter"/>
      <w:start w:val="1"/>
    </w:lvl>
  </w:abstractNum>
  <w:abstractNum w:abstractNumId="302">
    <w:nsid w:val="26BAAE9"/>
    <w:multiLevelType w:val="hybridMultilevel"/>
    <w:lvl w:ilvl="0">
      <w:lvlJc w:val="left"/>
      <w:lvlText w:val="(%1)"/>
      <w:numFmt w:val="lowerLetter"/>
      <w:start w:val="4"/>
    </w:lvl>
  </w:abstractNum>
  <w:abstractNum w:abstractNumId="303">
    <w:nsid w:val="2C02FE8C"/>
    <w:multiLevelType w:val="hybridMultilevel"/>
    <w:lvl w:ilvl="0">
      <w:lvlJc w:val="left"/>
      <w:lvlText w:val="(%1)"/>
      <w:numFmt w:val="lowerLetter"/>
      <w:start w:val="2"/>
    </w:lvl>
  </w:abstractNum>
  <w:abstractNum w:abstractNumId="304">
    <w:nsid w:val="129517E"/>
    <w:multiLevelType w:val="hybridMultilevel"/>
    <w:lvl w:ilvl="0">
      <w:lvlJc w:val="left"/>
      <w:lvlText w:val="(%1)"/>
      <w:numFmt w:val="lowerLetter"/>
      <w:start w:val="3"/>
    </w:lvl>
  </w:abstractNum>
  <w:abstractNum w:abstractNumId="305">
    <w:nsid w:val="763B8C4E"/>
    <w:multiLevelType w:val="hybridMultilevel"/>
    <w:lvl w:ilvl="0">
      <w:lvlJc w:val="left"/>
      <w:lvlText w:val="(%1)"/>
      <w:numFmt w:val="lowerRoman"/>
      <w:start w:val="1"/>
    </w:lvl>
  </w:abstractNum>
  <w:abstractNum w:abstractNumId="306">
    <w:nsid w:val="4CFB8D32"/>
    <w:multiLevelType w:val="hybridMultilevel"/>
    <w:lvl w:ilvl="0">
      <w:lvlJc w:val="left"/>
      <w:lvlText w:val="(%1)"/>
      <w:numFmt w:val="lowerLetter"/>
      <w:start w:val="1"/>
    </w:lvl>
  </w:abstractNum>
  <w:abstractNum w:abstractNumId="307">
    <w:nsid w:val="62A5D5BD"/>
    <w:multiLevelType w:val="hybridMultilevel"/>
    <w:lvl w:ilvl="0">
      <w:lvlJc w:val="left"/>
      <w:lvlText w:val="(%1)"/>
      <w:numFmt w:val="lowerLetter"/>
      <w:start w:val="1"/>
    </w:lvl>
  </w:abstractNum>
  <w:abstractNum w:abstractNumId="308">
    <w:nsid w:val="718FABF9"/>
    <w:multiLevelType w:val="hybridMultilevel"/>
    <w:lvl w:ilvl="0">
      <w:lvlJc w:val="left"/>
      <w:lvlText w:val="(%1)"/>
      <w:numFmt w:val="lowerLetter"/>
      <w:start w:val="2"/>
    </w:lvl>
  </w:abstractNum>
  <w:abstractNum w:abstractNumId="309">
    <w:nsid w:val="7775797C"/>
    <w:multiLevelType w:val="hybridMultilevel"/>
    <w:lvl w:ilvl="0">
      <w:lvlJc w:val="left"/>
      <w:lvlText w:val="(%1)"/>
      <w:numFmt w:val="lowerLetter"/>
      <w:start w:val="1"/>
    </w:lvl>
  </w:abstractNum>
  <w:abstractNum w:abstractNumId="310">
    <w:nsid w:val="1626FB8C"/>
    <w:multiLevelType w:val="hybridMultilevel"/>
    <w:lvl w:ilvl="0">
      <w:lvlJc w:val="left"/>
      <w:lvlText w:val="(%1)"/>
      <w:numFmt w:val="lowerLetter"/>
      <w:start w:val="2"/>
    </w:lvl>
  </w:abstractNum>
  <w:abstractNum w:abstractNumId="311">
    <w:nsid w:val="3957756A"/>
    <w:multiLevelType w:val="hybridMultilevel"/>
    <w:lvl w:ilvl="0">
      <w:lvlJc w:val="left"/>
      <w:lvlText w:val="(%1)"/>
      <w:numFmt w:val="lowerLetter"/>
      <w:start w:val="1"/>
    </w:lvl>
  </w:abstractNum>
  <w:abstractNum w:abstractNumId="312">
    <w:nsid w:val="3E6DA1C7"/>
    <w:multiLevelType w:val="hybridMultilevel"/>
    <w:lvl w:ilvl="0">
      <w:lvlJc w:val="left"/>
      <w:lvlText w:val="%1"/>
      <w:numFmt w:val="lowerRoman"/>
      <w:start w:val="1"/>
    </w:lvl>
    <w:lvl w:ilvl="1">
      <w:lvlJc w:val="left"/>
      <w:lvlText w:val="(%2)"/>
      <w:numFmt w:val="lowerLetter"/>
      <w:start w:val="1"/>
    </w:lvl>
  </w:abstractNum>
  <w:abstractNum w:abstractNumId="313">
    <w:nsid w:val="65CA235B"/>
    <w:multiLevelType w:val="hybridMultilevel"/>
    <w:lvl w:ilvl="0">
      <w:lvlJc w:val="left"/>
      <w:lvlText w:val="(%1)"/>
      <w:numFmt w:val="lowerRoman"/>
      <w:start w:val="8"/>
    </w:lvl>
    <w:lvl w:ilvl="1">
      <w:lvlJc w:val="left"/>
      <w:lvlText w:val="%2"/>
      <w:numFmt w:val="lowerLetter"/>
      <w:start w:val="1"/>
    </w:lvl>
  </w:abstractNum>
  <w:abstractNum w:abstractNumId="314">
    <w:nsid w:val="51CB0DA4"/>
    <w:multiLevelType w:val="hybridMultilevel"/>
    <w:lvl w:ilvl="0">
      <w:lvlJc w:val="left"/>
      <w:lvlText w:val="(%1)"/>
      <w:numFmt w:val="lowerLetter"/>
      <w:start w:val="1"/>
    </w:lvl>
  </w:abstractNum>
  <w:abstractNum w:abstractNumId="315">
    <w:nsid w:val="7B9B743C"/>
    <w:multiLevelType w:val="hybridMultilevel"/>
    <w:lvl w:ilvl="0">
      <w:lvlJc w:val="left"/>
      <w:lvlText w:val="(%1)"/>
      <w:numFmt w:val="lowerLetter"/>
      <w:start w:val="3"/>
    </w:lvl>
  </w:abstractNum>
  <w:abstractNum w:abstractNumId="316">
    <w:nsid w:val="13E21002"/>
    <w:multiLevelType w:val="hybridMultilevel"/>
    <w:lvl w:ilvl="0">
      <w:lvlJc w:val="left"/>
      <w:lvlText w:val="(%1)"/>
      <w:numFmt w:val="lowerRoman"/>
      <w:start w:val="1"/>
    </w:lvl>
  </w:abstractNum>
  <w:abstractNum w:abstractNumId="317">
    <w:nsid w:val="257D63F4"/>
    <w:multiLevelType w:val="hybridMultilevel"/>
    <w:lvl w:ilvl="0">
      <w:lvlJc w:val="left"/>
      <w:lvlText w:val="(%1)"/>
      <w:numFmt w:val="lowerRoman"/>
      <w:start w:val="1"/>
    </w:lvl>
  </w:abstractNum>
  <w:abstractNum w:abstractNumId="318">
    <w:nsid w:val="70EC11B2"/>
    <w:multiLevelType w:val="hybridMultilevel"/>
    <w:lvl w:ilvl="0">
      <w:lvlJc w:val="left"/>
      <w:lvlText w:val="(%1)"/>
      <w:numFmt w:val="lowerLetter"/>
      <w:start w:val="1"/>
    </w:lvl>
  </w:abstractNum>
  <w:abstractNum w:abstractNumId="319">
    <w:nsid w:val="2EDA00ED"/>
    <w:multiLevelType w:val="hybridMultilevel"/>
    <w:lvl w:ilvl="0">
      <w:lvlJc w:val="left"/>
      <w:lvlText w:val="(%1)"/>
      <w:numFmt w:val="lowerLetter"/>
      <w:start w:val="3"/>
    </w:lvl>
  </w:abstractNum>
  <w:abstractNum w:abstractNumId="320">
    <w:nsid w:val="73209072"/>
    <w:multiLevelType w:val="hybridMultilevel"/>
    <w:lvl w:ilvl="0">
      <w:lvlJc w:val="left"/>
      <w:lvlText w:val="%1."/>
      <w:numFmt w:val="decimal"/>
      <w:start w:val="1"/>
    </w:lvl>
    <w:lvl w:ilvl="1">
      <w:lvlJc w:val="left"/>
      <w:lvlText w:val="(%2)"/>
      <w:numFmt w:val="lowerLetter"/>
      <w:start w:val="1"/>
    </w:lvl>
  </w:abstractNum>
  <w:abstractNum w:abstractNumId="321">
    <w:nsid w:val="5FB29816"/>
    <w:multiLevelType w:val="hybridMultilevel"/>
    <w:lvl w:ilvl="0">
      <w:lvlJc w:val="left"/>
      <w:lvlText w:val="%1."/>
      <w:numFmt w:val="decimal"/>
      <w:start w:val="1"/>
    </w:lvl>
    <w:lvl w:ilvl="1">
      <w:lvlJc w:val="left"/>
      <w:lvlText w:val="(%2)"/>
      <w:numFmt w:val="lowerLetter"/>
      <w:start w:val="1"/>
    </w:lvl>
  </w:abstractNum>
  <w:abstractNum w:abstractNumId="322">
    <w:nsid w:val="3CE732EC"/>
    <w:multiLevelType w:val="hybridMultilevel"/>
    <w:lvl w:ilvl="0">
      <w:lvlJc w:val="left"/>
      <w:lvlText w:val="(%1)"/>
      <w:numFmt w:val="decimal"/>
      <w:start w:val="1"/>
    </w:lvl>
  </w:abstractNum>
  <w:abstractNum w:abstractNumId="323">
    <w:nsid w:val="22F13DF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2019-12-29T13:55:13Z</dcterms:created>
  <dcterms:modified xsi:type="dcterms:W3CDTF">2019-12-29T13:55:13Z</dcterms:modified>
</cp:coreProperties>
</file>