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8820" w:type="dxa"/>
            <w:vAlign w:val="bottom"/>
          </w:tcPr>
          <w:p>
            <w:pPr>
              <w:jc w:val="center"/>
              <w:ind w:left="162"/>
              <w:spacing w:after="0"/>
              <w:rPr>
                <w:sz w:val="20"/>
                <w:szCs w:val="20"/>
                <w:color w:val="auto"/>
              </w:rPr>
            </w:pPr>
            <w:r>
              <w:rPr>
                <w:rFonts w:ascii="Arial" w:cs="Arial" w:eastAsia="Arial" w:hAnsi="Arial"/>
                <w:sz w:val="16"/>
                <w:szCs w:val="16"/>
                <w:b w:val="1"/>
                <w:bCs w:val="1"/>
                <w:color w:val="auto"/>
                <w:w w:val="96"/>
              </w:rPr>
              <w:t>UNITED STATES SECURITIES AND EXCHANGE COMMISSION</w:t>
            </w:r>
          </w:p>
        </w:tc>
        <w:tc>
          <w:tcPr>
            <w:tcW w:w="0" w:type="dxa"/>
            <w:vAlign w:val="bottom"/>
          </w:tcPr>
          <w:p>
            <w:pPr>
              <w:spacing w:after="0"/>
              <w:rPr>
                <w:sz w:val="1"/>
                <w:szCs w:val="1"/>
                <w:color w:val="auto"/>
              </w:rPr>
            </w:pPr>
          </w:p>
        </w:tc>
      </w:tr>
      <w:tr>
        <w:trPr>
          <w:trHeight w:val="214"/>
        </w:trPr>
        <w:tc>
          <w:tcPr>
            <w:tcW w:w="1080" w:type="dxa"/>
            <w:vAlign w:val="bottom"/>
          </w:tcPr>
          <w:p>
            <w:pPr>
              <w:spacing w:after="0"/>
              <w:rPr>
                <w:sz w:val="18"/>
                <w:szCs w:val="18"/>
                <w:color w:val="auto"/>
              </w:rPr>
            </w:pPr>
          </w:p>
        </w:tc>
        <w:tc>
          <w:tcPr>
            <w:tcW w:w="8820" w:type="dxa"/>
            <w:vAlign w:val="bottom"/>
          </w:tcPr>
          <w:p>
            <w:pPr>
              <w:jc w:val="center"/>
              <w:ind w:left="162"/>
              <w:spacing w:after="0"/>
              <w:rPr>
                <w:sz w:val="20"/>
                <w:szCs w:val="20"/>
                <w:color w:val="auto"/>
              </w:rPr>
            </w:pPr>
            <w:r>
              <w:rPr>
                <w:rFonts w:ascii="Arial" w:cs="Arial" w:eastAsia="Arial" w:hAnsi="Arial"/>
                <w:sz w:val="16"/>
                <w:szCs w:val="16"/>
                <w:b w:val="1"/>
                <w:bCs w:val="1"/>
                <w:color w:val="auto"/>
                <w:w w:val="96"/>
              </w:rPr>
              <w:t>WASHINGTON, D.C. 20549</w:t>
            </w:r>
          </w:p>
        </w:tc>
        <w:tc>
          <w:tcPr>
            <w:tcW w:w="0" w:type="dxa"/>
            <w:vAlign w:val="bottom"/>
          </w:tcPr>
          <w:p>
            <w:pPr>
              <w:spacing w:after="0"/>
              <w:rPr>
                <w:sz w:val="1"/>
                <w:szCs w:val="1"/>
                <w:color w:val="auto"/>
              </w:rPr>
            </w:pPr>
          </w:p>
        </w:tc>
      </w:tr>
      <w:tr>
        <w:trPr>
          <w:trHeight w:val="316"/>
        </w:trPr>
        <w:tc>
          <w:tcPr>
            <w:tcW w:w="108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8820" w:type="dxa"/>
            <w:vAlign w:val="bottom"/>
          </w:tcPr>
          <w:p>
            <w:pPr>
              <w:jc w:val="center"/>
              <w:ind w:left="162"/>
              <w:spacing w:after="0"/>
              <w:rPr>
                <w:sz w:val="20"/>
                <w:szCs w:val="20"/>
                <w:color w:val="auto"/>
              </w:rPr>
            </w:pPr>
            <w:r>
              <w:rPr>
                <w:rFonts w:ascii="Arial" w:cs="Arial" w:eastAsia="Arial" w:hAnsi="Arial"/>
                <w:sz w:val="17"/>
                <w:szCs w:val="17"/>
                <w:b w:val="1"/>
                <w:bCs w:val="1"/>
                <w:color w:val="auto"/>
              </w:rPr>
              <w:t>FORM 10-Q</w:t>
            </w:r>
          </w:p>
        </w:tc>
        <w:tc>
          <w:tcPr>
            <w:tcW w:w="0" w:type="dxa"/>
            <w:vAlign w:val="bottom"/>
          </w:tcPr>
          <w:p>
            <w:pPr>
              <w:spacing w:after="0"/>
              <w:rPr>
                <w:sz w:val="1"/>
                <w:szCs w:val="1"/>
                <w:color w:val="auto"/>
              </w:rPr>
            </w:pPr>
          </w:p>
        </w:tc>
      </w:tr>
      <w:tr>
        <w:trPr>
          <w:trHeight w:val="259"/>
        </w:trPr>
        <w:tc>
          <w:tcPr>
            <w:tcW w:w="1080" w:type="dxa"/>
            <w:vAlign w:val="bottom"/>
            <w:vMerge w:val="continue"/>
          </w:tcPr>
          <w:p>
            <w:pPr>
              <w:spacing w:after="0"/>
              <w:rPr>
                <w:sz w:val="22"/>
                <w:szCs w:val="22"/>
                <w:color w:val="auto"/>
              </w:rPr>
            </w:pPr>
          </w:p>
        </w:tc>
        <w:tc>
          <w:tcPr>
            <w:tcW w:w="8820" w:type="dxa"/>
            <w:vAlign w:val="bottom"/>
          </w:tcPr>
          <w:p>
            <w:pPr>
              <w:ind w:left="920"/>
              <w:spacing w:after="0"/>
              <w:rPr>
                <w:sz w:val="20"/>
                <w:szCs w:val="20"/>
                <w:color w:val="auto"/>
              </w:rPr>
            </w:pPr>
            <w:r>
              <w:rPr>
                <w:rFonts w:ascii="Arial" w:cs="Arial" w:eastAsia="Arial" w:hAnsi="Arial"/>
                <w:sz w:val="16"/>
                <w:szCs w:val="16"/>
                <w:color w:val="auto"/>
                <w:w w:val="96"/>
              </w:rPr>
              <w:t>QUARTERLY REPORT PURSUANT TO SECTION 13 OR 15(d) OF THE SECURITIES EXCHANGE ACT OF 1934</w:t>
            </w:r>
          </w:p>
        </w:tc>
        <w:tc>
          <w:tcPr>
            <w:tcW w:w="0" w:type="dxa"/>
            <w:vAlign w:val="bottom"/>
          </w:tcPr>
          <w:p>
            <w:pPr>
              <w:spacing w:after="0"/>
              <w:rPr>
                <w:sz w:val="1"/>
                <w:szCs w:val="1"/>
                <w:color w:val="auto"/>
              </w:rPr>
            </w:pPr>
          </w:p>
        </w:tc>
      </w:tr>
      <w:tr>
        <w:trPr>
          <w:trHeight w:val="445"/>
        </w:trPr>
        <w:tc>
          <w:tcPr>
            <w:tcW w:w="1080" w:type="dxa"/>
            <w:vAlign w:val="bottom"/>
          </w:tcPr>
          <w:p>
            <w:pPr>
              <w:spacing w:after="0"/>
              <w:rPr>
                <w:sz w:val="24"/>
                <w:szCs w:val="24"/>
                <w:color w:val="auto"/>
              </w:rPr>
            </w:pPr>
          </w:p>
        </w:tc>
        <w:tc>
          <w:tcPr>
            <w:tcW w:w="8820" w:type="dxa"/>
            <w:vAlign w:val="bottom"/>
          </w:tcPr>
          <w:p>
            <w:pPr>
              <w:jc w:val="center"/>
              <w:ind w:left="142"/>
              <w:spacing w:after="0"/>
              <w:rPr>
                <w:sz w:val="20"/>
                <w:szCs w:val="20"/>
                <w:color w:val="auto"/>
              </w:rPr>
            </w:pPr>
            <w:r>
              <w:rPr>
                <w:rFonts w:ascii="Arial" w:cs="Arial" w:eastAsia="Arial" w:hAnsi="Arial"/>
                <w:sz w:val="16"/>
                <w:szCs w:val="16"/>
                <w:color w:val="auto"/>
                <w:w w:val="97"/>
              </w:rPr>
              <w:t xml:space="preserve">For the quarterly period ended </w:t>
            </w:r>
            <w:r>
              <w:rPr>
                <w:rFonts w:ascii="Arial" w:cs="Arial" w:eastAsia="Arial" w:hAnsi="Arial"/>
                <w:sz w:val="16"/>
                <w:szCs w:val="16"/>
                <w:b w:val="1"/>
                <w:bCs w:val="1"/>
                <w:color w:val="auto"/>
                <w:w w:val="97"/>
              </w:rPr>
              <w:t>March 31, 2024</w:t>
            </w:r>
          </w:p>
        </w:tc>
        <w:tc>
          <w:tcPr>
            <w:tcW w:w="0" w:type="dxa"/>
            <w:vAlign w:val="bottom"/>
          </w:tcPr>
          <w:p>
            <w:pPr>
              <w:spacing w:after="0"/>
              <w:rPr>
                <w:sz w:val="1"/>
                <w:szCs w:val="1"/>
                <w:color w:val="auto"/>
              </w:rPr>
            </w:pPr>
          </w:p>
        </w:tc>
      </w:tr>
      <w:tr>
        <w:trPr>
          <w:trHeight w:val="225"/>
        </w:trPr>
        <w:tc>
          <w:tcPr>
            <w:tcW w:w="108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8820" w:type="dxa"/>
            <w:vAlign w:val="bottom"/>
          </w:tcPr>
          <w:p>
            <w:pPr>
              <w:jc w:val="center"/>
              <w:ind w:left="142"/>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73"/>
        </w:trPr>
        <w:tc>
          <w:tcPr>
            <w:tcW w:w="1080" w:type="dxa"/>
            <w:vAlign w:val="bottom"/>
            <w:vMerge w:val="continue"/>
          </w:tcPr>
          <w:p>
            <w:pPr>
              <w:spacing w:after="0"/>
              <w:rPr>
                <w:sz w:val="23"/>
                <w:szCs w:val="23"/>
                <w:color w:val="auto"/>
              </w:rPr>
            </w:pPr>
          </w:p>
        </w:tc>
        <w:tc>
          <w:tcPr>
            <w:tcW w:w="8820" w:type="dxa"/>
            <w:vAlign w:val="bottom"/>
          </w:tcPr>
          <w:p>
            <w:pPr>
              <w:ind w:left="900"/>
              <w:spacing w:after="0"/>
              <w:rPr>
                <w:sz w:val="20"/>
                <w:szCs w:val="20"/>
                <w:color w:val="auto"/>
              </w:rPr>
            </w:pPr>
            <w:r>
              <w:rPr>
                <w:rFonts w:ascii="Arial" w:cs="Arial" w:eastAsia="Arial" w:hAnsi="Arial"/>
                <w:sz w:val="16"/>
                <w:szCs w:val="16"/>
                <w:color w:val="auto"/>
                <w:w w:val="96"/>
              </w:rPr>
              <w:t>TRANSITION REPORT PURSUANT TO SECTION 13 OR 15(d) OF THE SECURITIES EXCHANGE ACT OF 1934</w:t>
            </w:r>
          </w:p>
        </w:tc>
        <w:tc>
          <w:tcPr>
            <w:tcW w:w="0" w:type="dxa"/>
            <w:vAlign w:val="bottom"/>
          </w:tcPr>
          <w:p>
            <w:pPr>
              <w:spacing w:after="0"/>
              <w:rPr>
                <w:sz w:val="1"/>
                <w:szCs w:val="1"/>
                <w:color w:val="auto"/>
              </w:rPr>
            </w:pPr>
          </w:p>
        </w:tc>
      </w:tr>
      <w:tr>
        <w:trPr>
          <w:trHeight w:val="476"/>
        </w:trPr>
        <w:tc>
          <w:tcPr>
            <w:tcW w:w="1080" w:type="dxa"/>
            <w:vAlign w:val="bottom"/>
          </w:tcPr>
          <w:p>
            <w:pPr>
              <w:spacing w:after="0"/>
              <w:rPr>
                <w:sz w:val="24"/>
                <w:szCs w:val="24"/>
                <w:color w:val="auto"/>
              </w:rPr>
            </w:pPr>
          </w:p>
        </w:tc>
        <w:tc>
          <w:tcPr>
            <w:tcW w:w="8820" w:type="dxa"/>
            <w:vAlign w:val="bottom"/>
          </w:tcPr>
          <w:p>
            <w:pPr>
              <w:jc w:val="center"/>
              <w:ind w:left="162"/>
              <w:spacing w:after="0"/>
              <w:rPr>
                <w:sz w:val="20"/>
                <w:szCs w:val="20"/>
                <w:color w:val="auto"/>
              </w:rPr>
            </w:pPr>
            <w:r>
              <w:rPr>
                <w:rFonts w:ascii="Arial" w:cs="Arial" w:eastAsia="Arial" w:hAnsi="Arial"/>
                <w:sz w:val="16"/>
                <w:szCs w:val="16"/>
                <w:color w:val="auto"/>
                <w:w w:val="96"/>
              </w:rPr>
              <w:t>For the transition period from ____ to ____</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2"/>
                <w:szCs w:val="22"/>
                <w:color w:val="auto"/>
              </w:rPr>
            </w:pPr>
          </w:p>
        </w:tc>
        <w:tc>
          <w:tcPr>
            <w:tcW w:w="8820" w:type="dxa"/>
            <w:vAlign w:val="bottom"/>
          </w:tcPr>
          <w:p>
            <w:pPr>
              <w:jc w:val="center"/>
              <w:ind w:left="142"/>
              <w:spacing w:after="0"/>
              <w:rPr>
                <w:sz w:val="20"/>
                <w:szCs w:val="20"/>
                <w:color w:val="auto"/>
              </w:rPr>
            </w:pPr>
            <w:r>
              <w:rPr>
                <w:rFonts w:ascii="Arial" w:cs="Arial" w:eastAsia="Arial" w:hAnsi="Arial"/>
                <w:sz w:val="16"/>
                <w:szCs w:val="16"/>
                <w:color w:val="auto"/>
                <w:w w:val="96"/>
              </w:rPr>
              <w:t xml:space="preserve">Commission file number </w:t>
            </w:r>
            <w:r>
              <w:rPr>
                <w:rFonts w:ascii="Arial" w:cs="Arial" w:eastAsia="Arial" w:hAnsi="Arial"/>
                <w:sz w:val="16"/>
                <w:szCs w:val="16"/>
                <w:b w:val="1"/>
                <w:bCs w:val="1"/>
                <w:color w:val="auto"/>
                <w:w w:val="96"/>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53340</wp:posOffset>
            </wp:positionV>
            <wp:extent cx="1238885" cy="475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885" cy="475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FTAI AVIATION LTD.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300" w:type="dxa"/>
            <w:vAlign w:val="bottom"/>
            <w:tcBorders>
              <w:bottom w:val="single" w:sz="8" w:color="auto"/>
            </w:tcBorders>
          </w:tcPr>
          <w:p>
            <w:pPr>
              <w:jc w:val="center"/>
              <w:ind w:left="1802"/>
              <w:spacing w:after="0"/>
              <w:rPr>
                <w:sz w:val="20"/>
                <w:szCs w:val="20"/>
                <w:color w:val="auto"/>
              </w:rPr>
            </w:pPr>
            <w:r>
              <w:rPr>
                <w:rFonts w:ascii="Arial" w:cs="Arial" w:eastAsia="Arial" w:hAnsi="Arial"/>
                <w:sz w:val="16"/>
                <w:szCs w:val="16"/>
                <w:b w:val="1"/>
                <w:bCs w:val="1"/>
                <w:color w:val="auto"/>
                <w:w w:val="96"/>
              </w:rPr>
              <w:t>Cayman Islands</w:t>
            </w:r>
          </w:p>
        </w:tc>
        <w:tc>
          <w:tcPr>
            <w:tcW w:w="1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3"/>
          </w:tcPr>
          <w:p>
            <w:pPr>
              <w:jc w:val="right"/>
              <w:ind w:right="1982"/>
              <w:spacing w:after="0"/>
              <w:rPr>
                <w:sz w:val="20"/>
                <w:szCs w:val="20"/>
                <w:color w:val="auto"/>
              </w:rPr>
            </w:pPr>
            <w:r>
              <w:rPr>
                <w:rFonts w:ascii="Arial" w:cs="Arial" w:eastAsia="Arial" w:hAnsi="Arial"/>
                <w:sz w:val="16"/>
                <w:szCs w:val="16"/>
                <w:b w:val="1"/>
                <w:bCs w:val="1"/>
                <w:color w:val="auto"/>
              </w:rPr>
              <w:t>98-1420784</w:t>
            </w:r>
          </w:p>
        </w:tc>
      </w:tr>
      <w:tr>
        <w:trPr>
          <w:trHeight w:val="198"/>
        </w:trPr>
        <w:tc>
          <w:tcPr>
            <w:tcW w:w="628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(State or other jurisdiction of incorporation or organization)</w:t>
            </w:r>
          </w:p>
        </w:tc>
        <w:tc>
          <w:tcPr>
            <w:tcW w:w="1120" w:type="dxa"/>
            <w:vAlign w:val="bottom"/>
          </w:tcPr>
          <w:p>
            <w:pPr>
              <w:spacing w:after="0"/>
              <w:rPr>
                <w:sz w:val="17"/>
                <w:szCs w:val="17"/>
                <w:color w:val="auto"/>
              </w:rPr>
            </w:pPr>
          </w:p>
        </w:tc>
        <w:tc>
          <w:tcPr>
            <w:tcW w:w="3820" w:type="dxa"/>
            <w:vAlign w:val="bottom"/>
            <w:gridSpan w:val="3"/>
          </w:tcPr>
          <w:p>
            <w:pPr>
              <w:jc w:val="center"/>
              <w:ind w:right="1042"/>
              <w:spacing w:after="0"/>
              <w:rPr>
                <w:sz w:val="20"/>
                <w:szCs w:val="20"/>
                <w:color w:val="auto"/>
              </w:rPr>
            </w:pPr>
            <w:r>
              <w:rPr>
                <w:rFonts w:ascii="Arial" w:cs="Arial" w:eastAsia="Arial" w:hAnsi="Arial"/>
                <w:sz w:val="16"/>
                <w:szCs w:val="16"/>
                <w:color w:val="auto"/>
                <w:w w:val="96"/>
              </w:rPr>
              <w:t>(I.R.S. Employer Identification No.)</w:t>
            </w:r>
          </w:p>
        </w:tc>
      </w:tr>
      <w:tr>
        <w:trPr>
          <w:trHeight w:val="415"/>
        </w:trPr>
        <w:tc>
          <w:tcPr>
            <w:tcW w:w="4300" w:type="dxa"/>
            <w:vAlign w:val="bottom"/>
          </w:tcPr>
          <w:p>
            <w:pPr>
              <w:ind w:left="660"/>
              <w:spacing w:after="0"/>
              <w:rPr>
                <w:sz w:val="20"/>
                <w:szCs w:val="20"/>
                <w:color w:val="auto"/>
              </w:rPr>
            </w:pPr>
            <w:r>
              <w:rPr>
                <w:rFonts w:ascii="Arial" w:cs="Arial" w:eastAsia="Arial" w:hAnsi="Arial"/>
                <w:sz w:val="16"/>
                <w:szCs w:val="16"/>
                <w:b w:val="1"/>
                <w:bCs w:val="1"/>
                <w:color w:val="auto"/>
              </w:rPr>
              <w:t>1345 Avenue of the Americas, 45th Floor</w:t>
            </w:r>
          </w:p>
        </w:tc>
        <w:tc>
          <w:tcPr>
            <w:tcW w:w="1980" w:type="dxa"/>
            <w:vAlign w:val="bottom"/>
            <w:gridSpan w:val="2"/>
          </w:tcPr>
          <w:p>
            <w:pPr>
              <w:ind w:left="640"/>
              <w:spacing w:after="0"/>
              <w:rPr>
                <w:sz w:val="20"/>
                <w:szCs w:val="20"/>
                <w:color w:val="auto"/>
              </w:rPr>
            </w:pPr>
            <w:r>
              <w:rPr>
                <w:rFonts w:ascii="Arial" w:cs="Arial" w:eastAsia="Arial" w:hAnsi="Arial"/>
                <w:sz w:val="16"/>
                <w:szCs w:val="16"/>
                <w:b w:val="1"/>
                <w:bCs w:val="1"/>
                <w:color w:val="auto"/>
              </w:rPr>
              <w:t>New York</w:t>
            </w:r>
          </w:p>
        </w:tc>
        <w:tc>
          <w:tcPr>
            <w:tcW w:w="112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20" w:type="dxa"/>
            <w:vAlign w:val="bottom"/>
            <w:gridSpan w:val="3"/>
          </w:tcPr>
          <w:p>
            <w:pPr>
              <w:jc w:val="right"/>
              <w:ind w:right="1242"/>
              <w:spacing w:after="0"/>
              <w:rPr>
                <w:sz w:val="20"/>
                <w:szCs w:val="20"/>
                <w:color w:val="auto"/>
              </w:rPr>
            </w:pPr>
            <w:r>
              <w:rPr>
                <w:rFonts w:ascii="Arial" w:cs="Arial" w:eastAsia="Arial" w:hAnsi="Arial"/>
                <w:sz w:val="16"/>
                <w:szCs w:val="16"/>
                <w:b w:val="1"/>
                <w:bCs w:val="1"/>
                <w:color w:val="auto"/>
              </w:rPr>
              <w:t>10105</w:t>
            </w:r>
          </w:p>
        </w:tc>
      </w:tr>
      <w:tr>
        <w:trPr>
          <w:trHeight w:val="198"/>
        </w:trPr>
        <w:tc>
          <w:tcPr>
            <w:tcW w:w="6280" w:type="dxa"/>
            <w:vAlign w:val="bottom"/>
            <w:tcBorders>
              <w:top w:val="single" w:sz="8" w:color="auto"/>
            </w:tcBorders>
            <w:gridSpan w:val="3"/>
          </w:tcPr>
          <w:p>
            <w:pPr>
              <w:ind w:left="2700"/>
              <w:spacing w:after="0"/>
              <w:rPr>
                <w:sz w:val="20"/>
                <w:szCs w:val="20"/>
                <w:color w:val="auto"/>
              </w:rPr>
            </w:pPr>
            <w:r>
              <w:rPr>
                <w:rFonts w:ascii="Arial" w:cs="Arial" w:eastAsia="Arial" w:hAnsi="Arial"/>
                <w:sz w:val="16"/>
                <w:szCs w:val="16"/>
                <w:color w:val="auto"/>
              </w:rPr>
              <w:t>(Address of principal executive offices)</w:t>
            </w:r>
          </w:p>
        </w:tc>
        <w:tc>
          <w:tcPr>
            <w:tcW w:w="1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298"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62" w:lineRule="exact"/>
        <w:rPr>
          <w:sz w:val="24"/>
          <w:szCs w:val="24"/>
          <w:color w:val="auto"/>
        </w:rPr>
      </w:pPr>
    </w:p>
    <w:p>
      <w:pPr>
        <w:ind w:left="2660"/>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Trading Symbol:</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exchange on which registered:</w:t>
            </w:r>
          </w:p>
        </w:tc>
        <w:tc>
          <w:tcPr>
            <w:tcW w:w="0" w:type="dxa"/>
            <w:vAlign w:val="bottom"/>
          </w:tcPr>
          <w:p>
            <w:pPr>
              <w:spacing w:after="0"/>
              <w:rPr>
                <w:sz w:val="1"/>
                <w:szCs w:val="1"/>
                <w:color w:val="auto"/>
              </w:rPr>
            </w:pPr>
          </w:p>
        </w:tc>
      </w:tr>
      <w:tr>
        <w:trPr>
          <w:trHeight w:val="201"/>
        </w:trPr>
        <w:tc>
          <w:tcPr>
            <w:tcW w:w="5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Ordinary shares, $0.01 par value per share</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FTAI</w:t>
            </w:r>
          </w:p>
        </w:tc>
        <w:tc>
          <w:tcPr>
            <w:tcW w:w="3700" w:type="dxa"/>
            <w:vAlign w:val="bottom"/>
          </w:tcPr>
          <w:p>
            <w:pPr>
              <w:jc w:val="center"/>
              <w:spacing w:after="0"/>
              <w:rPr>
                <w:sz w:val="20"/>
                <w:szCs w:val="20"/>
                <w:color w:val="auto"/>
              </w:rPr>
            </w:pPr>
            <w:r>
              <w:rPr>
                <w:rFonts w:ascii="Arial" w:cs="Arial" w:eastAsia="Arial" w:hAnsi="Arial"/>
                <w:sz w:val="16"/>
                <w:szCs w:val="16"/>
                <w:color w:val="auto"/>
                <w:w w:val="97"/>
              </w:rPr>
              <w:t>The Nasdaq Global Select Market</w:t>
            </w:r>
          </w:p>
        </w:tc>
        <w:tc>
          <w:tcPr>
            <w:tcW w:w="0" w:type="dxa"/>
            <w:vAlign w:val="bottom"/>
          </w:tcPr>
          <w:p>
            <w:pPr>
              <w:spacing w:after="0"/>
              <w:rPr>
                <w:sz w:val="1"/>
                <w:szCs w:val="1"/>
                <w:color w:val="auto"/>
              </w:rPr>
            </w:pPr>
          </w:p>
        </w:tc>
      </w:tr>
      <w:tr>
        <w:trPr>
          <w:trHeight w:val="158"/>
        </w:trPr>
        <w:tc>
          <w:tcPr>
            <w:tcW w:w="57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color w:val="auto"/>
                <w:w w:val="96"/>
              </w:rPr>
              <w:t>8.25% Fixed-to-Floating Rate Series A Cumulative Perpetual Redeemable Preferred</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FTAIP</w:t>
            </w:r>
          </w:p>
        </w:tc>
        <w:tc>
          <w:tcPr>
            <w:tcW w:w="3700" w:type="dxa"/>
            <w:vAlign w:val="bottom"/>
            <w:vMerge w:val="restart"/>
          </w:tcPr>
          <w:p>
            <w:pPr>
              <w:jc w:val="center"/>
              <w:spacing w:after="0"/>
              <w:rPr>
                <w:sz w:val="20"/>
                <w:szCs w:val="20"/>
                <w:color w:val="auto"/>
              </w:rPr>
            </w:pPr>
            <w:r>
              <w:rPr>
                <w:rFonts w:ascii="Arial" w:cs="Arial" w:eastAsia="Arial" w:hAnsi="Arial"/>
                <w:sz w:val="16"/>
                <w:szCs w:val="16"/>
                <w:color w:val="auto"/>
                <w:w w:val="97"/>
              </w:rPr>
              <w:t>The Nasdaq Global Select Market</w:t>
            </w:r>
          </w:p>
        </w:tc>
        <w:tc>
          <w:tcPr>
            <w:tcW w:w="0" w:type="dxa"/>
            <w:vAlign w:val="bottom"/>
          </w:tcPr>
          <w:p>
            <w:pPr>
              <w:spacing w:after="0"/>
              <w:rPr>
                <w:sz w:val="1"/>
                <w:szCs w:val="1"/>
                <w:color w:val="auto"/>
              </w:rPr>
            </w:pPr>
          </w:p>
        </w:tc>
      </w:tr>
      <w:tr>
        <w:trPr>
          <w:trHeight w:val="204"/>
        </w:trPr>
        <w:tc>
          <w:tcPr>
            <w:tcW w:w="5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Shares</w:t>
            </w:r>
          </w:p>
        </w:tc>
        <w:tc>
          <w:tcPr>
            <w:tcW w:w="1740" w:type="dxa"/>
            <w:vAlign w:val="bottom"/>
            <w:gridSpan w:val="2"/>
            <w:vMerge w:val="continue"/>
          </w:tcPr>
          <w:p>
            <w:pPr>
              <w:spacing w:after="0"/>
              <w:rPr>
                <w:sz w:val="17"/>
                <w:szCs w:val="17"/>
                <w:color w:val="auto"/>
              </w:rPr>
            </w:pPr>
          </w:p>
        </w:tc>
        <w:tc>
          <w:tcPr>
            <w:tcW w:w="3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7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color w:val="auto"/>
                <w:w w:val="96"/>
              </w:rPr>
              <w:t>8.00% Fixed-to-Floating Rate Series B Cumulative Perpetual Redeemable Preferred</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3"/>
              </w:rPr>
              <w:t>FTAIO</w:t>
            </w:r>
          </w:p>
        </w:tc>
        <w:tc>
          <w:tcPr>
            <w:tcW w:w="3700" w:type="dxa"/>
            <w:vAlign w:val="bottom"/>
            <w:vMerge w:val="restart"/>
          </w:tcPr>
          <w:p>
            <w:pPr>
              <w:jc w:val="center"/>
              <w:spacing w:after="0"/>
              <w:rPr>
                <w:sz w:val="20"/>
                <w:szCs w:val="20"/>
                <w:color w:val="auto"/>
              </w:rPr>
            </w:pPr>
            <w:r>
              <w:rPr>
                <w:rFonts w:ascii="Arial" w:cs="Arial" w:eastAsia="Arial" w:hAnsi="Arial"/>
                <w:sz w:val="16"/>
                <w:szCs w:val="16"/>
                <w:color w:val="auto"/>
                <w:w w:val="97"/>
              </w:rPr>
              <w:t>The Nasdaq Global Select Market</w:t>
            </w:r>
          </w:p>
        </w:tc>
        <w:tc>
          <w:tcPr>
            <w:tcW w:w="0" w:type="dxa"/>
            <w:vAlign w:val="bottom"/>
          </w:tcPr>
          <w:p>
            <w:pPr>
              <w:spacing w:after="0"/>
              <w:rPr>
                <w:sz w:val="1"/>
                <w:szCs w:val="1"/>
                <w:color w:val="auto"/>
              </w:rPr>
            </w:pPr>
          </w:p>
        </w:tc>
      </w:tr>
      <w:tr>
        <w:trPr>
          <w:trHeight w:val="204"/>
        </w:trPr>
        <w:tc>
          <w:tcPr>
            <w:tcW w:w="5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Shares</w:t>
            </w:r>
          </w:p>
        </w:tc>
        <w:tc>
          <w:tcPr>
            <w:tcW w:w="1740" w:type="dxa"/>
            <w:vAlign w:val="bottom"/>
            <w:gridSpan w:val="2"/>
            <w:vMerge w:val="continue"/>
          </w:tcPr>
          <w:p>
            <w:pPr>
              <w:spacing w:after="0"/>
              <w:rPr>
                <w:sz w:val="17"/>
                <w:szCs w:val="17"/>
                <w:color w:val="auto"/>
              </w:rPr>
            </w:pPr>
          </w:p>
        </w:tc>
        <w:tc>
          <w:tcPr>
            <w:tcW w:w="3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8.25% Fixed-Rate Reset Series C Cumulative Perpetual Redeemable Preferred Shares</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FTAIN</w:t>
            </w:r>
          </w:p>
        </w:tc>
        <w:tc>
          <w:tcPr>
            <w:tcW w:w="3700" w:type="dxa"/>
            <w:vAlign w:val="bottom"/>
          </w:tcPr>
          <w:p>
            <w:pPr>
              <w:jc w:val="center"/>
              <w:spacing w:after="0"/>
              <w:rPr>
                <w:sz w:val="20"/>
                <w:szCs w:val="20"/>
                <w:color w:val="auto"/>
              </w:rPr>
            </w:pPr>
            <w:r>
              <w:rPr>
                <w:rFonts w:ascii="Arial" w:cs="Arial" w:eastAsia="Arial" w:hAnsi="Arial"/>
                <w:sz w:val="16"/>
                <w:szCs w:val="16"/>
                <w:color w:val="auto"/>
                <w:w w:val="97"/>
              </w:rPr>
              <w:t>The Nasdaq Global Select Market</w:t>
            </w:r>
          </w:p>
        </w:tc>
        <w:tc>
          <w:tcPr>
            <w:tcW w:w="0" w:type="dxa"/>
            <w:vAlign w:val="bottom"/>
          </w:tcPr>
          <w:p>
            <w:pPr>
              <w:spacing w:after="0"/>
              <w:rPr>
                <w:sz w:val="1"/>
                <w:szCs w:val="1"/>
                <w:color w:val="auto"/>
              </w:rPr>
            </w:pPr>
          </w:p>
        </w:tc>
      </w:tr>
      <w:tr>
        <w:trPr>
          <w:trHeight w:val="207"/>
        </w:trPr>
        <w:tc>
          <w:tcPr>
            <w:tcW w:w="5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9.50% Fixed-Rate Reset Series D Cumulative Perpetual Redeemable Preferred Shares</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FTAIM</w:t>
            </w:r>
          </w:p>
        </w:tc>
        <w:tc>
          <w:tcPr>
            <w:tcW w:w="3700" w:type="dxa"/>
            <w:vAlign w:val="bottom"/>
          </w:tcPr>
          <w:p>
            <w:pPr>
              <w:jc w:val="center"/>
              <w:spacing w:after="0"/>
              <w:rPr>
                <w:sz w:val="20"/>
                <w:szCs w:val="20"/>
                <w:color w:val="auto"/>
              </w:rPr>
            </w:pPr>
            <w:r>
              <w:rPr>
                <w:rFonts w:ascii="Arial" w:cs="Arial" w:eastAsia="Arial" w:hAnsi="Arial"/>
                <w:sz w:val="16"/>
                <w:szCs w:val="16"/>
                <w:color w:val="auto"/>
                <w:w w:val="97"/>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spacing w:after="0" w:line="20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840" w:type="dxa"/>
        <w:tblCellMar>
          <w:top w:w="0" w:type="dxa"/>
          <w:left w:w="0" w:type="dxa"/>
          <w:bottom w:w="0" w:type="dxa"/>
          <w:right w:w="0" w:type="dxa"/>
        </w:tblCellMar>
      </w:tblPr>
      <w:tr>
        <w:trPr>
          <w:trHeight w:val="198"/>
        </w:trPr>
        <w:tc>
          <w:tcPr>
            <w:tcW w:w="1960" w:type="dxa"/>
            <w:vAlign w:val="bottom"/>
          </w:tcPr>
          <w:p>
            <w:pPr>
              <w:jc w:val="center"/>
              <w:ind w:right="342"/>
              <w:spacing w:after="0"/>
              <w:rPr>
                <w:sz w:val="20"/>
                <w:szCs w:val="20"/>
                <w:color w:val="auto"/>
              </w:rPr>
            </w:pPr>
            <w:r>
              <w:rPr>
                <w:rFonts w:ascii="Arial" w:cs="Arial" w:eastAsia="Arial" w:hAnsi="Arial"/>
                <w:sz w:val="16"/>
                <w:szCs w:val="16"/>
                <w:color w:val="auto"/>
                <w:w w:val="97"/>
              </w:rPr>
              <w:t>Large accelerated filer</w:t>
            </w:r>
          </w:p>
        </w:tc>
        <w:tc>
          <w:tcPr>
            <w:tcW w:w="9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2560" w:type="dxa"/>
            <w:vAlign w:val="bottom"/>
          </w:tcPr>
          <w:p>
            <w:pPr>
              <w:jc w:val="center"/>
              <w:spacing w:after="0"/>
              <w:rPr>
                <w:sz w:val="20"/>
                <w:szCs w:val="20"/>
                <w:color w:val="auto"/>
              </w:rPr>
            </w:pPr>
            <w:r>
              <w:rPr>
                <w:rFonts w:ascii="Arial" w:cs="Arial" w:eastAsia="Arial" w:hAnsi="Arial"/>
                <w:sz w:val="16"/>
                <w:szCs w:val="16"/>
                <w:color w:val="auto"/>
                <w:w w:val="97"/>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0"/>
        </w:trPr>
        <w:tc>
          <w:tcPr>
            <w:tcW w:w="1960" w:type="dxa"/>
            <w:vAlign w:val="bottom"/>
          </w:tcPr>
          <w:p>
            <w:pPr>
              <w:jc w:val="center"/>
              <w:ind w:right="342"/>
              <w:spacing w:after="0"/>
              <w:rPr>
                <w:sz w:val="20"/>
                <w:szCs w:val="20"/>
                <w:color w:val="auto"/>
              </w:rPr>
            </w:pPr>
            <w:r>
              <w:rPr>
                <w:rFonts w:ascii="Arial" w:cs="Arial" w:eastAsia="Arial" w:hAnsi="Arial"/>
                <w:sz w:val="16"/>
                <w:szCs w:val="16"/>
                <w:color w:val="auto"/>
                <w:w w:val="96"/>
              </w:rPr>
              <w:t>Non-accelerated filer</w:t>
            </w:r>
          </w:p>
        </w:tc>
        <w:tc>
          <w:tcPr>
            <w:tcW w:w="9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2560" w:type="dxa"/>
            <w:vAlign w:val="bottom"/>
          </w:tcPr>
          <w:p>
            <w:pPr>
              <w:jc w:val="center"/>
              <w:spacing w:after="0"/>
              <w:rPr>
                <w:sz w:val="20"/>
                <w:szCs w:val="20"/>
                <w:color w:val="auto"/>
              </w:rPr>
            </w:pPr>
            <w:r>
              <w:rPr>
                <w:rFonts w:ascii="Arial" w:cs="Arial" w:eastAsia="Arial" w:hAnsi="Arial"/>
                <w:sz w:val="16"/>
                <w:szCs w:val="16"/>
                <w:color w:val="auto"/>
                <w:w w:val="96"/>
              </w:rPr>
              <w:t>Smaller reporting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color w:val="auto"/>
                <w:w w:val="96"/>
              </w:rPr>
              <w:t>Emerging growth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5"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58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There were 100,245,905 ordinary shares outstanding representing limited liability company interests at April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579755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00497F"/>
        </w:rPr>
        <w:t>FORWARD-LOOKING STATEMENTS AND RISK FACTORS SUMMARY</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9" w:lineRule="exact"/>
        <w:rPr>
          <w:sz w:val="20"/>
          <w:szCs w:val="20"/>
          <w:color w:val="auto"/>
        </w:rPr>
      </w:pPr>
    </w:p>
    <w:p>
      <w:pPr>
        <w:ind w:left="780" w:hanging="311"/>
        <w:spacing w:after="0" w:line="262" w:lineRule="auto"/>
        <w:tabs>
          <w:tab w:leader="none" w:pos="77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Russia-Ukraine conflict, and any related responses or actions by businesses and governments;</w:t>
      </w:r>
    </w:p>
    <w:p>
      <w:pPr>
        <w:spacing w:after="0" w:line="1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reductions in cash flows received from our assets, as well as contractual limitations on the use of our aviation assets to secure debt for borrowed money;</w:t>
      </w:r>
    </w:p>
    <w:p>
      <w:pPr>
        <w:spacing w:after="0" w:line="84" w:lineRule="exact"/>
        <w:rPr>
          <w:rFonts w:ascii="Arial" w:cs="Arial" w:eastAsia="Arial" w:hAnsi="Arial"/>
          <w:sz w:val="14"/>
          <w:szCs w:val="14"/>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industry;</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61" w:lineRule="exact"/>
        <w:rPr>
          <w:rFonts w:ascii="Arial" w:cs="Arial" w:eastAsia="Arial" w:hAnsi="Arial"/>
          <w:sz w:val="16"/>
          <w:szCs w:val="16"/>
          <w:color w:val="auto"/>
        </w:rPr>
      </w:pPr>
    </w:p>
    <w:p>
      <w:pPr>
        <w:ind w:left="780" w:hanging="311"/>
        <w:spacing w:after="0" w:line="262" w:lineRule="auto"/>
        <w:tabs>
          <w:tab w:leader="none" w:pos="77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1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48" w:lineRule="exact"/>
        <w:rPr>
          <w:rFonts w:ascii="Arial" w:cs="Arial" w:eastAsia="Arial" w:hAnsi="Arial"/>
          <w:sz w:val="16"/>
          <w:szCs w:val="16"/>
          <w:color w:val="auto"/>
        </w:rPr>
      </w:pPr>
    </w:p>
    <w:p>
      <w:pPr>
        <w:ind w:left="780" w:hanging="311"/>
        <w:spacing w:after="0" w:line="278" w:lineRule="auto"/>
        <w:tabs>
          <w:tab w:leader="none" w:pos="770"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ind w:left="760" w:hanging="291"/>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48" w:lineRule="exact"/>
        <w:rPr>
          <w:rFonts w:ascii="Arial" w:cs="Arial" w:eastAsia="Arial" w:hAnsi="Arial"/>
          <w:sz w:val="16"/>
          <w:szCs w:val="16"/>
          <w:color w:val="auto"/>
        </w:rPr>
      </w:pPr>
    </w:p>
    <w:p>
      <w:pPr>
        <w:ind w:left="780" w:hanging="311"/>
        <w:spacing w:after="0" w:line="279" w:lineRule="auto"/>
        <w:tabs>
          <w:tab w:leader="none" w:pos="77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effects of the pending acquisition of SoftBank Group Corp’s equity in Fortress Investment Group LLC (“Fortress”) by certain members of management of Fortress and Mubadala Capital;</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ind w:left="760" w:hanging="291"/>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48" w:lineRule="exact"/>
        <w:rPr>
          <w:rFonts w:ascii="Arial" w:cs="Arial" w:eastAsia="Arial" w:hAnsi="Arial"/>
          <w:sz w:val="16"/>
          <w:szCs w:val="16"/>
          <w:color w:val="auto"/>
        </w:rPr>
      </w:pPr>
    </w:p>
    <w:p>
      <w:pPr>
        <w:ind w:left="760" w:hanging="291"/>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61" w:lineRule="exact"/>
        <w:rPr>
          <w:rFonts w:ascii="Arial" w:cs="Arial" w:eastAsia="Arial" w:hAnsi="Arial"/>
          <w:sz w:val="16"/>
          <w:szCs w:val="16"/>
          <w:color w:val="auto"/>
        </w:rPr>
      </w:pPr>
    </w:p>
    <w:p>
      <w:pPr>
        <w:ind w:left="760" w:hanging="291"/>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00"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3"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7"/>
          <w:szCs w:val="17"/>
          <w:b w:val="1"/>
          <w:bCs w:val="1"/>
          <w:color w:val="00497F"/>
        </w:rPr>
        <w:t>FTAI AVIATION LTD.</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84455</wp:posOffset>
            </wp:positionV>
            <wp:extent cx="71380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 w:type="dxa"/>
            <w:vAlign w:val="bottom"/>
          </w:tcPr>
          <w:p>
            <w:pPr>
              <w:spacing w:after="0"/>
              <w:rPr>
                <w:sz w:val="16"/>
                <w:szCs w:val="16"/>
                <w:color w:val="auto"/>
              </w:rPr>
            </w:pPr>
          </w:p>
        </w:tc>
        <w:tc>
          <w:tcPr>
            <w:tcW w:w="8360" w:type="dxa"/>
            <w:vAlign w:val="bottom"/>
          </w:tcPr>
          <w:p>
            <w:pPr>
              <w:ind w:left="4060"/>
              <w:spacing w:after="0"/>
              <w:rPr>
                <w:sz w:val="20"/>
                <w:szCs w:val="20"/>
                <w:color w:val="auto"/>
              </w:rPr>
            </w:pPr>
            <w:r>
              <w:rPr>
                <w:rFonts w:ascii="Arial" w:cs="Arial" w:eastAsia="Arial" w:hAnsi="Arial"/>
                <w:sz w:val="14"/>
                <w:szCs w:val="14"/>
                <w:b w:val="1"/>
                <w:bCs w:val="1"/>
                <w:color w:val="006EBF"/>
              </w:rPr>
              <w:t>PART I - FINANCIAL INFORMATION</w:t>
            </w:r>
          </w:p>
        </w:tc>
        <w:tc>
          <w:tcPr>
            <w:tcW w:w="2140" w:type="dxa"/>
            <w:vAlign w:val="bottom"/>
          </w:tcPr>
          <w:p>
            <w:pPr>
              <w:spacing w:after="0"/>
              <w:rPr>
                <w:sz w:val="16"/>
                <w:szCs w:val="16"/>
                <w:color w:val="auto"/>
              </w:rPr>
            </w:pPr>
          </w:p>
        </w:tc>
      </w:tr>
      <w:tr>
        <w:trPr>
          <w:trHeight w:val="194"/>
        </w:trPr>
        <w:tc>
          <w:tcPr>
            <w:tcW w:w="62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360" w:type="dxa"/>
            <w:vAlign w:val="bottom"/>
          </w:tcPr>
          <w:p>
            <w:pPr>
              <w:ind w:left="180"/>
              <w:spacing w:after="0"/>
              <w:rPr>
                <w:sz w:val="20"/>
                <w:szCs w:val="20"/>
                <w:color w:val="auto"/>
              </w:rPr>
            </w:pPr>
            <w:r>
              <w:rPr>
                <w:rFonts w:ascii="Arial" w:cs="Arial" w:eastAsia="Arial" w:hAnsi="Arial"/>
                <w:sz w:val="14"/>
                <w:szCs w:val="14"/>
                <w:color w:val="0000FF"/>
              </w:rPr>
              <w:t>Unaudited Consolidated Financial Statements of FTAI Aviation Ltd.:</w:t>
            </w:r>
          </w:p>
        </w:tc>
        <w:tc>
          <w:tcPr>
            <w:tcW w:w="2140" w:type="dxa"/>
            <w:vAlign w:val="bottom"/>
          </w:tcPr>
          <w:p>
            <w:pPr>
              <w:jc w:val="center"/>
              <w:ind w:left="1931"/>
              <w:spacing w:after="0"/>
              <w:rPr>
                <w:sz w:val="20"/>
                <w:szCs w:val="20"/>
                <w:color w:val="auto"/>
              </w:rPr>
            </w:pPr>
            <w:r>
              <w:rPr>
                <w:rFonts w:ascii="Arial" w:cs="Arial" w:eastAsia="Arial" w:hAnsi="Arial"/>
                <w:sz w:val="14"/>
                <w:szCs w:val="14"/>
                <w:color w:val="0000FF"/>
                <w:w w:val="76"/>
              </w:rPr>
              <w:t>5</w:t>
            </w:r>
          </w:p>
        </w:tc>
      </w:tr>
      <w:tr>
        <w:trPr>
          <w:trHeight w:val="188"/>
        </w:trPr>
        <w:tc>
          <w:tcPr>
            <w:tcW w:w="620" w:type="dxa"/>
            <w:vAlign w:val="bottom"/>
          </w:tcPr>
          <w:p>
            <w:pPr>
              <w:spacing w:after="0"/>
              <w:rPr>
                <w:sz w:val="16"/>
                <w:szCs w:val="16"/>
                <w:color w:val="auto"/>
              </w:rPr>
            </w:pPr>
          </w:p>
        </w:tc>
        <w:tc>
          <w:tcPr>
            <w:tcW w:w="8360" w:type="dxa"/>
            <w:vAlign w:val="bottom"/>
          </w:tcPr>
          <w:p>
            <w:pPr>
              <w:ind w:left="180"/>
              <w:spacing w:after="0"/>
              <w:rPr>
                <w:sz w:val="20"/>
                <w:szCs w:val="20"/>
                <w:color w:val="auto"/>
              </w:rPr>
            </w:pPr>
            <w:r>
              <w:rPr>
                <w:rFonts w:ascii="Arial" w:cs="Arial" w:eastAsia="Arial" w:hAnsi="Arial"/>
                <w:sz w:val="14"/>
                <w:szCs w:val="14"/>
                <w:color w:val="0000FF"/>
              </w:rPr>
              <w:t>Consolidated Balance Sheets as of March 31, 2024 and December 31, 2023</w:t>
            </w:r>
          </w:p>
        </w:tc>
        <w:tc>
          <w:tcPr>
            <w:tcW w:w="2140" w:type="dxa"/>
            <w:vAlign w:val="bottom"/>
          </w:tcPr>
          <w:p>
            <w:pPr>
              <w:jc w:val="center"/>
              <w:ind w:left="1931"/>
              <w:spacing w:after="0"/>
              <w:rPr>
                <w:sz w:val="20"/>
                <w:szCs w:val="20"/>
                <w:color w:val="auto"/>
              </w:rPr>
            </w:pPr>
            <w:r>
              <w:rPr>
                <w:rFonts w:ascii="Arial" w:cs="Arial" w:eastAsia="Arial" w:hAnsi="Arial"/>
                <w:sz w:val="14"/>
                <w:szCs w:val="14"/>
                <w:color w:val="0000FF"/>
                <w:w w:val="76"/>
              </w:rPr>
              <w:t>5</w:t>
            </w:r>
          </w:p>
        </w:tc>
      </w:tr>
      <w:tr>
        <w:trPr>
          <w:trHeight w:val="194"/>
        </w:trPr>
        <w:tc>
          <w:tcPr>
            <w:tcW w:w="620" w:type="dxa"/>
            <w:vAlign w:val="bottom"/>
          </w:tcPr>
          <w:p>
            <w:pPr>
              <w:spacing w:after="0"/>
              <w:rPr>
                <w:sz w:val="16"/>
                <w:szCs w:val="16"/>
                <w:color w:val="auto"/>
              </w:rPr>
            </w:pPr>
          </w:p>
        </w:tc>
        <w:tc>
          <w:tcPr>
            <w:tcW w:w="8360" w:type="dxa"/>
            <w:vAlign w:val="bottom"/>
          </w:tcPr>
          <w:p>
            <w:pPr>
              <w:ind w:left="180"/>
              <w:spacing w:after="0"/>
              <w:rPr>
                <w:sz w:val="20"/>
                <w:szCs w:val="20"/>
                <w:color w:val="auto"/>
              </w:rPr>
            </w:pPr>
            <w:r>
              <w:rPr>
                <w:rFonts w:ascii="Arial" w:cs="Arial" w:eastAsia="Arial" w:hAnsi="Arial"/>
                <w:sz w:val="14"/>
                <w:szCs w:val="14"/>
                <w:color w:val="0000FF"/>
              </w:rPr>
              <w:t>Consolidated Statements of Operations for the three months ended March 31, 2024 and 2023</w:t>
            </w:r>
          </w:p>
        </w:tc>
        <w:tc>
          <w:tcPr>
            <w:tcW w:w="2140" w:type="dxa"/>
            <w:vAlign w:val="bottom"/>
          </w:tcPr>
          <w:p>
            <w:pPr>
              <w:jc w:val="center"/>
              <w:ind w:left="1931"/>
              <w:spacing w:after="0"/>
              <w:rPr>
                <w:sz w:val="20"/>
                <w:szCs w:val="20"/>
                <w:color w:val="auto"/>
              </w:rPr>
            </w:pPr>
            <w:r>
              <w:rPr>
                <w:rFonts w:ascii="Arial" w:cs="Arial" w:eastAsia="Arial" w:hAnsi="Arial"/>
                <w:sz w:val="14"/>
                <w:szCs w:val="14"/>
                <w:color w:val="0000FF"/>
                <w:w w:val="76"/>
              </w:rPr>
              <w:t>6</w:t>
            </w:r>
          </w:p>
        </w:tc>
      </w:tr>
      <w:tr>
        <w:trPr>
          <w:trHeight w:val="194"/>
        </w:trPr>
        <w:tc>
          <w:tcPr>
            <w:tcW w:w="620" w:type="dxa"/>
            <w:vAlign w:val="bottom"/>
          </w:tcPr>
          <w:p>
            <w:pPr>
              <w:spacing w:after="0"/>
              <w:rPr>
                <w:sz w:val="16"/>
                <w:szCs w:val="16"/>
                <w:color w:val="auto"/>
              </w:rPr>
            </w:pPr>
          </w:p>
        </w:tc>
        <w:tc>
          <w:tcPr>
            <w:tcW w:w="8360" w:type="dxa"/>
            <w:vAlign w:val="bottom"/>
          </w:tcPr>
          <w:p>
            <w:pPr>
              <w:ind w:left="200"/>
              <w:spacing w:after="0"/>
              <w:rPr>
                <w:sz w:val="20"/>
                <w:szCs w:val="20"/>
                <w:color w:val="auto"/>
              </w:rPr>
            </w:pPr>
            <w:r>
              <w:rPr>
                <w:rFonts w:ascii="Arial" w:cs="Arial" w:eastAsia="Arial" w:hAnsi="Arial"/>
                <w:sz w:val="14"/>
                <w:szCs w:val="14"/>
                <w:color w:val="0000FF"/>
              </w:rPr>
              <w:t>Consolidated Statement of Changes in Equity for the three months ended March 31, 2024 and 2023</w:t>
            </w:r>
          </w:p>
        </w:tc>
        <w:tc>
          <w:tcPr>
            <w:tcW w:w="2140" w:type="dxa"/>
            <w:vAlign w:val="bottom"/>
          </w:tcPr>
          <w:p>
            <w:pPr>
              <w:jc w:val="center"/>
              <w:ind w:left="1931"/>
              <w:spacing w:after="0"/>
              <w:rPr>
                <w:sz w:val="20"/>
                <w:szCs w:val="20"/>
                <w:color w:val="auto"/>
              </w:rPr>
            </w:pPr>
            <w:r>
              <w:rPr>
                <w:rFonts w:ascii="Arial" w:cs="Arial" w:eastAsia="Arial" w:hAnsi="Arial"/>
                <w:sz w:val="14"/>
                <w:szCs w:val="14"/>
                <w:color w:val="0000FF"/>
                <w:w w:val="76"/>
              </w:rPr>
              <w:t>7</w:t>
            </w:r>
          </w:p>
        </w:tc>
      </w:tr>
      <w:tr>
        <w:trPr>
          <w:trHeight w:val="194"/>
        </w:trPr>
        <w:tc>
          <w:tcPr>
            <w:tcW w:w="620" w:type="dxa"/>
            <w:vAlign w:val="bottom"/>
          </w:tcPr>
          <w:p>
            <w:pPr>
              <w:spacing w:after="0"/>
              <w:rPr>
                <w:sz w:val="16"/>
                <w:szCs w:val="16"/>
                <w:color w:val="auto"/>
              </w:rPr>
            </w:pPr>
          </w:p>
        </w:tc>
        <w:tc>
          <w:tcPr>
            <w:tcW w:w="8360" w:type="dxa"/>
            <w:vAlign w:val="bottom"/>
          </w:tcPr>
          <w:p>
            <w:pPr>
              <w:ind w:left="200"/>
              <w:spacing w:after="0"/>
              <w:rPr>
                <w:sz w:val="20"/>
                <w:szCs w:val="20"/>
                <w:color w:val="auto"/>
              </w:rPr>
            </w:pPr>
            <w:r>
              <w:rPr>
                <w:rFonts w:ascii="Arial" w:cs="Arial" w:eastAsia="Arial" w:hAnsi="Arial"/>
                <w:sz w:val="14"/>
                <w:szCs w:val="14"/>
                <w:color w:val="0000FF"/>
              </w:rPr>
              <w:t>Consolidated Statements of Cash Flows for the three months ended March 31, 2024 and 2023</w:t>
            </w:r>
          </w:p>
        </w:tc>
        <w:tc>
          <w:tcPr>
            <w:tcW w:w="2140" w:type="dxa"/>
            <w:vAlign w:val="bottom"/>
          </w:tcPr>
          <w:p>
            <w:pPr>
              <w:jc w:val="center"/>
              <w:ind w:left="1931"/>
              <w:spacing w:after="0"/>
              <w:rPr>
                <w:sz w:val="20"/>
                <w:szCs w:val="20"/>
                <w:color w:val="auto"/>
              </w:rPr>
            </w:pPr>
            <w:r>
              <w:rPr>
                <w:rFonts w:ascii="Arial" w:cs="Arial" w:eastAsia="Arial" w:hAnsi="Arial"/>
                <w:sz w:val="14"/>
                <w:szCs w:val="14"/>
                <w:color w:val="0000FF"/>
                <w:w w:val="76"/>
              </w:rPr>
              <w:t>8</w:t>
            </w:r>
          </w:p>
        </w:tc>
      </w:tr>
      <w:tr>
        <w:trPr>
          <w:trHeight w:val="194"/>
        </w:trPr>
        <w:tc>
          <w:tcPr>
            <w:tcW w:w="620" w:type="dxa"/>
            <w:vAlign w:val="bottom"/>
          </w:tcPr>
          <w:p>
            <w:pPr>
              <w:spacing w:after="0"/>
              <w:rPr>
                <w:sz w:val="16"/>
                <w:szCs w:val="16"/>
                <w:color w:val="auto"/>
              </w:rPr>
            </w:pPr>
          </w:p>
        </w:tc>
        <w:tc>
          <w:tcPr>
            <w:tcW w:w="8360" w:type="dxa"/>
            <w:vAlign w:val="bottom"/>
          </w:tcPr>
          <w:p>
            <w:pPr>
              <w:ind w:left="200"/>
              <w:spacing w:after="0"/>
              <w:rPr>
                <w:sz w:val="20"/>
                <w:szCs w:val="20"/>
                <w:color w:val="auto"/>
              </w:rPr>
            </w:pPr>
            <w:r>
              <w:rPr>
                <w:rFonts w:ascii="Arial" w:cs="Arial" w:eastAsia="Arial" w:hAnsi="Arial"/>
                <w:sz w:val="14"/>
                <w:szCs w:val="14"/>
                <w:color w:val="0000FF"/>
              </w:rPr>
              <w:t>Notes to Consolidated Financial Statements</w:t>
            </w:r>
          </w:p>
        </w:tc>
        <w:tc>
          <w:tcPr>
            <w:tcW w:w="2140" w:type="dxa"/>
            <w:vAlign w:val="bottom"/>
          </w:tcPr>
          <w:p>
            <w:pPr>
              <w:jc w:val="center"/>
              <w:ind w:left="1931"/>
              <w:spacing w:after="0"/>
              <w:rPr>
                <w:sz w:val="20"/>
                <w:szCs w:val="20"/>
                <w:color w:val="auto"/>
              </w:rPr>
            </w:pPr>
            <w:r>
              <w:rPr>
                <w:rFonts w:ascii="Arial" w:cs="Arial" w:eastAsia="Arial" w:hAnsi="Arial"/>
                <w:sz w:val="14"/>
                <w:szCs w:val="14"/>
                <w:color w:val="0000FF"/>
                <w:w w:val="89"/>
              </w:rPr>
              <w:t>10</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1: Organization</w:t>
            </w:r>
          </w:p>
        </w:tc>
        <w:tc>
          <w:tcPr>
            <w:tcW w:w="2200" w:type="dxa"/>
            <w:vAlign w:val="bottom"/>
          </w:tcPr>
          <w:p>
            <w:pPr>
              <w:jc w:val="right"/>
              <w:spacing w:after="0"/>
              <w:rPr>
                <w:sz w:val="20"/>
                <w:szCs w:val="20"/>
                <w:color w:val="auto"/>
              </w:rPr>
            </w:pPr>
            <w:r>
              <w:rPr>
                <w:rFonts w:ascii="Arial" w:cs="Arial" w:eastAsia="Arial" w:hAnsi="Arial"/>
                <w:sz w:val="14"/>
                <w:szCs w:val="14"/>
                <w:color w:val="0000FF"/>
              </w:rPr>
              <w:t>10</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2: Summary of Significant Accounting Policies</w:t>
            </w:r>
          </w:p>
        </w:tc>
        <w:tc>
          <w:tcPr>
            <w:tcW w:w="2200" w:type="dxa"/>
            <w:vAlign w:val="bottom"/>
          </w:tcPr>
          <w:p>
            <w:pPr>
              <w:jc w:val="right"/>
              <w:spacing w:after="0"/>
              <w:rPr>
                <w:sz w:val="20"/>
                <w:szCs w:val="20"/>
                <w:color w:val="auto"/>
              </w:rPr>
            </w:pPr>
            <w:r>
              <w:rPr>
                <w:rFonts w:ascii="Arial" w:cs="Arial" w:eastAsia="Arial" w:hAnsi="Arial"/>
                <w:sz w:val="14"/>
                <w:szCs w:val="14"/>
                <w:color w:val="0000FF"/>
              </w:rPr>
              <w:t>10</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3: Acquisition of QuickTurn</w:t>
            </w:r>
          </w:p>
        </w:tc>
        <w:tc>
          <w:tcPr>
            <w:tcW w:w="2200" w:type="dxa"/>
            <w:vAlign w:val="bottom"/>
          </w:tcPr>
          <w:p>
            <w:pPr>
              <w:jc w:val="right"/>
              <w:spacing w:after="0"/>
              <w:rPr>
                <w:sz w:val="20"/>
                <w:szCs w:val="20"/>
                <w:color w:val="auto"/>
              </w:rPr>
            </w:pPr>
            <w:r>
              <w:rPr>
                <w:rFonts w:ascii="Arial" w:cs="Arial" w:eastAsia="Arial" w:hAnsi="Arial"/>
                <w:sz w:val="14"/>
                <w:szCs w:val="14"/>
                <w:color w:val="0000FF"/>
              </w:rPr>
              <w:t>10</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4: Leasing Equipment, net</w:t>
            </w:r>
          </w:p>
        </w:tc>
        <w:tc>
          <w:tcPr>
            <w:tcW w:w="2200" w:type="dxa"/>
            <w:vAlign w:val="bottom"/>
          </w:tcPr>
          <w:p>
            <w:pPr>
              <w:jc w:val="right"/>
              <w:spacing w:after="0"/>
              <w:rPr>
                <w:sz w:val="20"/>
                <w:szCs w:val="20"/>
                <w:color w:val="auto"/>
              </w:rPr>
            </w:pPr>
            <w:r>
              <w:rPr>
                <w:rFonts w:ascii="Arial" w:cs="Arial" w:eastAsia="Arial" w:hAnsi="Arial"/>
                <w:sz w:val="14"/>
                <w:szCs w:val="14"/>
                <w:color w:val="0000FF"/>
              </w:rPr>
              <w:t>14</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5: Investments</w:t>
            </w:r>
          </w:p>
        </w:tc>
        <w:tc>
          <w:tcPr>
            <w:tcW w:w="2200" w:type="dxa"/>
            <w:vAlign w:val="bottom"/>
          </w:tcPr>
          <w:p>
            <w:pPr>
              <w:jc w:val="right"/>
              <w:spacing w:after="0"/>
              <w:rPr>
                <w:sz w:val="20"/>
                <w:szCs w:val="20"/>
                <w:color w:val="auto"/>
              </w:rPr>
            </w:pPr>
            <w:r>
              <w:rPr>
                <w:rFonts w:ascii="Arial" w:cs="Arial" w:eastAsia="Arial" w:hAnsi="Arial"/>
                <w:sz w:val="14"/>
                <w:szCs w:val="14"/>
                <w:color w:val="0000FF"/>
              </w:rPr>
              <w:t>14</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6: Intangible Assets and Liabilities, net</w:t>
            </w:r>
          </w:p>
        </w:tc>
        <w:tc>
          <w:tcPr>
            <w:tcW w:w="2200" w:type="dxa"/>
            <w:vAlign w:val="bottom"/>
          </w:tcPr>
          <w:p>
            <w:pPr>
              <w:jc w:val="right"/>
              <w:spacing w:after="0"/>
              <w:rPr>
                <w:sz w:val="20"/>
                <w:szCs w:val="20"/>
                <w:color w:val="auto"/>
              </w:rPr>
            </w:pPr>
            <w:r>
              <w:rPr>
                <w:rFonts w:ascii="Arial" w:cs="Arial" w:eastAsia="Arial" w:hAnsi="Arial"/>
                <w:sz w:val="14"/>
                <w:szCs w:val="14"/>
                <w:color w:val="0000FF"/>
              </w:rPr>
              <w:t>16</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7: Debt, net</w:t>
            </w:r>
          </w:p>
        </w:tc>
        <w:tc>
          <w:tcPr>
            <w:tcW w:w="2200" w:type="dxa"/>
            <w:vAlign w:val="bottom"/>
          </w:tcPr>
          <w:p>
            <w:pPr>
              <w:jc w:val="right"/>
              <w:spacing w:after="0"/>
              <w:rPr>
                <w:sz w:val="20"/>
                <w:szCs w:val="20"/>
                <w:color w:val="auto"/>
              </w:rPr>
            </w:pPr>
            <w:r>
              <w:rPr>
                <w:rFonts w:ascii="Arial" w:cs="Arial" w:eastAsia="Arial" w:hAnsi="Arial"/>
                <w:sz w:val="14"/>
                <w:szCs w:val="14"/>
                <w:color w:val="0000FF"/>
              </w:rPr>
              <w:t>17</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8: Fair Value Measurements</w:t>
            </w:r>
          </w:p>
        </w:tc>
        <w:tc>
          <w:tcPr>
            <w:tcW w:w="2200" w:type="dxa"/>
            <w:vAlign w:val="bottom"/>
          </w:tcPr>
          <w:p>
            <w:pPr>
              <w:jc w:val="right"/>
              <w:spacing w:after="0"/>
              <w:rPr>
                <w:sz w:val="20"/>
                <w:szCs w:val="20"/>
                <w:color w:val="auto"/>
              </w:rPr>
            </w:pPr>
            <w:r>
              <w:rPr>
                <w:rFonts w:ascii="Arial" w:cs="Arial" w:eastAsia="Arial" w:hAnsi="Arial"/>
                <w:sz w:val="14"/>
                <w:szCs w:val="14"/>
                <w:color w:val="0000FF"/>
              </w:rPr>
              <w:t>17</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9: Equity-Based Compensation</w:t>
            </w:r>
          </w:p>
        </w:tc>
        <w:tc>
          <w:tcPr>
            <w:tcW w:w="2200" w:type="dxa"/>
            <w:vAlign w:val="bottom"/>
          </w:tcPr>
          <w:p>
            <w:pPr>
              <w:jc w:val="right"/>
              <w:spacing w:after="0"/>
              <w:rPr>
                <w:sz w:val="20"/>
                <w:szCs w:val="20"/>
                <w:color w:val="auto"/>
              </w:rPr>
            </w:pPr>
            <w:r>
              <w:rPr>
                <w:rFonts w:ascii="Arial" w:cs="Arial" w:eastAsia="Arial" w:hAnsi="Arial"/>
                <w:sz w:val="14"/>
                <w:szCs w:val="14"/>
                <w:color w:val="0000FF"/>
              </w:rPr>
              <w:t>18</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10: Income Taxes</w:t>
            </w:r>
          </w:p>
        </w:tc>
        <w:tc>
          <w:tcPr>
            <w:tcW w:w="2200" w:type="dxa"/>
            <w:vAlign w:val="bottom"/>
          </w:tcPr>
          <w:p>
            <w:pPr>
              <w:jc w:val="right"/>
              <w:spacing w:after="0"/>
              <w:rPr>
                <w:sz w:val="20"/>
                <w:szCs w:val="20"/>
                <w:color w:val="auto"/>
              </w:rPr>
            </w:pPr>
            <w:r>
              <w:rPr>
                <w:rFonts w:ascii="Arial" w:cs="Arial" w:eastAsia="Arial" w:hAnsi="Arial"/>
                <w:sz w:val="14"/>
                <w:szCs w:val="14"/>
                <w:color w:val="0000FF"/>
              </w:rPr>
              <w:t>19</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11: Management Agreement and Affiliate Transactions</w:t>
            </w:r>
          </w:p>
        </w:tc>
        <w:tc>
          <w:tcPr>
            <w:tcW w:w="2200" w:type="dxa"/>
            <w:vAlign w:val="bottom"/>
          </w:tcPr>
          <w:p>
            <w:pPr>
              <w:jc w:val="right"/>
              <w:spacing w:after="0"/>
              <w:rPr>
                <w:sz w:val="20"/>
                <w:szCs w:val="20"/>
                <w:color w:val="auto"/>
              </w:rPr>
            </w:pPr>
            <w:r>
              <w:rPr>
                <w:rFonts w:ascii="Arial" w:cs="Arial" w:eastAsia="Arial" w:hAnsi="Arial"/>
                <w:sz w:val="14"/>
                <w:szCs w:val="14"/>
                <w:color w:val="0000FF"/>
              </w:rPr>
              <w:t>19</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12: Segment Information</w:t>
            </w:r>
          </w:p>
        </w:tc>
        <w:tc>
          <w:tcPr>
            <w:tcW w:w="2200" w:type="dxa"/>
            <w:vAlign w:val="bottom"/>
          </w:tcPr>
          <w:p>
            <w:pPr>
              <w:jc w:val="right"/>
              <w:spacing w:after="0"/>
              <w:rPr>
                <w:sz w:val="20"/>
                <w:szCs w:val="20"/>
                <w:color w:val="auto"/>
              </w:rPr>
            </w:pPr>
            <w:r>
              <w:rPr>
                <w:rFonts w:ascii="Arial" w:cs="Arial" w:eastAsia="Arial" w:hAnsi="Arial"/>
                <w:sz w:val="14"/>
                <w:szCs w:val="14"/>
                <w:color w:val="0000FF"/>
              </w:rPr>
              <w:t>21</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13: Earnings per Share and Equity</w:t>
            </w:r>
          </w:p>
        </w:tc>
        <w:tc>
          <w:tcPr>
            <w:tcW w:w="2200" w:type="dxa"/>
            <w:vAlign w:val="bottom"/>
          </w:tcPr>
          <w:p>
            <w:pPr>
              <w:jc w:val="right"/>
              <w:spacing w:after="0"/>
              <w:rPr>
                <w:sz w:val="20"/>
                <w:szCs w:val="20"/>
                <w:color w:val="auto"/>
              </w:rPr>
            </w:pPr>
            <w:r>
              <w:rPr>
                <w:rFonts w:ascii="Arial" w:cs="Arial" w:eastAsia="Arial" w:hAnsi="Arial"/>
                <w:sz w:val="14"/>
                <w:szCs w:val="14"/>
                <w:color w:val="0000FF"/>
              </w:rPr>
              <w:t>25</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14: Commitments and Contingencies</w:t>
            </w:r>
          </w:p>
        </w:tc>
        <w:tc>
          <w:tcPr>
            <w:tcW w:w="2200" w:type="dxa"/>
            <w:vAlign w:val="bottom"/>
          </w:tcPr>
          <w:p>
            <w:pPr>
              <w:jc w:val="right"/>
              <w:spacing w:after="0"/>
              <w:rPr>
                <w:sz w:val="20"/>
                <w:szCs w:val="20"/>
                <w:color w:val="auto"/>
              </w:rPr>
            </w:pPr>
            <w:r>
              <w:rPr>
                <w:rFonts w:ascii="Arial" w:cs="Arial" w:eastAsia="Arial" w:hAnsi="Arial"/>
                <w:sz w:val="14"/>
                <w:szCs w:val="14"/>
                <w:color w:val="0000FF"/>
              </w:rPr>
              <w:t>26</w:t>
            </w:r>
          </w:p>
        </w:tc>
      </w:tr>
      <w:tr>
        <w:trPr>
          <w:trHeight w:val="194"/>
        </w:trPr>
        <w:tc>
          <w:tcPr>
            <w:tcW w:w="660" w:type="dxa"/>
            <w:vAlign w:val="bottom"/>
          </w:tcPr>
          <w:p>
            <w:pPr>
              <w:spacing w:after="0"/>
              <w:rPr>
                <w:sz w:val="16"/>
                <w:szCs w:val="16"/>
                <w:color w:val="auto"/>
              </w:rPr>
            </w:pPr>
          </w:p>
        </w:tc>
        <w:tc>
          <w:tcPr>
            <w:tcW w:w="8260" w:type="dxa"/>
            <w:vAlign w:val="bottom"/>
          </w:tcPr>
          <w:p>
            <w:pPr>
              <w:ind w:left="240"/>
              <w:spacing w:after="0"/>
              <w:rPr>
                <w:sz w:val="20"/>
                <w:szCs w:val="20"/>
                <w:color w:val="auto"/>
              </w:rPr>
            </w:pPr>
            <w:r>
              <w:rPr>
                <w:rFonts w:ascii="Arial" w:cs="Arial" w:eastAsia="Arial" w:hAnsi="Arial"/>
                <w:sz w:val="14"/>
                <w:szCs w:val="14"/>
                <w:color w:val="0000FF"/>
              </w:rPr>
              <w:t>Note 15: Subsequent Events</w:t>
            </w:r>
          </w:p>
        </w:tc>
        <w:tc>
          <w:tcPr>
            <w:tcW w:w="2200" w:type="dxa"/>
            <w:vAlign w:val="bottom"/>
          </w:tcPr>
          <w:p>
            <w:pPr>
              <w:jc w:val="right"/>
              <w:spacing w:after="0"/>
              <w:rPr>
                <w:sz w:val="20"/>
                <w:szCs w:val="20"/>
                <w:color w:val="auto"/>
              </w:rPr>
            </w:pPr>
            <w:r>
              <w:rPr>
                <w:rFonts w:ascii="Arial" w:cs="Arial" w:eastAsia="Arial" w:hAnsi="Arial"/>
                <w:sz w:val="14"/>
                <w:szCs w:val="14"/>
                <w:color w:val="0000FF"/>
              </w:rPr>
              <w:t>26</w:t>
            </w:r>
          </w:p>
        </w:tc>
      </w:tr>
      <w:tr>
        <w:trPr>
          <w:trHeight w:val="200"/>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260" w:type="dxa"/>
            <w:vAlign w:val="bottom"/>
          </w:tcPr>
          <w:p>
            <w:pPr>
              <w:ind w:left="14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200" w:type="dxa"/>
            <w:vAlign w:val="bottom"/>
          </w:tcPr>
          <w:p>
            <w:pPr>
              <w:jc w:val="right"/>
              <w:spacing w:after="0"/>
              <w:rPr>
                <w:sz w:val="20"/>
                <w:szCs w:val="20"/>
                <w:color w:val="auto"/>
              </w:rPr>
            </w:pPr>
            <w:r>
              <w:rPr>
                <w:rFonts w:ascii="Arial" w:cs="Arial" w:eastAsia="Arial" w:hAnsi="Arial"/>
                <w:sz w:val="14"/>
                <w:szCs w:val="14"/>
                <w:color w:val="0000FF"/>
              </w:rPr>
              <w:t>28</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260" w:type="dxa"/>
            <w:vAlign w:val="bottom"/>
          </w:tcPr>
          <w:p>
            <w:pPr>
              <w:ind w:left="140"/>
              <w:spacing w:after="0"/>
              <w:rPr>
                <w:sz w:val="20"/>
                <w:szCs w:val="20"/>
                <w:color w:val="auto"/>
              </w:rPr>
            </w:pPr>
            <w:r>
              <w:rPr>
                <w:rFonts w:ascii="Arial" w:cs="Arial" w:eastAsia="Arial" w:hAnsi="Arial"/>
                <w:sz w:val="14"/>
                <w:szCs w:val="14"/>
                <w:color w:val="0000FF"/>
              </w:rPr>
              <w:t>Quantitative and Qualitative Disclosures About Market Risk</w:t>
            </w:r>
          </w:p>
        </w:tc>
        <w:tc>
          <w:tcPr>
            <w:tcW w:w="2200" w:type="dxa"/>
            <w:vAlign w:val="bottom"/>
          </w:tcPr>
          <w:p>
            <w:pPr>
              <w:jc w:val="right"/>
              <w:spacing w:after="0"/>
              <w:rPr>
                <w:sz w:val="20"/>
                <w:szCs w:val="20"/>
                <w:color w:val="auto"/>
              </w:rPr>
            </w:pPr>
            <w:r>
              <w:rPr>
                <w:rFonts w:ascii="Arial" w:cs="Arial" w:eastAsia="Arial" w:hAnsi="Arial"/>
                <w:sz w:val="14"/>
                <w:szCs w:val="14"/>
                <w:color w:val="0000FF"/>
              </w:rPr>
              <w:t>38</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260" w:type="dxa"/>
            <w:vAlign w:val="bottom"/>
          </w:tcPr>
          <w:p>
            <w:pPr>
              <w:ind w:left="140"/>
              <w:spacing w:after="0"/>
              <w:rPr>
                <w:sz w:val="20"/>
                <w:szCs w:val="20"/>
                <w:color w:val="auto"/>
              </w:rPr>
            </w:pPr>
            <w:r>
              <w:rPr>
                <w:rFonts w:ascii="Arial" w:cs="Arial" w:eastAsia="Arial" w:hAnsi="Arial"/>
                <w:sz w:val="14"/>
                <w:szCs w:val="14"/>
                <w:color w:val="0000FF"/>
              </w:rPr>
              <w:t>Controls and Procedures</w:t>
            </w:r>
          </w:p>
        </w:tc>
        <w:tc>
          <w:tcPr>
            <w:tcW w:w="2200" w:type="dxa"/>
            <w:vAlign w:val="bottom"/>
          </w:tcPr>
          <w:p>
            <w:pPr>
              <w:jc w:val="right"/>
              <w:spacing w:after="0"/>
              <w:rPr>
                <w:sz w:val="20"/>
                <w:szCs w:val="20"/>
                <w:color w:val="auto"/>
              </w:rPr>
            </w:pPr>
            <w:r>
              <w:rPr>
                <w:rFonts w:ascii="Arial" w:cs="Arial" w:eastAsia="Arial" w:hAnsi="Arial"/>
                <w:sz w:val="14"/>
                <w:szCs w:val="14"/>
                <w:color w:val="0000FF"/>
              </w:rPr>
              <w:t>39</w:t>
            </w:r>
          </w:p>
        </w:tc>
      </w:tr>
      <w:tr>
        <w:trPr>
          <w:trHeight w:val="401"/>
        </w:trPr>
        <w:tc>
          <w:tcPr>
            <w:tcW w:w="660" w:type="dxa"/>
            <w:vAlign w:val="bottom"/>
          </w:tcPr>
          <w:p>
            <w:pPr>
              <w:spacing w:after="0"/>
              <w:rPr>
                <w:sz w:val="24"/>
                <w:szCs w:val="24"/>
                <w:color w:val="auto"/>
              </w:rPr>
            </w:pPr>
          </w:p>
        </w:tc>
        <w:tc>
          <w:tcPr>
            <w:tcW w:w="8260" w:type="dxa"/>
            <w:vAlign w:val="bottom"/>
          </w:tcPr>
          <w:p>
            <w:pPr>
              <w:ind w:left="4120"/>
              <w:spacing w:after="0"/>
              <w:rPr>
                <w:sz w:val="20"/>
                <w:szCs w:val="20"/>
                <w:color w:val="auto"/>
              </w:rPr>
            </w:pPr>
            <w:r>
              <w:rPr>
                <w:rFonts w:ascii="Arial" w:cs="Arial" w:eastAsia="Arial" w:hAnsi="Arial"/>
                <w:sz w:val="14"/>
                <w:szCs w:val="14"/>
                <w:b w:val="1"/>
                <w:bCs w:val="1"/>
                <w:color w:val="006EBF"/>
              </w:rPr>
              <w:t>PART II - OTHER INFORMATION</w:t>
            </w:r>
          </w:p>
        </w:tc>
        <w:tc>
          <w:tcPr>
            <w:tcW w:w="2200" w:type="dxa"/>
            <w:vAlign w:val="bottom"/>
          </w:tcPr>
          <w:p>
            <w:pPr>
              <w:spacing w:after="0"/>
              <w:rPr>
                <w:sz w:val="24"/>
                <w:szCs w:val="24"/>
                <w:color w:val="auto"/>
              </w:rPr>
            </w:pP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260" w:type="dxa"/>
            <w:vAlign w:val="bottom"/>
          </w:tcPr>
          <w:p>
            <w:pPr>
              <w:ind w:left="140"/>
              <w:spacing w:after="0"/>
              <w:rPr>
                <w:sz w:val="20"/>
                <w:szCs w:val="20"/>
                <w:color w:val="auto"/>
              </w:rPr>
            </w:pPr>
            <w:r>
              <w:rPr>
                <w:rFonts w:ascii="Arial" w:cs="Arial" w:eastAsia="Arial" w:hAnsi="Arial"/>
                <w:sz w:val="14"/>
                <w:szCs w:val="14"/>
                <w:color w:val="0000FF"/>
              </w:rPr>
              <w:t>Legal Proceedings</w:t>
            </w:r>
          </w:p>
        </w:tc>
        <w:tc>
          <w:tcPr>
            <w:tcW w:w="2200" w:type="dxa"/>
            <w:vAlign w:val="bottom"/>
          </w:tcPr>
          <w:p>
            <w:pPr>
              <w:jc w:val="right"/>
              <w:spacing w:after="0"/>
              <w:rPr>
                <w:sz w:val="20"/>
                <w:szCs w:val="20"/>
                <w:color w:val="auto"/>
              </w:rPr>
            </w:pPr>
            <w:r>
              <w:rPr>
                <w:rFonts w:ascii="Arial" w:cs="Arial" w:eastAsia="Arial" w:hAnsi="Arial"/>
                <w:sz w:val="14"/>
                <w:szCs w:val="14"/>
                <w:color w:val="0000FF"/>
              </w:rPr>
              <w:t>40</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260" w:type="dxa"/>
            <w:vAlign w:val="bottom"/>
          </w:tcPr>
          <w:p>
            <w:pPr>
              <w:ind w:left="140"/>
              <w:spacing w:after="0"/>
              <w:rPr>
                <w:sz w:val="20"/>
                <w:szCs w:val="20"/>
                <w:color w:val="auto"/>
              </w:rPr>
            </w:pPr>
            <w:r>
              <w:rPr>
                <w:rFonts w:ascii="Arial" w:cs="Arial" w:eastAsia="Arial" w:hAnsi="Arial"/>
                <w:sz w:val="14"/>
                <w:szCs w:val="14"/>
                <w:color w:val="0000FF"/>
              </w:rPr>
              <w:t>Risk Factors</w:t>
            </w:r>
          </w:p>
        </w:tc>
        <w:tc>
          <w:tcPr>
            <w:tcW w:w="2200" w:type="dxa"/>
            <w:vAlign w:val="bottom"/>
          </w:tcPr>
          <w:p>
            <w:pPr>
              <w:jc w:val="right"/>
              <w:spacing w:after="0"/>
              <w:rPr>
                <w:sz w:val="20"/>
                <w:szCs w:val="20"/>
                <w:color w:val="auto"/>
              </w:rPr>
            </w:pPr>
            <w:r>
              <w:rPr>
                <w:rFonts w:ascii="Arial" w:cs="Arial" w:eastAsia="Arial" w:hAnsi="Arial"/>
                <w:sz w:val="14"/>
                <w:szCs w:val="14"/>
                <w:color w:val="0000FF"/>
              </w:rPr>
              <w:t>40</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260" w:type="dxa"/>
            <w:vAlign w:val="bottom"/>
          </w:tcPr>
          <w:p>
            <w:pPr>
              <w:ind w:left="140"/>
              <w:spacing w:after="0"/>
              <w:rPr>
                <w:sz w:val="20"/>
                <w:szCs w:val="20"/>
                <w:color w:val="auto"/>
              </w:rPr>
            </w:pPr>
            <w:r>
              <w:rPr>
                <w:rFonts w:ascii="Arial" w:cs="Arial" w:eastAsia="Arial" w:hAnsi="Arial"/>
                <w:sz w:val="14"/>
                <w:szCs w:val="14"/>
                <w:color w:val="0000FF"/>
              </w:rPr>
              <w:t>Unregistered Sales of Equity Securities and Use of Proceeds</w:t>
            </w:r>
          </w:p>
        </w:tc>
        <w:tc>
          <w:tcPr>
            <w:tcW w:w="2200" w:type="dxa"/>
            <w:vAlign w:val="bottom"/>
          </w:tcPr>
          <w:p>
            <w:pPr>
              <w:jc w:val="right"/>
              <w:spacing w:after="0"/>
              <w:rPr>
                <w:sz w:val="20"/>
                <w:szCs w:val="20"/>
                <w:color w:val="auto"/>
              </w:rPr>
            </w:pPr>
            <w:r>
              <w:rPr>
                <w:rFonts w:ascii="Arial" w:cs="Arial" w:eastAsia="Arial" w:hAnsi="Arial"/>
                <w:sz w:val="14"/>
                <w:szCs w:val="14"/>
                <w:color w:val="0000FF"/>
              </w:rPr>
              <w:t>56</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260" w:type="dxa"/>
            <w:vAlign w:val="bottom"/>
          </w:tcPr>
          <w:p>
            <w:pPr>
              <w:ind w:left="140"/>
              <w:spacing w:after="0"/>
              <w:rPr>
                <w:sz w:val="20"/>
                <w:szCs w:val="20"/>
                <w:color w:val="auto"/>
              </w:rPr>
            </w:pPr>
            <w:r>
              <w:rPr>
                <w:rFonts w:ascii="Arial" w:cs="Arial" w:eastAsia="Arial" w:hAnsi="Arial"/>
                <w:sz w:val="14"/>
                <w:szCs w:val="14"/>
                <w:color w:val="0000FF"/>
              </w:rPr>
              <w:t>Defaults Upon Senior Securities</w:t>
            </w:r>
          </w:p>
        </w:tc>
        <w:tc>
          <w:tcPr>
            <w:tcW w:w="2200" w:type="dxa"/>
            <w:vAlign w:val="bottom"/>
          </w:tcPr>
          <w:p>
            <w:pPr>
              <w:jc w:val="right"/>
              <w:spacing w:after="0"/>
              <w:rPr>
                <w:sz w:val="20"/>
                <w:szCs w:val="20"/>
                <w:color w:val="auto"/>
              </w:rPr>
            </w:pPr>
            <w:r>
              <w:rPr>
                <w:rFonts w:ascii="Arial" w:cs="Arial" w:eastAsia="Arial" w:hAnsi="Arial"/>
                <w:sz w:val="14"/>
                <w:szCs w:val="14"/>
                <w:color w:val="0000FF"/>
              </w:rPr>
              <w:t>56</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260" w:type="dxa"/>
            <w:vAlign w:val="bottom"/>
          </w:tcPr>
          <w:p>
            <w:pPr>
              <w:ind w:left="140"/>
              <w:spacing w:after="0"/>
              <w:rPr>
                <w:sz w:val="20"/>
                <w:szCs w:val="20"/>
                <w:color w:val="auto"/>
              </w:rPr>
            </w:pPr>
            <w:r>
              <w:rPr>
                <w:rFonts w:ascii="Arial" w:cs="Arial" w:eastAsia="Arial" w:hAnsi="Arial"/>
                <w:sz w:val="14"/>
                <w:szCs w:val="14"/>
                <w:color w:val="0000FF"/>
              </w:rPr>
              <w:t>Mine Safety Disclosures</w:t>
            </w:r>
          </w:p>
        </w:tc>
        <w:tc>
          <w:tcPr>
            <w:tcW w:w="2200" w:type="dxa"/>
            <w:vAlign w:val="bottom"/>
          </w:tcPr>
          <w:p>
            <w:pPr>
              <w:jc w:val="right"/>
              <w:spacing w:after="0"/>
              <w:rPr>
                <w:sz w:val="20"/>
                <w:szCs w:val="20"/>
                <w:color w:val="auto"/>
              </w:rPr>
            </w:pPr>
            <w:r>
              <w:rPr>
                <w:rFonts w:ascii="Arial" w:cs="Arial" w:eastAsia="Arial" w:hAnsi="Arial"/>
                <w:sz w:val="14"/>
                <w:szCs w:val="14"/>
                <w:color w:val="0000FF"/>
              </w:rPr>
              <w:t>56</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260" w:type="dxa"/>
            <w:vAlign w:val="bottom"/>
          </w:tcPr>
          <w:p>
            <w:pPr>
              <w:ind w:left="140"/>
              <w:spacing w:after="0"/>
              <w:rPr>
                <w:sz w:val="20"/>
                <w:szCs w:val="20"/>
                <w:color w:val="auto"/>
              </w:rPr>
            </w:pPr>
            <w:r>
              <w:rPr>
                <w:rFonts w:ascii="Arial" w:cs="Arial" w:eastAsia="Arial" w:hAnsi="Arial"/>
                <w:sz w:val="14"/>
                <w:szCs w:val="14"/>
                <w:color w:val="0000FF"/>
              </w:rPr>
              <w:t>Other Information</w:t>
            </w:r>
          </w:p>
        </w:tc>
        <w:tc>
          <w:tcPr>
            <w:tcW w:w="2200" w:type="dxa"/>
            <w:vAlign w:val="bottom"/>
          </w:tcPr>
          <w:p>
            <w:pPr>
              <w:jc w:val="right"/>
              <w:spacing w:after="0"/>
              <w:rPr>
                <w:sz w:val="20"/>
                <w:szCs w:val="20"/>
                <w:color w:val="auto"/>
              </w:rPr>
            </w:pPr>
            <w:r>
              <w:rPr>
                <w:rFonts w:ascii="Arial" w:cs="Arial" w:eastAsia="Arial" w:hAnsi="Arial"/>
                <w:sz w:val="14"/>
                <w:szCs w:val="14"/>
                <w:color w:val="0000FF"/>
              </w:rPr>
              <w:t>56</w:t>
            </w:r>
          </w:p>
        </w:tc>
      </w:tr>
      <w:tr>
        <w:trPr>
          <w:trHeight w:val="194"/>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260" w:type="dxa"/>
            <w:vAlign w:val="bottom"/>
          </w:tcPr>
          <w:p>
            <w:pPr>
              <w:ind w:left="140"/>
              <w:spacing w:after="0"/>
              <w:rPr>
                <w:sz w:val="20"/>
                <w:szCs w:val="20"/>
                <w:color w:val="auto"/>
              </w:rPr>
            </w:pPr>
            <w:r>
              <w:rPr>
                <w:rFonts w:ascii="Arial" w:cs="Arial" w:eastAsia="Arial" w:hAnsi="Arial"/>
                <w:sz w:val="14"/>
                <w:szCs w:val="14"/>
                <w:color w:val="0000FF"/>
              </w:rPr>
              <w:t>Exhibits</w:t>
            </w:r>
          </w:p>
        </w:tc>
        <w:tc>
          <w:tcPr>
            <w:tcW w:w="2200" w:type="dxa"/>
            <w:vAlign w:val="bottom"/>
          </w:tcPr>
          <w:p>
            <w:pPr>
              <w:jc w:val="right"/>
              <w:spacing w:after="0"/>
              <w:rPr>
                <w:sz w:val="20"/>
                <w:szCs w:val="20"/>
                <w:color w:val="auto"/>
              </w:rPr>
            </w:pPr>
            <w:r>
              <w:rPr>
                <w:rFonts w:ascii="Arial" w:cs="Arial" w:eastAsia="Arial" w:hAnsi="Arial"/>
                <w:sz w:val="14"/>
                <w:szCs w:val="14"/>
                <w:color w:val="0000FF"/>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214630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40" w:top="986"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006EBF"/>
        </w:rPr>
        <w:t>PART I—FINANCIAL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1.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FTAI AVIATION LTD.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6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March 31, 2024</w:t>
            </w:r>
          </w:p>
        </w:tc>
        <w:tc>
          <w:tcPr>
            <w:tcW w:w="200" w:type="dxa"/>
            <w:vAlign w:val="bottom"/>
          </w:tcPr>
          <w:p>
            <w:pPr>
              <w:spacing w:after="0"/>
              <w:rPr>
                <w:sz w:val="16"/>
                <w:szCs w:val="16"/>
                <w:color w:val="auto"/>
              </w:rPr>
            </w:pPr>
          </w:p>
        </w:tc>
        <w:tc>
          <w:tcPr>
            <w:tcW w:w="166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5"/>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65,224</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90,756</w:t>
            </w:r>
          </w:p>
        </w:tc>
        <w:tc>
          <w:tcPr>
            <w:tcW w:w="0" w:type="dxa"/>
            <w:vAlign w:val="bottom"/>
          </w:tcPr>
          <w:p>
            <w:pPr>
              <w:spacing w:after="0"/>
              <w:rPr>
                <w:sz w:val="1"/>
                <w:szCs w:val="1"/>
                <w:color w:val="auto"/>
              </w:rPr>
            </w:pPr>
          </w:p>
        </w:tc>
      </w:tr>
      <w:tr>
        <w:trPr>
          <w:trHeight w:val="195"/>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137,399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115,156</w:t>
            </w:r>
          </w:p>
        </w:tc>
        <w:tc>
          <w:tcPr>
            <w:tcW w:w="0" w:type="dxa"/>
            <w:vAlign w:val="bottom"/>
          </w:tcPr>
          <w:p>
            <w:pPr>
              <w:spacing w:after="0"/>
              <w:rPr>
                <w:sz w:val="1"/>
                <w:szCs w:val="1"/>
                <w:color w:val="auto"/>
              </w:rPr>
            </w:pPr>
          </w:p>
        </w:tc>
      </w:tr>
      <w:tr>
        <w:trPr>
          <w:trHeight w:val="195"/>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2,187,716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2,032,413</w:t>
            </w: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44,114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45,175</w:t>
            </w:r>
          </w:p>
        </w:tc>
        <w:tc>
          <w:tcPr>
            <w:tcW w:w="0" w:type="dxa"/>
            <w:vAlign w:val="bottom"/>
          </w:tcPr>
          <w:p>
            <w:pPr>
              <w:spacing w:after="0"/>
              <w:rPr>
                <w:sz w:val="1"/>
                <w:szCs w:val="1"/>
                <w:color w:val="auto"/>
              </w:rPr>
            </w:pPr>
          </w:p>
        </w:tc>
      </w:tr>
      <w:tr>
        <w:trPr>
          <w:trHeight w:val="195"/>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22,722</w:t>
            </w: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46,583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50,590</w:t>
            </w:r>
          </w:p>
        </w:tc>
        <w:tc>
          <w:tcPr>
            <w:tcW w:w="0" w:type="dxa"/>
            <w:vAlign w:val="bottom"/>
          </w:tcPr>
          <w:p>
            <w:pPr>
              <w:spacing w:after="0"/>
              <w:rPr>
                <w:sz w:val="1"/>
                <w:szCs w:val="1"/>
                <w:color w:val="auto"/>
              </w:rPr>
            </w:pPr>
          </w:p>
        </w:tc>
      </w:tr>
      <w:tr>
        <w:trPr>
          <w:trHeight w:val="195"/>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color w:val="auto"/>
              </w:rPr>
              <w:t>Inventory, net</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345,470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316,637</w:t>
            </w:r>
          </w:p>
        </w:tc>
        <w:tc>
          <w:tcPr>
            <w:tcW w:w="0" w:type="dxa"/>
            <w:vAlign w:val="bottom"/>
          </w:tcPr>
          <w:p>
            <w:pPr>
              <w:spacing w:after="0"/>
              <w:rPr>
                <w:sz w:val="1"/>
                <w:szCs w:val="1"/>
                <w:color w:val="auto"/>
              </w:rPr>
            </w:pPr>
          </w:p>
        </w:tc>
      </w:tr>
      <w:tr>
        <w:trPr>
          <w:trHeight w:val="194"/>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322,565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286,456</w:t>
            </w: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3,175,906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2,964,685</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139,250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112,907</w:t>
            </w: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2,693,754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2,517,343</w:t>
            </w:r>
          </w:p>
        </w:tc>
        <w:tc>
          <w:tcPr>
            <w:tcW w:w="0" w:type="dxa"/>
            <w:vAlign w:val="bottom"/>
          </w:tcPr>
          <w:p>
            <w:pPr>
              <w:spacing w:after="0"/>
              <w:rPr>
                <w:sz w:val="1"/>
                <w:szCs w:val="1"/>
                <w:color w:val="auto"/>
              </w:rPr>
            </w:pPr>
          </w:p>
        </w:tc>
      </w:tr>
      <w:tr>
        <w:trPr>
          <w:trHeight w:val="195"/>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65,387</w:t>
            </w: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42,431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41,065</w:t>
            </w:r>
          </w:p>
        </w:tc>
        <w:tc>
          <w:tcPr>
            <w:tcW w:w="0" w:type="dxa"/>
            <w:vAlign w:val="bottom"/>
          </w:tcPr>
          <w:p>
            <w:pPr>
              <w:spacing w:after="0"/>
              <w:rPr>
                <w:sz w:val="1"/>
                <w:szCs w:val="1"/>
                <w:color w:val="auto"/>
              </w:rPr>
            </w:pPr>
          </w:p>
        </w:tc>
      </w:tr>
      <w:tr>
        <w:trPr>
          <w:trHeight w:val="195"/>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60,143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52,100</w:t>
            </w:r>
          </w:p>
        </w:tc>
        <w:tc>
          <w:tcPr>
            <w:tcW w:w="0" w:type="dxa"/>
            <w:vAlign w:val="bottom"/>
          </w:tcPr>
          <w:p>
            <w:pPr>
              <w:spacing w:after="0"/>
              <w:rPr>
                <w:sz w:val="1"/>
                <w:szCs w:val="1"/>
                <w:color w:val="auto"/>
              </w:rPr>
            </w:pPr>
          </w:p>
        </w:tc>
      </w:tr>
      <w:tr>
        <w:trPr>
          <w:trHeight w:val="18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2,998,300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2,788,802</w:t>
            </w:r>
          </w:p>
        </w:tc>
        <w:tc>
          <w:tcPr>
            <w:tcW w:w="0" w:type="dxa"/>
            <w:vAlign w:val="bottom"/>
          </w:tcPr>
          <w:p>
            <w:pPr>
              <w:spacing w:after="0"/>
              <w:rPr>
                <w:sz w:val="1"/>
                <w:szCs w:val="1"/>
                <w:color w:val="auto"/>
              </w:rPr>
            </w:pPr>
          </w:p>
        </w:tc>
      </w:tr>
      <w:tr>
        <w:trPr>
          <w:trHeight w:val="239"/>
        </w:trPr>
        <w:tc>
          <w:tcPr>
            <w:tcW w:w="65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5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5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5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Ordinary shares ($0.01 par value per share; 2,000,000,000 shares authorized; 100,245,905 and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1,002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1"/>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100,245,905 shares issued and outstanding as of March 31, 2024 and December 31, 2023, respectively)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Pr>
          <w:p>
            <w:pPr>
              <w:ind w:left="20"/>
              <w:spacing w:after="0" w:line="142" w:lineRule="exact"/>
              <w:rPr>
                <w:sz w:val="20"/>
                <w:szCs w:val="20"/>
                <w:color w:val="auto"/>
              </w:rPr>
            </w:pPr>
            <w:r>
              <w:rPr>
                <w:rFonts w:ascii="Arial" w:cs="Arial" w:eastAsia="Arial" w:hAnsi="Arial"/>
                <w:sz w:val="14"/>
                <w:szCs w:val="14"/>
                <w:color w:val="auto"/>
                <w:w w:val="99"/>
              </w:rPr>
              <w:t>Preferred shares ($0.01 par value per share; 200,000,000 shares authorized; 15,920,000 and 15,920,000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1"/>
        </w:trPr>
        <w:tc>
          <w:tcPr>
            <w:tcW w:w="6560" w:type="dxa"/>
            <w:vAlign w:val="bottom"/>
          </w:tcPr>
          <w:p>
            <w:pPr>
              <w:ind w:left="20"/>
              <w:spacing w:after="0"/>
              <w:rPr>
                <w:sz w:val="20"/>
                <w:szCs w:val="20"/>
                <w:color w:val="auto"/>
              </w:rPr>
            </w:pPr>
            <w:r>
              <w:rPr>
                <w:rFonts w:ascii="Arial" w:cs="Arial" w:eastAsia="Arial" w:hAnsi="Arial"/>
                <w:sz w:val="14"/>
                <w:szCs w:val="14"/>
                <w:color w:val="auto"/>
              </w:rPr>
              <w:t>shares issued and outstanding as of March 31, 2024 and December 31, 2023, respectively)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218,074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255,973</w:t>
            </w:r>
          </w:p>
        </w:tc>
        <w:tc>
          <w:tcPr>
            <w:tcW w:w="0" w:type="dxa"/>
            <w:vAlign w:val="bottom"/>
          </w:tcPr>
          <w:p>
            <w:pPr>
              <w:spacing w:after="0"/>
              <w:rPr>
                <w:sz w:val="1"/>
                <w:szCs w:val="1"/>
                <w:color w:val="auto"/>
              </w:rPr>
            </w:pPr>
          </w:p>
        </w:tc>
      </w:tr>
      <w:tr>
        <w:trPr>
          <w:trHeight w:val="19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(42,163)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(81,785)</w:t>
            </w:r>
          </w:p>
        </w:tc>
        <w:tc>
          <w:tcPr>
            <w:tcW w:w="0" w:type="dxa"/>
            <w:vAlign w:val="bottom"/>
          </w:tcPr>
          <w:p>
            <w:pPr>
              <w:spacing w:after="0"/>
              <w:rPr>
                <w:sz w:val="1"/>
                <w:szCs w:val="1"/>
                <w:color w:val="auto"/>
              </w:rPr>
            </w:pPr>
          </w:p>
        </w:tc>
      </w:tr>
      <w:tr>
        <w:trPr>
          <w:trHeight w:val="188"/>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177,072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175,349</w:t>
            </w:r>
          </w:p>
        </w:tc>
        <w:tc>
          <w:tcPr>
            <w:tcW w:w="0" w:type="dxa"/>
            <w:vAlign w:val="bottom"/>
          </w:tcPr>
          <w:p>
            <w:pPr>
              <w:spacing w:after="0"/>
              <w:rPr>
                <w:sz w:val="1"/>
                <w:szCs w:val="1"/>
                <w:color w:val="auto"/>
              </w:rPr>
            </w:pPr>
          </w:p>
        </w:tc>
      </w:tr>
      <w:tr>
        <w:trPr>
          <w:trHeight w:val="19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177,606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175,883</w:t>
            </w: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3,175,906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2,964,685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CONSOLIDATED STATEMENTS OF OPERATIONS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thousands, except share and per share data)</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220" w:type="dxa"/>
            <w:vAlign w:val="bottom"/>
          </w:tcPr>
          <w:p>
            <w:pPr>
              <w:spacing w:after="0"/>
              <w:rPr>
                <w:sz w:val="16"/>
                <w:szCs w:val="16"/>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2023</w:t>
            </w:r>
          </w:p>
        </w:tc>
      </w:tr>
      <w:tr>
        <w:trPr>
          <w:trHeight w:val="175"/>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53,161</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55,978</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35,141</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38,607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108,691</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189,057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85,113</w:t>
            </w:r>
          </w:p>
        </w:tc>
      </w:tr>
      <w:tr>
        <w:trPr>
          <w:trHeight w:val="19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7,795</w:t>
            </w:r>
          </w:p>
        </w:tc>
      </w:tr>
      <w:tr>
        <w:trPr>
          <w:trHeight w:val="18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326,694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292,718</w:t>
            </w:r>
          </w:p>
        </w:tc>
      </w:tr>
      <w:tr>
        <w:trPr>
          <w:trHeight w:val="258"/>
        </w:trPr>
        <w:tc>
          <w:tcPr>
            <w:tcW w:w="7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9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142,804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145,670</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22,534</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3,683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4,067</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4,895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2,997</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4, 6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49,920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40,926</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1,220</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47,707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39,292</w:t>
            </w:r>
          </w:p>
        </w:tc>
      </w:tr>
      <w:tr>
        <w:trPr>
          <w:trHeight w:val="186"/>
        </w:trPr>
        <w:tc>
          <w:tcPr>
            <w:tcW w:w="72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281,467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259,968</w:t>
            </w:r>
          </w:p>
        </w:tc>
      </w:tr>
      <w:tr>
        <w:trPr>
          <w:trHeight w:val="259"/>
        </w:trPr>
        <w:tc>
          <w:tcPr>
            <w:tcW w:w="7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19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8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r>
      <w:tr>
        <w:trPr>
          <w:trHeight w:val="18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45,194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31,423</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r>
      <w:tr>
        <w:trPr>
          <w:trHeight w:val="186"/>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39,622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29,397</w:t>
            </w:r>
          </w:p>
        </w:tc>
      </w:tr>
      <w:tr>
        <w:trPr>
          <w:trHeight w:val="187"/>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8,335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w:t>
            </w:r>
          </w:p>
        </w:tc>
      </w:tr>
      <w:tr>
        <w:trPr>
          <w:trHeight w:val="188"/>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31,287</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22,606</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66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Diluted</w:t>
            </w: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0.31</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0.22</w:t>
            </w:r>
          </w:p>
        </w:tc>
      </w:tr>
      <w:tr>
        <w:trPr>
          <w:trHeight w:val="259"/>
        </w:trPr>
        <w:tc>
          <w:tcPr>
            <w:tcW w:w="7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100,245,905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99,728,245</w:t>
            </w:r>
          </w:p>
        </w:tc>
      </w:tr>
      <w:tr>
        <w:trPr>
          <w:trHeight w:val="192"/>
        </w:trPr>
        <w:tc>
          <w:tcPr>
            <w:tcW w:w="7220" w:type="dxa"/>
            <w:vAlign w:val="bottom"/>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100,960,065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100,974,100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CONSOLIDATED STATEMENT OF CHANGES IN EQUITY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thousands)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w w:val="99"/>
              </w:rPr>
              <w:t>Three Months Ended March 31, 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Ordinary</w:t>
            </w:r>
          </w:p>
        </w:tc>
        <w:tc>
          <w:tcPr>
            <w:tcW w:w="200" w:type="dxa"/>
            <w:vAlign w:val="bottom"/>
          </w:tcPr>
          <w:p>
            <w:pPr>
              <w:spacing w:after="0"/>
              <w:rPr>
                <w:sz w:val="12"/>
                <w:szCs w:val="12"/>
                <w:color w:val="auto"/>
              </w:rPr>
            </w:pPr>
          </w:p>
        </w:tc>
        <w:tc>
          <w:tcPr>
            <w:tcW w:w="900" w:type="dxa"/>
            <w:vAlign w:val="bottom"/>
            <w:gridSpan w:val="3"/>
            <w:vMerge w:val="restart"/>
          </w:tcPr>
          <w:p>
            <w:pPr>
              <w:jc w:val="right"/>
              <w:ind w:right="171"/>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Additional Paid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340" w:type="dxa"/>
            <w:vAlign w:val="bottom"/>
            <w:gridSpan w:val="4"/>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Interest in Equity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of Consolidated</w:t>
            </w:r>
          </w:p>
        </w:tc>
        <w:tc>
          <w:tcPr>
            <w:tcW w:w="12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w:t>
            </w: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4"/>
                <w:szCs w:val="14"/>
                <w:b w:val="1"/>
                <w:bCs w:val="1"/>
                <w:color w:val="auto"/>
              </w:rPr>
              <w:t>In Capital</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31"/>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2023</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620" w:type="dxa"/>
            <w:vAlign w:val="bottom"/>
            <w:gridSpan w:val="2"/>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255,973</w:t>
            </w:r>
          </w:p>
        </w:tc>
        <w:tc>
          <w:tcPr>
            <w:tcW w:w="880" w:type="dxa"/>
            <w:vAlign w:val="bottom"/>
            <w:gridSpan w:val="3"/>
            <w:shd w:val="clear" w:color="auto" w:fill="CCEEFF"/>
          </w:tcPr>
          <w:p>
            <w:pPr>
              <w:jc w:val="center"/>
              <w:ind w:right="411"/>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(81,785)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2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39,622</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39,622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Dividends declared - ordinary shares</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(30,074)</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(8,335)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510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March 31, 2024</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218,074</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center"/>
              <w:ind w:right="571"/>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(42,163)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534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536"/>
        </w:trPr>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jc w:val="right"/>
              <w:ind w:right="560"/>
              <w:spacing w:after="0"/>
              <w:rPr>
                <w:sz w:val="20"/>
                <w:szCs w:val="20"/>
                <w:color w:val="auto"/>
              </w:rPr>
            </w:pPr>
            <w:r>
              <w:rPr>
                <w:rFonts w:ascii="Arial" w:cs="Arial" w:eastAsia="Arial" w:hAnsi="Arial"/>
                <w:sz w:val="14"/>
                <w:szCs w:val="14"/>
                <w:b w:val="1"/>
                <w:bCs w:val="1"/>
                <w:color w:val="auto"/>
              </w:rPr>
              <w:t>Three Months Ended March 31, 2023</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ind w:left="160"/>
              <w:spacing w:after="0" w:line="136" w:lineRule="exact"/>
              <w:rPr>
                <w:sz w:val="20"/>
                <w:szCs w:val="20"/>
                <w:color w:val="auto"/>
              </w:rPr>
            </w:pPr>
            <w:r>
              <w:rPr>
                <w:rFonts w:ascii="Arial" w:cs="Arial" w:eastAsia="Arial" w:hAnsi="Arial"/>
                <w:sz w:val="14"/>
                <w:szCs w:val="14"/>
                <w:b w:val="1"/>
                <w:bCs w:val="1"/>
                <w:color w:val="auto"/>
              </w:rPr>
              <w:t>Non-Controlling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Interest in Equity</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ind w:left="80"/>
              <w:spacing w:after="0" w:line="151" w:lineRule="exact"/>
              <w:rPr>
                <w:sz w:val="20"/>
                <w:szCs w:val="20"/>
                <w:color w:val="auto"/>
              </w:rPr>
            </w:pPr>
            <w:r>
              <w:rPr>
                <w:rFonts w:ascii="Arial" w:cs="Arial" w:eastAsia="Arial" w:hAnsi="Arial"/>
                <w:sz w:val="14"/>
                <w:szCs w:val="14"/>
                <w:b w:val="1"/>
                <w:bCs w:val="1"/>
                <w:color w:val="auto"/>
              </w:rPr>
              <w:t>Ordinary</w:t>
            </w:r>
          </w:p>
        </w:tc>
        <w:tc>
          <w:tcPr>
            <w:tcW w:w="1200" w:type="dxa"/>
            <w:vAlign w:val="bottom"/>
            <w:gridSpan w:val="5"/>
          </w:tcPr>
          <w:p>
            <w:pPr>
              <w:ind w:left="240"/>
              <w:spacing w:after="0" w:line="151" w:lineRule="exact"/>
              <w:rPr>
                <w:sz w:val="20"/>
                <w:szCs w:val="20"/>
                <w:color w:val="auto"/>
              </w:rPr>
            </w:pPr>
            <w:r>
              <w:rPr>
                <w:rFonts w:ascii="Arial" w:cs="Arial" w:eastAsia="Arial" w:hAnsi="Arial"/>
                <w:sz w:val="14"/>
                <w:szCs w:val="14"/>
                <w:b w:val="1"/>
                <w:bCs w:val="1"/>
                <w:color w:val="auto"/>
              </w:rPr>
              <w:t>Preferred</w:t>
            </w:r>
          </w:p>
        </w:tc>
        <w:tc>
          <w:tcPr>
            <w:tcW w:w="110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Additional Paid</w:t>
            </w:r>
          </w:p>
        </w:tc>
        <w:tc>
          <w:tcPr>
            <w:tcW w:w="100" w:type="dxa"/>
            <w:vAlign w:val="bottom"/>
          </w:tcPr>
          <w:p>
            <w:pPr>
              <w:spacing w:after="0"/>
              <w:rPr>
                <w:sz w:val="13"/>
                <w:szCs w:val="13"/>
                <w:color w:val="auto"/>
              </w:rPr>
            </w:pPr>
          </w:p>
        </w:tc>
        <w:tc>
          <w:tcPr>
            <w:tcW w:w="1320" w:type="dxa"/>
            <w:vAlign w:val="bottom"/>
            <w:gridSpan w:val="4"/>
          </w:tcPr>
          <w:p>
            <w:pPr>
              <w:jc w:val="center"/>
              <w:spacing w:after="0" w:line="151" w:lineRule="exact"/>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3"/>
                <w:szCs w:val="13"/>
                <w:color w:val="auto"/>
              </w:rPr>
            </w:pPr>
          </w:p>
        </w:tc>
        <w:tc>
          <w:tcPr>
            <w:tcW w:w="1420" w:type="dxa"/>
            <w:vAlign w:val="bottom"/>
            <w:gridSpan w:val="5"/>
          </w:tcPr>
          <w:p>
            <w:pPr>
              <w:jc w:val="center"/>
              <w:ind w:right="100"/>
              <w:spacing w:after="0" w:line="151" w:lineRule="exact"/>
              <w:rPr>
                <w:sz w:val="20"/>
                <w:szCs w:val="20"/>
                <w:color w:val="auto"/>
              </w:rPr>
            </w:pPr>
            <w:r>
              <w:rPr>
                <w:rFonts w:ascii="Arial" w:cs="Arial" w:eastAsia="Arial" w:hAnsi="Arial"/>
                <w:sz w:val="14"/>
                <w:szCs w:val="14"/>
                <w:b w:val="1"/>
                <w:bCs w:val="1"/>
                <w:color w:val="auto"/>
                <w:w w:val="98"/>
              </w:rPr>
              <w:t>of Consolidated</w:t>
            </w:r>
          </w:p>
        </w:tc>
        <w:tc>
          <w:tcPr>
            <w:tcW w:w="13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Total Equity</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2022</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4"/>
              </w:rPr>
              <w:t>133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343,350</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(325,602)</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29,397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comprehensive income</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29,397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Issuance of ordinary shares</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gridSpan w:val="2"/>
          </w:tcPr>
          <w:p>
            <w:pPr>
              <w:jc w:val="right"/>
              <w:ind w:right="11"/>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 ordinary shares</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Issuance of preferred shares</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gridSpan w:val="2"/>
          </w:tcPr>
          <w:p>
            <w:pPr>
              <w:jc w:val="right"/>
              <w:ind w:right="11"/>
              <w:spacing w:after="0"/>
              <w:rPr>
                <w:sz w:val="20"/>
                <w:szCs w:val="20"/>
                <w:color w:val="auto"/>
              </w:rPr>
            </w:pPr>
            <w:r>
              <w:rPr>
                <w:rFonts w:ascii="Arial" w:cs="Arial" w:eastAsia="Arial" w:hAnsi="Arial"/>
                <w:sz w:val="14"/>
                <w:szCs w:val="14"/>
                <w:color w:val="auto"/>
              </w:rPr>
              <w:t>61,703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61,729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Equity-based compensation</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Equity - March 31, 2023</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94"/>
              </w:rPr>
              <w:t>159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368,681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(296,205)</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CONSOLIDATED STATEMENTS OF CASH FLOWS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thousands)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31"/>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39,622</w:t>
            </w:r>
          </w:p>
        </w:tc>
        <w:tc>
          <w:tcPr>
            <w:tcW w:w="100" w:type="dxa"/>
            <w:vAlign w:val="bottom"/>
          </w:tcPr>
          <w:p>
            <w:pPr>
              <w:spacing w:after="0"/>
              <w:rPr>
                <w:sz w:val="16"/>
                <w:szCs w:val="16"/>
                <w:color w:val="auto"/>
              </w:rPr>
            </w:pPr>
          </w:p>
        </w:tc>
        <w:tc>
          <w:tcPr>
            <w:tcW w:w="1000" w:type="dxa"/>
            <w:vAlign w:val="bottom"/>
          </w:tcPr>
          <w:p>
            <w:pPr>
              <w:jc w:val="right"/>
              <w:ind w:right="83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29,397</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667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1,335</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leasing equipment, net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(58,061)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(31,657)</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(2,437)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(9,842)</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49,920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40,926</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Change in deferred income taxes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4,548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1,692</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guarantees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9,202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7,844</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10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475</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r>
      <w:tr>
        <w:trPr>
          <w:trHeight w:val="190"/>
        </w:trPr>
        <w:tc>
          <w:tcPr>
            <w:tcW w:w="7860" w:type="dxa"/>
            <w:vAlign w:val="bottom"/>
          </w:tcPr>
          <w:p>
            <w:pPr>
              <w:ind w:left="20"/>
              <w:spacing w:after="0"/>
              <w:rPr>
                <w:sz w:val="20"/>
                <w:szCs w:val="20"/>
                <w:color w:val="auto"/>
              </w:rPr>
            </w:pPr>
            <w:r>
              <w:rPr>
                <w:rFonts w:ascii="Arial" w:cs="Arial" w:eastAsia="Arial" w:hAnsi="Arial"/>
                <w:sz w:val="14"/>
                <w:szCs w:val="14"/>
                <w:color w:val="auto"/>
              </w:rPr>
              <w:t>Change in:</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8"/>
        </w:trPr>
        <w:tc>
          <w:tcPr>
            <w:tcW w:w="7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(27,945)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(14,840)</w:t>
            </w:r>
          </w:p>
        </w:tc>
      </w:tr>
      <w:tr>
        <w:trPr>
          <w:trHeight w:val="193"/>
        </w:trPr>
        <w:tc>
          <w:tcPr>
            <w:tcW w:w="78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(6,877)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6,984</w:t>
            </w:r>
          </w:p>
        </w:tc>
      </w:tr>
      <w:tr>
        <w:trPr>
          <w:trHeight w:val="195"/>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r>
      <w:tr>
        <w:trPr>
          <w:trHeight w:val="193"/>
        </w:trPr>
        <w:tc>
          <w:tcPr>
            <w:tcW w:w="7860" w:type="dxa"/>
            <w:vAlign w:val="bottom"/>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(10,252)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6,088</w:t>
            </w:r>
          </w:p>
        </w:tc>
      </w:tr>
      <w:tr>
        <w:trPr>
          <w:trHeight w:val="195"/>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Management fees payable to affiliate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r>
      <w:tr>
        <w:trPr>
          <w:trHeight w:val="193"/>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(717)</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w:t>
            </w:r>
          </w:p>
        </w:tc>
      </w:tr>
      <w:tr>
        <w:trPr>
          <w:trHeight w:val="18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(345)</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38,697</w:t>
            </w:r>
          </w:p>
        </w:tc>
      </w:tr>
      <w:tr>
        <w:trPr>
          <w:trHeight w:val="188"/>
        </w:trPr>
        <w:tc>
          <w:tcPr>
            <w:tcW w:w="7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(19,500)</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Principal collections on notes receivable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1,964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(276,990)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(127,513)</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(1,312)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(1,451)</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(8,640)</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Purchase deposits for acquisitions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(25,535)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(9,940)</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128,384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153,679</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Proceeds for deposit on sale of aircraft and engine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2,098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1,042</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purchase deposits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(169,213)</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220980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CONSOLIDATED STATEMENTS OF CASH FLOWS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thousands)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1020" w:type="dxa"/>
            <w:vAlign w:val="bottom"/>
          </w:tcPr>
          <w:p>
            <w:pPr>
              <w:jc w:val="right"/>
              <w:ind w:right="851"/>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210,000</w:t>
            </w:r>
          </w:p>
        </w:tc>
        <w:tc>
          <w:tcPr>
            <w:tcW w:w="100" w:type="dxa"/>
            <w:vAlign w:val="bottom"/>
          </w:tcPr>
          <w:p>
            <w:pPr>
              <w:spacing w:after="0"/>
              <w:rPr>
                <w:sz w:val="16"/>
                <w:szCs w:val="16"/>
                <w:color w:val="auto"/>
              </w:rPr>
            </w:pPr>
          </w:p>
        </w:tc>
        <w:tc>
          <w:tcPr>
            <w:tcW w:w="1000" w:type="dxa"/>
            <w:vAlign w:val="bottom"/>
          </w:tcPr>
          <w:p>
            <w:pPr>
              <w:jc w:val="right"/>
              <w:ind w:right="83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145,000</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(220,000)</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10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8,927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(3,056)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61,729</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Cash dividends - ordinary shares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(30,074)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(29,919)</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10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(8,335)</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w:t>
            </w:r>
          </w:p>
        </w:tc>
      </w:tr>
      <w:tr>
        <w:trPr>
          <w:trHeight w:val="18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144,026</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(38,445)</w:t>
            </w:r>
          </w:p>
        </w:tc>
      </w:tr>
      <w:tr>
        <w:trPr>
          <w:trHeight w:val="188"/>
        </w:trPr>
        <w:tc>
          <w:tcPr>
            <w:tcW w:w="78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and cash equivalents and restricted cash</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(25,532)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(12,071)</w:t>
            </w:r>
          </w:p>
        </w:tc>
      </w:tr>
      <w:tr>
        <w:trPr>
          <w:trHeight w:val="19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90,906</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53,065</w:t>
            </w:r>
          </w:p>
        </w:tc>
      </w:tr>
      <w:tr>
        <w:trPr>
          <w:trHeight w:val="18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65,374</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40,994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3"/>
        </w:trPr>
        <w:tc>
          <w:tcPr>
            <w:tcW w:w="78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and transfers to leasing equipment</w:t>
            </w:r>
          </w:p>
        </w:tc>
        <w:tc>
          <w:tcPr>
            <w:tcW w:w="1020" w:type="dxa"/>
            <w:vAlign w:val="bottom"/>
            <w:shd w:val="clear" w:color="auto" w:fill="CCEEFF"/>
          </w:tcPr>
          <w:p>
            <w:pPr>
              <w:jc w:val="right"/>
              <w:ind w:right="851"/>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(59,850)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(18,539)</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Transfers from leasing equipment</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73,297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51,607</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security deposits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Settled maintenance deposits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(18,964)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(8,809)</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w:t>
            </w:r>
          </w:p>
        </w:tc>
        <w:tc>
          <w:tcPr>
            <w:tcW w:w="10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220980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1. ORGANIZATION</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our maintenance facility and exclusivity arrangements, aftermarket components for aircraft engines. Additionally, we own and lease offshore energy equipment. We have two reportable segments, (i) Aviation Leasing and (ii) Aerospace Products (see Note 12).</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2. SUMMARY OF SIGNIFICANT ACCOUNTING POLICIES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 (“U.S.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 These financial statements and related notes should be read in conjunction with the Consolidated Financial Statements and related notes included in the Company’s Annual Report on Form 10-K for the year ended December 31, 2023.</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All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adjustments (consisting of normal recurring accruals) considered necessary for a fair presentation have been included. The ownership interest of other investors in consolidated subsidiaries is recorded as non-controlling interest.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U.S. GAAP requires management to make estimates and assumptions that affect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8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b w:val="1"/>
          <w:bCs w:val="1"/>
          <w:i w:val="1"/>
          <w:iCs w:val="1"/>
          <w:color w:val="00497F"/>
        </w:rPr>
        <w:t>Risks and Uncertainties</w:t>
      </w:r>
      <w:r>
        <w:rPr>
          <w:rFonts w:ascii="Arial" w:cs="Arial" w:eastAsia="Arial" w:hAnsi="Arial"/>
          <w:sz w:val="14"/>
          <w:szCs w:val="14"/>
          <w:color w:val="00497F"/>
        </w:rPr>
        <w:t>—</w:t>
      </w:r>
      <w:r>
        <w:rPr>
          <w:rFonts w:ascii="Arial" w:cs="Arial" w:eastAsia="Arial" w:hAnsi="Arial"/>
          <w:sz w:val="14"/>
          <w:szCs w:val="14"/>
          <w:color w:val="000000"/>
        </w:rPr>
        <w:t>In the normal course of business, we encounter several significant types of economic risk including credit, market, and capital market</w:t>
      </w:r>
      <w:r>
        <w:rPr>
          <w:rFonts w:ascii="Arial" w:cs="Arial" w:eastAsia="Arial" w:hAnsi="Arial"/>
          <w:sz w:val="14"/>
          <w:szCs w:val="14"/>
          <w:b w:val="1"/>
          <w:bCs w:val="1"/>
          <w:i w:val="1"/>
          <w:iCs w:val="1"/>
          <w:color w:val="00497F"/>
        </w:rPr>
        <w:t xml:space="preserve"> </w:t>
      </w:r>
      <w:r>
        <w:rPr>
          <w:rFonts w:ascii="Arial" w:cs="Arial" w:eastAsia="Arial" w:hAnsi="Arial"/>
          <w:sz w:val="14"/>
          <w:szCs w:val="14"/>
          <w:color w:val="000000"/>
        </w:rPr>
        <w:t>risks. Credit risk is the risk of the 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 equivalents.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Inventory, net</w:t>
      </w:r>
      <w:r>
        <w:rPr>
          <w:rFonts w:ascii="Arial" w:cs="Arial" w:eastAsia="Arial" w:hAnsi="Arial"/>
          <w:sz w:val="16"/>
          <w:szCs w:val="16"/>
          <w:color w:val="00497F"/>
        </w:rPr>
        <w:t>—</w:t>
      </w:r>
      <w:r>
        <w:rPr>
          <w:rFonts w:ascii="Arial" w:cs="Arial" w:eastAsia="Arial" w:hAnsi="Arial"/>
          <w:sz w:val="16"/>
          <w:szCs w:val="16"/>
          <w:color w:val="000000"/>
        </w:rPr>
        <w:t>We hold aircraft engine modules, spare parts and used material inventory for trading, repairs and to support operations. Inventory is carried at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lower of cost or net realizable value.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Revenues</w:t>
      </w:r>
      <w:r>
        <w:rPr>
          <w:rFonts w:ascii="Arial" w:cs="Arial" w:eastAsia="Arial" w:hAnsi="Arial"/>
          <w:sz w:val="16"/>
          <w:szCs w:val="16"/>
          <w:color w:val="00497F"/>
        </w:rPr>
        <w:t>—</w:t>
      </w:r>
      <w:r>
        <w:rPr>
          <w:rFonts w:ascii="Arial" w:cs="Arial" w:eastAsia="Arial" w:hAnsi="Arial"/>
          <w:sz w:val="16"/>
          <w:szCs w:val="16"/>
          <w:color w:val="000000"/>
        </w:rPr>
        <w:t>We disaggregate our revenue by products and services. Revenues are within the scope of ASC 842,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ASC 606,</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 from contracts</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with customers</w:t>
      </w:r>
      <w:r>
        <w:rPr>
          <w:rFonts w:ascii="Arial" w:cs="Arial" w:eastAsia="Arial" w:hAnsi="Arial"/>
          <w:sz w:val="16"/>
          <w:szCs w:val="16"/>
          <w:color w:val="000000"/>
        </w:rPr>
        <w:t>, unless otherwise noted. We have elected to exclude sales and other similar taxes from revenues.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 basis</w:t>
      </w:r>
      <w:r>
        <w:rPr>
          <w:rFonts w:ascii="Arial" w:cs="Arial" w:eastAsia="Arial" w:hAnsi="Arial"/>
          <w:sz w:val="16"/>
          <w:szCs w:val="16"/>
          <w:i w:val="1"/>
          <w:iCs w:val="1"/>
          <w:color w:val="00497F"/>
        </w:rPr>
        <w:t xml:space="preserve"> </w:t>
      </w:r>
      <w:r>
        <w:rPr>
          <w:rFonts w:ascii="Arial" w:cs="Arial" w:eastAsia="Arial" w:hAnsi="Arial"/>
          <w:sz w:val="16"/>
          <w:szCs w:val="16"/>
          <w:color w:val="000000"/>
        </w:rPr>
        <w:t>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All excess maintenance payments received that we do not expect to repay to the lessee are recorded as Maintenance revenue.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and other related assets/liabilities acquired. The fair value of the lease may include a lease premium or discount, which is recorded as a favorable or unfavorable lease intangible.</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 the</w:t>
      </w:r>
      <w:r>
        <w:rPr>
          <w:rFonts w:ascii="Arial" w:cs="Arial" w:eastAsia="Arial" w:hAnsi="Arial"/>
          <w:sz w:val="16"/>
          <w:szCs w:val="16"/>
          <w:i w:val="1"/>
          <w:iCs w:val="1"/>
          <w:color w:val="00497F"/>
        </w:rPr>
        <w:t xml:space="preserve"> </w:t>
      </w:r>
      <w:r>
        <w:rPr>
          <w:rFonts w:ascii="Arial" w:cs="Arial" w:eastAsia="Arial" w:hAnsi="Arial"/>
          <w:sz w:val="16"/>
          <w:szCs w:val="16"/>
          <w:color w:val="000000"/>
        </w:rPr>
        <w:t>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 Leasing</w:t>
      </w:r>
      <w:r>
        <w:rPr>
          <w:rFonts w:ascii="Arial" w:cs="Arial" w:eastAsia="Arial" w:hAnsi="Arial"/>
          <w:sz w:val="16"/>
          <w:szCs w:val="16"/>
          <w:i w:val="1"/>
          <w:iCs w:val="1"/>
          <w:color w:val="00497F"/>
        </w:rPr>
        <w:t xml:space="preserve"> </w:t>
      </w:r>
      <w:r>
        <w:rPr>
          <w:rFonts w:ascii="Arial" w:cs="Arial" w:eastAsia="Arial" w:hAnsi="Arial"/>
          <w:sz w:val="16"/>
          <w:szCs w:val="16"/>
          <w:color w:val="000000"/>
        </w:rPr>
        <w:t>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00497F"/>
        </w:rPr>
        <w:t>Aerospace products revenue</w:t>
      </w:r>
      <w:r>
        <w:rPr>
          <w:rFonts w:ascii="Arial" w:cs="Arial" w:eastAsia="Arial" w:hAnsi="Arial"/>
          <w:sz w:val="16"/>
          <w:szCs w:val="16"/>
          <w:color w:val="000000"/>
        </w:rPr>
        <w:t>—Aerospace products revenue primarily consists of the transaction price related to the sale of repaired CFM56-7B, CFM56-5B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V2500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We attempt to limit our credit risk by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performing ongoing credit evaluations. No single customer accounted for greater than 10% of total revenue during the three months ended March 31, 2024. We earned 18% and 10% of our revenue from two customers in the Aviation Leasing segment during the three months ended March 31, 2023.</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March 31, 2024, there was one customer in the Aviation Leasing segment that represented 11% of total accounts receivable, net. As of December 31, 2023, no single customer accounted for greater than 10% of total accounts receivable, net.</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00497F"/>
        </w:rPr>
        <w:t>Allowance for Doubtful Accounts and Credit Losses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receivables on a customer-by-customer basis. The allowance for doubtful accounts was $72.2 million as of March 31, 2024 and December 31, 2023. We determine the credit loss reserve for note receivables, receivables related to finance leases and inventory sales. There was no provision for credit losses for the three months ended March 31, 2024 and $0.5 million for the three months ended March 31, 2023, which is included in Operating expenses in the Consolidated Statements of Operations.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00497F"/>
        </w:rPr>
        <w:t>Comprehensive Income</w:t>
      </w:r>
      <w:r>
        <w:rPr>
          <w:rFonts w:ascii="Arial" w:cs="Arial" w:eastAsia="Arial" w:hAnsi="Arial"/>
          <w:sz w:val="16"/>
          <w:szCs w:val="16"/>
          <w:color w:val="00497F"/>
        </w:rPr>
        <w:t>—</w:t>
      </w:r>
      <w:r>
        <w:rPr>
          <w:rFonts w:ascii="Arial" w:cs="Arial" w:eastAsia="Arial" w:hAnsi="Arial"/>
          <w:sz w:val="16"/>
          <w:szCs w:val="16"/>
          <w:color w:val="000000"/>
        </w:rPr>
        <w:t>Comprehensive income is defined as the change in equity of a business enterprise during a period from transactions and other events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circumstances, excluding those resulting from investments by and distributions to owners. Our comprehensive income represents net income, as presented in the Consolidated Statements of Operations.</w:t>
      </w:r>
    </w:p>
    <w:p>
      <w:pPr>
        <w:spacing w:after="0" w:line="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$45.9 million and $43.5 million, purchase deposits of $37.1 million and $23.9 million,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receivable of $130.5 million and $102.3 million, operating lease right-of-use assets, net of $3.4 million and $3.4 million, finance leases, net of $2.4 million and $3.0 million, maintenance right assets of $15.0 million and $16.3 million and prepaid expenses of $5.1 million and $7.8 million as of March 31, 2024 and December 31, 2023, respectively.</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the three months ended March 31, 2024 and 2023, the Board of Directors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declared cash dividends of $0.30 per ordinary share.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Additionally, in the quarter ended March 31, 2024, the Board of Directors declared cash dividends on the Series A Preferred Shares, Series B Preferred Shares, Series C Preferred Shares and Series D Preferred Shares of $0.52, $0.50, $0.52 and $0.59 per share, respectively.</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November 2023, the FASB issued ASU 2023-07,</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Segment Reporting (Topic 280) - Improvements to Reportable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Segment Disclosures</w:t>
      </w:r>
      <w:r>
        <w:rPr>
          <w:rFonts w:ascii="Arial" w:cs="Arial" w:eastAsia="Arial" w:hAnsi="Arial"/>
          <w:sz w:val="16"/>
          <w:szCs w:val="16"/>
          <w:color w:val="000000"/>
        </w:rPr>
        <w:t>. This ASU modifies the disclosure and presentation requirements of reportable segments. The new guidance requires the disclosure of</w:t>
      </w:r>
      <w:r>
        <w:rPr>
          <w:rFonts w:ascii="Arial" w:cs="Arial" w:eastAsia="Arial" w:hAnsi="Arial"/>
          <w:sz w:val="16"/>
          <w:szCs w:val="16"/>
          <w:i w:val="1"/>
          <w:iCs w:val="1"/>
          <w:color w:val="000000"/>
        </w:rPr>
        <w:t xml:space="preserve"> </w:t>
      </w:r>
      <w:r>
        <w:rPr>
          <w:rFonts w:ascii="Arial" w:cs="Arial" w:eastAsia="Arial" w:hAnsi="Arial"/>
          <w:sz w:val="16"/>
          <w:szCs w:val="16"/>
          <w:color w:val="000000"/>
        </w:rPr>
        <w:t>significant segment expenses that are regularly provided to the chief operating decision maker and included within each reported measure of segment profit and loss. In addition, the new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standard is effective retrospectively for all public entities for fiscal years beginning after December 15, 2023, and interim periods within fiscal years beginning after December 15, 2024, with early adoption permitted. We are currently assessing the impact this guidance will have on our consolidated financial statements and related disclosures.</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 Improvements to Income Tax Disclosures</w:t>
      </w:r>
      <w:r>
        <w:rPr>
          <w:rFonts w:ascii="Arial" w:cs="Arial" w:eastAsia="Arial" w:hAnsi="Arial"/>
          <w:sz w:val="16"/>
          <w:szCs w:val="16"/>
          <w:color w:val="auto"/>
        </w:rPr>
        <w:t>. This ASU enhances the transparency and decision usefulness of income tax disclosures by expanding the disclosures of an entity’s income tax rate reconciliation and disaggregation of income taxes paid and income tax expense. Under the new guidance, public business entities must annually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prospectively for all public entities for annual periods beginning after December 15, 2024, with early adoption and retrospective application permitted. We are currently assessing the impact this guidance will have on our consolidated financial statements and related disclosures.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In March 2024, the FASB issued ASU 2024-02, </w:t>
      </w:r>
      <w:r>
        <w:rPr>
          <w:rFonts w:ascii="Arial" w:cs="Arial" w:eastAsia="Arial" w:hAnsi="Arial"/>
          <w:sz w:val="16"/>
          <w:szCs w:val="16"/>
          <w:i w:val="1"/>
          <w:iCs w:val="1"/>
          <w:color w:val="auto"/>
        </w:rPr>
        <w:t>Codification Improvements - Amendments to Remove References to the Concept Statements.</w:t>
      </w:r>
      <w:r>
        <w:rPr>
          <w:rFonts w:ascii="Arial" w:cs="Arial" w:eastAsia="Arial" w:hAnsi="Arial"/>
          <w:sz w:val="16"/>
          <w:szCs w:val="16"/>
          <w:color w:val="auto"/>
        </w:rPr>
        <w:t xml:space="preserve"> This ASU amends the Codification to remove references to various concepts statements and impacts a variety of topics in the Codification. The amendments apply to all reporting entities within the scope of the affected accounting guidance. Generally, the amendments in ASU 2024-02 are not intended to result in significant accounting changes for most entities. ASU 2024-02 is effective January 1, 2025 and we are currently assessing the impact this guidance will have on our consolidated financial statements and related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3. ACQUISITION OF QUICKTURN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December 1, 2023, we completed the acquisition of the remaining equity interest of Quick Turn Engine Center LLC (“QuickTurn”) from Unical Aviation Inc.</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(“Unical”) for total cash consideration of $30.3 million to obtain full ownership.</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acquired QuickTurn to better position the Company to have tighter integration over the development and delivery of aerospace products. QuickTurn is a hospital maintenance and testing facility dedicated to the CFM56 engine located in Miami, Florida that operates within our Aerospace Products segment. The results of operations at QuickTurn have been included in the Consolidated Statements of Operations beginning on the acquisition date.</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In accordance with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 following fair values were assigned to assets acquired and liabilities assumed based on management’s estimates and assumptions and are preliminary. The significant assumptions used to estimate the fair value of the property, plant, and equipment included replacement cost estimates and market data for similar assets where available. The significant assumptions used to estimate the value of the customer relationship intangible assets included discount rate and future revenues and operating expenses. The final valuation and related allocation of the purchase price is subject to change as additional information is received and will be completed no later than 12 months after the closing date. The final acquisition accounting adjustments may be materially different and may include (i) changes in fair values of Property, plant and equipment and associated salvage values; (ii) changes in fair values of Inventory; (iii) changes in allocations to Intangible assets, as well as goodwill; and, (iv) other changes to assets and liabilities, including working capital accounts.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allocation of the Net assets acquired as presented in our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1, 2023</w:t>
            </w:r>
          </w:p>
        </w:tc>
      </w:tr>
      <w:tr>
        <w:trPr>
          <w:trHeight w:val="173"/>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5"/>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r>
      <w:tr>
        <w:trPr>
          <w:trHeight w:val="190"/>
        </w:trPr>
        <w:tc>
          <w:tcPr>
            <w:tcW w:w="948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9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5,133</w:t>
            </w:r>
          </w:p>
        </w:tc>
      </w:tr>
      <w:tr>
        <w:trPr>
          <w:trHeight w:val="190"/>
        </w:trPr>
        <w:tc>
          <w:tcPr>
            <w:tcW w:w="94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30,559</w:t>
            </w:r>
          </w:p>
        </w:tc>
      </w:tr>
      <w:tr>
        <w:trPr>
          <w:trHeight w:val="19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r>
      <w:tr>
        <w:trPr>
          <w:trHeight w:val="190"/>
        </w:trPr>
        <w:tc>
          <w:tcPr>
            <w:tcW w:w="9480" w:type="dxa"/>
            <w:vAlign w:val="bottom"/>
          </w:tcPr>
          <w:p>
            <w:pPr>
              <w:ind w:left="2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9,332</w:t>
            </w:r>
          </w:p>
        </w:tc>
      </w:tr>
      <w:tr>
        <w:trPr>
          <w:trHeight w:val="19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w:t>
            </w:r>
          </w:p>
        </w:tc>
      </w:tr>
      <w:tr>
        <w:trPr>
          <w:trHeight w:val="186"/>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52,370</w:t>
            </w:r>
          </w:p>
        </w:tc>
      </w:tr>
      <w:tr>
        <w:trPr>
          <w:trHeight w:val="195"/>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90"/>
        </w:trPr>
        <w:tc>
          <w:tcPr>
            <w:tcW w:w="948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3,994</w:t>
            </w:r>
          </w:p>
        </w:tc>
      </w:tr>
      <w:tr>
        <w:trPr>
          <w:trHeight w:val="19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w:t>
            </w:r>
          </w:p>
        </w:tc>
      </w:tr>
      <w:tr>
        <w:trPr>
          <w:trHeight w:val="186"/>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6,404</w:t>
            </w:r>
          </w:p>
        </w:tc>
      </w:tr>
      <w:tr>
        <w:trPr>
          <w:trHeight w:val="191"/>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Goodwill </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4,630</w:t>
            </w:r>
          </w:p>
        </w:tc>
      </w:tr>
      <w:tr>
        <w:trPr>
          <w:trHeight w:val="191"/>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Net assets acquired</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50,596</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05" w:lineRule="exact"/>
        <w:rPr>
          <w:sz w:val="20"/>
          <w:szCs w:val="20"/>
          <w:color w:val="auto"/>
        </w:rPr>
      </w:pPr>
    </w:p>
    <w:p>
      <w:pPr>
        <w:ind w:firstLine="3"/>
        <w:spacing w:after="0" w:line="279" w:lineRule="auto"/>
        <w:tabs>
          <w:tab w:leader="none" w:pos="134" w:val="left"/>
        </w:tabs>
        <w:numPr>
          <w:ilvl w:val="0"/>
          <w:numId w:val="3"/>
        </w:numPr>
        <w:rPr>
          <w:rFonts w:ascii="Arial" w:cs="Arial" w:eastAsia="Arial" w:hAnsi="Arial"/>
          <w:sz w:val="9"/>
          <w:szCs w:val="9"/>
          <w:color w:val="auto"/>
        </w:rPr>
      </w:pPr>
      <w:r>
        <w:rPr>
          <w:rFonts w:ascii="Arial" w:cs="Arial" w:eastAsia="Arial" w:hAnsi="Arial"/>
          <w:sz w:val="14"/>
          <w:szCs w:val="14"/>
          <w:color w:val="auto"/>
        </w:rPr>
        <w:t>Goodwill is primarily attributable to the assembled workforce of QuickTurn and the synergies expected to be achieved. This goodwill is assigned to the Aerospace Products segment and is deductible for income tax purposes.</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identifiable intangible assets and their estimated useful lives: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Estimated useful life in years</w:t>
            </w:r>
          </w:p>
        </w:tc>
        <w:tc>
          <w:tcPr>
            <w:tcW w:w="140" w:type="dxa"/>
            <w:vAlign w:val="bottom"/>
          </w:tcPr>
          <w:p>
            <w:pPr>
              <w:spacing w:after="0"/>
              <w:rPr>
                <w:sz w:val="14"/>
                <w:szCs w:val="14"/>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Above market leases</w:t>
            </w: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property, plant and equipment and their estimated useful lives: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Estimated useful life in years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77"/>
        </w:trPr>
        <w:tc>
          <w:tcPr>
            <w:tcW w:w="7860" w:type="dxa"/>
            <w:vAlign w:val="bottom"/>
            <w:tcBorders>
              <w:bottom w:val="single" w:sz="8" w:color="CCEEFF"/>
            </w:tcBorders>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90"/>
        </w:trPr>
        <w:tc>
          <w:tcPr>
            <w:tcW w:w="786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198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13,790</w:t>
            </w: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6 - 23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13,631</w:t>
            </w: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5 - 7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30,559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financial information in the table below summarizes the combined results of operations of FTAI and QuickTurn on a pro forma basis. These pro forma results were based on estimates and assumptions which we believe are reasonable. The pro forma adjustments are primarily comprised of the following:</w:t>
      </w:r>
    </w:p>
    <w:p>
      <w:pPr>
        <w:spacing w:after="0" w:line="76" w:lineRule="exact"/>
        <w:rPr>
          <w:sz w:val="20"/>
          <w:szCs w:val="20"/>
          <w:color w:val="auto"/>
        </w:rPr>
      </w:pPr>
    </w:p>
    <w:p>
      <w:pPr>
        <w:ind w:left="620" w:hanging="307"/>
        <w:spacing w:after="0" w:line="262" w:lineRule="auto"/>
        <w:tabs>
          <w:tab w:leader="none" w:pos="60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allocation of the purchase price and related adjustments, including adjustments to depreciation and amortization expense related to the fair value of property, plant and equipment and intangible assets acquired;</w:t>
      </w:r>
    </w:p>
    <w:p>
      <w:pPr>
        <w:spacing w:after="0" w:line="76"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Associated tax-related impacts of adjustments.</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pro forma financial information is presented for informational purposes only and is not indicative of the results of operations that would have been achieved if the acquisition had taken place as of January 1,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March 31, 2023</w:t>
            </w:r>
          </w:p>
        </w:tc>
      </w:tr>
      <w:tr>
        <w:trPr>
          <w:trHeight w:val="188"/>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297,041</w:t>
            </w:r>
          </w:p>
        </w:tc>
      </w:tr>
      <w:tr>
        <w:trPr>
          <w:trHeight w:val="186"/>
        </w:trPr>
        <w:tc>
          <w:tcPr>
            <w:tcW w:w="9260" w:type="dxa"/>
            <w:vAlign w:val="bottom"/>
          </w:tcPr>
          <w:p>
            <w:pPr>
              <w:ind w:left="20"/>
              <w:spacing w:after="0"/>
              <w:rPr>
                <w:sz w:val="20"/>
                <w:szCs w:val="20"/>
                <w:color w:val="auto"/>
              </w:rPr>
            </w:pPr>
            <w:r>
              <w:rPr>
                <w:rFonts w:ascii="Arial" w:cs="Arial" w:eastAsia="Arial" w:hAnsi="Arial"/>
                <w:sz w:val="14"/>
                <w:szCs w:val="14"/>
                <w:color w:val="auto"/>
              </w:rPr>
              <w:t>Net income attributable to shareholders</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21,085</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4. LEASING EQUIPMENT, NET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6"/>
                <w:szCs w:val="16"/>
                <w:color w:val="auto"/>
              </w:rPr>
            </w:pPr>
          </w:p>
        </w:tc>
        <w:tc>
          <w:tcPr>
            <w:tcW w:w="17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 2023</w:t>
            </w:r>
          </w:p>
        </w:tc>
      </w:tr>
      <w:tr>
        <w:trPr>
          <w:trHeight w:val="188"/>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2,758,346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2,574,394</w:t>
            </w:r>
          </w:p>
        </w:tc>
      </w:tr>
      <w:tr>
        <w:trPr>
          <w:trHeight w:val="19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(570,630)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(541,981)</w:t>
            </w:r>
          </w:p>
        </w:tc>
      </w:tr>
      <w:tr>
        <w:trPr>
          <w:trHeight w:val="21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2,187,716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2,032,413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identified certain assets in our leasing equipment portfolio with indicators of impairment. As a result, we adjusted the carrying value of these assets to fair value and recognized transactional impairment charges of $1.0 million and $1.2 million, net of redelivery compensation during the three months ended March 31, 2024 and March 31, 2023,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42"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18415</wp:posOffset>
            </wp:positionV>
            <wp:extent cx="2084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4070" cy="8255"/>
                    </a:xfrm>
                    <a:prstGeom prst="rect">
                      <a:avLst/>
                    </a:prstGeom>
                    <a:noFill/>
                  </pic:spPr>
                </pic:pic>
              </a:graphicData>
            </a:graphic>
          </wp:anchor>
        </w:drawing>
      </w:r>
    </w:p>
    <w:p>
      <w:pPr>
        <w:spacing w:after="0" w:line="26" w:lineRule="exact"/>
        <w:rPr>
          <w:sz w:val="20"/>
          <w:szCs w:val="20"/>
          <w:color w:val="auto"/>
        </w:rPr>
      </w:pPr>
    </w:p>
    <w:p>
      <w:pPr>
        <w:ind w:left="8600"/>
        <w:spacing w:after="0"/>
        <w:tabs>
          <w:tab w:leader="none" w:pos="102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035" cy="131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7960" w:val="left"/>
          <w:tab w:leader="none" w:pos="9040" w:val="left"/>
          <w:tab w:leader="none" w:pos="9660" w:val="left"/>
          <w:tab w:leader="none" w:pos="10740" w:val="left"/>
        </w:tabs>
        <w:rPr>
          <w:sz w:val="20"/>
          <w:szCs w:val="20"/>
          <w:color w:val="auto"/>
        </w:rPr>
      </w:pPr>
      <w:r>
        <w:rPr>
          <w:rFonts w:ascii="Arial" w:cs="Arial" w:eastAsia="Arial" w:hAnsi="Arial"/>
          <w:sz w:val="14"/>
          <w:szCs w:val="14"/>
          <w:color w:val="auto"/>
        </w:rPr>
        <w:t>Depreciation expense for leasing equipment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48,902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40,766</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5.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1411"/>
              <w:spacing w:after="0"/>
              <w:rPr>
                <w:sz w:val="20"/>
                <w:szCs w:val="20"/>
                <w:color w:val="auto"/>
              </w:rPr>
            </w:pPr>
            <w:r>
              <w:rPr>
                <w:rFonts w:ascii="Arial" w:cs="Arial" w:eastAsia="Arial" w:hAnsi="Arial"/>
                <w:sz w:val="14"/>
                <w:szCs w:val="14"/>
                <w:b w:val="1"/>
                <w:bCs w:val="1"/>
                <w:color w:val="auto"/>
              </w:rPr>
              <w:t>Carrying Value</w:t>
            </w:r>
          </w:p>
        </w:tc>
      </w:tr>
      <w:tr>
        <w:trPr>
          <w:trHeight w:val="188"/>
        </w:trPr>
        <w:tc>
          <w:tcPr>
            <w:tcW w:w="3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Investment</w:t>
            </w:r>
          </w:p>
        </w:tc>
        <w:tc>
          <w:tcPr>
            <w:tcW w:w="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December 31, 2023</w:t>
            </w:r>
          </w:p>
        </w:tc>
      </w:tr>
      <w:tr>
        <w:trPr>
          <w:trHeight w:val="188"/>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21,040</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1,536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1,682</w:t>
            </w:r>
          </w:p>
        </w:tc>
      </w:tr>
      <w:tr>
        <w:trPr>
          <w:trHeight w:val="194"/>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Quick Turn Engine Center LLC</w:t>
            </w:r>
          </w:p>
        </w:tc>
        <w:tc>
          <w:tcPr>
            <w:tcW w:w="1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3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22,055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22,722</w:t>
            </w:r>
          </w:p>
        </w:tc>
      </w:tr>
      <w:tr>
        <w:trPr>
          <w:trHeight w:val="20"/>
        </w:trPr>
        <w:tc>
          <w:tcPr>
            <w:tcW w:w="3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45%</w:t>
      </w:r>
      <w:r>
        <w:rPr>
          <w:rFonts w:ascii="Times New Roman" w:cs="Times New Roman" w:eastAsia="Times New Roman" w:hAnsi="Times New Roman"/>
          <w:sz w:val="14"/>
          <w:szCs w:val="14"/>
          <w:color w:val="auto"/>
        </w:rPr>
        <w:t xml:space="preserve"> pro rata distribution of income until return of JV partner's initial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months ended March 31, 2024 and 2023.</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losses: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18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140" w:type="dxa"/>
            <w:vAlign w:val="bottom"/>
            <w:shd w:val="clear" w:color="auto" w:fill="CCEEFF"/>
          </w:tcPr>
          <w:p>
            <w:pPr>
              <w:jc w:val="right"/>
              <w:ind w:right="971"/>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193"/>
        </w:trPr>
        <w:tc>
          <w:tcPr>
            <w:tcW w:w="786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9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Quick Turn Engine Center LLC</w:t>
            </w:r>
          </w:p>
        </w:tc>
        <w:tc>
          <w:tcPr>
            <w:tcW w:w="1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8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top w:val="single" w:sz="8" w:color="auto"/>
              <w:bottom w:val="single" w:sz="8" w:color="auto"/>
            </w:tcBorders>
          </w:tcPr>
          <w:p>
            <w:pPr>
              <w:jc w:val="right"/>
              <w:ind w:right="971"/>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(1,335)</w:t>
            </w:r>
          </w:p>
        </w:tc>
      </w:tr>
      <w:tr>
        <w:trPr>
          <w:trHeight w:val="20"/>
        </w:trPr>
        <w:tc>
          <w:tcPr>
            <w:tcW w:w="7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This joint venture is focused on developing new cost savings programs for engine repairs. We exercise significant influence over this investment and account for this investment as an equity method investment.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Quick Turn Engine Center LLC</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January 4, 2023, we invested $19.5 million for a 50% interest (45% pro rata distribution of income until return of the JV partner’s initial investment) in Quick Turn Engine Center LLC or “QuickTurn” (previously iAero Thrust LLC), a hospital maintenance and testing facility dedicated to the CFM56 engine. We account for our investment in QuickTurn as an equity method investment as we have significant influence through our interest.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December 1, 2023, we purchased the remaining interest in QuickTurn from the joint venture partner for total cash consideration of $30.3 million to obtain full ownership with a 100% equity interest. On the acquisition date, the Company accounted for QuickTurn on a consolidated basis and derecognized it as an equity method investment. See Note 3 for additional information.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6. INTANGIBLE ASSETS AND LIABILITIES, NET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6"/>
                <w:szCs w:val="16"/>
                <w:color w:val="auto"/>
              </w:rPr>
            </w:pPr>
          </w:p>
        </w:tc>
        <w:tc>
          <w:tcPr>
            <w:tcW w:w="158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 2023</w:t>
            </w:r>
          </w:p>
        </w:tc>
      </w:tr>
      <w:tr>
        <w:trPr>
          <w:trHeight w:val="175"/>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2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193"/>
        </w:trPr>
        <w:tc>
          <w:tcPr>
            <w:tcW w:w="76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68,358</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68,041</w:t>
            </w:r>
          </w:p>
        </w:tc>
      </w:tr>
      <w:tr>
        <w:trPr>
          <w:trHeight w:val="195"/>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(23,555)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(19,347)</w:t>
            </w:r>
          </w:p>
        </w:tc>
      </w:tr>
      <w:tr>
        <w:trPr>
          <w:trHeight w:val="186"/>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44,803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48,694</w:t>
            </w:r>
          </w:p>
        </w:tc>
      </w:tr>
      <w:tr>
        <w:trPr>
          <w:trHeight w:val="195"/>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customer relationships</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r>
      <w:tr>
        <w:trPr>
          <w:trHeight w:val="19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87"/>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1,896</w:t>
            </w:r>
          </w:p>
        </w:tc>
      </w:tr>
      <w:tr>
        <w:trPr>
          <w:trHeight w:val="188"/>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46,583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50,590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1"/>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3"/>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w:t>
            </w:r>
          </w:p>
        </w:tc>
      </w:tr>
      <w:tr>
        <w:trPr>
          <w:trHeight w:val="19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(1,389)</w:t>
            </w:r>
          </w:p>
        </w:tc>
      </w:tr>
      <w:tr>
        <w:trPr>
          <w:trHeight w:val="21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Intangible assets and liabilities are all held within the Aviation Leasing and Aerospace Products segments. Intangible liabilities relate to unfavorable lease intangibles and are included as a component of Other liabilities.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Classification in Consolidated Statements</w:t>
            </w: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49"/>
        </w:trPr>
        <w:tc>
          <w:tcPr>
            <w:tcW w:w="508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77"/>
        </w:trPr>
        <w:tc>
          <w:tcPr>
            <w:tcW w:w="5080" w:type="dxa"/>
            <w:vAlign w:val="bottom"/>
            <w:tcBorders>
              <w:bottom w:val="single" w:sz="8" w:color="CCEEFF"/>
            </w:tcBorders>
          </w:tcPr>
          <w:p>
            <w:pPr>
              <w:spacing w:after="0"/>
              <w:rPr>
                <w:sz w:val="15"/>
                <w:szCs w:val="15"/>
                <w:color w:val="auto"/>
              </w:rPr>
            </w:pP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of Operations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19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4,093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estimated net annual amortization of intangibles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700" w:type="dxa"/>
            <w:vAlign w:val="bottom"/>
            <w:shd w:val="clear" w:color="auto" w:fill="CCEEFF"/>
          </w:tcPr>
          <w:p>
            <w:pPr>
              <w:jc w:val="right"/>
              <w:ind w:right="53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11,751</w:t>
            </w:r>
          </w:p>
        </w:tc>
      </w:tr>
      <w:tr>
        <w:trPr>
          <w:trHeight w:val="190"/>
        </w:trPr>
        <w:tc>
          <w:tcPr>
            <w:tcW w:w="9480" w:type="dxa"/>
            <w:vAlign w:val="bottom"/>
          </w:tcPr>
          <w:p>
            <w:pPr>
              <w:ind w:left="20"/>
              <w:spacing w:after="0"/>
              <w:rPr>
                <w:sz w:val="20"/>
                <w:szCs w:val="20"/>
                <w:color w:val="auto"/>
              </w:rPr>
            </w:pPr>
            <w:r>
              <w:rPr>
                <w:rFonts w:ascii="Arial" w:cs="Arial" w:eastAsia="Arial" w:hAnsi="Arial"/>
                <w:sz w:val="14"/>
                <w:szCs w:val="14"/>
                <w:color w:val="auto"/>
              </w:rPr>
              <w:t>2025</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12,812</w:t>
            </w:r>
          </w:p>
        </w:tc>
      </w:tr>
      <w:tr>
        <w:trPr>
          <w:trHeight w:val="19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8,596</w:t>
            </w:r>
          </w:p>
        </w:tc>
      </w:tr>
      <w:tr>
        <w:trPr>
          <w:trHeight w:val="190"/>
        </w:trPr>
        <w:tc>
          <w:tcPr>
            <w:tcW w:w="9480" w:type="dxa"/>
            <w:vAlign w:val="bottom"/>
          </w:tcPr>
          <w:p>
            <w:pPr>
              <w:ind w:left="20"/>
              <w:spacing w:after="0"/>
              <w:rPr>
                <w:sz w:val="20"/>
                <w:szCs w:val="20"/>
                <w:color w:val="auto"/>
              </w:rPr>
            </w:pPr>
            <w:r>
              <w:rPr>
                <w:rFonts w:ascii="Arial" w:cs="Arial" w:eastAsia="Arial" w:hAnsi="Arial"/>
                <w:sz w:val="14"/>
                <w:szCs w:val="14"/>
                <w:color w:val="auto"/>
              </w:rPr>
              <w:t>2027</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3,963</w:t>
            </w:r>
          </w:p>
        </w:tc>
      </w:tr>
      <w:tr>
        <w:trPr>
          <w:trHeight w:val="19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w:t>
            </w:r>
          </w:p>
        </w:tc>
      </w:tr>
      <w:tr>
        <w:trPr>
          <w:trHeight w:val="19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3,311</w:t>
            </w:r>
          </w:p>
        </w:tc>
      </w:tr>
      <w:tr>
        <w:trPr>
          <w:trHeight w:val="216"/>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43,846</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7. DEBT, NET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March 31, 2024</w:t>
            </w:r>
          </w:p>
        </w:tc>
        <w:tc>
          <w:tcPr>
            <w:tcW w:w="1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3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1"/>
              <w:spacing w:after="0" w:line="13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3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Stated Interest Rate</w:t>
            </w:r>
          </w:p>
        </w:tc>
        <w:tc>
          <w:tcPr>
            <w:tcW w:w="17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7"/>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11"/>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40" w:type="dxa"/>
            <w:vAlign w:val="bottom"/>
            <w:vMerge w:val="restart"/>
          </w:tcPr>
          <w:p>
            <w:pPr>
              <w:ind w:left="20"/>
              <w:spacing w:after="0"/>
              <w:rPr>
                <w:sz w:val="20"/>
                <w:szCs w:val="20"/>
                <w:color w:val="auto"/>
              </w:rPr>
            </w:pPr>
            <w:r>
              <w:rPr>
                <w:rFonts w:ascii="Arial" w:cs="Arial" w:eastAsia="Arial" w:hAnsi="Arial"/>
                <w:sz w:val="14"/>
                <w:szCs w:val="14"/>
                <w:color w:val="auto"/>
              </w:rPr>
              <w:t xml:space="preserve">Revolving Credit Facility </w:t>
            </w:r>
            <w:r>
              <w:rPr>
                <w:rFonts w:ascii="Arial" w:cs="Arial" w:eastAsia="Arial" w:hAnsi="Arial"/>
                <w:sz w:val="8"/>
                <w:szCs w:val="8"/>
                <w:color w:val="auto"/>
              </w:rPr>
              <w:t>(1)</w:t>
            </w: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175,000</w:t>
            </w:r>
          </w:p>
        </w:tc>
        <w:tc>
          <w:tcPr>
            <w:tcW w:w="100" w:type="dxa"/>
            <w:vAlign w:val="bottom"/>
          </w:tcPr>
          <w:p>
            <w:pPr>
              <w:spacing w:after="0"/>
              <w:rPr>
                <w:sz w:val="12"/>
                <w:szCs w:val="12"/>
                <w:color w:val="auto"/>
              </w:rPr>
            </w:pPr>
          </w:p>
        </w:tc>
        <w:tc>
          <w:tcPr>
            <w:tcW w:w="320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7"/>
              </w:rPr>
              <w:t>(i) Base Rate + 1.75%; or</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w w:val="98"/>
              </w:rPr>
              <w:t>9/20/25</w:t>
            </w:r>
          </w:p>
        </w:tc>
        <w:tc>
          <w:tcPr>
            <w:tcW w:w="100" w:type="dxa"/>
            <w:vAlign w:val="bottom"/>
          </w:tcPr>
          <w:p>
            <w:pPr>
              <w:spacing w:after="0"/>
              <w:rPr>
                <w:sz w:val="12"/>
                <w:szCs w:val="12"/>
                <w:color w:val="auto"/>
              </w:rPr>
            </w:pP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1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8"/>
              </w:rPr>
              <w:t>(ii) Adjusted Term SOFR Rate + 2.75%</w:t>
            </w:r>
          </w:p>
        </w:tc>
        <w:tc>
          <w:tcPr>
            <w:tcW w:w="16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loans payable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175,000</w:t>
            </w:r>
          </w:p>
        </w:tc>
        <w:tc>
          <w:tcPr>
            <w:tcW w:w="1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8"/>
                <w:szCs w:val="8"/>
                <w:color w:val="auto"/>
              </w:rPr>
              <w:t>(2)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651,784</w:t>
            </w:r>
          </w:p>
        </w:tc>
        <w:tc>
          <w:tcPr>
            <w:tcW w:w="3200" w:type="dxa"/>
            <w:vAlign w:val="bottom"/>
            <w:gridSpan w:val="2"/>
            <w:shd w:val="clear" w:color="auto" w:fill="CCEEFF"/>
          </w:tcPr>
          <w:p>
            <w:pPr>
              <w:jc w:val="center"/>
              <w:ind w:left="31"/>
              <w:spacing w:after="0"/>
              <w:rPr>
                <w:sz w:val="20"/>
                <w:szCs w:val="20"/>
                <w:color w:val="auto"/>
              </w:rPr>
            </w:pPr>
            <w:r>
              <w:rPr>
                <w:rFonts w:ascii="Arial" w:cs="Arial" w:eastAsia="Arial" w:hAnsi="Arial"/>
                <w:sz w:val="14"/>
                <w:szCs w:val="14"/>
                <w:color w:val="auto"/>
                <w:w w:val="95"/>
              </w:rPr>
              <w:t>6.50%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652,043</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400,000</w:t>
            </w:r>
          </w:p>
        </w:tc>
        <w:tc>
          <w:tcPr>
            <w:tcW w:w="3200" w:type="dxa"/>
            <w:vAlign w:val="bottom"/>
            <w:gridSpan w:val="2"/>
          </w:tcPr>
          <w:p>
            <w:pPr>
              <w:jc w:val="center"/>
              <w:ind w:left="31"/>
              <w:spacing w:after="0"/>
              <w:rPr>
                <w:sz w:val="20"/>
                <w:szCs w:val="20"/>
                <w:color w:val="auto"/>
              </w:rPr>
            </w:pPr>
            <w:r>
              <w:rPr>
                <w:rFonts w:ascii="Arial" w:cs="Arial" w:eastAsia="Arial" w:hAnsi="Arial"/>
                <w:sz w:val="14"/>
                <w:szCs w:val="14"/>
                <w:color w:val="auto"/>
                <w:w w:val="95"/>
              </w:rPr>
              <w:t>9.75%</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7"/>
              </w:rPr>
              <w:t>8/1/27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8"/>
                <w:szCs w:val="8"/>
                <w:color w:val="auto"/>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1,001,657</w:t>
            </w:r>
          </w:p>
        </w:tc>
        <w:tc>
          <w:tcPr>
            <w:tcW w:w="3200" w:type="dxa"/>
            <w:vAlign w:val="bottom"/>
            <w:gridSpan w:val="2"/>
            <w:shd w:val="clear" w:color="auto" w:fill="CCEEFF"/>
          </w:tcPr>
          <w:p>
            <w:pPr>
              <w:jc w:val="center"/>
              <w:ind w:left="31"/>
              <w:spacing w:after="0"/>
              <w:rPr>
                <w:sz w:val="20"/>
                <w:szCs w:val="20"/>
                <w:color w:val="auto"/>
              </w:rPr>
            </w:pPr>
            <w:r>
              <w:rPr>
                <w:rFonts w:ascii="Arial" w:cs="Arial" w:eastAsia="Arial" w:hAnsi="Arial"/>
                <w:sz w:val="14"/>
                <w:szCs w:val="14"/>
                <w:color w:val="auto"/>
                <w:w w:val="95"/>
              </w:rPr>
              <w:t>5.50%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5/1/28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1,001,746</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Senior Notes due 2030 </w:t>
            </w:r>
            <w:r>
              <w:rPr>
                <w:rFonts w:ascii="Arial" w:cs="Arial" w:eastAsia="Arial" w:hAnsi="Arial"/>
                <w:sz w:val="8"/>
                <w:szCs w:val="8"/>
                <w:color w:val="auto"/>
              </w:rPr>
              <w:t>(4)</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496,793</w:t>
            </w:r>
          </w:p>
        </w:tc>
        <w:tc>
          <w:tcPr>
            <w:tcW w:w="3200" w:type="dxa"/>
            <w:vAlign w:val="bottom"/>
            <w:tcBorders>
              <w:bottom w:val="single" w:sz="8" w:color="CCEEFF"/>
            </w:tcBorders>
            <w:gridSpan w:val="2"/>
          </w:tcPr>
          <w:p>
            <w:pPr>
              <w:jc w:val="center"/>
              <w:ind w:left="31"/>
              <w:spacing w:after="0"/>
              <w:rPr>
                <w:sz w:val="20"/>
                <w:szCs w:val="20"/>
                <w:color w:val="auto"/>
              </w:rPr>
            </w:pPr>
            <w:r>
              <w:rPr>
                <w:rFonts w:ascii="Arial" w:cs="Arial" w:eastAsia="Arial" w:hAnsi="Arial"/>
                <w:sz w:val="14"/>
                <w:szCs w:val="14"/>
                <w:color w:val="auto"/>
                <w:w w:val="95"/>
              </w:rPr>
              <w:t>7.88%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12/1/30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496,704</w:t>
            </w:r>
          </w:p>
        </w:tc>
        <w:tc>
          <w:tcPr>
            <w:tcW w:w="0" w:type="dxa"/>
            <w:vAlign w:val="bottom"/>
          </w:tcPr>
          <w:p>
            <w:pPr>
              <w:spacing w:after="0"/>
              <w:rPr>
                <w:sz w:val="1"/>
                <w:szCs w:val="1"/>
                <w:color w:val="auto"/>
              </w:rPr>
            </w:pPr>
          </w:p>
        </w:tc>
      </w:tr>
      <w:tr>
        <w:trPr>
          <w:trHeight w:val="18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2,550,234</w:t>
            </w:r>
          </w:p>
        </w:tc>
        <w:tc>
          <w:tcPr>
            <w:tcW w:w="1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2,550,493</w:t>
            </w:r>
          </w:p>
        </w:tc>
        <w:tc>
          <w:tcPr>
            <w:tcW w:w="0" w:type="dxa"/>
            <w:vAlign w:val="bottom"/>
          </w:tcPr>
          <w:p>
            <w:pPr>
              <w:spacing w:after="0"/>
              <w:rPr>
                <w:sz w:val="1"/>
                <w:szCs w:val="1"/>
                <w:color w:val="auto"/>
              </w:rPr>
            </w:pPr>
          </w:p>
        </w:tc>
      </w:tr>
      <w:tr>
        <w:trPr>
          <w:trHeight w:val="258"/>
        </w:trPr>
        <w:tc>
          <w:tcPr>
            <w:tcW w:w="3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2,725,234</w:t>
            </w:r>
          </w:p>
        </w:tc>
        <w:tc>
          <w:tcPr>
            <w:tcW w:w="1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2,550,493</w:t>
            </w: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(31,480)</w:t>
            </w:r>
          </w:p>
        </w:tc>
        <w:tc>
          <w:tcPr>
            <w:tcW w:w="10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(33,150)</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2,693,754</w:t>
            </w:r>
          </w:p>
        </w:tc>
        <w:tc>
          <w:tcPr>
            <w:tcW w:w="10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2,517,343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53" w:lineRule="exact"/>
        <w:rPr>
          <w:sz w:val="20"/>
          <w:szCs w:val="20"/>
          <w:color w:val="auto"/>
        </w:rPr>
      </w:pPr>
    </w:p>
    <w:p>
      <w:pPr>
        <w:ind w:left="160" w:hanging="157"/>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58" w:lineRule="exact"/>
        <w:rPr>
          <w:rFonts w:ascii="Arial" w:cs="Arial" w:eastAsia="Arial" w:hAnsi="Arial"/>
          <w:sz w:val="9"/>
          <w:szCs w:val="9"/>
          <w:color w:val="auto"/>
        </w:rPr>
      </w:pPr>
    </w:p>
    <w:p>
      <w:pPr>
        <w:ind w:left="160" w:hanging="157"/>
        <w:spacing w:after="0" w:line="279" w:lineRule="auto"/>
        <w:tabs>
          <w:tab w:leader="none" w:pos="156"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Includes an unamortized discount of $748 and $866 at March 31, 2024 and December 31, 2023, respectively, and an unamortized premium of $2,532 and $2,908 at March 31, 2024 and December 31, 2023, respectively.</w:t>
      </w:r>
    </w:p>
    <w:p>
      <w:pPr>
        <w:ind w:left="160" w:hanging="157"/>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$1,657 and $1,746 at March 31, 2024 and December 31, 2023, respectively.</w:t>
      </w:r>
    </w:p>
    <w:p>
      <w:pPr>
        <w:spacing w:after="0" w:line="51" w:lineRule="exact"/>
        <w:rPr>
          <w:rFonts w:ascii="Arial" w:cs="Arial" w:eastAsia="Arial" w:hAnsi="Arial"/>
          <w:sz w:val="18"/>
          <w:szCs w:val="18"/>
          <w:color w:val="auto"/>
          <w:vertAlign w:val="superscript"/>
        </w:rPr>
      </w:pPr>
    </w:p>
    <w:p>
      <w:pPr>
        <w:ind w:left="140" w:hanging="137"/>
        <w:spacing w:after="0" w:line="219"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$3,207 and $3,296 at March 31, 2024 and December 31, 2023,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March 31, 2024.</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8. FAIR VALUE MEASUREMENTS</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76"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00" w:lineRule="exact"/>
        <w:rPr>
          <w:rFonts w:ascii="Arial" w:cs="Arial" w:eastAsia="Arial" w:hAnsi="Arial"/>
          <w:sz w:val="16"/>
          <w:szCs w:val="16"/>
          <w:color w:val="auto"/>
        </w:rPr>
      </w:pPr>
    </w:p>
    <w:p>
      <w:pPr>
        <w:ind w:left="320" w:hanging="317"/>
        <w:spacing w:after="0" w:line="262" w:lineRule="auto"/>
        <w:tabs>
          <w:tab w:leader="none" w:pos="31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76" w:lineRule="exact"/>
        <w:rPr>
          <w:rFonts w:ascii="Arial" w:cs="Arial" w:eastAsia="Arial" w:hAnsi="Arial"/>
          <w:sz w:val="16"/>
          <w:szCs w:val="16"/>
          <w:color w:val="auto"/>
        </w:rPr>
      </w:pPr>
    </w:p>
    <w:p>
      <w:pPr>
        <w:ind w:left="320" w:hanging="317"/>
        <w:spacing w:after="0" w:line="262" w:lineRule="auto"/>
        <w:tabs>
          <w:tab w:leader="none" w:pos="31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00"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00" w:lineRule="exact"/>
        <w:rPr>
          <w:rFonts w:ascii="Arial" w:cs="Arial" w:eastAsia="Arial" w:hAnsi="Arial"/>
          <w:sz w:val="16"/>
          <w:szCs w:val="16"/>
          <w:color w:val="auto"/>
        </w:rPr>
      </w:pPr>
    </w:p>
    <w:p>
      <w:pPr>
        <w:ind w:left="320" w:hanging="317"/>
        <w:spacing w:after="0" w:line="279" w:lineRule="auto"/>
        <w:tabs>
          <w:tab w:leader="none" w:pos="31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50" w:lineRule="exact"/>
        <w:rPr>
          <w:rFonts w:ascii="Arial" w:cs="Arial" w:eastAsia="Arial" w:hAnsi="Arial"/>
          <w:sz w:val="16"/>
          <w:szCs w:val="16"/>
          <w:color w:val="auto"/>
        </w:rPr>
      </w:pPr>
    </w:p>
    <w:p>
      <w:pPr>
        <w:ind w:left="300" w:hanging="297"/>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340"/>
        <w:spacing w:after="0" w:line="311" w:lineRule="auto"/>
        <w:rPr>
          <w:sz w:val="20"/>
          <w:szCs w:val="20"/>
          <w:color w:val="auto"/>
        </w:rPr>
      </w:pPr>
      <w:r>
        <w:rPr>
          <w:rFonts w:ascii="Arial" w:cs="Arial" w:eastAsia="Arial" w:hAnsi="Arial"/>
          <w:sz w:val="14"/>
          <w:szCs w:val="14"/>
          <w:color w:val="auto"/>
        </w:rPr>
        <w:t>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our bonds payable are presented in the table below and classified as Level 2 within the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 2024</w:t>
            </w:r>
          </w:p>
        </w:tc>
        <w:tc>
          <w:tcPr>
            <w:tcW w:w="18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 2023</w:t>
            </w:r>
          </w:p>
        </w:tc>
      </w:tr>
      <w:tr>
        <w:trPr>
          <w:trHeight w:val="188"/>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650,026</w:t>
            </w:r>
          </w:p>
        </w:tc>
        <w:tc>
          <w:tcPr>
            <w:tcW w:w="10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649,383</w:t>
            </w:r>
          </w:p>
        </w:tc>
      </w:tr>
      <w:tr>
        <w:trPr>
          <w:trHeight w:val="193"/>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415,264</w:t>
            </w: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416,432</w:t>
            </w:r>
          </w:p>
        </w:tc>
      </w:tr>
      <w:tr>
        <w:trPr>
          <w:trHeight w:val="195"/>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970,410</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963,630</w:t>
            </w:r>
          </w:p>
        </w:tc>
      </w:tr>
      <w:tr>
        <w:trPr>
          <w:trHeight w:val="192"/>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2030</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526,500</w:t>
            </w: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521,440</w:t>
            </w: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fair value of all other items reported as Debt, net approximate their carrying values due to their bearing market rates of interest and are classified as Level 2 within the fair value hierarchy.</w:t>
      </w:r>
    </w:p>
    <w:p>
      <w:pPr>
        <w:spacing w:after="0" w:line="5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The Company has contingent obligations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in connection with certain sales of aircraft on lease, which are measured at fair value. The guarantees are valued at $7.1 million and $6.8 million as of March 31, 2024 and December 31, 2023, respectively, and are reflected as a component of Other liabilities. The fair values of the guarantees are determined based on the estimated condition of the engines at the end of each lease term and the estimated cost of replacement and applicable discount rates and are classified as Level 3. During the three months ended March 31, 2024, the Company recorded a $0.3 million increase related to the change in fair value, which is recorded as Asset sales revenue. During the three months ended March 31, 2023, the Company recorded a $4.3 million increase in guarantees related to the sale of six aircraft and a $1.8 million decrease related to the change in fair value, which is recorded as Asset sales revenue. During the three months ended March 31, 2024 and 2023, there were no significant transfers into or out of Level 3.</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w:t>
      </w:r>
      <w:r>
        <w:rPr>
          <w:rFonts w:ascii="Times New Roman" w:cs="Times New Roman" w:eastAsia="Times New Roman" w:hAnsi="Times New Roman"/>
          <w:sz w:val="16"/>
          <w:szCs w:val="16"/>
          <w:color w:val="auto"/>
        </w:rPr>
        <w:t>l</w:t>
      </w:r>
      <w:r>
        <w:rPr>
          <w:rFonts w:ascii="Arial" w:cs="Arial" w:eastAsia="Arial" w:hAnsi="Arial"/>
          <w:sz w:val="16"/>
          <w:szCs w:val="16"/>
          <w:color w:val="auto"/>
        </w:rPr>
        <w:t>easing and eventual sale of assets.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9. EQUITY-BASED COMPENSATION</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a Nonqualified Stock Option and Incentive Award Plan (“Incentive Plan”) which provides for the ability to award equity compensation awards in the form of stock options to eligible employees, consultants, directors, and other individuals who provide services to us, each as determined by the Compensation Committee of the Board of Directors.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of March 31, 2024, the Incentive Plan provides for the issuance of up to 29.8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5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Remaining Expense To Be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780" w:type="dxa"/>
            <w:vAlign w:val="bottom"/>
          </w:tcPr>
          <w:p>
            <w:pPr>
              <w:spacing w:after="0"/>
              <w:rPr>
                <w:sz w:val="9"/>
                <w:szCs w:val="9"/>
                <w:color w:val="auto"/>
              </w:rPr>
            </w:pPr>
          </w:p>
        </w:tc>
        <w:tc>
          <w:tcPr>
            <w:tcW w:w="2540" w:type="dxa"/>
            <w:vAlign w:val="bottom"/>
            <w:tcBorders>
              <w:bottom w:val="single" w:sz="8" w:color="auto"/>
            </w:tcBorders>
            <w:gridSpan w:val="4"/>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60" w:type="dxa"/>
            <w:vAlign w:val="bottom"/>
          </w:tcPr>
          <w:p>
            <w:pPr>
              <w:jc w:val="center"/>
              <w:ind w:right="134"/>
              <w:spacing w:after="0" w:line="112" w:lineRule="exact"/>
              <w:rPr>
                <w:sz w:val="20"/>
                <w:szCs w:val="20"/>
                <w:color w:val="auto"/>
              </w:rPr>
            </w:pPr>
            <w:r>
              <w:rPr>
                <w:rFonts w:ascii="Arial" w:cs="Arial" w:eastAsia="Arial" w:hAnsi="Arial"/>
                <w:sz w:val="11"/>
                <w:szCs w:val="11"/>
                <w:b w:val="1"/>
                <w:bCs w:val="1"/>
                <w:color w:val="auto"/>
              </w:rPr>
              <w:t>Recognized, If All Vesting</w:t>
            </w:r>
          </w:p>
        </w:tc>
        <w:tc>
          <w:tcPr>
            <w:tcW w:w="20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Weighted Average Remaining</w:t>
            </w:r>
          </w:p>
        </w:tc>
        <w:tc>
          <w:tcPr>
            <w:tcW w:w="0" w:type="dxa"/>
            <w:vAlign w:val="bottom"/>
          </w:tcPr>
          <w:p>
            <w:pPr>
              <w:spacing w:after="0"/>
              <w:rPr>
                <w:sz w:val="1"/>
                <w:szCs w:val="1"/>
                <w:color w:val="auto"/>
              </w:rPr>
            </w:pPr>
          </w:p>
        </w:tc>
      </w:tr>
      <w:tr>
        <w:trPr>
          <w:trHeight w:val="188"/>
        </w:trPr>
        <w:tc>
          <w:tcPr>
            <w:tcW w:w="37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Conditions Are Met</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Term (in years)</w:t>
            </w:r>
          </w:p>
        </w:tc>
        <w:tc>
          <w:tcPr>
            <w:tcW w:w="0" w:type="dxa"/>
            <w:vAlign w:val="bottom"/>
          </w:tcPr>
          <w:p>
            <w:pPr>
              <w:spacing w:after="0"/>
              <w:rPr>
                <w:sz w:val="1"/>
                <w:szCs w:val="1"/>
                <w:color w:val="auto"/>
              </w:rPr>
            </w:pPr>
          </w:p>
        </w:tc>
      </w:tr>
      <w:tr>
        <w:trPr>
          <w:trHeight w:val="187"/>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980" w:type="dxa"/>
            <w:vAlign w:val="bottom"/>
            <w:shd w:val="clear" w:color="auto" w:fill="CCEEFF"/>
          </w:tcPr>
          <w:p>
            <w:pPr>
              <w:jc w:val="right"/>
              <w:ind w:right="811"/>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6,623</w:t>
            </w:r>
          </w:p>
        </w:tc>
        <w:tc>
          <w:tcPr>
            <w:tcW w:w="2080" w:type="dxa"/>
            <w:vAlign w:val="bottom"/>
            <w:shd w:val="clear" w:color="auto" w:fill="CCEEFF"/>
          </w:tcPr>
          <w:p>
            <w:pPr>
              <w:ind w:left="1480"/>
              <w:spacing w:after="0"/>
              <w:rPr>
                <w:sz w:val="20"/>
                <w:szCs w:val="20"/>
                <w:color w:val="auto"/>
              </w:rPr>
            </w:pPr>
            <w:r>
              <w:rPr>
                <w:rFonts w:ascii="Arial" w:cs="Arial" w:eastAsia="Arial" w:hAnsi="Arial"/>
                <w:sz w:val="14"/>
                <w:szCs w:val="14"/>
                <w:b w:val="1"/>
                <w:bCs w:val="1"/>
                <w:color w:val="auto"/>
                <w:w w:val="96"/>
              </w:rPr>
              <w:t>3.2 years</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Options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the three months ended March 31, 2024, FIG LLC (the “Manager”), an affiliate of Fortress Investment Group LLC, transferred 49,790 of its options to certain of the Manager’s employees.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79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7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93"/>
        </w:trPr>
        <w:tc>
          <w:tcPr>
            <w:tcW w:w="7960" w:type="dxa"/>
            <w:vAlign w:val="bottom"/>
          </w:tcPr>
          <w:p>
            <w:pPr>
              <w:ind w:left="140"/>
              <w:spacing w:after="0"/>
              <w:rPr>
                <w:sz w:val="20"/>
                <w:szCs w:val="20"/>
                <w:color w:val="auto"/>
              </w:rPr>
            </w:pPr>
            <w:r>
              <w:rPr>
                <w:rFonts w:ascii="Arial" w:cs="Arial" w:eastAsia="Arial" w:hAnsi="Arial"/>
                <w:sz w:val="14"/>
                <w:szCs w:val="14"/>
                <w:color w:val="auto"/>
              </w:rPr>
              <w:t>Cayman Islands</w:t>
            </w:r>
          </w:p>
        </w:tc>
        <w:tc>
          <w:tcPr>
            <w:tcW w:w="1060" w:type="dxa"/>
            <w:vAlign w:val="bottom"/>
          </w:tcPr>
          <w:p>
            <w:pPr>
              <w:jc w:val="right"/>
              <w:ind w:right="891"/>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1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Bermuda</w:t>
            </w:r>
          </w:p>
        </w:tc>
        <w:tc>
          <w:tcPr>
            <w:tcW w:w="10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96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0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300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3"/>
        </w:trPr>
        <w:tc>
          <w:tcPr>
            <w:tcW w:w="7960" w:type="dxa"/>
            <w:vAlign w:val="bottom"/>
          </w:tcPr>
          <w:p>
            <w:pPr>
              <w:ind w:left="220"/>
              <w:spacing w:after="0"/>
              <w:rPr>
                <w:sz w:val="20"/>
                <w:szCs w:val="20"/>
                <w:color w:val="auto"/>
              </w:rPr>
            </w:pPr>
            <w:r>
              <w:rPr>
                <w:rFonts w:ascii="Arial" w:cs="Arial" w:eastAsia="Arial" w:hAnsi="Arial"/>
                <w:sz w:val="14"/>
                <w:szCs w:val="14"/>
                <w:color w:val="auto"/>
              </w:rPr>
              <w:t>State and local</w:t>
            </w:r>
          </w:p>
        </w:tc>
        <w:tc>
          <w:tcPr>
            <w:tcW w:w="1060" w:type="dxa"/>
            <w:vAlign w:val="bottom"/>
          </w:tcPr>
          <w:p>
            <w:pPr>
              <w:spacing w:after="0"/>
              <w:rPr>
                <w:sz w:val="16"/>
                <w:szCs w:val="16"/>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578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5"/>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Non-U.S.</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146</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86"/>
        </w:trPr>
        <w:tc>
          <w:tcPr>
            <w:tcW w:w="7960" w:type="dxa"/>
            <w:vAlign w:val="bottom"/>
          </w:tcPr>
          <w:p>
            <w:pPr>
              <w:ind w:left="20"/>
              <w:spacing w:after="0"/>
              <w:rPr>
                <w:sz w:val="20"/>
                <w:szCs w:val="20"/>
                <w:color w:val="auto"/>
              </w:rPr>
            </w:pPr>
            <w:r>
              <w:rPr>
                <w:rFonts w:ascii="Arial" w:cs="Arial" w:eastAsia="Arial" w:hAnsi="Arial"/>
                <w:sz w:val="14"/>
                <w:szCs w:val="14"/>
                <w:color w:val="auto"/>
              </w:rPr>
              <w:t>Total current provision</w:t>
            </w:r>
          </w:p>
        </w:tc>
        <w:tc>
          <w:tcPr>
            <w:tcW w:w="1060" w:type="dxa"/>
            <w:vAlign w:val="bottom"/>
          </w:tcPr>
          <w:p>
            <w:pPr>
              <w:spacing w:after="0"/>
              <w:rPr>
                <w:sz w:val="16"/>
                <w:szCs w:val="16"/>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1,024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19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3"/>
        </w:trPr>
        <w:tc>
          <w:tcPr>
            <w:tcW w:w="7960" w:type="dxa"/>
            <w:vAlign w:val="bottom"/>
          </w:tcPr>
          <w:p>
            <w:pPr>
              <w:ind w:left="140"/>
              <w:spacing w:after="0"/>
              <w:rPr>
                <w:sz w:val="20"/>
                <w:szCs w:val="20"/>
                <w:color w:val="auto"/>
              </w:rPr>
            </w:pPr>
            <w:r>
              <w:rPr>
                <w:rFonts w:ascii="Arial" w:cs="Arial" w:eastAsia="Arial" w:hAnsi="Arial"/>
                <w:sz w:val="14"/>
                <w:szCs w:val="14"/>
                <w:color w:val="auto"/>
              </w:rPr>
              <w:t>Cayman Islands</w:t>
            </w:r>
          </w:p>
        </w:tc>
        <w:tc>
          <w:tcPr>
            <w:tcW w:w="10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Bermuda</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3,439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96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0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768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93"/>
        </w:trPr>
        <w:tc>
          <w:tcPr>
            <w:tcW w:w="796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195"/>
        </w:trPr>
        <w:tc>
          <w:tcPr>
            <w:tcW w:w="7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Non-U.S.</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699</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r>
      <w:tr>
        <w:trPr>
          <w:trHeight w:val="18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provision</w:t>
            </w: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4,548</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w:t>
            </w:r>
          </w:p>
        </w:tc>
      </w:tr>
      <w:tr>
        <w:trPr>
          <w:trHeight w:val="188"/>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Total provision for income taxes</w:t>
            </w:r>
          </w:p>
        </w:tc>
        <w:tc>
          <w:tcPr>
            <w:tcW w:w="106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5,572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r>
      <w:tr>
        <w:trPr>
          <w:trHeight w:val="20"/>
        </w:trPr>
        <w:tc>
          <w:tcPr>
            <w:tcW w:w="7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U.S. federal, state and foreign corporate income tax in locations where they conduct business.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the Company’s Bermuda operations have not been subject to Bermuda income tax. However, on December 27, 2023, the Government of Bermuda enacted a 15 percent corporate income tax regime (the “Bermuda CIT”) that applies to Bermuda businesses that are part of multinational enterprise groups with annual revenue of €750 million or more and is effective for tax years beginning on or after January 1, 2025. As a result of the Bermuda CIT, the exemption of certain of the Company’s Bermuda subsidiaries from Bermuda corporate income taxes will cease in 2025. For the year ended December 31, 2023, we recorded a deferred tax asset of $72.2 million in connection with the Bermuda law change. A portion of the deferred tax asset will not be available to offset future taxable income due to reductions in the tax bases of the underlying assets and liabilities. As such, for the three months ended March 31, 2024, the Company recorded a tax provision of $3.4 million to reduce its Bermuda deferred tax asset.</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and for the three months ended March 31, 2024,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2020. We do not believe that it is reasonably possible that the total amount of unrecognized tax benefits will significantly change within 12 months of the reporting date.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11. MANAGEMENT AGREEMENT AND AFFILIATE TRANSACTIONS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the spin-off of FTAI Infrastructure on August 1, 2022, we assigned our then-existing management and advisory agreement, dated as of May 20, 2015, with our Manager to FTAI Infrastructure. On July 31, 2022, we entered into a new management and advisory agreement (the “Management Agreement”), by and among FTAI, FTAI Finance Holdco Ltd. (a wholly owned subsidiary of the Company), and each of the subsidiaries that are party thereto and the Manager, with substantially similar terms and conditions as the existing management and advisory agreement.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0.01% of FTAI Aviation Holdco Ltd (a wholly owned subsidiary of the Company).</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Manager is entitled to a management fee and reimbursement of certain expenses. The management fee is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w:t>
      </w:r>
    </w:p>
    <w:p>
      <w:pPr>
        <w:spacing w:after="0" w:line="12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Fortress Worldwide Transportation and Infrastructure Master GP LLC (“Master GP”), is entitled to incentive allocations (comprised of income incentive allocation and capital gains incentive allocation, defined below). 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Master GP during the relevant quarter.</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One of our subsidiaries allocates and distributes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79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88"/>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60" w:type="dxa"/>
            <w:vAlign w:val="bottom"/>
            <w:shd w:val="clear" w:color="auto" w:fill="CCEEFF"/>
          </w:tcPr>
          <w:p>
            <w:pPr>
              <w:jc w:val="right"/>
              <w:ind w:right="891"/>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587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93"/>
        </w:trPr>
        <w:tc>
          <w:tcPr>
            <w:tcW w:w="796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60" w:type="dxa"/>
            <w:vAlign w:val="bottom"/>
          </w:tcPr>
          <w:p>
            <w:pPr>
              <w:spacing w:after="0"/>
              <w:rPr>
                <w:sz w:val="16"/>
                <w:szCs w:val="16"/>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4,308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2,942</w:t>
            </w:r>
          </w:p>
        </w:tc>
      </w:tr>
      <w:tr>
        <w:trPr>
          <w:trHeight w:val="194"/>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4,895</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2,997</w:t>
            </w:r>
          </w:p>
        </w:tc>
      </w:tr>
      <w:tr>
        <w:trPr>
          <w:trHeight w:val="20"/>
        </w:trPr>
        <w:tc>
          <w:tcPr>
            <w:tcW w:w="7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79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7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93"/>
        </w:trPr>
        <w:tc>
          <w:tcPr>
            <w:tcW w:w="796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ind w:right="891"/>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1,950</w:t>
            </w:r>
          </w:p>
        </w:tc>
        <w:tc>
          <w:tcPr>
            <w:tcW w:w="100" w:type="dxa"/>
            <w:vAlign w:val="bottom"/>
          </w:tcPr>
          <w:p>
            <w:pPr>
              <w:spacing w:after="0"/>
              <w:rPr>
                <w:sz w:val="16"/>
                <w:szCs w:val="16"/>
                <w:color w:val="auto"/>
              </w:rPr>
            </w:pPr>
          </w:p>
        </w:tc>
        <w:tc>
          <w:tcPr>
            <w:tcW w:w="1060" w:type="dxa"/>
            <w:vAlign w:val="bottom"/>
          </w:tcPr>
          <w:p>
            <w:pPr>
              <w:jc w:val="right"/>
              <w:ind w:right="91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1,905</w:t>
            </w:r>
          </w:p>
        </w:tc>
      </w:tr>
      <w:tr>
        <w:trPr>
          <w:trHeight w:val="194"/>
        </w:trPr>
        <w:tc>
          <w:tcPr>
            <w:tcW w:w="7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317</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8"/>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2,267</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20"/>
        </w:trPr>
        <w:tc>
          <w:tcPr>
            <w:tcW w:w="7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Pursuant to the terms of the Management Agreement, the termination fee is equal to the amount of the management fee during the 12 months immediately preceding the date of the termination. In addition, an Incentive Allocation Fair Value Amount will be distributable to Master GP if Master GP is removed due to the termination of the Management Agreement in certain specified circumstances. The Incentive Allocation Fair Value Amount is an amount equal to the Income Incentive Allocation and the Capital Gains Incentive Allocation that would be paid to Master GP if our assets were sold for cash at their then current fair market value (as determined by an appraisal, taking into account, among other things, the expected future value of the underlying investments).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ordinary shares or other equity securities (including securities issued as consideration in an acquisition), we grant the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 ordinary share as of the date of issuance), with an exercise price equal to the offering price per share paid by the public or other ultimate purchaser or attributed to such securities in connection with an acquisition (or the fair market value of a ordinary share as of the date of the equity issuance if it relates to equity securities other than our ordinary shares). Any ultimate purchaser of ordinary shares for which such options are granted may be an affiliate of the Manager.</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December 31, 2023</w:t>
            </w:r>
          </w:p>
        </w:tc>
      </w:tr>
      <w:tr>
        <w:trPr>
          <w:trHeight w:val="188"/>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600" w:type="dxa"/>
            <w:vAlign w:val="bottom"/>
            <w:shd w:val="clear" w:color="auto" w:fill="CCEEFF"/>
          </w:tcPr>
          <w:p>
            <w:pPr>
              <w:jc w:val="right"/>
              <w:ind w:right="1431"/>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92"/>
        </w:trPr>
        <w:tc>
          <w:tcPr>
            <w:tcW w:w="698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6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5,895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6,200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and December 31, 2023, there were no receivables from the Manager.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12. SEGMENT INFORMATION</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our maintenance facility and exclusivity arrangements, aftermarket components for aircraft engines. During the fourth quarter of 2023, the Company changed the composition of its operating segments to include V2500 engines within the Aerospace Products segment. Prior periods have been restated to reflect the change in accordance with the requirements ASC 280, </w:t>
      </w:r>
      <w:r>
        <w:rPr>
          <w:rFonts w:ascii="Arial" w:cs="Arial" w:eastAsia="Arial" w:hAnsi="Arial"/>
          <w:sz w:val="14"/>
          <w:szCs w:val="14"/>
          <w:i w:val="1"/>
          <w:iCs w:val="1"/>
          <w:color w:val="auto"/>
        </w:rPr>
        <w:t>Segment Reporting</w:t>
      </w:r>
      <w:r>
        <w:rPr>
          <w:rFonts w:ascii="Arial" w:cs="Arial" w:eastAsia="Arial" w:hAnsi="Arial"/>
          <w:sz w:val="14"/>
          <w:szCs w:val="14"/>
          <w:color w:val="auto"/>
        </w:rPr>
        <w:t>. See Note 2 for additional information.</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The CODM determined that segment asset information is not a key factor in measuring performance or allocating resources. Therefore, segment asset information is not included in the tables below as it is not provided to or reviewed by our CODM.</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that net income (loss) attributable to shareholders, as defined by U.S. GAAP, is the most appropriate earnings measurement with which to reconcile Adjusted EBITDA. Adjusted EBITDA should not be considered as an alternative to net income (loss) attributable to shareholders as determined in accordance with U.S. GAAP. The following tables set forth certain information for each reportable segment: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March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March 31, 2024</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Aviation Leasing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7"/>
              </w:rPr>
              <w:t>Aerospace</w:t>
            </w:r>
          </w:p>
        </w:tc>
        <w:tc>
          <w:tcPr>
            <w:tcW w:w="1180" w:type="dxa"/>
            <w:vAlign w:val="bottom"/>
            <w:gridSpan w:val="3"/>
          </w:tcPr>
          <w:p>
            <w:pPr>
              <w:jc w:val="center"/>
              <w:ind w:right="100"/>
              <w:spacing w:after="0" w:line="136" w:lineRule="exact"/>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1"/>
                <w:szCs w:val="11"/>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Products</w:t>
            </w:r>
          </w:p>
        </w:tc>
        <w:tc>
          <w:tcPr>
            <w:tcW w:w="2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50,846</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2,315</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53,161</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45,790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45,790</w:t>
            </w: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38,607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38,607</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189,057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189,057</w:t>
            </w:r>
          </w:p>
        </w:tc>
        <w:tc>
          <w:tcPr>
            <w:tcW w:w="0" w:type="dxa"/>
            <w:vAlign w:val="bottom"/>
          </w:tcPr>
          <w:p>
            <w:pPr>
              <w:spacing w:after="0"/>
              <w:rPr>
                <w:sz w:val="1"/>
                <w:szCs w:val="1"/>
                <w:color w:val="auto"/>
              </w:rPr>
            </w:pPr>
          </w:p>
        </w:tc>
      </w:tr>
      <w:tr>
        <w:trPr>
          <w:trHeight w:val="19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135,310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189,057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326,694</w:t>
            </w:r>
          </w:p>
        </w:tc>
        <w:tc>
          <w:tcPr>
            <w:tcW w:w="0" w:type="dxa"/>
            <w:vAlign w:val="bottom"/>
          </w:tcPr>
          <w:p>
            <w:pPr>
              <w:spacing w:after="0"/>
              <w:rPr>
                <w:sz w:val="1"/>
                <w:szCs w:val="1"/>
                <w:color w:val="auto"/>
              </w:rPr>
            </w:pPr>
          </w:p>
        </w:tc>
      </w:tr>
      <w:tr>
        <w:trPr>
          <w:trHeight w:val="258"/>
        </w:trPr>
        <w:tc>
          <w:tcPr>
            <w:tcW w:w="6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31,889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110,915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142,804</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25,317</w:t>
            </w: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3,683</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6,179</w:t>
            </w: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4,895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4,895</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46,084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49,920</w:t>
            </w: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962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962</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47,707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47,707</w:t>
            </w:r>
          </w:p>
        </w:tc>
        <w:tc>
          <w:tcPr>
            <w:tcW w:w="0" w:type="dxa"/>
            <w:vAlign w:val="bottom"/>
          </w:tcPr>
          <w:p>
            <w:pPr>
              <w:spacing w:after="0"/>
              <w:rPr>
                <w:sz w:val="1"/>
                <w:szCs w:val="1"/>
                <w:color w:val="auto"/>
              </w:rPr>
            </w:pPr>
          </w:p>
        </w:tc>
      </w:tr>
      <w:tr>
        <w:trPr>
          <w:trHeight w:val="18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89,903</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119,564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72,000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281,467</w:t>
            </w:r>
          </w:p>
        </w:tc>
        <w:tc>
          <w:tcPr>
            <w:tcW w:w="0" w:type="dxa"/>
            <w:vAlign w:val="bottom"/>
          </w:tcPr>
          <w:p>
            <w:pPr>
              <w:spacing w:after="0"/>
              <w:rPr>
                <w:sz w:val="1"/>
                <w:szCs w:val="1"/>
                <w:color w:val="auto"/>
              </w:rPr>
            </w:pPr>
          </w:p>
        </w:tc>
      </w:tr>
      <w:tr>
        <w:trPr>
          <w:trHeight w:val="239"/>
        </w:trPr>
        <w:tc>
          <w:tcPr>
            <w:tcW w:w="6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w:t>
            </w:r>
          </w:p>
        </w:tc>
        <w:tc>
          <w:tcPr>
            <w:tcW w:w="0" w:type="dxa"/>
            <w:vAlign w:val="bottom"/>
          </w:tcPr>
          <w:p>
            <w:pPr>
              <w:spacing w:after="0"/>
              <w:rPr>
                <w:sz w:val="1"/>
                <w:szCs w:val="1"/>
                <w:color w:val="auto"/>
              </w:rPr>
            </w:pPr>
          </w:p>
        </w:tc>
      </w:tr>
      <w:tr>
        <w:trPr>
          <w:trHeight w:val="193"/>
        </w:trPr>
        <w:tc>
          <w:tcPr>
            <w:tcW w:w="63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369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634</w:t>
            </w:r>
          </w:p>
        </w:tc>
        <w:tc>
          <w:tcPr>
            <w:tcW w:w="0" w:type="dxa"/>
            <w:vAlign w:val="bottom"/>
          </w:tcPr>
          <w:p>
            <w:pPr>
              <w:spacing w:after="0"/>
              <w:rPr>
                <w:sz w:val="1"/>
                <w:szCs w:val="1"/>
                <w:color w:val="auto"/>
              </w:rPr>
            </w:pPr>
          </w:p>
        </w:tc>
      </w:tr>
      <w:tr>
        <w:trPr>
          <w:trHeight w:val="188"/>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86"/>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45,630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68,972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(69,408)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45,194</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3,033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5,572</w:t>
            </w:r>
          </w:p>
        </w:tc>
        <w:tc>
          <w:tcPr>
            <w:tcW w:w="0" w:type="dxa"/>
            <w:vAlign w:val="bottom"/>
          </w:tcPr>
          <w:p>
            <w:pPr>
              <w:spacing w:after="0"/>
              <w:rPr>
                <w:sz w:val="1"/>
                <w:szCs w:val="1"/>
                <w:color w:val="auto"/>
              </w:rPr>
            </w:pPr>
          </w:p>
        </w:tc>
      </w:tr>
      <w:tr>
        <w:trPr>
          <w:trHeight w:val="186"/>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42,597</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66,433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(69,408)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39,622</w:t>
            </w:r>
          </w:p>
        </w:tc>
        <w:tc>
          <w:tcPr>
            <w:tcW w:w="0" w:type="dxa"/>
            <w:vAlign w:val="bottom"/>
          </w:tcPr>
          <w:p>
            <w:pPr>
              <w:spacing w:after="0"/>
              <w:rPr>
                <w:sz w:val="1"/>
                <w:szCs w:val="1"/>
                <w:color w:val="auto"/>
              </w:rPr>
            </w:pPr>
          </w:p>
        </w:tc>
      </w:tr>
      <w:tr>
        <w:trPr>
          <w:trHeight w:val="194"/>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8,335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8,335</w:t>
            </w:r>
          </w:p>
        </w:tc>
        <w:tc>
          <w:tcPr>
            <w:tcW w:w="0" w:type="dxa"/>
            <w:vAlign w:val="bottom"/>
          </w:tcPr>
          <w:p>
            <w:pPr>
              <w:spacing w:after="0"/>
              <w:rPr>
                <w:sz w:val="1"/>
                <w:szCs w:val="1"/>
                <w:color w:val="auto"/>
              </w:rPr>
            </w:pPr>
          </w:p>
        </w:tc>
      </w:tr>
      <w:tr>
        <w:trPr>
          <w:trHeight w:val="188"/>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42,597</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66,433</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(77,743)</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31,287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2024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Aerospace</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Products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104,807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70,277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(10,983)</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164,101</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548</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(56,042)</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(59,122)</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(4,308)</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(962)</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(6,179)</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(510)</w:t>
            </w:r>
          </w:p>
        </w:tc>
        <w:tc>
          <w:tcPr>
            <w:tcW w:w="0" w:type="dxa"/>
            <w:vAlign w:val="bottom"/>
          </w:tcPr>
          <w:p>
            <w:pPr>
              <w:spacing w:after="0"/>
              <w:rPr>
                <w:sz w:val="1"/>
                <w:szCs w:val="1"/>
                <w:color w:val="auto"/>
              </w:rPr>
            </w:pPr>
          </w:p>
        </w:tc>
      </w:tr>
      <w:tr>
        <w:trPr>
          <w:trHeight w:val="19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(5,572)</w:t>
            </w:r>
          </w:p>
        </w:tc>
        <w:tc>
          <w:tcPr>
            <w:tcW w:w="0" w:type="dxa"/>
            <w:vAlign w:val="bottom"/>
          </w:tcPr>
          <w:p>
            <w:pPr>
              <w:spacing w:after="0"/>
              <w:rPr>
                <w:sz w:val="1"/>
                <w:szCs w:val="1"/>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31,287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2024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7"/>
              </w:rPr>
              <w:t>Aerospace</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Products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4"/>
                <w:szCs w:val="14"/>
                <w:color w:val="auto"/>
              </w:rPr>
              <w:t>Africa</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5,686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6,554</w:t>
            </w:r>
          </w:p>
        </w:tc>
        <w:tc>
          <w:tcPr>
            <w:tcW w:w="0" w:type="dxa"/>
            <w:vAlign w:val="bottom"/>
          </w:tcPr>
          <w:p>
            <w:pPr>
              <w:spacing w:after="0"/>
              <w:rPr>
                <w:sz w:val="1"/>
                <w:szCs w:val="1"/>
                <w:color w:val="auto"/>
              </w:rPr>
            </w:pPr>
          </w:p>
        </w:tc>
      </w:tr>
      <w:tr>
        <w:trPr>
          <w:trHeight w:val="195"/>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25,119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55,946</w:t>
            </w: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4"/>
                <w:szCs w:val="14"/>
                <w:color w:val="auto"/>
              </w:rPr>
              <w:t>Europe</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71,044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67,716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138,760</w:t>
            </w:r>
          </w:p>
        </w:tc>
        <w:tc>
          <w:tcPr>
            <w:tcW w:w="0" w:type="dxa"/>
            <w:vAlign w:val="bottom"/>
          </w:tcPr>
          <w:p>
            <w:pPr>
              <w:spacing w:after="0"/>
              <w:rPr>
                <w:sz w:val="1"/>
                <w:szCs w:val="1"/>
                <w:color w:val="auto"/>
              </w:rPr>
            </w:pPr>
          </w:p>
        </w:tc>
      </w:tr>
      <w:tr>
        <w:trPr>
          <w:trHeight w:val="195"/>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81,372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102,219</w:t>
            </w: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17,432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5,783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23,215</w:t>
            </w: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135,310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189,057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326,694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as of March 31,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Operating Leases</w:t>
            </w:r>
          </w:p>
        </w:tc>
      </w:tr>
      <w:tr>
        <w:trPr>
          <w:trHeight w:val="188"/>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166,744</w:t>
            </w:r>
          </w:p>
        </w:tc>
      </w:tr>
      <w:tr>
        <w:trPr>
          <w:trHeight w:val="190"/>
        </w:trPr>
        <w:tc>
          <w:tcPr>
            <w:tcW w:w="9380" w:type="dxa"/>
            <w:vAlign w:val="bottom"/>
          </w:tcPr>
          <w:p>
            <w:pPr>
              <w:ind w:left="20"/>
              <w:spacing w:after="0"/>
              <w:rPr>
                <w:sz w:val="20"/>
                <w:szCs w:val="20"/>
                <w:color w:val="auto"/>
              </w:rPr>
            </w:pPr>
            <w:r>
              <w:rPr>
                <w:rFonts w:ascii="Arial" w:cs="Arial" w:eastAsia="Arial" w:hAnsi="Arial"/>
                <w:sz w:val="14"/>
                <w:szCs w:val="14"/>
                <w:color w:val="auto"/>
              </w:rPr>
              <w:t>2025</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159,168</w:t>
            </w:r>
          </w:p>
        </w:tc>
      </w:tr>
      <w:tr>
        <w:trPr>
          <w:trHeight w:val="198"/>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116,318</w:t>
            </w:r>
          </w:p>
        </w:tc>
      </w:tr>
      <w:tr>
        <w:trPr>
          <w:trHeight w:val="190"/>
        </w:trPr>
        <w:tc>
          <w:tcPr>
            <w:tcW w:w="9380" w:type="dxa"/>
            <w:vAlign w:val="bottom"/>
          </w:tcPr>
          <w:p>
            <w:pPr>
              <w:ind w:left="20"/>
              <w:spacing w:after="0"/>
              <w:rPr>
                <w:sz w:val="20"/>
                <w:szCs w:val="20"/>
                <w:color w:val="auto"/>
              </w:rPr>
            </w:pPr>
            <w:r>
              <w:rPr>
                <w:rFonts w:ascii="Arial" w:cs="Arial" w:eastAsia="Arial" w:hAnsi="Arial"/>
                <w:sz w:val="14"/>
                <w:szCs w:val="14"/>
                <w:color w:val="auto"/>
              </w:rPr>
              <w:t>2027</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83,743</w:t>
            </w:r>
          </w:p>
        </w:tc>
      </w:tr>
      <w:tr>
        <w:trPr>
          <w:trHeight w:val="198"/>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75,298</w:t>
            </w:r>
          </w:p>
        </w:tc>
      </w:tr>
      <w:tr>
        <w:trPr>
          <w:trHeight w:val="19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65,948</w:t>
            </w:r>
          </w:p>
        </w:tc>
      </w:tr>
      <w:tr>
        <w:trPr>
          <w:trHeight w:val="216"/>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667,219</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Three Months Ended March 31,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8"/>
              </w:rPr>
              <w:t>Three Months Ended March 31, 2023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Aviation</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7"/>
              </w:rPr>
              <w:t>Aerospace</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Leasing</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Products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48,830</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7,148</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55,978</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35,141</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108,691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108,691</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85,113</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7,795</w:t>
            </w:r>
          </w:p>
        </w:tc>
        <w:tc>
          <w:tcPr>
            <w:tcW w:w="0" w:type="dxa"/>
            <w:vAlign w:val="bottom"/>
          </w:tcPr>
          <w:p>
            <w:pPr>
              <w:spacing w:after="0"/>
              <w:rPr>
                <w:sz w:val="1"/>
                <w:szCs w:val="1"/>
                <w:color w:val="auto"/>
              </w:rPr>
            </w:pPr>
          </w:p>
        </w:tc>
      </w:tr>
      <w:tr>
        <w:trPr>
          <w:trHeight w:val="191"/>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199,040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85,113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292,718</w:t>
            </w:r>
          </w:p>
        </w:tc>
        <w:tc>
          <w:tcPr>
            <w:tcW w:w="0" w:type="dxa"/>
            <w:vAlign w:val="bottom"/>
          </w:tcPr>
          <w:p>
            <w:pPr>
              <w:spacing w:after="0"/>
              <w:rPr>
                <w:sz w:val="1"/>
                <w:szCs w:val="1"/>
                <w:color w:val="auto"/>
              </w:rPr>
            </w:pPr>
          </w:p>
        </w:tc>
      </w:tr>
      <w:tr>
        <w:trPr>
          <w:trHeight w:val="258"/>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92,234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53,436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145,670</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22,534</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2,997</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40,926</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39,292</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140,144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57,932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61,892</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259,968</w:t>
            </w:r>
          </w:p>
        </w:tc>
        <w:tc>
          <w:tcPr>
            <w:tcW w:w="0" w:type="dxa"/>
            <w:vAlign w:val="bottom"/>
          </w:tcPr>
          <w:p>
            <w:pPr>
              <w:spacing w:after="0"/>
              <w:rPr>
                <w:sz w:val="1"/>
                <w:szCs w:val="1"/>
                <w:color w:val="auto"/>
              </w:rPr>
            </w:pPr>
          </w:p>
        </w:tc>
      </w:tr>
      <w:tr>
        <w:trPr>
          <w:trHeight w:val="242"/>
        </w:trPr>
        <w:tc>
          <w:tcPr>
            <w:tcW w:w="5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86"/>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58,805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25,945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(53,327)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31,423</w:t>
            </w:r>
          </w:p>
        </w:tc>
        <w:tc>
          <w:tcPr>
            <w:tcW w:w="0" w:type="dxa"/>
            <w:vAlign w:val="bottom"/>
          </w:tcPr>
          <w:p>
            <w:pPr>
              <w:spacing w:after="0"/>
              <w:rPr>
                <w:sz w:val="1"/>
                <w:szCs w:val="1"/>
                <w:color w:val="auto"/>
              </w:rPr>
            </w:pPr>
          </w:p>
        </w:tc>
      </w:tr>
      <w:tr>
        <w:trPr>
          <w:trHeight w:val="195"/>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8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25,029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(53,442)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29,397</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191"/>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25,029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(60,233)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2023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Aerospace</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Products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107,556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27,377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127,656</w:t>
            </w: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(46,083)</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(48,770)</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91"/>
        </w:trPr>
        <w:tc>
          <w:tcPr>
            <w:tcW w:w="5660" w:type="dxa"/>
            <w:vAlign w:val="bottom"/>
          </w:tcPr>
          <w:p>
            <w:pPr>
              <w:ind w:left="20"/>
              <w:spacing w:after="0"/>
              <w:rPr>
                <w:sz w:val="20"/>
                <w:szCs w:val="20"/>
                <w:color w:val="auto"/>
              </w:rPr>
            </w:pPr>
            <w:r>
              <w:rPr>
                <w:rFonts w:ascii="Arial" w:cs="Arial" w:eastAsia="Arial" w:hAnsi="Arial"/>
                <w:sz w:val="14"/>
                <w:szCs w:val="14"/>
                <w:color w:val="auto"/>
              </w:rPr>
              <w:t>Net income attributable to shareholders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2023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Aerospace</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Products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Africa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26,331</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Europe</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52,365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78,331</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172,661</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13,244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14,520</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Location of Long-Lived Assets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the geographic location of property, plant and equipment and leasing equipment,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December 31, 2023</w:t>
            </w:r>
          </w:p>
        </w:tc>
      </w:tr>
      <w:tr>
        <w:trPr>
          <w:trHeight w:val="175"/>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 equipment, net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3"/>
        </w:trPr>
        <w:tc>
          <w:tcPr>
            <w:tcW w:w="7620" w:type="dxa"/>
            <w:vAlign w:val="bottom"/>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17,975</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18,380</w:t>
            </w:r>
          </w:p>
        </w:tc>
      </w:tr>
      <w:tr>
        <w:trPr>
          <w:trHeight w:val="195"/>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500,841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478,120</w:t>
            </w:r>
          </w:p>
        </w:tc>
      </w:tr>
      <w:tr>
        <w:trPr>
          <w:trHeight w:val="193"/>
        </w:trPr>
        <w:tc>
          <w:tcPr>
            <w:tcW w:w="7620" w:type="dxa"/>
            <w:vAlign w:val="bottom"/>
          </w:tcPr>
          <w:p>
            <w:pPr>
              <w:ind w:left="20"/>
              <w:spacing w:after="0"/>
              <w:rPr>
                <w:sz w:val="20"/>
                <w:szCs w:val="20"/>
                <w:color w:val="auto"/>
              </w:rPr>
            </w:pPr>
            <w:r>
              <w:rPr>
                <w:rFonts w:ascii="Arial" w:cs="Arial" w:eastAsia="Arial" w:hAnsi="Arial"/>
                <w:sz w:val="14"/>
                <w:szCs w:val="14"/>
                <w:color w:val="auto"/>
              </w:rPr>
              <w:t>Europe</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1,063,424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934,817</w:t>
            </w:r>
          </w:p>
        </w:tc>
      </w:tr>
      <w:tr>
        <w:trPr>
          <w:trHeight w:val="195"/>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435,248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416,811</w:t>
            </w:r>
          </w:p>
        </w:tc>
      </w:tr>
      <w:tr>
        <w:trPr>
          <w:trHeight w:val="19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214,342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229,460</w:t>
            </w:r>
          </w:p>
        </w:tc>
      </w:tr>
      <w:tr>
        <w:trPr>
          <w:trHeight w:val="21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property, plant and equipment and leasing equipment, net</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2,231,830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2,077,588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13. EARNINGS PER SHARE AND EQUITY</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Basic earnings per ordinary share (“EPS”) is calculated by dividing net income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39,622</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29,397</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Less: Net income attributable to non-controlling interests in consolidated subsidiaries</w:t>
            </w:r>
          </w:p>
        </w:tc>
        <w:tc>
          <w:tcPr>
            <w:tcW w:w="3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8,335</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w:t>
            </w: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31,287</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Ordinary Shares Outstanding - Basic</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100,245,905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99,728,245</w:t>
            </w:r>
          </w:p>
        </w:tc>
      </w:tr>
      <w:tr>
        <w:trPr>
          <w:trHeight w:val="193"/>
        </w:trPr>
        <w:tc>
          <w:tcPr>
            <w:tcW w:w="8020" w:type="dxa"/>
            <w:vAlign w:val="bottom"/>
          </w:tcPr>
          <w:p>
            <w:pPr>
              <w:ind w:left="20"/>
              <w:spacing w:after="0"/>
              <w:rPr>
                <w:sz w:val="20"/>
                <w:szCs w:val="20"/>
                <w:color w:val="auto"/>
              </w:rPr>
            </w:pPr>
            <w:r>
              <w:rPr>
                <w:rFonts w:ascii="Arial" w:cs="Arial" w:eastAsia="Arial" w:hAnsi="Arial"/>
                <w:sz w:val="14"/>
                <w:szCs w:val="14"/>
                <w:color w:val="auto"/>
              </w:rPr>
              <w:t>Weighted Average Ordinary Shares Outstanding - Diluted</w:t>
            </w:r>
          </w:p>
        </w:tc>
        <w:tc>
          <w:tcPr>
            <w:tcW w:w="340" w:type="dxa"/>
            <w:vAlign w:val="bottom"/>
          </w:tcPr>
          <w:p>
            <w:pPr>
              <w:spacing w:after="0"/>
              <w:rPr>
                <w:sz w:val="16"/>
                <w:szCs w:val="16"/>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b w:val="1"/>
                <w:bCs w:val="1"/>
                <w:color w:val="auto"/>
              </w:rPr>
              <w:t>100,960,065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100,974,100</w:t>
            </w:r>
          </w:p>
        </w:tc>
      </w:tr>
      <w:tr>
        <w:trPr>
          <w:trHeight w:val="246"/>
        </w:trPr>
        <w:tc>
          <w:tcPr>
            <w:tcW w:w="8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193"/>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0.31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r>
      <w:tr>
        <w:trPr>
          <w:trHeight w:val="19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340" w:type="dxa"/>
            <w:vAlign w:val="bottom"/>
          </w:tcPr>
          <w:p>
            <w:pPr>
              <w:jc w:val="right"/>
              <w:ind w:right="17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b w:val="1"/>
                <w:bCs w:val="1"/>
                <w:color w:val="auto"/>
              </w:rPr>
              <w:t>0.31</w:t>
            </w:r>
          </w:p>
        </w:tc>
        <w:tc>
          <w:tcPr>
            <w:tcW w:w="80" w:type="dxa"/>
            <w:vAlign w:val="bottom"/>
          </w:tcPr>
          <w:p>
            <w:pPr>
              <w:spacing w:after="0"/>
              <w:rPr>
                <w:sz w:val="16"/>
                <w:szCs w:val="16"/>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0.22</w:t>
            </w:r>
          </w:p>
        </w:tc>
      </w:tr>
    </w:tbl>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three months ended March 31, 2024 and 2023, 0 and 57,175 shares, respectively, have been excluded from the calculation of Diluted EPS because the impact would be anti-dilutive.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2024 and 2023, we issued 0 and 12,165 ordinary shares to certain directors as compensation.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Preferred Shares</w:t>
      </w:r>
    </w:p>
    <w:p>
      <w:pPr>
        <w:spacing w:after="0" w:line="115" w:lineRule="exact"/>
        <w:rPr>
          <w:sz w:val="20"/>
          <w:szCs w:val="20"/>
          <w:color w:val="auto"/>
        </w:rPr>
      </w:pPr>
    </w:p>
    <w:p>
      <w:pPr>
        <w:jc w:val="both"/>
        <w:spacing w:after="0" w:line="334" w:lineRule="auto"/>
        <w:rPr>
          <w:sz w:val="20"/>
          <w:szCs w:val="20"/>
          <w:color w:val="auto"/>
        </w:rPr>
      </w:pPr>
      <w:r>
        <w:rPr>
          <w:rFonts w:ascii="Arial" w:cs="Arial" w:eastAsia="Arial" w:hAnsi="Arial"/>
          <w:sz w:val="14"/>
          <w:szCs w:val="14"/>
          <w:color w:val="auto"/>
        </w:rPr>
        <w:t>In March 2023, in a public offering, we issued 2,600,000 shares of 9.50% Fixed-Rate Reset Series D Cumulative Perpetual Redeemable Preferred Shares (“Series D Preferred Shares”), par value $0.01 per share, with a liquidation preference of $25.00 per share for net proceeds before expenses of approximately $63.0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14. COMMITMENTS AND CONTINGENCIES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The Company has contingent obligations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in connection with certain sales of aircraft on lease. Under the agreements, we provide certain guarantees at the end of the lease term for the condition of the aircraft engines that were sold to the buyer. The guarantees are valued at $7.1 million and $6.8 million as of March 31, 2024 and December 31, 2023, respectively, and are reflected as a component of Other liabilities.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Given variability in the condition of the engines at the end of the lease terms, which range from 4 to 9 years, the maximum potential amount of undiscounted future payments that could be required under the guarantees at March 31, 2024 was $34.7 million, which is not reasonably expected.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15. 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Senior Notes due 2031</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April 11, 2024, we issued $700 million aggregate principal amount of senior unsecured notes due 2031 (the “Senior Notes due 2031”). The Senior Notes due 2031 bear interest at a rate of 7.00% per annum, payable semi-annually in arrears on May 1 and November 1 of each year, commencing on November 1, 2024. Using a portion of the net proceeds, the Company completed a cash tender offer for $324.6 million aggregate principal amount of 2025 Notes validly tendered on April 11, 2024. Holders whose notes were accepted for purchase received equal consideration per $1,000 principal amount of 2025 Notes, plus accrued and unpaid interest to, but not including, April 11, 2024. The Company used the remaining net proceeds to redeem the remaining $325.4 million aggregate principal amount of 2025 Notes, plus accrued and unpaid interest, and for general corporate purposes.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Dividends</w:t>
      </w:r>
    </w:p>
    <w:p>
      <w:pPr>
        <w:spacing w:after="0" w:line="1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April 25, 2024, our Board of Directors declared a cash dividend on our ordinary shares and eligible participating securities of $0.30 per share for the quarter ended March 31, 2024, payable on May 21, 2024 to the holders of record on May 10, 2024.</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00497F"/>
        </w:rPr>
        <w:t>FTAI AVIATION LTD.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NOTES TO CONSOLIDATED FINANCIAL STATEMENTS </w:t>
      </w:r>
      <w:r>
        <w:rPr>
          <w:rFonts w:ascii="Arial" w:cs="Arial" w:eastAsia="Arial" w:hAnsi="Arial"/>
          <w:sz w:val="17"/>
          <w:szCs w:val="17"/>
          <w:b w:val="1"/>
          <w:bCs w:val="1"/>
          <w:i w:val="1"/>
          <w:iCs w:val="1"/>
          <w:color w:val="00497F"/>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Additionally, on April 25, 2024, our Board of Directors also declared cash dividends on the Series A Preferred Shares, Series B Preferred Shares, Series C Preferred Shares and Series D Preferred Shares of $0.52, $0.50, $0.52 and $0.59 per share, respectively, payable on June 14, 2024 to the holders of record on June 3, 2024.</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006EBF"/>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own, lease and sell aviation equipment. We also develop and manufacture through a joint venture, and repair and sell, through our maintenance facility and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assets since 2002. As of March 31, 2024, we had total consolidated assets of $3.2 billion and total equity of $177.6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Russia’s Invasion of Ukraine</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 and engines that had not yet been recovered from Ukraine and Russia. As a result we recognized an impairment charge totaling $120.0 million, net of maintenance deposits, to write-off the entire carrying value of leasing equipment assets that we did not expect to recover from Ukraine and Russia. As of March 31, 2024, eight aircraft and seventeen engines were still located in Russia.</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Russia is approximately $210.7 million. We intend to pursue all of our claims under these policies. However, the timing and amount of any recoveries under these policies are uncertain.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our maintenance facility and exclusivity arrangements, aircraft engines and aftermarket components for aircraft engines. During the fourth quarter of 2023, the Company changed the composition of its operating segments to include product offerings for V2500 engines within the Aerospace Products segment. Prior periods have been restated to reflect the change in accordance with the requirements of ASC 280, </w:t>
      </w:r>
      <w:r>
        <w:rPr>
          <w:rFonts w:ascii="Arial" w:cs="Arial" w:eastAsia="Arial" w:hAnsi="Arial"/>
          <w:sz w:val="14"/>
          <w:szCs w:val="14"/>
          <w:i w:val="1"/>
          <w:iCs w:val="1"/>
          <w:color w:val="auto"/>
        </w:rPr>
        <w:t>Segment Reporting</w:t>
      </w:r>
      <w:r>
        <w:rPr>
          <w:rFonts w:ascii="Arial" w:cs="Arial" w:eastAsia="Arial" w:hAnsi="Arial"/>
          <w:sz w:val="14"/>
          <w:szCs w:val="14"/>
          <w:color w:val="auto"/>
        </w:rPr>
        <w:t>.</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May 22, 2023, Fortress and Mubadala Investment Company, through its wholly owned asset management subsidiary Mubadala Capital (“Mubadala”), announced that they have entered into definitive agreements pursuant to which, among other things, certain members of Fortress management and affiliates of Mubadala will acquire 100% of the equity of Fortress that is currently indirectly held by SoftBank Group Corp. (“SoftBank”). After the closing of the transaction, Fortress will continue to operate as an independent investment manager under the Fortress brand, with autonomy over investment processes and decision making, personnel and operations.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00497F"/>
        </w:rPr>
        <w:t>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2024 and 2023</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r>
      <w:tr>
        <w:trPr>
          <w:trHeight w:val="17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53,161</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55,978</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(2,817)</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10,649</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38,607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108,691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(70,084)</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189,057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103,944</w:t>
            </w:r>
          </w:p>
        </w:tc>
      </w:tr>
      <w:tr>
        <w:trPr>
          <w:trHeight w:val="19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w:t>
            </w:r>
          </w:p>
        </w:tc>
      </w:tr>
      <w:tr>
        <w:trPr>
          <w:trHeight w:val="18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326,694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33,976</w:t>
            </w:r>
          </w:p>
        </w:tc>
      </w:tr>
      <w:tr>
        <w:trPr>
          <w:trHeight w:val="226"/>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142,804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145,670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(2,866)</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4,895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1,898</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49,920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8,994</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39,292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8,415</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281,467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21,499</w:t>
            </w:r>
          </w:p>
        </w:tc>
      </w:tr>
      <w:tr>
        <w:trPr>
          <w:trHeight w:val="226"/>
        </w:trPr>
        <w:tc>
          <w:tcPr>
            <w:tcW w:w="7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r>
      <w:tr>
        <w:trPr>
          <w:trHeight w:val="19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w:t>
            </w:r>
          </w:p>
        </w:tc>
      </w:tr>
      <w:tr>
        <w:trPr>
          <w:trHeight w:val="186"/>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Income from before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45,194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31,423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13,771</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39,622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10,225</w:t>
            </w:r>
          </w:p>
        </w:tc>
      </w:tr>
      <w:tr>
        <w:trPr>
          <w:trHeight w:val="18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8,335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31,287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8,681</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31,287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8,681</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5,572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3,546</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6,179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2,917</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1,366</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8"/>
                <w:szCs w:val="8"/>
                <w:color w:val="auto"/>
              </w:rPr>
              <w:t>(1)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59,122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10,352</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56,042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46,083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9,959</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8"/>
                <w:szCs w:val="8"/>
                <w:color w:val="auto"/>
              </w:rPr>
              <w:t>(2)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164,101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127,656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36,445</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5" w:lineRule="exact"/>
        <w:rPr>
          <w:sz w:val="20"/>
          <w:szCs w:val="20"/>
          <w:color w:val="auto"/>
        </w:rPr>
      </w:pPr>
    </w:p>
    <w:p>
      <w:pPr>
        <w:ind w:left="160" w:hanging="157"/>
        <w:spacing w:after="0" w:line="279" w:lineRule="auto"/>
        <w:tabs>
          <w:tab w:leader="none" w:pos="139"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2024 and 2023: (i) depreciation and amortization expense of $49,920 and $40,926, (ii) lease intangible amortization of $3,976 and $3,983 and (iii) amortization for lease incentives of $5,226 and $3,861, respectively.</w:t>
      </w:r>
    </w:p>
    <w:p>
      <w:pPr>
        <w:spacing w:after="0" w:line="60" w:lineRule="exact"/>
        <w:rPr>
          <w:rFonts w:ascii="Arial" w:cs="Arial" w:eastAsia="Arial" w:hAnsi="Arial"/>
          <w:sz w:val="9"/>
          <w:szCs w:val="9"/>
          <w:color w:val="auto"/>
        </w:rPr>
      </w:pPr>
    </w:p>
    <w:p>
      <w:pPr>
        <w:ind w:left="140" w:hanging="137"/>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March 31, 2024 and 2023: (i) net loss of $667 and $1,335, (ii) depreciation and amortization expense of $119 and $400, and</w:t>
      </w:r>
    </w:p>
    <w:p>
      <w:pPr>
        <w:ind w:left="380" w:hanging="222"/>
        <w:spacing w:after="0"/>
        <w:tabs>
          <w:tab w:leader="none" w:pos="380" w:val="left"/>
        </w:tabs>
        <w:numPr>
          <w:ilvl w:val="1"/>
          <w:numId w:val="8"/>
        </w:numPr>
        <w:rPr>
          <w:rFonts w:ascii="Arial" w:cs="Arial" w:eastAsia="Arial" w:hAnsi="Arial"/>
          <w:sz w:val="14"/>
          <w:szCs w:val="14"/>
          <w:color w:val="auto"/>
        </w:rPr>
      </w:pPr>
      <w:r>
        <w:rPr>
          <w:rFonts w:ascii="Arial" w:cs="Arial" w:eastAsia="Arial" w:hAnsi="Arial"/>
          <w:sz w:val="14"/>
          <w:szCs w:val="14"/>
          <w:color w:val="auto"/>
        </w:rPr>
        <w:t>acquisition and transaction expenses of $0 and $239,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2024 and 2023</w:t>
      </w:r>
    </w:p>
    <w:p>
      <w:pPr>
        <w:spacing w:after="0" w:line="1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Total revenues increased $34.0 million primarily due to an increase in Aerospace products revenue and Maintenance revenue, partially offset by decreases in Asset sales revenue, Lease income, and Other revenue.</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Aerospace products revenue increased $103.9 million primarily driven by an increase in sales relating to the CFM56-7B, CFM56-5B and V2500 engines, engine modules, spare parts and used material inventory as operations continued to ramp-up in 2024.</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Maintenance revenue increased $10.6 million primarily due to an increase in the number of aircraft and engines placed on lease and higher aircraft and engine utilization.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Asset sales revenue decreased $70.1 million primarily due to a decrease in the sale of commercial aircraft and engines in our Aviation Leasing segment.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Other revenue decreased $7.7 million primarily due to a decrease in end-of-lease redelivery compensation.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Lease income decreased $2.8 million primarily due to a decrease in leasing income of the Offshore Energy business as one of our vessels was off-hire in 2024 compared to on-hire in 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2024 and 2023</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Total expenses increased $21.5 million, primarily due to higher (i) Depreciation and amortization expense, (ii) Interest expense, (iii) Acquisition and transaction expenses, (iv) Operating expenses and (v) Management fees and incentive allocation to affiliate, partially offset by lower (vi) Cost of sales.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Depreciation and amortization increased $9.0 million primarily driven by an increase in the number of assets owned and on lease, partially offset by an increase in the number of aircraft redelivered and parted out into our engine leasing pool.</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Interest expense increased $8.4 million, which reflects an increase in the average debt outstanding of approximately $417.1 million primarily due to an increase in the (i) Senior Notes due 2030 of $496.8 million, which were issued in November 2023, partially offset by a decrease in the (ii) Revolving Credit Facility of $78.3 million.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increased $2.9 million primarily due to higher professional fees related to strategic transactions.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6"/>
          <w:szCs w:val="16"/>
          <w:color w:val="auto"/>
        </w:rPr>
        <w:t>Operating expenses increased $2.8 million primarily due to an increase in repairs and maintenance expense, professional fees and shipping and storage fees, as well as increase in commission expenses due to the increase in sales from the used material program, partially offset by decreases in the Offshore Energy business in crew expenses, project costs and other operating expenses as one of our vessels was off-hire in 2024.</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Management fees and incentive allocation to affiliate increased $1.9 million primarily due to an increase in incentive fee due to the Manager driven by an increase in net income.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Cost of sales decreased $2.9 million primarily as a result of a decrease in asset sales, partially offset by an increase in Aerospace Product sales.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decreased $1.3 million primarily due to a decrease of $0.7 million in the proportionate share of unconsolidated entities’ net loss.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Net income increased $10.2 million primarily due to the changes noted above.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$36.4 million primarily due to the changes noted above.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219"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As of March 31, 2024, in our Aviation Leasing segment, we own and manage 380 aviation assets, consisting of 103 commercial aircraft and 277 engines, including eight aircraft and seventeen engines that were still located in Russia.</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March 31, 2024, 82 of our commercial aircraft and 184 of our engines were leased to operators or other third parties. Aviation assets currently off lease are either undergoing repair and/or maintenance, being prepared to go on lease or held in short term storage awaiting a future lease. Our aviation equipment was approximately 78% utilized during the three months ended March 31, 2024, based on the percent of days on-lease in the quarter weighted by the monthly average equity value of our aviation leasing equipment, excluding airframes. Our aircraft currently have a weighted average remaining lease term of 44 months, and our engines currently on-lease have an average remaining lease term of 19 months. The table below provides additional information on the assets in our Aviation Leasing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shd w:val="clear" w:color="auto" w:fill="00497F"/>
          </w:tcPr>
          <w:p>
            <w:pPr>
              <w:spacing w:after="0"/>
              <w:rPr>
                <w:sz w:val="16"/>
                <w:szCs w:val="16"/>
                <w:color w:val="auto"/>
              </w:rPr>
            </w:pPr>
          </w:p>
        </w:tc>
        <w:tc>
          <w:tcPr>
            <w:tcW w:w="450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1680" w:type="dxa"/>
            <w:vAlign w:val="bottom"/>
            <w:shd w:val="clear" w:color="auto" w:fill="00497F"/>
          </w:tcPr>
          <w:p>
            <w:pPr>
              <w:ind w:left="68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2180" w:type="dxa"/>
            <w:vAlign w:val="bottom"/>
            <w:shd w:val="clear" w:color="auto" w:fill="00497F"/>
          </w:tcPr>
          <w:p>
            <w:pPr>
              <w:jc w:val="right"/>
              <w:ind w:right="851"/>
              <w:spacing w:after="0"/>
              <w:rPr>
                <w:sz w:val="20"/>
                <w:szCs w:val="20"/>
                <w:color w:val="auto"/>
              </w:rPr>
            </w:pPr>
            <w:r>
              <w:rPr>
                <w:rFonts w:ascii="Arial" w:cs="Arial" w:eastAsia="Arial" w:hAnsi="Arial"/>
                <w:sz w:val="14"/>
                <w:szCs w:val="14"/>
                <w:b w:val="1"/>
                <w:bCs w:val="1"/>
                <w:color w:val="FFFFFF"/>
              </w:rPr>
              <w:t>Total</w:t>
            </w:r>
          </w:p>
        </w:tc>
      </w:tr>
      <w:tr>
        <w:trPr>
          <w:trHeight w:val="164"/>
        </w:trPr>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w w:val="96"/>
              </w:rPr>
              <w:t>Aircraft</w:t>
            </w:r>
          </w:p>
        </w:tc>
        <w:tc>
          <w:tcPr>
            <w:tcW w:w="4000" w:type="dxa"/>
            <w:vAlign w:val="bottom"/>
            <w:gridSpan w:val="2"/>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2024</w:t>
            </w:r>
          </w:p>
        </w:tc>
        <w:tc>
          <w:tcPr>
            <w:tcW w:w="16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r>
      <w:tr>
        <w:trPr>
          <w:trHeight w:val="190"/>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16"/>
                <w:szCs w:val="16"/>
                <w:color w:val="auto"/>
              </w:rPr>
            </w:pPr>
          </w:p>
        </w:tc>
        <w:tc>
          <w:tcPr>
            <w:tcW w:w="2280" w:type="dxa"/>
            <w:vAlign w:val="bottom"/>
            <w:gridSpan w:val="3"/>
          </w:tcPr>
          <w:p>
            <w:pPr>
              <w:jc w:val="right"/>
              <w:ind w:right="179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20" w:type="dxa"/>
            <w:vAlign w:val="bottom"/>
            <w:shd w:val="clear" w:color="auto" w:fill="CCEEFF"/>
          </w:tcPr>
          <w:p>
            <w:pPr>
              <w:spacing w:after="0"/>
              <w:rPr>
                <w:sz w:val="17"/>
                <w:szCs w:val="17"/>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jc w:val="right"/>
              <w:ind w:right="1791"/>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16"/>
                <w:szCs w:val="16"/>
                <w:color w:val="auto"/>
              </w:rPr>
            </w:pPr>
          </w:p>
        </w:tc>
        <w:tc>
          <w:tcPr>
            <w:tcW w:w="2280" w:type="dxa"/>
            <w:vAlign w:val="bottom"/>
            <w:gridSpan w:val="3"/>
          </w:tcPr>
          <w:p>
            <w:pPr>
              <w:jc w:val="right"/>
              <w:ind w:right="179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March 31, 2024</w:t>
            </w:r>
          </w:p>
        </w:tc>
        <w:tc>
          <w:tcPr>
            <w:tcW w:w="166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r>
      <w:tr>
        <w:trPr>
          <w:trHeight w:val="239"/>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i w:val="1"/>
                <w:iCs w:val="1"/>
                <w:color w:val="auto"/>
                <w:w w:val="95"/>
              </w:rPr>
              <w:t>Engines</w:t>
            </w:r>
          </w:p>
        </w:tc>
        <w:tc>
          <w:tcPr>
            <w:tcW w:w="39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2024</w:t>
            </w:r>
          </w:p>
        </w:tc>
        <w:tc>
          <w:tcPr>
            <w:tcW w:w="166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267</w:t>
            </w:r>
          </w:p>
        </w:tc>
      </w:tr>
      <w:tr>
        <w:trPr>
          <w:trHeight w:val="195"/>
        </w:trPr>
        <w:tc>
          <w:tcPr>
            <w:tcW w:w="20" w:type="dxa"/>
            <w:vAlign w:val="bottom"/>
            <w:shd w:val="clear" w:color="auto" w:fill="CCEEFF"/>
          </w:tcPr>
          <w:p>
            <w:pPr>
              <w:spacing w:after="0"/>
              <w:rPr>
                <w:sz w:val="16"/>
                <w:szCs w:val="16"/>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0"/>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shd w:val="clear" w:color="auto" w:fill="CCEEFF"/>
          </w:tcPr>
          <w:p>
            <w:pPr>
              <w:spacing w:after="0"/>
              <w:rPr>
                <w:sz w:val="17"/>
                <w:szCs w:val="17"/>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66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jc w:val="right"/>
              <w:ind w:right="179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Assets at March 31, 2024</w:t>
            </w:r>
          </w:p>
        </w:tc>
        <w:tc>
          <w:tcPr>
            <w:tcW w:w="16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16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tcPr>
          <w:p>
            <w:pPr>
              <w:spacing w:after="0"/>
              <w:rPr>
                <w:sz w:val="16"/>
                <w:szCs w:val="16"/>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The following table presents our results of operations for our Aviation Leasing segment: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r>
      <w:tr>
        <w:trPr>
          <w:trHeight w:val="17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50,846</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48,830</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10,649</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38,607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108,691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(70,084)</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(6,311)</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135,310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(63,730)</w:t>
            </w:r>
          </w:p>
        </w:tc>
      </w:tr>
      <w:tr>
        <w:trPr>
          <w:trHeight w:val="226"/>
        </w:trPr>
        <w:tc>
          <w:tcPr>
            <w:tcW w:w="7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(60,345)</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1,119</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46,084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7,944</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89,903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(50,241)</w:t>
            </w:r>
          </w:p>
        </w:tc>
      </w:tr>
      <w:tr>
        <w:trPr>
          <w:trHeight w:val="226"/>
        </w:trPr>
        <w:tc>
          <w:tcPr>
            <w:tcW w:w="7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186"/>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45,630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58,805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(13,175)</w:t>
            </w: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42,597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57,810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(15,213)</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2,038</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2,761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1,299</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8"/>
                <w:szCs w:val="8"/>
                <w:color w:val="auto"/>
              </w:rPr>
              <w:t>(1)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8"/>
                <w:szCs w:val="8"/>
                <w:color w:val="auto"/>
              </w:rPr>
              <w:t>(2)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104,807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107,556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5" w:lineRule="exact"/>
        <w:rPr>
          <w:sz w:val="20"/>
          <w:szCs w:val="20"/>
          <w:color w:val="auto"/>
        </w:rPr>
      </w:pPr>
    </w:p>
    <w:p>
      <w:pPr>
        <w:ind w:left="160" w:hanging="157"/>
        <w:spacing w:after="0" w:line="279" w:lineRule="auto"/>
        <w:tabs>
          <w:tab w:leader="none" w:pos="139"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2024 and 2023: (i) depreciation expense of $46,084 and $38,140, (ii) lease intangible amortization of $3,976 and $3,983 and (iii) amortization for lease incentives of $5,226 and $3,861, respectively.</w:t>
      </w:r>
    </w:p>
    <w:p>
      <w:pPr>
        <w:spacing w:after="0" w:line="61" w:lineRule="exact"/>
        <w:rPr>
          <w:rFonts w:ascii="Arial" w:cs="Arial" w:eastAsia="Arial" w:hAnsi="Arial"/>
          <w:sz w:val="9"/>
          <w:szCs w:val="9"/>
          <w:color w:val="auto"/>
        </w:rPr>
      </w:pPr>
    </w:p>
    <w:p>
      <w:pPr>
        <w:ind w:left="140" w:hanging="137"/>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March 31, 2024 and 2023: (i) net loss of $146 and $99 and (ii) depreciation and amortization of $63 and $63,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2024 and 2023</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Total revenue decreased $63.7 million driven by a decrease in asset sales revenue and other revenue, partially offset by an increase in maintenance revenue and lease income.</w:t>
      </w:r>
    </w:p>
    <w:p>
      <w:pPr>
        <w:spacing w:after="0" w:line="63"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Asset sales revenue decreased $70.1 million primarily due to a decrease in the sale of commercial aircraft and engines.</w:t>
      </w:r>
    </w:p>
    <w:p>
      <w:pPr>
        <w:spacing w:after="0" w:line="113" w:lineRule="exact"/>
        <w:rPr>
          <w:rFonts w:ascii="Arial" w:cs="Arial" w:eastAsia="Arial" w:hAnsi="Arial"/>
          <w:sz w:val="16"/>
          <w:szCs w:val="16"/>
          <w:color w:val="auto"/>
        </w:rPr>
      </w:pPr>
    </w:p>
    <w:p>
      <w:pPr>
        <w:ind w:left="620" w:hanging="307"/>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revenue decreased $6.3 million primarily due to a decrease in end-of-lease redelivery compensation.</w:t>
      </w:r>
    </w:p>
    <w:p>
      <w:pPr>
        <w:spacing w:after="0" w:line="100" w:lineRule="exact"/>
        <w:rPr>
          <w:rFonts w:ascii="Arial" w:cs="Arial" w:eastAsia="Arial" w:hAnsi="Arial"/>
          <w:sz w:val="16"/>
          <w:szCs w:val="16"/>
          <w:color w:val="auto"/>
        </w:rPr>
      </w:pPr>
    </w:p>
    <w:p>
      <w:pPr>
        <w:ind w:left="620" w:hanging="307"/>
        <w:spacing w:after="0" w:line="279" w:lineRule="auto"/>
        <w:tabs>
          <w:tab w:leader="none" w:pos="6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Maintenance revenue increased $10.6 million primarily due to an increase in the number of aircraft and engines placed on lease and higher aircraft and engine utilization.</w:t>
      </w:r>
    </w:p>
    <w:p>
      <w:pPr>
        <w:spacing w:after="0" w:line="50" w:lineRule="exact"/>
        <w:rPr>
          <w:rFonts w:ascii="Arial" w:cs="Arial" w:eastAsia="Arial" w:hAnsi="Arial"/>
          <w:sz w:val="16"/>
          <w:szCs w:val="16"/>
          <w:color w:val="auto"/>
        </w:rPr>
      </w:pPr>
    </w:p>
    <w:p>
      <w:pPr>
        <w:ind w:left="620" w:hanging="307"/>
        <w:spacing w:after="0" w:line="262" w:lineRule="auto"/>
        <w:tabs>
          <w:tab w:leader="none" w:pos="6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Lease income increased $2.0 million primarily due to an increase in the number of aircraft and engines placed on lease during the year, partially offset by an increase in the number of aircraft and engines redelivered.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0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Total expenses decreased $50.2 million primarily driven by a decrease in cost of sales, partially offset by an increase in depreciation and amortization, acquisition and transaction expenses, and operating expenses.</w:t>
      </w:r>
    </w:p>
    <w:p>
      <w:pPr>
        <w:spacing w:after="0" w:line="50"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 of sales decreased $60.3 million primarily as a result of a decrease in asset sales.</w:t>
      </w:r>
    </w:p>
    <w:p>
      <w:pPr>
        <w:spacing w:after="0" w:line="100" w:lineRule="exact"/>
        <w:rPr>
          <w:rFonts w:ascii="Arial" w:cs="Arial" w:eastAsia="Arial" w:hAnsi="Arial"/>
          <w:sz w:val="16"/>
          <w:szCs w:val="16"/>
          <w:color w:val="auto"/>
        </w:rPr>
      </w:pPr>
    </w:p>
    <w:p>
      <w:pPr>
        <w:ind w:left="620" w:hanging="307"/>
        <w:spacing w:after="0" w:line="279" w:lineRule="auto"/>
        <w:tabs>
          <w:tab w:leader="none" w:pos="6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Depreciation and amortization expense increased $7.9 million driven by an increase in the number of assets owned and on lease, partially offset by an increase in the number of aircraft redelivered and parted out into our engine leasing pool.</w:t>
      </w:r>
    </w:p>
    <w:p>
      <w:pPr>
        <w:spacing w:after="0" w:line="50" w:lineRule="exact"/>
        <w:rPr>
          <w:rFonts w:ascii="Arial" w:cs="Arial" w:eastAsia="Arial" w:hAnsi="Arial"/>
          <w:sz w:val="16"/>
          <w:szCs w:val="16"/>
          <w:color w:val="auto"/>
        </w:rPr>
      </w:pPr>
    </w:p>
    <w:p>
      <w:pPr>
        <w:ind w:left="620" w:hanging="307"/>
        <w:spacing w:after="0" w:line="262" w:lineRule="auto"/>
        <w:tabs>
          <w:tab w:leader="none" w:pos="6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Acquisition and transaction expenses increased $1.3 million driven by higher compensation and related costs associated with the acquisition of aviation leasing equipment.</w:t>
      </w:r>
    </w:p>
    <w:p>
      <w:pPr>
        <w:spacing w:after="0" w:line="76" w:lineRule="exact"/>
        <w:rPr>
          <w:rFonts w:ascii="Arial" w:cs="Arial" w:eastAsia="Arial" w:hAnsi="Arial"/>
          <w:sz w:val="16"/>
          <w:szCs w:val="16"/>
          <w:color w:val="auto"/>
        </w:rPr>
      </w:pPr>
    </w:p>
    <w:p>
      <w:pPr>
        <w:ind w:left="620" w:hanging="307"/>
        <w:spacing w:after="0" w:line="262" w:lineRule="auto"/>
        <w:tabs>
          <w:tab w:leader="none" w:pos="6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Operating expenses increased $1.1 million driven by an increase in professional fees and repairs and maintenance expenses, partially offset by a decrease in shipping and storage fees and insurance expense.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0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Total other income increased $0.3 million primarily due to an increase in interest income, partially offset by an increase in Aviation Leasing’s proportionate share of unconsolidated entities’ net loss.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Net income decreased $15.2 million primarily due to the changes noted above.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provision for income taxes increased $2.0 million primarily due to the Company reducing a portion of the deferred tax asset of $46.6 million in connection with a tax law change in Bermuda, which was recorded at December 31, 2023. See Note 10 to the consolidated financial statements for additional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$2.7 million primarily due to the changes noted above.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Aerospace Products Segment</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Aerospace Products segment develops and manufactures through a joint venture, repairs and sells through our maintenance facility and exclusivity arrangements, aircraft engines and aftermarket components primarily for the CFM56-7B, CFM56-5B and V2500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In December 2023, we acquired the remaining interest in Quick Turn Engine Center LLC or “QuickTurn” (previously iAero Thrust LLC), a hospital maintenance and testing facility dedicated to the CFM56 engine. Refer to Note 3 “Acquisition of QuickTurn”, for additional information. We also hold a 25% interest in the Advanced Engine Repair JV which focuses on developing new cost savings programs for engine repairs.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Aerospace products revenue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189,057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103,944</w:t>
            </w:r>
          </w:p>
        </w:tc>
      </w:tr>
      <w:tr>
        <w:trPr>
          <w:trHeight w:val="245"/>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110,915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53,436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57,479</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119,564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57,932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61,632</w:t>
            </w:r>
          </w:p>
        </w:tc>
      </w:tr>
      <w:tr>
        <w:trPr>
          <w:trHeight w:val="226"/>
        </w:trPr>
        <w:tc>
          <w:tcPr>
            <w:tcW w:w="7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Other expense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68,972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43,027</w:t>
            </w:r>
          </w:p>
        </w:tc>
      </w:tr>
      <w:tr>
        <w:trPr>
          <w:trHeight w:val="19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2,539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w:t>
            </w:r>
          </w:p>
        </w:tc>
      </w:tr>
      <w:tr>
        <w:trPr>
          <w:trHeight w:val="21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66,433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66,433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41,404</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1,623</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8"/>
                <w:szCs w:val="8"/>
                <w:color w:val="auto"/>
              </w:rPr>
              <w:t>(1)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(715)</w:t>
            </w: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70,277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27,377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42,900</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5" w:lineRule="exact"/>
        <w:rPr>
          <w:sz w:val="20"/>
          <w:szCs w:val="20"/>
          <w:color w:val="auto"/>
        </w:rPr>
      </w:pPr>
    </w:p>
    <w:p>
      <w:pPr>
        <w:ind w:left="160" w:hanging="157"/>
        <w:spacing w:after="0" w:line="279" w:lineRule="auto"/>
        <w:tabs>
          <w:tab w:leader="none" w:pos="159"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2024 and 2023: (i) net loss of $521 and $1,236, (ii) depreciation and amortization expense of $56 and $337, and (iii) acquisition and transaction expenses of $0 and $239,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2024 and 2023</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Total Aerospace Products revenue increased $103.9 million primarily driven by an increase in sales relating to the CFM56-7B, CFM56-5B and V2500 engines, engine modules, spare parts and used material inventory as operations continued to ramp-up in 2024.</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$61.6 million primarily due to an increase in costs of sales, operating expenses and depreciation and amortization.</w:t>
      </w:r>
    </w:p>
    <w:p>
      <w:pPr>
        <w:spacing w:after="0" w:line="100"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of sales increased $57.5 million primarily as a result of an increase in Aerospace Product sales.</w:t>
      </w:r>
    </w:p>
    <w:p>
      <w:pPr>
        <w:spacing w:after="0" w:line="113" w:lineRule="exact"/>
        <w:rPr>
          <w:rFonts w:ascii="Arial" w:cs="Arial" w:eastAsia="Arial" w:hAnsi="Arial"/>
          <w:sz w:val="16"/>
          <w:szCs w:val="16"/>
          <w:color w:val="auto"/>
        </w:rPr>
      </w:pPr>
    </w:p>
    <w:p>
      <w:pPr>
        <w:ind w:left="620" w:hanging="307"/>
        <w:spacing w:after="0" w:line="223" w:lineRule="auto"/>
        <w:tabs>
          <w:tab w:leader="none" w:pos="616" w:val="left"/>
        </w:tabs>
        <w:numPr>
          <w:ilvl w:val="0"/>
          <w:numId w:val="13"/>
        </w:numPr>
        <w:rPr>
          <w:rFonts w:ascii="Arial" w:cs="Arial" w:eastAsia="Arial" w:hAnsi="Arial"/>
          <w:sz w:val="20"/>
          <w:szCs w:val="20"/>
          <w:b w:val="1"/>
          <w:bCs w:val="1"/>
          <w:i w:val="1"/>
          <w:iCs w:val="1"/>
          <w:color w:val="00497F"/>
          <w:vertAlign w:val="superscript"/>
        </w:rPr>
      </w:pPr>
      <w:r>
        <w:rPr>
          <w:rFonts w:ascii="Arial" w:cs="Arial" w:eastAsia="Arial" w:hAnsi="Arial"/>
          <w:sz w:val="16"/>
          <w:szCs w:val="16"/>
          <w:color w:val="auto"/>
        </w:rPr>
        <w:t>Operating expenses increased $3.8 million primarily driven by an increase in commission expenses due to the increase in sales from the used material program as well as increases in shipping and storage fees, professional fees and other operating expenses.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decreased $0.7 million due to a decrease in our proportionate share of unconsolidated entities’ net loss.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Net income increased $41.4 million primarily due to the changes noted above.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$42.9 million primarily due to the changes noted above.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497F"/>
        </w:rPr>
        <w:t>Corporate and Other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2,315</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7,148</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(6,238)</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4,895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8,415</w:t>
            </w:r>
          </w:p>
        </w:tc>
        <w:tc>
          <w:tcPr>
            <w:tcW w:w="0" w:type="dxa"/>
            <w:vAlign w:val="bottom"/>
          </w:tcPr>
          <w:p>
            <w:pPr>
              <w:spacing w:after="0"/>
              <w:rPr>
                <w:sz w:val="1"/>
                <w:szCs w:val="1"/>
                <w:color w:val="auto"/>
              </w:rPr>
            </w:pPr>
          </w:p>
        </w:tc>
      </w:tr>
      <w:tr>
        <w:trPr>
          <w:trHeight w:val="18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72,000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61,892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10,108</w:t>
            </w:r>
          </w:p>
        </w:tc>
        <w:tc>
          <w:tcPr>
            <w:tcW w:w="0" w:type="dxa"/>
            <w:vAlign w:val="bottom"/>
          </w:tcPr>
          <w:p>
            <w:pPr>
              <w:spacing w:after="0"/>
              <w:rPr>
                <w:sz w:val="1"/>
                <w:szCs w:val="1"/>
                <w:color w:val="auto"/>
              </w:rPr>
            </w:pPr>
          </w:p>
        </w:tc>
      </w:tr>
      <w:tr>
        <w:trPr>
          <w:trHeight w:val="226"/>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6"/>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(69,408)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(53,327)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(16,081)</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(69,408)</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(53,442)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(15,966)</w:t>
            </w:r>
          </w:p>
        </w:tc>
        <w:tc>
          <w:tcPr>
            <w:tcW w:w="0" w:type="dxa"/>
            <w:vAlign w:val="bottom"/>
          </w:tcPr>
          <w:p>
            <w:pPr>
              <w:spacing w:after="0"/>
              <w:rPr>
                <w:sz w:val="1"/>
                <w:szCs w:val="1"/>
                <w:color w:val="auto"/>
              </w:rPr>
            </w:pPr>
          </w:p>
        </w:tc>
      </w:tr>
      <w:tr>
        <w:trPr>
          <w:trHeight w:val="18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8,335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(77,743)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(60,233)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7900" w:type="dxa"/>
            <w:vAlign w:val="bottom"/>
          </w:tcPr>
          <w:p>
            <w:pPr>
              <w:spacing w:after="0"/>
              <w:rPr>
                <w:sz w:val="24"/>
                <w:szCs w:val="24"/>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(77,743)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(17,510)</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3,172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56,042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46,083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9,959</w:t>
            </w:r>
          </w:p>
        </w:tc>
        <w:tc>
          <w:tcPr>
            <w:tcW w:w="0" w:type="dxa"/>
            <w:vAlign w:val="bottom"/>
          </w:tcPr>
          <w:p>
            <w:pPr>
              <w:spacing w:after="0"/>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(10,983)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(7,277)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2024 and 2023</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Total revenues decreased $6.2 million primarily due to a decrease in the Offshore Energy business as one of our vessels was off-hire in 2024 compared to on-hire in 2023.</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0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Total expenses increased $10.1 million primarily due to higher (i) Interest expense, (ii) Acquisition and transaction expenses, (iii) Management fees and incentive allocation to affiliate, partially offset by lower (iv) Operating expenses.</w:t>
      </w:r>
    </w:p>
    <w:p>
      <w:pPr>
        <w:spacing w:after="0" w:line="50" w:lineRule="exact"/>
        <w:rPr>
          <w:sz w:val="20"/>
          <w:szCs w:val="20"/>
          <w:color w:val="auto"/>
        </w:rPr>
      </w:pPr>
    </w:p>
    <w:p>
      <w:pPr>
        <w:jc w:val="both"/>
        <w:ind w:left="620" w:hanging="307"/>
        <w:spacing w:after="0" w:line="232" w:lineRule="auto"/>
        <w:tabs>
          <w:tab w:leader="none" w:pos="616" w:val="left"/>
        </w:tabs>
        <w:numPr>
          <w:ilvl w:val="0"/>
          <w:numId w:val="14"/>
        </w:numPr>
        <w:rPr>
          <w:rFonts w:ascii="Arial" w:cs="Arial" w:eastAsia="Arial" w:hAnsi="Arial"/>
          <w:sz w:val="20"/>
          <w:szCs w:val="20"/>
          <w:b w:val="1"/>
          <w:bCs w:val="1"/>
          <w:i w:val="1"/>
          <w:iCs w:val="1"/>
          <w:color w:val="00497F"/>
          <w:vertAlign w:val="superscript"/>
        </w:rPr>
      </w:pPr>
      <w:r>
        <w:rPr>
          <w:rFonts w:ascii="Arial" w:cs="Arial" w:eastAsia="Arial" w:hAnsi="Arial"/>
          <w:sz w:val="16"/>
          <w:szCs w:val="16"/>
          <w:color w:val="auto"/>
        </w:rPr>
        <w:t>Interest expense increased $8.4 million, which reflects an increase in the average debt outstanding of approximately $417.1 million primarily due to an increase in the (i) Senior Notes due 2030 of $496.8 million, which were issued in November 2023, partially offset by a decrease in the (ii) Revolving Credit Facility of $78.3 million.</w:t>
      </w:r>
    </w:p>
    <w:p>
      <w:pPr>
        <w:spacing w:after="0" w:line="80" w:lineRule="exact"/>
        <w:rPr>
          <w:rFonts w:ascii="Arial" w:cs="Arial" w:eastAsia="Arial" w:hAnsi="Arial"/>
          <w:sz w:val="20"/>
          <w:szCs w:val="20"/>
          <w:b w:val="1"/>
          <w:bCs w:val="1"/>
          <w:i w:val="1"/>
          <w:iCs w:val="1"/>
          <w:color w:val="00497F"/>
          <w:vertAlign w:val="superscript"/>
        </w:rPr>
      </w:pPr>
    </w:p>
    <w:p>
      <w:pPr>
        <w:ind w:left="620" w:hanging="30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Acquisition and transaction expense increased $2.1 million primarily due to higher professional fees related to strategic transactions.</w:t>
      </w:r>
    </w:p>
    <w:p>
      <w:pPr>
        <w:spacing w:after="0" w:line="113" w:lineRule="exact"/>
        <w:rPr>
          <w:rFonts w:ascii="Arial" w:cs="Arial" w:eastAsia="Arial" w:hAnsi="Arial"/>
          <w:sz w:val="16"/>
          <w:szCs w:val="16"/>
          <w:color w:val="auto"/>
        </w:rPr>
      </w:pPr>
    </w:p>
    <w:p>
      <w:pPr>
        <w:ind w:left="620" w:hanging="307"/>
        <w:spacing w:after="0" w:line="262" w:lineRule="auto"/>
        <w:tabs>
          <w:tab w:leader="none" w:pos="6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increased $1.9 million primarily due to an increase in incentive fee due to the Manager driven by an increase in net income.</w:t>
      </w:r>
    </w:p>
    <w:p>
      <w:pPr>
        <w:spacing w:after="0" w:line="76" w:lineRule="exact"/>
        <w:rPr>
          <w:rFonts w:ascii="Arial" w:cs="Arial" w:eastAsia="Arial" w:hAnsi="Arial"/>
          <w:sz w:val="16"/>
          <w:szCs w:val="16"/>
          <w:color w:val="auto"/>
        </w:rPr>
      </w:pPr>
    </w:p>
    <w:p>
      <w:pPr>
        <w:ind w:left="620" w:hanging="307"/>
        <w:spacing w:after="0" w:line="262" w:lineRule="auto"/>
        <w:tabs>
          <w:tab w:leader="none" w:pos="6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Operating expenses decreased $2.2 million primarily due to decreases in the Offshore Energy business in crew expenses, project costs and other operating expenses as one of our vessels was off-hire in 2024.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increased $0.3 million which primarily reflects an increase in bank fees and expenses.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Net loss increased $16.0 million primarily due to the changes noted above.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$3.7 million primarily due to the changes noted above.</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0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various environments. This includes limiting discretionary spending across the organization and re-prioritizing our investments as necessary.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aircraft and engines, (ii) dividends to our ordinary and preferred shareholders,</w:t>
      </w:r>
    </w:p>
    <w:p>
      <w:pPr>
        <w:spacing w:after="0" w:line="20" w:lineRule="exact"/>
        <w:rPr>
          <w:sz w:val="20"/>
          <w:szCs w:val="20"/>
          <w:color w:val="auto"/>
        </w:rPr>
      </w:pPr>
    </w:p>
    <w:p>
      <w:pPr>
        <w:ind w:left="260" w:hanging="257"/>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w:t>
      </w:r>
    </w:p>
    <w:p>
      <w:pPr>
        <w:spacing w:after="0" w:line="89" w:lineRule="exact"/>
        <w:rPr>
          <w:rFonts w:ascii="Arial" w:cs="Arial" w:eastAsia="Arial" w:hAnsi="Arial"/>
          <w:sz w:val="16"/>
          <w:szCs w:val="16"/>
          <w:color w:val="auto"/>
        </w:rPr>
      </w:pPr>
    </w:p>
    <w:p>
      <w:pPr>
        <w:ind w:left="620" w:hanging="307"/>
        <w:spacing w:after="0" w:line="262" w:lineRule="auto"/>
        <w:tabs>
          <w:tab w:leader="none" w:pos="609" w:val="left"/>
        </w:tabs>
        <w:numPr>
          <w:ilvl w:val="1"/>
          <w:numId w:val="15"/>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$303.0 million and $167.0 million during the three months ended March 31, 2024 and 2023, respectively.</w:t>
      </w:r>
    </w:p>
    <w:p>
      <w:pPr>
        <w:spacing w:after="0" w:line="76" w:lineRule="exact"/>
        <w:rPr>
          <w:rFonts w:ascii="Arial" w:cs="Arial" w:eastAsia="Arial" w:hAnsi="Arial"/>
          <w:sz w:val="16"/>
          <w:szCs w:val="16"/>
          <w:color w:val="auto"/>
        </w:rPr>
      </w:pPr>
    </w:p>
    <w:p>
      <w:pPr>
        <w:ind w:left="620" w:hanging="307"/>
        <w:spacing w:after="0" w:line="262" w:lineRule="auto"/>
        <w:tabs>
          <w:tab w:leader="none" w:pos="60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Distributions to shareholders, including cash dividends, were $38.4 million and $36.7 million during the three months ended March 31, 2024 and 2023, respectively.</w:t>
      </w:r>
    </w:p>
    <w:p>
      <w:pPr>
        <w:spacing w:after="0" w:line="76" w:lineRule="exact"/>
        <w:rPr>
          <w:rFonts w:ascii="Arial" w:cs="Arial" w:eastAsia="Arial" w:hAnsi="Arial"/>
          <w:sz w:val="16"/>
          <w:szCs w:val="16"/>
          <w:color w:val="auto"/>
        </w:rPr>
      </w:pPr>
    </w:p>
    <w:p>
      <w:pPr>
        <w:ind w:left="620" w:hanging="307"/>
        <w:spacing w:after="0" w:line="262" w:lineRule="auto"/>
        <w:tabs>
          <w:tab w:leader="none" w:pos="609" w:val="left"/>
        </w:tabs>
        <w:numPr>
          <w:ilvl w:val="1"/>
          <w:numId w:val="15"/>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aviation assets (including maintenance reserve collections) net of operating expenses, (ii) proceeds from borrowings or the issuance of securities and (iii) proceeds from asset sales.</w:t>
      </w:r>
    </w:p>
    <w:p>
      <w:pPr>
        <w:spacing w:after="0" w:line="50" w:lineRule="exact"/>
        <w:rPr>
          <w:sz w:val="20"/>
          <w:szCs w:val="20"/>
          <w:color w:val="auto"/>
        </w:rPr>
      </w:pPr>
    </w:p>
    <w:p>
      <w:pPr>
        <w:ind w:left="620" w:hanging="307"/>
        <w:spacing w:after="0" w:line="279" w:lineRule="auto"/>
        <w:tabs>
          <w:tab w:leader="none" w:pos="6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$9.4 million and $48.8 million during the three months ended March 31, 2024 and 2023, respectively.</w:t>
      </w:r>
    </w:p>
    <w:p>
      <w:pPr>
        <w:spacing w:after="0" w:line="50" w:lineRule="exact"/>
        <w:rPr>
          <w:rFonts w:ascii="Arial" w:cs="Arial" w:eastAsia="Arial" w:hAnsi="Arial"/>
          <w:sz w:val="16"/>
          <w:szCs w:val="16"/>
          <w:color w:val="auto"/>
        </w:rPr>
      </w:pPr>
    </w:p>
    <w:p>
      <w:pPr>
        <w:jc w:val="both"/>
        <w:ind w:left="620" w:hanging="307"/>
        <w:spacing w:after="0" w:line="257" w:lineRule="auto"/>
        <w:tabs>
          <w:tab w:leader="none" w:pos="6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three months ended March 31, 2024, additional borrowings and total principal repayments in connection with the Revolving Credit Facility were $210.0 million and $35.0 million, respectively. During the three months ended March 31, 2023, additional borrowings and total principal repayments in connection with the Revolving Credit Facility were $145.0 million and $220.0 million, respectively.</w:t>
      </w:r>
    </w:p>
    <w:p>
      <w:pPr>
        <w:spacing w:after="0" w:line="67" w:lineRule="exact"/>
        <w:rPr>
          <w:rFonts w:ascii="Arial" w:cs="Arial" w:eastAsia="Arial" w:hAnsi="Arial"/>
          <w:sz w:val="16"/>
          <w:szCs w:val="16"/>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Proceeds from the sale of assets were $128.4 million and $153.7 million during the three months ended March 31, 2024 and 2023, respectively.</w:t>
      </w:r>
    </w:p>
    <w:p>
      <w:pPr>
        <w:spacing w:after="0" w:line="100" w:lineRule="exact"/>
        <w:rPr>
          <w:rFonts w:ascii="Arial" w:cs="Arial" w:eastAsia="Arial" w:hAnsi="Arial"/>
          <w:sz w:val="16"/>
          <w:szCs w:val="16"/>
          <w:color w:val="auto"/>
        </w:rPr>
      </w:pPr>
    </w:p>
    <w:p>
      <w:pPr>
        <w:ind w:left="620" w:hanging="307"/>
        <w:spacing w:after="0" w:line="279" w:lineRule="auto"/>
        <w:tabs>
          <w:tab w:leader="none" w:pos="6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$61.7 million during the three months ended March 31, 2023.</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currently evaluating several potential transactions and related financings, including, but not limited to, certain additional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00497F"/>
        </w:rPr>
        <w:t>Historical Cash Flow</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three months ended March 31, 2024 and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three months ended March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r>
      <w:tr>
        <w:trPr>
          <w:trHeight w:val="17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3"/>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360" w:type="dxa"/>
            <w:vAlign w:val="bottom"/>
          </w:tcPr>
          <w:p>
            <w:pPr>
              <w:jc w:val="right"/>
              <w:ind w:right="191"/>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6"/>
                <w:szCs w:val="16"/>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591"/>
              <w:spacing w:after="0"/>
              <w:rPr>
                <w:sz w:val="20"/>
                <w:szCs w:val="20"/>
                <w:color w:val="auto"/>
              </w:rPr>
            </w:pPr>
            <w:r>
              <w:rPr>
                <w:rFonts w:ascii="Arial" w:cs="Arial" w:eastAsia="Arial" w:hAnsi="Arial"/>
                <w:sz w:val="14"/>
                <w:szCs w:val="14"/>
                <w:color w:val="auto"/>
                <w:w w:val="97"/>
              </w:rPr>
              <w:t>38,697</w:t>
            </w:r>
          </w:p>
        </w:tc>
      </w:tr>
      <w:tr>
        <w:trPr>
          <w:trHeight w:val="19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(169,213)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left="571"/>
              <w:spacing w:after="0"/>
              <w:rPr>
                <w:sz w:val="20"/>
                <w:szCs w:val="20"/>
                <w:color w:val="auto"/>
              </w:rPr>
            </w:pPr>
            <w:r>
              <w:rPr>
                <w:rFonts w:ascii="Arial" w:cs="Arial" w:eastAsia="Arial" w:hAnsi="Arial"/>
                <w:sz w:val="14"/>
                <w:szCs w:val="14"/>
                <w:color w:val="auto"/>
                <w:w w:val="99"/>
              </w:rPr>
              <w:t>(12,323)</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144,026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center"/>
              <w:ind w:left="571"/>
              <w:spacing w:after="0"/>
              <w:rPr>
                <w:sz w:val="20"/>
                <w:szCs w:val="20"/>
                <w:color w:val="auto"/>
              </w:rPr>
            </w:pPr>
            <w:r>
              <w:rPr>
                <w:rFonts w:ascii="Arial" w:cs="Arial" w:eastAsia="Arial" w:hAnsi="Arial"/>
                <w:sz w:val="14"/>
                <w:szCs w:val="14"/>
                <w:color w:val="auto"/>
                <w:w w:val="99"/>
              </w:rPr>
              <w:t>(38,445)</w:t>
            </w:r>
          </w:p>
        </w:tc>
      </w:tr>
    </w:tbl>
    <w:p>
      <w:pPr>
        <w:spacing w:after="0" w:line="300"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Net cash provided by operating activities decreased $39.0 million, which primarily reflects certain adjustments to reconcile net income to cash provided by operating activities including (i) Changes in net working capital of $44.7 million and an increase in (ii) Gain on sale of assets, net of $26.4 million, partially offset by an increase in (iii) Depreciation and amortization of $9.0 million, a decrease in (iv) Security deposits and maintenance claims included in earnings of $7.4 million, and increases in (v) net income of $10.2 million, (vi) Change in deferred income taxes of $2.9 million, and (vii) Change in fair value of guarantees of $1.5 million.</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cash used in investing activities increased $156.9 million, primarily due to (i) an increase in Acquisitions of leasing equipment of $149.5 million, (ii) lower Proceeds from the sale of leasing equipment of $25.3 million, (iii) higher Purchase deposits for acquisitions of $15.6 million, partially offset by (iv) a decrease in Investment in unconsolidated entities of $19.5 million and (v) a decrease in Acquisitions of lease intangibles of $9.5 million.</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provided by financing activities increased $182.5 million, primarily due to (i) a decrease in Repayment of debt of $185.0 million and (ii) an increase in Proceeds from debt of $65.0 million, partially offset by (iii) a decrease in proceeds from the issuance of preferred shares, net of underwriter’s discount and issuance costs of $61.7 million and (iv) and increase in Release of maintenance deposits of $3.1 million.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color w:val="00497F"/>
        </w:rPr>
        <w:t>—</w:t>
      </w:r>
      <w:r>
        <w:rPr>
          <w:rFonts w:ascii="Arial" w:cs="Arial" w:eastAsia="Arial" w:hAnsi="Arial"/>
          <w:sz w:val="16"/>
          <w:szCs w:val="16"/>
          <w:color w:val="000000"/>
        </w:rPr>
        <w:t>As of March 31, 2024, we had outstanding principal and interest payment obligations of $2.7 billion and $0.7 billion, respectively, of which only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payments of $191.6 million are due in the next twelve months. See Note 7 to the consolidated financial statements for additional information about our debt obligations.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color w:val="000000"/>
        </w:rPr>
        <w:t>—As of March 31, 2024, we had outstanding operating and finance lease obligations of $2.2 million, of which $0.9 million is due in the next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twelve months.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color w:val="000000"/>
        </w:rPr>
        <w:t>—In addition to our contractual obligations, we pay quarterly cash dividends on our ordinary shares and preferred shares, which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subject to change at the discretion of our Board of Directors. During the last twelve months, we declared cash dividends of $120.0 million and $33.3 million on our ordinary shares and preferred shares, respectively.</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our critical accounting estimates described in our Annual Report on Form 10-K for the year ended December 31, 2023.</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3. Quantitative and Qualitative Disclosures About Market Risk</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the remaining USD LIBOR settings after June 30, 2023, other than certain USD LIBOR settings that are expected to continue to be published under a synthetic methodology until September 2024. In anticipation of LIBOR’s phase out, we amended our revolving credit facility to incorporate SOFR as the successor rate to LIBOR. We continue to monitor related reform proposals and evaluate the related risks;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March 31, 2024, assuming we do not hedge our exposure to interest rate fluctuations related to our outstanding floating rate debt, a hypothetical 100-basis point increase/decrease in our variable interest rate on our borrowings would result in an increase of approximately $1.8 million or a decrease of approximately $1.8 million in interest expense over the next 12 months.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006EBF"/>
        </w:rPr>
        <w:t>PART II—OTHER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1. Legal Proceedings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1A. Risk Factors</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the Company’s shares. However, these categories do overlap and should not be considered exclusive.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Instability in geographies where we have assets or where we derive revenue could have a material adverse effect on our business, customers, operations and financial results.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In late February 2022, Russian military forces launched significant military action against Ukraine. The conflict remains ongoing and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86"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0" w:name="page41"/>
    <w:bookmarkEnd w:id="40"/>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restraints;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airline industry is heavily regulated, and if we fail to comply with applicable requirements, our results of operations could suffer.</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retirement or prolonged grounding of commercial aircraft could reduce our revenues and the value of any related inventory.</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1" w:name="page42"/>
    <w:bookmarkEnd w:id="41"/>
    <w:p>
      <w:pPr>
        <w:jc w:val="both"/>
        <w:spacing w:after="0" w:line="246"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spacing w:after="0" w:line="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81"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obtain certain components from suppliers could harm our business.</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6"/>
          <w:szCs w:val="16"/>
          <w:color w:val="auto"/>
        </w:rPr>
        <w:t>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and demand for transportation services.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4" w:name="page45"/>
    <w:bookmarkEnd w:id="44"/>
    <w:p>
      <w:pPr>
        <w:jc w:val="both"/>
        <w:spacing w:after="0" w:line="272"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24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3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2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63"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5" w:name="page46"/>
    <w:bookmarkEnd w:id="45"/>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aviation sectors which could result in additional risks and uncertainties for our business and unexpected regulatory compliance costs.</w:t>
      </w:r>
    </w:p>
    <w:p>
      <w:pPr>
        <w:spacing w:after="0" w:line="4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i w:val="1"/>
          <w:iCs w:val="1"/>
          <w:color w:val="auto"/>
        </w:rPr>
        <w:t>The agreements governing our indebtedness place restrictions on us and our subsidiaries, reducing operational flexibility and creating default risks.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agreements governing our indebtedness, including, but not limited to, the indentures governing our senior unsecured notes due 2027, 2028, 2030 and 2031 (“Senior Notes”) and the second amended and restated revolving credit facility entered into on September 20, 2022, as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68"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Terrorist attacks or other hostilities could negatively impact our operations and our profitability and may expose us to liability and reputational damage.</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Projects in the aerospace products and services sector are exposed to a variety of unplanned interruptions which could cause our results of operations to suffer.</w:t>
      </w:r>
    </w:p>
    <w:p>
      <w:pPr>
        <w:spacing w:after="0" w:line="3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76"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discontinuation of the LIBOR benchmark interest rate may have an impact on our business.</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the remaining USD LIBOR settings after June 30, 2023, other than certain USD LIBOR settings that are expected to continue to be published under a synthetic methodology until September 2024.</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8" w:name="page49"/>
    <w:bookmarkEnd w:id="48"/>
    <w:p>
      <w:pPr>
        <w:jc w:val="both"/>
        <w:spacing w:after="0" w:line="251"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5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7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9" w:name="page50"/>
    <w:bookmarkEnd w:id="49"/>
    <w:p>
      <w:pPr>
        <w:jc w:val="both"/>
        <w:spacing w:after="0" w:line="284" w:lineRule="auto"/>
        <w:rPr>
          <w:sz w:val="20"/>
          <w:szCs w:val="20"/>
          <w:color w:val="auto"/>
        </w:rPr>
      </w:pPr>
      <w:r>
        <w:rPr>
          <w:rFonts w:ascii="Arial" w:cs="Arial" w:eastAsia="Arial" w:hAnsi="Arial"/>
          <w:sz w:val="14"/>
          <w:szCs w:val="14"/>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Our officers and other individuals who perform services for us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payments distributed to Master GP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May 22, 2023, Fortress and Mubadala announced that they have entered into definitive agreements pursuant to which, among other things, certain members of Fortress management and affiliates of Mubadala will acquire 100% of the equity of Fortress that is currently indirectly held by SoftBank. While Fortress’s senior investment professionals are expected to remain at Fortress, including those individuals who perform services for us, there can be no assurance that the transaction will not have an adverse impact on us or our relationship with our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Management Agreement and the Services and Profit Sharing Agreement and our Articles were negotiated among affiliated parties, and their terms, including fees and other amounts payable, may not be as favorable to us as if they had been negotiated with an unaffiliated third-party.</w:t>
      </w:r>
    </w:p>
    <w:p>
      <w:pPr>
        <w:spacing w:after="0" w:line="6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invest in aviation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some of our directors and officers are also directors or officers of FTAI Infrastructure, Inc. (“FTAI Infrastructure”). Although we have the same Manager, we may compete with entities affiliated with our Manager or Fortress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aviation assets. Fortress funds generally have a fee structure similar to ours, but the fees actually paid will vary depending on the size, terms and performance of each fund.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0" w:name="page51"/>
    <w:bookmarkEnd w:id="50"/>
    <w:p>
      <w:pPr>
        <w:jc w:val="both"/>
        <w:spacing w:after="0" w:line="285" w:lineRule="auto"/>
        <w:rPr>
          <w:sz w:val="20"/>
          <w:szCs w:val="20"/>
          <w:color w:val="auto"/>
        </w:rPr>
      </w:pPr>
      <w:r>
        <w:rPr>
          <w:rFonts w:ascii="Arial" w:cs="Arial" w:eastAsia="Arial" w:hAnsi="Arial"/>
          <w:sz w:val="14"/>
          <w:szCs w:val="14"/>
          <w:color w:val="auto"/>
        </w:rPr>
        <w:t>Our Management Agreement generally does not limit or restrict our Manager or its affiliates from engaging in any business or managing other operating companies similar to us or pooled investment vehicles that invest in assets that meet our asset acquisition objectives. Our Manager has also engaged in additional transportation and infrastructure related management with FTAI Infrastructure in our recent spin-off of our infrastructure assets, and may be involved in other investment opportunities in the future, any of which may compete with us for investments or result in a change in our current investment strategy. In addition, our Articles provide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Aviation Ltd.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Master GP’s compensation arrangements may have unintended consequences for us. We have agreed to pay our Manager a management fee and Master GP is entitled to receive incentive payments from the Company or its subsidiaries that are each based on different measures of performance. Consequently, there may be conflicts in the incentives of our Manager to generate attractive risk-adjusted returns for us. In addition, because Master GP and our Manager are both affiliates of Fortress, the income incentive payment paid to Master GP may cause our Manager to place undue emphasis on the maximization of earnings, including through the use of leverage, at the expense of other objectives, such as preservation of capital, to achieve higher incentive payments. Investments with higher yield potential are generally riskier or more speculative than investments with lower yield potential. This could result in increased risk to the value of our portfolio of assets and our ordinary shares.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ordinary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asset categories or the financing risks associated with such assets could adversely affect our results of operations and our financial condition.</w:t>
      </w:r>
    </w:p>
    <w:p>
      <w:pPr>
        <w:spacing w:after="0" w:line="1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3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expect the Company to be a passive foreign investment company (“PFIC”) and it could be a controlled foreign corporation (“CFC”) for U.S. federal income tax purposes, which may result in adverse tax considerations for U.S. shareholders.</w:t>
      </w:r>
    </w:p>
    <w:p>
      <w:pPr>
        <w:spacing w:after="0" w:line="3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 </w:t>
      </w:r>
      <w:r>
        <w:rPr>
          <w:rFonts w:ascii="Arial" w:cs="Arial" w:eastAsia="Arial" w:hAnsi="Arial"/>
          <w:sz w:val="16"/>
          <w:szCs w:val="16"/>
          <w:i w:val="1"/>
          <w:iCs w:val="1"/>
          <w:color w:val="auto"/>
        </w:rPr>
        <w:t>“U.S. Federal Income Tax Considerations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for U.S. Holders—PFIC Status and Related Tax Considerations.”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Investors should consult their tax advisors regarding the potential impact of these rules on their investment in us.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2" w:name="page53"/>
    <w:bookmarkEnd w:id="52"/>
    <w:p>
      <w:pPr>
        <w:jc w:val="both"/>
        <w:spacing w:after="0" w:line="262" w:lineRule="auto"/>
        <w:rPr>
          <w:sz w:val="20"/>
          <w:szCs w:val="20"/>
          <w:color w:val="auto"/>
        </w:rPr>
      </w:pPr>
      <w:r>
        <w:rPr>
          <w:rFonts w:ascii="Arial" w:cs="Arial" w:eastAsia="Arial" w:hAnsi="Arial"/>
          <w:sz w:val="16"/>
          <w:szCs w:val="16"/>
          <w:b w:val="1"/>
          <w:bCs w:val="1"/>
          <w:i w:val="1"/>
          <w:iCs w:val="1"/>
          <w:color w:val="auto"/>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connected earnings and profits at a rate of 30%. The imposition of such taxes could adversely affect our business and would result in decreased cash available for distribution to our shareholders.</w:t>
      </w:r>
    </w:p>
    <w:p>
      <w:pPr>
        <w:spacing w:after="0" w:line="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or our subsidiaries may become subject to increased and/or unanticipated tax liabilities that may have a material adverse effect on our results of operations.</w:t>
      </w:r>
    </w:p>
    <w:p>
      <w:pPr>
        <w:spacing w:after="0" w:line="3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Numerous countries, including European Union member states, have enacted or are expected to enact minimum tax legislation to be effective as early as January 1, 2024, with additional elements of the minimum tax expected to be effective on or after January 1, 2025. Additionally, On December 27, 2023, Bermuda enacted a corporate tax regime with a 15% rate (the “Bermuda CIT”) and with requirements similar to those of the OECD’s minimum tax proposal. The Bermuda CIT will be effective for tax years beginning on or after January 1, 2025 (see footnote 10 to our consolidated financial statements entitled “Income Taxes” included elsewhere in this Quarterly Report). As a result of these developments, the tax laws of certain countries in which we and our affiliates do business are expected to change (and could change on a retroactive basis) and certain of such changes are expected to increase our liabilities for taxes (and possibly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The market price and trading volume of our ordinary and preferred shares may be volatile, which could result in rapid and substantial losses for our shareholders.</w:t>
      </w:r>
    </w:p>
    <w:p>
      <w:pPr>
        <w:spacing w:after="0" w:line="35"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spacing w:after="0" w:line="56"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failure of securities analysts to cover our ordinary shares;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61"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48"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Your percentage ownership in FTAI Aviation Ltd. may be diluted in the future because of equity awards granted and may be granted to our Manager pursuant to the Management Agreement and the Incentive Plan. Since 2015, we granted our Manager an option to acquire 3,903,010 ordinary shares in connection with equity offerings. In the future, upon the successful completion of additional offerings of our ordinary shares or other equity securities (including securities issued as consideration in an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4" w:name="page55"/>
    <w:bookmarkEnd w:id="54"/>
    <w:p>
      <w:pPr>
        <w:jc w:val="both"/>
        <w:spacing w:after="0" w:line="248" w:lineRule="auto"/>
        <w:rPr>
          <w:sz w:val="20"/>
          <w:szCs w:val="20"/>
          <w:color w:val="auto"/>
        </w:rPr>
      </w:pPr>
      <w:r>
        <w:rPr>
          <w:rFonts w:ascii="Arial" w:cs="Arial" w:eastAsia="Arial" w:hAnsi="Arial"/>
          <w:sz w:val="16"/>
          <w:szCs w:val="16"/>
          <w:color w:val="auto"/>
        </w:rPr>
        <w:t>acquisition), we will grant to our Manager options to purchase ordinary shares in an amount equal to 10% of the number of ordinary shares being sold in such offerings (or if the issuance relates to equity securities other than our ordinary shares, options to purchase a number of ordinary shares equal to 10% of the gross capital raised in the equity issuance divided by the fair market value of an ordinary share as of the date of the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and any such offering or the exercise of the option in connection with such offering would cause dilution.</w:t>
      </w:r>
    </w:p>
    <w:p>
      <w:pPr>
        <w:spacing w:after="0" w:line="7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ordinary shares for issuance under the Incentive Plan. As of March 31, 2024, rights relating to 616,177 of our ordinary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ordinary shares could adversely affect the market price of our ordinary shares.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5" w:name="page56"/>
    <w:bookmarkEnd w:id="55"/>
    <w:p>
      <w:pPr>
        <w:jc w:val="both"/>
        <w:spacing w:after="0" w:line="295" w:lineRule="auto"/>
        <w:rPr>
          <w:sz w:val="20"/>
          <w:szCs w:val="20"/>
          <w:color w:val="auto"/>
        </w:rPr>
      </w:pPr>
      <w:r>
        <w:rPr>
          <w:rFonts w:ascii="Arial" w:cs="Arial" w:eastAsia="Arial" w:hAnsi="Arial"/>
          <w:sz w:val="14"/>
          <w:szCs w:val="14"/>
          <w:color w:val="auto"/>
        </w:rPr>
        <w:t>the future be, subject to certain covenants included in its financing agreements that limit its ability to make distributions to us. In addition, our existing indebtedness does, and our future indebtedness may, limit our ability to pay dividends on our ordinary and preferred shares. Moreover, pursuant to the Services and Profit Sharing Agreement, Master GP is entitled to receive incentive payments before any amounts are distributed by us based both on our consolidated net income and capital gains income in each fiscal quarter and for each fiscal year, respectively. Furthermore, the terms of our preferred shares generally prevent us from declaring or paying dividends on or repurchasing our ordinary shares or other junior capital unless all accrued distributions on such preferred shares have been paid in full.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Articles could delay or prevent a change in control.</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ordinary shares, our share price and trading volume could decline.</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206375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006EBF"/>
        </w:rPr>
        <w:t>Item 6. Exhibits</w:t>
      </w:r>
    </w:p>
    <w:p>
      <w:pPr>
        <w:spacing w:after="0" w:line="59" w:lineRule="exact"/>
        <w:rPr>
          <w:sz w:val="20"/>
          <w:szCs w:val="20"/>
          <w:color w:val="auto"/>
        </w:rPr>
      </w:pPr>
    </w:p>
    <w:p>
      <w:pPr>
        <w:ind w:left="60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080885" cy="213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0885" cy="213360"/>
                    </a:xfrm>
                    <a:prstGeom prst="rect">
                      <a:avLst/>
                    </a:prstGeom>
                    <a:noFill/>
                  </pic:spPr>
                </pic:pic>
              </a:graphicData>
            </a:graphic>
          </wp:anchor>
        </w:drawing>
      </w:r>
    </w:p>
    <w:p>
      <w:pPr>
        <w:spacing w:after="0" w:line="28" w:lineRule="exact"/>
        <w:rPr>
          <w:sz w:val="20"/>
          <w:szCs w:val="20"/>
          <w:color w:val="auto"/>
        </w:rPr>
      </w:pPr>
    </w:p>
    <w:p>
      <w:pPr>
        <w:ind w:left="1460" w:hanging="328"/>
        <w:spacing w:after="0"/>
        <w:tabs>
          <w:tab w:leader="none" w:pos="1440" w:val="left"/>
        </w:tabs>
        <w:rPr>
          <w:rFonts w:ascii="Arial" w:cs="Arial" w:eastAsia="Arial" w:hAnsi="Arial"/>
          <w:sz w:val="14"/>
          <w:szCs w:val="14"/>
          <w:color w:val="0000FF"/>
        </w:rPr>
      </w:pPr>
      <w:hyperlink r:id="rId69">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August 12, 2022, by and among, FTAI, the Company and FTAI Aviation Merger Sub LLC (incorporated by reference to Annex A to FTAI’s Registration Statement on Form S-4, filed on October 11, 2022).</w:t>
      </w:r>
    </w:p>
    <w:p>
      <w:pPr>
        <w:ind w:left="1120"/>
        <w:spacing w:after="0"/>
        <w:tabs>
          <w:tab w:leader="none" w:pos="1440" w:val="left"/>
        </w:tabs>
        <w:rPr>
          <w:rFonts w:ascii="Arial" w:cs="Arial" w:eastAsia="Arial" w:hAnsi="Arial"/>
          <w:sz w:val="14"/>
          <w:szCs w:val="14"/>
          <w:color w:val="0000FF"/>
        </w:rPr>
      </w:pPr>
      <w:hyperlink r:id="rId70">
        <w:r>
          <w:rPr>
            <w:rFonts w:ascii="Arial" w:cs="Arial" w:eastAsia="Arial" w:hAnsi="Arial"/>
            <w:sz w:val="14"/>
            <w:szCs w:val="14"/>
            <w:u w:val="single" w:color="auto"/>
            <w:color w:val="0000FF"/>
          </w:rPr>
          <w:t>2.2</w:t>
        </w:r>
      </w:hyperlink>
      <w:r>
        <w:rPr>
          <w:rFonts w:ascii="Arial" w:cs="Arial" w:eastAsia="Arial" w:hAnsi="Arial"/>
          <w:sz w:val="14"/>
          <w:szCs w:val="14"/>
          <w:color w:val="0000FF"/>
        </w:rPr>
        <w:tab/>
      </w:r>
      <w:r>
        <w:rPr>
          <w:rFonts w:ascii="Arial" w:cs="Arial" w:eastAsia="Arial" w:hAnsi="Arial"/>
          <w:sz w:val="13"/>
          <w:szCs w:val="13"/>
          <w:color w:val="0000FF"/>
        </w:rPr>
        <w:t>Separation and Distribution Agreement, dated as of August 1, 2022, between FTAI Infrastructure Inc. and the Company (incorporated by reference to Exhibit</w:t>
      </w:r>
    </w:p>
    <w:p>
      <w:pPr>
        <w:ind w:left="1460"/>
        <w:spacing w:after="0"/>
        <w:rPr>
          <w:sz w:val="20"/>
          <w:szCs w:val="20"/>
          <w:color w:val="auto"/>
        </w:rPr>
      </w:pPr>
      <w:r>
        <w:rPr>
          <w:rFonts w:ascii="Arial" w:cs="Arial" w:eastAsia="Arial" w:hAnsi="Arial"/>
          <w:sz w:val="14"/>
          <w:szCs w:val="14"/>
          <w:color w:val="auto"/>
        </w:rPr>
        <w:t>2.1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080885" cy="2051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460" w:right="140" w:hanging="328"/>
        <w:spacing w:after="0"/>
        <w:tabs>
          <w:tab w:leader="none" w:pos="1440" w:val="left"/>
        </w:tabs>
        <w:rPr>
          <w:rFonts w:ascii="Arial" w:cs="Arial" w:eastAsia="Arial" w:hAnsi="Arial"/>
          <w:sz w:val="14"/>
          <w:szCs w:val="14"/>
          <w:color w:val="0000FF"/>
        </w:rPr>
      </w:pPr>
      <w:hyperlink r:id="rId72">
        <w:r>
          <w:rPr>
            <w:rFonts w:ascii="Arial" w:cs="Arial" w:eastAsia="Arial" w:hAnsi="Arial"/>
            <w:sz w:val="14"/>
            <w:szCs w:val="14"/>
            <w:u w:val="single" w:color="auto"/>
            <w:color w:val="0000FF"/>
          </w:rPr>
          <w:t>3.1</w:t>
        </w:r>
      </w:hyperlink>
      <w:r>
        <w:rPr>
          <w:rFonts w:ascii="Arial" w:cs="Arial" w:eastAsia="Arial" w:hAnsi="Arial"/>
          <w:sz w:val="14"/>
          <w:szCs w:val="14"/>
          <w:color w:val="0000FF"/>
        </w:rPr>
        <w:tab/>
        <w:t>Amended and Restated Memorandum and Articles of Association of the Company (incorporated by reference to Exhibit 3.1 of the Company’s Current Report on Form 8-K, filed on November 14, 2022).</w:t>
      </w:r>
    </w:p>
    <w:p>
      <w:pPr>
        <w:spacing w:after="0" w:line="1" w:lineRule="exact"/>
        <w:rPr>
          <w:sz w:val="20"/>
          <w:szCs w:val="20"/>
          <w:color w:val="auto"/>
        </w:rPr>
      </w:pPr>
    </w:p>
    <w:p>
      <w:pPr>
        <w:ind w:left="1460" w:right="180" w:hanging="328"/>
        <w:spacing w:after="0"/>
        <w:tabs>
          <w:tab w:leader="none" w:pos="1440" w:val="left"/>
        </w:tabs>
        <w:rPr>
          <w:rFonts w:ascii="Arial" w:cs="Arial" w:eastAsia="Arial" w:hAnsi="Arial"/>
          <w:sz w:val="14"/>
          <w:szCs w:val="14"/>
          <w:color w:val="0000FF"/>
        </w:rPr>
      </w:pPr>
      <w:hyperlink r:id="rId72">
        <w:r>
          <w:rPr>
            <w:rFonts w:ascii="Arial" w:cs="Arial" w:eastAsia="Arial" w:hAnsi="Arial"/>
            <w:sz w:val="14"/>
            <w:szCs w:val="14"/>
            <w:u w:val="single" w:color="auto"/>
            <w:color w:val="0000FF"/>
          </w:rPr>
          <w:t>3.2</w:t>
        </w:r>
      </w:hyperlink>
      <w:r>
        <w:rPr>
          <w:rFonts w:ascii="Arial" w:cs="Arial" w:eastAsia="Arial" w:hAnsi="Arial"/>
          <w:sz w:val="14"/>
          <w:szCs w:val="14"/>
          <w:color w:val="0000FF"/>
        </w:rPr>
        <w:tab/>
        <w:t>Share Designation with respect to the 8.25% Fixed-to-Floating Series A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080885" cy="2051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460" w:right="180" w:hanging="328"/>
        <w:spacing w:after="0"/>
        <w:tabs>
          <w:tab w:leader="none" w:pos="1440" w:val="left"/>
        </w:tabs>
        <w:rPr>
          <w:rFonts w:ascii="Arial" w:cs="Arial" w:eastAsia="Arial" w:hAnsi="Arial"/>
          <w:sz w:val="14"/>
          <w:szCs w:val="14"/>
          <w:color w:val="0000FF"/>
        </w:rPr>
      </w:pPr>
      <w:hyperlink r:id="rId72">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8.00% Fixed-to-Floating Series B Cumulative Perpetual Redeemable Preferred Shares (included as part of Exhibit 3.1 hereto).</w:t>
      </w:r>
    </w:p>
    <w:p>
      <w:pPr>
        <w:spacing w:after="0" w:line="1" w:lineRule="exact"/>
        <w:rPr>
          <w:sz w:val="20"/>
          <w:szCs w:val="20"/>
          <w:color w:val="auto"/>
        </w:rPr>
      </w:pPr>
    </w:p>
    <w:p>
      <w:pPr>
        <w:ind w:left="1460" w:right="140" w:hanging="328"/>
        <w:spacing w:after="0"/>
        <w:tabs>
          <w:tab w:leader="none" w:pos="1440" w:val="left"/>
        </w:tabs>
        <w:rPr>
          <w:rFonts w:ascii="Arial" w:cs="Arial" w:eastAsia="Arial" w:hAnsi="Arial"/>
          <w:sz w:val="14"/>
          <w:szCs w:val="14"/>
          <w:color w:val="0000FF"/>
        </w:rPr>
      </w:pPr>
      <w:hyperlink r:id="rId72">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8.25% Fixed-Rate Reset Series C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080885" cy="2051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120"/>
        <w:spacing w:after="0"/>
        <w:tabs>
          <w:tab w:leader="none" w:pos="1440" w:val="left"/>
        </w:tabs>
        <w:rPr>
          <w:rFonts w:ascii="Arial" w:cs="Arial" w:eastAsia="Arial" w:hAnsi="Arial"/>
          <w:sz w:val="14"/>
          <w:szCs w:val="14"/>
          <w:color w:val="0000FF"/>
        </w:rPr>
      </w:pPr>
      <w:hyperlink r:id="rId75">
        <w:r>
          <w:rPr>
            <w:rFonts w:ascii="Arial" w:cs="Arial" w:eastAsia="Arial" w:hAnsi="Arial"/>
            <w:sz w:val="14"/>
            <w:szCs w:val="14"/>
            <w:u w:val="single" w:color="auto"/>
            <w:color w:val="0000FF"/>
          </w:rPr>
          <w:t>3.5</w:t>
        </w:r>
      </w:hyperlink>
      <w:r>
        <w:rPr>
          <w:rFonts w:ascii="Arial" w:cs="Arial" w:eastAsia="Arial" w:hAnsi="Arial"/>
          <w:sz w:val="14"/>
          <w:szCs w:val="14"/>
          <w:color w:val="0000FF"/>
        </w:rPr>
        <w:tab/>
      </w:r>
      <w:r>
        <w:rPr>
          <w:rFonts w:ascii="Arial" w:cs="Arial" w:eastAsia="Arial" w:hAnsi="Arial"/>
          <w:sz w:val="13"/>
          <w:szCs w:val="13"/>
          <w:color w:val="0000FF"/>
        </w:rPr>
        <w:t>Share Designation with respect to the 9.500% Fixed-Rate Reset Series D Cumulative Perpetual Redeemable Preferred Shares of FTAI Aviation Ltd.</w:t>
      </w:r>
    </w:p>
    <w:p>
      <w:pPr>
        <w:ind w:left="1460"/>
        <w:spacing w:after="0"/>
        <w:rPr>
          <w:sz w:val="20"/>
          <w:szCs w:val="20"/>
          <w:color w:val="auto"/>
        </w:rPr>
      </w:pPr>
      <w:r>
        <w:rPr>
          <w:rFonts w:ascii="Arial" w:cs="Arial" w:eastAsia="Arial" w:hAnsi="Arial"/>
          <w:sz w:val="14"/>
          <w:szCs w:val="14"/>
          <w:color w:val="auto"/>
        </w:rPr>
        <w:t>(incorporated by reference to Exhibit 4.1 of the Company’s Registration Statement on Form 8-A, filed on March 15, 2023).</w:t>
      </w:r>
    </w:p>
    <w:p>
      <w:pPr>
        <w:spacing w:after="0" w:line="1" w:lineRule="exact"/>
        <w:rPr>
          <w:sz w:val="20"/>
          <w:szCs w:val="20"/>
          <w:color w:val="auto"/>
        </w:rPr>
      </w:pPr>
    </w:p>
    <w:p>
      <w:pPr>
        <w:ind w:left="1120"/>
        <w:spacing w:after="0"/>
        <w:tabs>
          <w:tab w:leader="none" w:pos="1440" w:val="left"/>
        </w:tabs>
        <w:rPr>
          <w:rFonts w:ascii="Arial" w:cs="Arial" w:eastAsia="Arial" w:hAnsi="Arial"/>
          <w:sz w:val="14"/>
          <w:szCs w:val="14"/>
          <w:color w:val="0000FF"/>
        </w:rPr>
      </w:pPr>
      <w:hyperlink r:id="rId72">
        <w:r>
          <w:rPr>
            <w:rFonts w:ascii="Arial" w:cs="Arial" w:eastAsia="Arial" w:hAnsi="Arial"/>
            <w:sz w:val="14"/>
            <w:szCs w:val="14"/>
            <w:u w:val="single" w:color="auto"/>
            <w:color w:val="0000FF"/>
          </w:rPr>
          <w:t>3.6</w:t>
        </w:r>
      </w:hyperlink>
      <w:r>
        <w:rPr>
          <w:rFonts w:ascii="Arial" w:cs="Arial" w:eastAsia="Arial" w:hAnsi="Arial"/>
          <w:sz w:val="14"/>
          <w:szCs w:val="14"/>
          <w:color w:val="0000FF"/>
        </w:rPr>
        <w:tab/>
      </w:r>
      <w:r>
        <w:rPr>
          <w:rFonts w:ascii="Arial" w:cs="Arial" w:eastAsia="Arial" w:hAnsi="Arial"/>
          <w:sz w:val="13"/>
          <w:szCs w:val="13"/>
          <w:color w:val="0000FF"/>
        </w:rPr>
        <w:t>Form of Certificate representing the 8.25% Fixed-to-Floating Rate Series A Cumulative Perpetual Redeemable Preferred Shares of FTAI Aviation Ltd.</w:t>
      </w:r>
    </w:p>
    <w:p>
      <w:pPr>
        <w:ind w:left="1460"/>
        <w:spacing w:after="0"/>
        <w:rPr>
          <w:sz w:val="20"/>
          <w:szCs w:val="20"/>
          <w:color w:val="auto"/>
        </w:rPr>
      </w:pPr>
      <w:r>
        <w:rPr>
          <w:rFonts w:ascii="Arial" w:cs="Arial" w:eastAsia="Arial" w:hAnsi="Arial"/>
          <w:sz w:val="14"/>
          <w:szCs w:val="14"/>
          <w:color w:val="auto"/>
        </w:rPr>
        <w:t>(included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080885" cy="205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120"/>
        <w:spacing w:after="0"/>
        <w:tabs>
          <w:tab w:leader="none" w:pos="1440" w:val="left"/>
        </w:tabs>
        <w:rPr>
          <w:rFonts w:ascii="Arial" w:cs="Arial" w:eastAsia="Arial" w:hAnsi="Arial"/>
          <w:sz w:val="14"/>
          <w:szCs w:val="14"/>
          <w:color w:val="0000FF"/>
        </w:rPr>
      </w:pPr>
      <w:hyperlink r:id="rId72">
        <w:r>
          <w:rPr>
            <w:rFonts w:ascii="Arial" w:cs="Arial" w:eastAsia="Arial" w:hAnsi="Arial"/>
            <w:sz w:val="14"/>
            <w:szCs w:val="14"/>
            <w:u w:val="single" w:color="auto"/>
            <w:color w:val="0000FF"/>
          </w:rPr>
          <w:t>3.7</w:t>
        </w:r>
      </w:hyperlink>
      <w:r>
        <w:rPr>
          <w:rFonts w:ascii="Arial" w:cs="Arial" w:eastAsia="Arial" w:hAnsi="Arial"/>
          <w:sz w:val="14"/>
          <w:szCs w:val="14"/>
          <w:color w:val="0000FF"/>
        </w:rPr>
        <w:tab/>
      </w:r>
      <w:r>
        <w:rPr>
          <w:rFonts w:ascii="Arial" w:cs="Arial" w:eastAsia="Arial" w:hAnsi="Arial"/>
          <w:sz w:val="13"/>
          <w:szCs w:val="13"/>
          <w:color w:val="0000FF"/>
        </w:rPr>
        <w:t>Form of Certificate representing the 8.00% Fixed-to-Floating Rate Series B Cumulative Perpetual Redeemable Preferred Shares of FTAI Aviation Ltd.</w:t>
      </w:r>
    </w:p>
    <w:p>
      <w:pPr>
        <w:ind w:left="1460"/>
        <w:spacing w:after="0"/>
        <w:rPr>
          <w:sz w:val="20"/>
          <w:szCs w:val="20"/>
          <w:color w:val="auto"/>
        </w:rPr>
      </w:pPr>
      <w:r>
        <w:rPr>
          <w:rFonts w:ascii="Arial" w:cs="Arial" w:eastAsia="Arial" w:hAnsi="Arial"/>
          <w:sz w:val="14"/>
          <w:szCs w:val="14"/>
          <w:color w:val="auto"/>
        </w:rPr>
        <w:t>(included as part of Exhibit 3.1 hereto).</w:t>
      </w:r>
    </w:p>
    <w:p>
      <w:pPr>
        <w:spacing w:after="0" w:line="8" w:lineRule="exact"/>
        <w:rPr>
          <w:sz w:val="20"/>
          <w:szCs w:val="20"/>
          <w:color w:val="auto"/>
        </w:rPr>
      </w:pPr>
    </w:p>
    <w:p>
      <w:pPr>
        <w:ind w:left="1460" w:right="100" w:hanging="328"/>
        <w:spacing w:after="0"/>
        <w:tabs>
          <w:tab w:leader="none" w:pos="1440" w:val="left"/>
        </w:tabs>
        <w:rPr>
          <w:rFonts w:ascii="Arial" w:cs="Arial" w:eastAsia="Arial" w:hAnsi="Arial"/>
          <w:sz w:val="14"/>
          <w:szCs w:val="14"/>
          <w:color w:val="0000FF"/>
        </w:rPr>
      </w:pPr>
      <w:hyperlink r:id="rId72">
        <w:r>
          <w:rPr>
            <w:rFonts w:ascii="Arial" w:cs="Arial" w:eastAsia="Arial" w:hAnsi="Arial"/>
            <w:sz w:val="14"/>
            <w:szCs w:val="14"/>
            <w:u w:val="single" w:color="auto"/>
            <w:color w:val="0000FF"/>
          </w:rPr>
          <w:t>3.8</w:t>
        </w:r>
      </w:hyperlink>
      <w:r>
        <w:rPr>
          <w:rFonts w:ascii="Arial" w:cs="Arial" w:eastAsia="Arial" w:hAnsi="Arial"/>
          <w:sz w:val="14"/>
          <w:szCs w:val="14"/>
          <w:color w:val="0000FF"/>
        </w:rPr>
        <w:tab/>
        <w:t>Form of Certificate representing the 8.25% Fixed-Rate Reset Series C Cumulative Perpetual Redeemable Preferred Shares of FTAI Aviation Ltd.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080885" cy="205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120"/>
        <w:spacing w:after="0"/>
        <w:tabs>
          <w:tab w:leader="none" w:pos="1440" w:val="left"/>
        </w:tabs>
        <w:rPr>
          <w:rFonts w:ascii="Arial" w:cs="Arial" w:eastAsia="Arial" w:hAnsi="Arial"/>
          <w:sz w:val="14"/>
          <w:szCs w:val="14"/>
          <w:color w:val="0000FF"/>
        </w:rPr>
      </w:pPr>
      <w:hyperlink r:id="rId78">
        <w:r>
          <w:rPr>
            <w:rFonts w:ascii="Arial" w:cs="Arial" w:eastAsia="Arial" w:hAnsi="Arial"/>
            <w:sz w:val="14"/>
            <w:szCs w:val="14"/>
            <w:u w:val="single" w:color="auto"/>
            <w:color w:val="0000FF"/>
          </w:rPr>
          <w:t>3.9</w:t>
        </w:r>
      </w:hyperlink>
      <w:r>
        <w:rPr>
          <w:rFonts w:ascii="Arial" w:cs="Arial" w:eastAsia="Arial" w:hAnsi="Arial"/>
          <w:sz w:val="14"/>
          <w:szCs w:val="14"/>
          <w:color w:val="0000FF"/>
        </w:rPr>
        <w:tab/>
      </w:r>
      <w:r>
        <w:rPr>
          <w:rFonts w:ascii="Arial" w:cs="Arial" w:eastAsia="Arial" w:hAnsi="Arial"/>
          <w:sz w:val="13"/>
          <w:szCs w:val="13"/>
          <w:color w:val="0000FF"/>
        </w:rPr>
        <w:t>Form of certificate representing the 9.500% Fixed-Rate Reset Series D Cumulative Perpetual Redeemable Preferred Shares of FTAI Aviation Ltd.</w:t>
      </w:r>
    </w:p>
    <w:p>
      <w:pPr>
        <w:ind w:left="1460"/>
        <w:spacing w:after="0"/>
        <w:rPr>
          <w:sz w:val="20"/>
          <w:szCs w:val="20"/>
          <w:color w:val="auto"/>
        </w:rPr>
      </w:pPr>
      <w:r>
        <w:rPr>
          <w:rFonts w:ascii="Arial" w:cs="Arial" w:eastAsia="Arial" w:hAnsi="Arial"/>
          <w:sz w:val="14"/>
          <w:szCs w:val="14"/>
          <w:color w:val="auto"/>
        </w:rPr>
        <w:t>(incorporated by reference to Exhibit 4.2 of the Company’s Registration Statement on Form 8-A, filed on March 15, 2023).</w:t>
      </w:r>
    </w:p>
    <w:p>
      <w:pPr>
        <w:spacing w:after="0" w:line="8" w:lineRule="exact"/>
        <w:rPr>
          <w:sz w:val="20"/>
          <w:szCs w:val="20"/>
          <w:color w:val="auto"/>
        </w:rPr>
      </w:pPr>
    </w:p>
    <w:p>
      <w:pPr>
        <w:ind w:left="1460" w:right="320" w:hanging="328"/>
        <w:spacing w:after="0"/>
        <w:tabs>
          <w:tab w:leader="none" w:pos="1440" w:val="left"/>
        </w:tabs>
        <w:rPr>
          <w:rFonts w:ascii="Arial" w:cs="Arial" w:eastAsia="Arial" w:hAnsi="Arial"/>
          <w:sz w:val="14"/>
          <w:szCs w:val="14"/>
          <w:color w:val="0000FF"/>
        </w:rPr>
      </w:pPr>
      <w:hyperlink r:id="rId79">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July 28, 2020, between the Company and U.S. Bank National Association, as trustee, relating to the Company’s 9.75% senior unsecured notes due 2027 (incorporated by reference to Exhibit 4.1 of the Company’s Current Report on Form 8-K, filed on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080885" cy="205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460" w:right="40" w:hanging="328"/>
        <w:spacing w:after="0"/>
        <w:tabs>
          <w:tab w:leader="none" w:pos="1440" w:val="left"/>
        </w:tabs>
        <w:rPr>
          <w:rFonts w:ascii="Arial" w:cs="Arial" w:eastAsia="Arial" w:hAnsi="Arial"/>
          <w:sz w:val="14"/>
          <w:szCs w:val="14"/>
          <w:color w:val="0000FF"/>
        </w:rPr>
      </w:pPr>
      <w:hyperlink r:id="rId79">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9.75% senior unsecured notes due 2027 (included in Exhibit 4.1 of the Company’s Current Report on Form 8-K, filed on July 28, 2020).</w:t>
      </w:r>
    </w:p>
    <w:p>
      <w:pPr>
        <w:ind w:left="1120"/>
        <w:spacing w:after="0"/>
        <w:tabs>
          <w:tab w:leader="none" w:pos="1440" w:val="left"/>
        </w:tabs>
        <w:rPr>
          <w:rFonts w:ascii="Arial" w:cs="Arial" w:eastAsia="Arial" w:hAnsi="Arial"/>
          <w:sz w:val="14"/>
          <w:szCs w:val="14"/>
          <w:color w:val="0000FF"/>
        </w:rPr>
      </w:pPr>
      <w:hyperlink r:id="rId81">
        <w:r>
          <w:rPr>
            <w:rFonts w:ascii="Arial" w:cs="Arial" w:eastAsia="Arial" w:hAnsi="Arial"/>
            <w:sz w:val="14"/>
            <w:szCs w:val="14"/>
            <w:u w:val="single" w:color="auto"/>
            <w:color w:val="0000FF"/>
          </w:rPr>
          <w:t>4.3</w:t>
        </w:r>
      </w:hyperlink>
      <w:r>
        <w:rPr>
          <w:rFonts w:ascii="Arial" w:cs="Arial" w:eastAsia="Arial" w:hAnsi="Arial"/>
          <w:sz w:val="14"/>
          <w:szCs w:val="14"/>
          <w:color w:val="0000FF"/>
        </w:rPr>
        <w:tab/>
      </w:r>
      <w:r>
        <w:rPr>
          <w:rFonts w:ascii="Arial" w:cs="Arial" w:eastAsia="Arial" w:hAnsi="Arial"/>
          <w:sz w:val="13"/>
          <w:szCs w:val="13"/>
          <w:color w:val="0000FF"/>
        </w:rPr>
        <w:t>2027 Notes Guarantee, dated November 10, 2022 (incorporated by reference to Exhibit 4.2 of the Company’s Current Report on Form 8-K, filed on November</w:t>
      </w:r>
    </w:p>
    <w:p>
      <w:pPr>
        <w:ind w:left="1460"/>
        <w:spacing w:after="0"/>
        <w:rPr>
          <w:sz w:val="20"/>
          <w:szCs w:val="20"/>
          <w:color w:val="auto"/>
        </w:rPr>
      </w:pPr>
      <w:r>
        <w:rPr>
          <w:rFonts w:ascii="Arial" w:cs="Arial" w:eastAsia="Arial" w:hAnsi="Arial"/>
          <w:sz w:val="14"/>
          <w:szCs w:val="14"/>
          <w:color w:val="auto"/>
        </w:rPr>
        <w:t>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080885" cy="2051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460" w:right="280" w:hanging="328"/>
        <w:spacing w:after="0"/>
        <w:tabs>
          <w:tab w:leader="none" w:pos="1440" w:val="left"/>
        </w:tabs>
        <w:rPr>
          <w:rFonts w:ascii="Arial" w:cs="Arial" w:eastAsia="Arial" w:hAnsi="Arial"/>
          <w:sz w:val="14"/>
          <w:szCs w:val="14"/>
          <w:color w:val="0000FF"/>
        </w:rPr>
      </w:pPr>
      <w:hyperlink r:id="rId83">
        <w:r>
          <w:rPr>
            <w:rFonts w:ascii="Arial" w:cs="Arial" w:eastAsia="Arial" w:hAnsi="Arial"/>
            <w:sz w:val="14"/>
            <w:szCs w:val="14"/>
            <w:u w:val="single" w:color="auto"/>
            <w:color w:val="0000FF"/>
          </w:rPr>
          <w:t>4.4</w:t>
        </w:r>
      </w:hyperlink>
      <w:r>
        <w:rPr>
          <w:rFonts w:ascii="Arial" w:cs="Arial" w:eastAsia="Arial" w:hAnsi="Arial"/>
          <w:sz w:val="14"/>
          <w:szCs w:val="14"/>
          <w:color w:val="0000FF"/>
        </w:rPr>
        <w:tab/>
        <w:t>Indenture, dated April 12, 2021, between the Company and U.S. Bank National Association, as trustee, relating to the Company’s 5.50% senior unsecured notes due 2028 (incorporated by reference to Exhibit 4.1 to the Company’s Current Report on Form 8-K, filed on April 12, 2021).</w:t>
      </w:r>
    </w:p>
    <w:p>
      <w:pPr>
        <w:spacing w:after="0" w:line="1" w:lineRule="exact"/>
        <w:rPr>
          <w:sz w:val="20"/>
          <w:szCs w:val="20"/>
          <w:color w:val="auto"/>
        </w:rPr>
      </w:pPr>
    </w:p>
    <w:p>
      <w:pPr>
        <w:ind w:left="1460" w:right="40" w:hanging="328"/>
        <w:spacing w:after="0"/>
        <w:tabs>
          <w:tab w:leader="none" w:pos="1440" w:val="left"/>
        </w:tabs>
        <w:rPr>
          <w:rFonts w:ascii="Arial" w:cs="Arial" w:eastAsia="Arial" w:hAnsi="Arial"/>
          <w:sz w:val="14"/>
          <w:szCs w:val="14"/>
          <w:color w:val="0000FF"/>
        </w:rPr>
      </w:pPr>
      <w:hyperlink r:id="rId83">
        <w:r>
          <w:rPr>
            <w:rFonts w:ascii="Arial" w:cs="Arial" w:eastAsia="Arial" w:hAnsi="Arial"/>
            <w:sz w:val="14"/>
            <w:szCs w:val="14"/>
            <w:u w:val="single" w:color="auto"/>
            <w:color w:val="0000FF"/>
          </w:rPr>
          <w:t>4.5</w:t>
        </w:r>
      </w:hyperlink>
      <w:r>
        <w:rPr>
          <w:rFonts w:ascii="Arial" w:cs="Arial" w:eastAsia="Arial" w:hAnsi="Arial"/>
          <w:sz w:val="14"/>
          <w:szCs w:val="14"/>
          <w:color w:val="0000FF"/>
        </w:rPr>
        <w:tab/>
        <w:t>Form of global note representing the Company’s 5.50% senior unsecured notes due 2028 (included in Exhibit 4.1 of the Company’s Current Report on Form 8-K, filed on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080885" cy="295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080885" cy="295275"/>
                    </a:xfrm>
                    <a:prstGeom prst="rect">
                      <a:avLst/>
                    </a:prstGeom>
                    <a:noFill/>
                  </pic:spPr>
                </pic:pic>
              </a:graphicData>
            </a:graphic>
          </wp:anchor>
        </w:drawing>
      </w:r>
    </w:p>
    <w:p>
      <w:pPr>
        <w:ind w:left="1120"/>
        <w:spacing w:after="0"/>
        <w:tabs>
          <w:tab w:leader="none" w:pos="1440" w:val="left"/>
        </w:tabs>
        <w:rPr>
          <w:rFonts w:ascii="Arial" w:cs="Arial" w:eastAsia="Arial" w:hAnsi="Arial"/>
          <w:sz w:val="14"/>
          <w:szCs w:val="14"/>
          <w:color w:val="0000FF"/>
        </w:rPr>
      </w:pPr>
      <w:hyperlink r:id="rId85">
        <w:r>
          <w:rPr>
            <w:rFonts w:ascii="Arial" w:cs="Arial" w:eastAsia="Arial" w:hAnsi="Arial"/>
            <w:sz w:val="14"/>
            <w:szCs w:val="14"/>
            <w:u w:val="single" w:color="auto"/>
            <w:color w:val="0000FF"/>
          </w:rPr>
          <w:t>4.6</w:t>
        </w:r>
      </w:hyperlink>
      <w:r>
        <w:rPr>
          <w:rFonts w:ascii="Arial" w:cs="Arial" w:eastAsia="Arial" w:hAnsi="Arial"/>
          <w:sz w:val="14"/>
          <w:szCs w:val="14"/>
          <w:color w:val="0000FF"/>
        </w:rPr>
        <w:tab/>
      </w:r>
      <w:r>
        <w:rPr>
          <w:rFonts w:ascii="Arial" w:cs="Arial" w:eastAsia="Arial" w:hAnsi="Arial"/>
          <w:sz w:val="13"/>
          <w:szCs w:val="13"/>
          <w:color w:val="0000FF"/>
        </w:rPr>
        <w:t>First Supplemental Indenture, dated as of September 24, 2021, between the Company and U.S. Bank National Association, as trustee, relating to the</w:t>
      </w:r>
    </w:p>
    <w:p>
      <w:pPr>
        <w:ind w:left="1460" w:right="620"/>
        <w:spacing w:after="0" w:line="222" w:lineRule="auto"/>
        <w:rPr>
          <w:sz w:val="20"/>
          <w:szCs w:val="20"/>
          <w:color w:val="auto"/>
        </w:rPr>
      </w:pPr>
      <w:r>
        <w:rPr>
          <w:rFonts w:ascii="Arial" w:cs="Arial" w:eastAsia="Arial" w:hAnsi="Arial"/>
          <w:sz w:val="14"/>
          <w:szCs w:val="14"/>
          <w:color w:val="auto"/>
        </w:rPr>
        <w:t>Company’s 5.50% senior unsecured notes due 2028 (incorporated by reference to Exhibit 4.1 of the Company’s Current Report on Form 8-K, filed on September 24, 2021).</w:t>
      </w:r>
    </w:p>
    <w:p>
      <w:pPr>
        <w:spacing w:after="0" w:line="6" w:lineRule="exact"/>
        <w:rPr>
          <w:sz w:val="20"/>
          <w:szCs w:val="20"/>
          <w:color w:val="auto"/>
        </w:rPr>
      </w:pPr>
    </w:p>
    <w:p>
      <w:pPr>
        <w:ind w:left="1120"/>
        <w:spacing w:after="0"/>
        <w:tabs>
          <w:tab w:leader="none" w:pos="1440" w:val="left"/>
        </w:tabs>
        <w:rPr>
          <w:rFonts w:ascii="Arial" w:cs="Arial" w:eastAsia="Arial" w:hAnsi="Arial"/>
          <w:sz w:val="14"/>
          <w:szCs w:val="14"/>
          <w:color w:val="0000FF"/>
        </w:rPr>
      </w:pPr>
      <w:hyperlink r:id="rId86">
        <w:r>
          <w:rPr>
            <w:rFonts w:ascii="Arial" w:cs="Arial" w:eastAsia="Arial" w:hAnsi="Arial"/>
            <w:sz w:val="14"/>
            <w:szCs w:val="14"/>
            <w:u w:val="single" w:color="auto"/>
            <w:color w:val="0000FF"/>
          </w:rPr>
          <w:t>4.7</w:t>
        </w:r>
      </w:hyperlink>
      <w:r>
        <w:rPr>
          <w:rFonts w:ascii="Arial" w:cs="Arial" w:eastAsia="Arial" w:hAnsi="Arial"/>
          <w:sz w:val="14"/>
          <w:szCs w:val="14"/>
          <w:color w:val="0000FF"/>
        </w:rPr>
        <w:tab/>
      </w:r>
      <w:r>
        <w:rPr>
          <w:rFonts w:ascii="Arial" w:cs="Arial" w:eastAsia="Arial" w:hAnsi="Arial"/>
          <w:sz w:val="13"/>
          <w:szCs w:val="13"/>
          <w:color w:val="0000FF"/>
        </w:rPr>
        <w:t>2028 Notes Guarantee, dated November 10, 2022 (incorporated by reference to Exhibit 4.3 of the Company’s Current Report on Form 8-K, filed on November</w:t>
      </w:r>
    </w:p>
    <w:p>
      <w:pPr>
        <w:ind w:left="1460"/>
        <w:spacing w:after="0"/>
        <w:rPr>
          <w:sz w:val="20"/>
          <w:szCs w:val="20"/>
          <w:color w:val="auto"/>
        </w:rPr>
      </w:pPr>
      <w:r>
        <w:rPr>
          <w:rFonts w:ascii="Arial" w:cs="Arial" w:eastAsia="Arial" w:hAnsi="Arial"/>
          <w:sz w:val="14"/>
          <w:szCs w:val="14"/>
          <w:color w:val="auto"/>
        </w:rPr>
        <w:t>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080885" cy="2051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jc w:val="center"/>
        <w:ind w:left="900" w:right="540"/>
        <w:spacing w:after="0"/>
        <w:rPr>
          <w:rFonts w:ascii="Arial" w:cs="Arial" w:eastAsia="Arial" w:hAnsi="Arial"/>
          <w:sz w:val="14"/>
          <w:szCs w:val="14"/>
          <w:color w:val="0000FF"/>
        </w:rPr>
      </w:pPr>
      <w:hyperlink r:id="rId88">
        <w:r>
          <w:rPr>
            <w:rFonts w:ascii="Arial" w:cs="Arial" w:eastAsia="Arial" w:hAnsi="Arial"/>
            <w:sz w:val="14"/>
            <w:szCs w:val="14"/>
            <w:u w:val="single" w:color="auto"/>
            <w:color w:val="0000FF"/>
          </w:rPr>
          <w:t>4.8</w:t>
        </w:r>
        <w:r>
          <w:rPr>
            <w:rFonts w:ascii="Arial" w:cs="Arial" w:eastAsia="Arial" w:hAnsi="Arial"/>
            <w:sz w:val="14"/>
            <w:szCs w:val="14"/>
            <w:color w:val="0000FF"/>
          </w:rPr>
          <w:t xml:space="preserve">  </w:t>
        </w:r>
      </w:hyperlink>
      <w:r>
        <w:rPr>
          <w:rFonts w:ascii="Arial" w:cs="Arial" w:eastAsia="Arial" w:hAnsi="Arial"/>
          <w:sz w:val="14"/>
          <w:szCs w:val="14"/>
          <w:color w:val="000000"/>
        </w:rPr>
        <w:t>Indenture,</w:t>
      </w:r>
      <w:r>
        <w:rPr>
          <w:rFonts w:ascii="Arial" w:cs="Arial" w:eastAsia="Arial" w:hAnsi="Arial"/>
          <w:sz w:val="14"/>
          <w:szCs w:val="14"/>
          <w:color w:val="0000FF"/>
        </w:rPr>
        <w:t xml:space="preserve"> </w:t>
      </w:r>
      <w:r>
        <w:rPr>
          <w:rFonts w:ascii="Arial" w:cs="Arial" w:eastAsia="Arial" w:hAnsi="Arial"/>
          <w:sz w:val="14"/>
          <w:szCs w:val="14"/>
          <w:color w:val="000000"/>
        </w:rPr>
        <w:t>dated November 21, 2023, between the Company and U.S. Bank National Association, as trustee, relating to the Company’s 7.875% senior</w:t>
      </w:r>
      <w:r>
        <w:rPr>
          <w:rFonts w:ascii="Arial" w:cs="Arial" w:eastAsia="Arial" w:hAnsi="Arial"/>
          <w:sz w:val="14"/>
          <w:szCs w:val="14"/>
          <w:color w:val="0000FF"/>
        </w:rPr>
        <w:t xml:space="preserve"> </w:t>
      </w:r>
      <w:r>
        <w:rPr>
          <w:rFonts w:ascii="Arial" w:cs="Arial" w:eastAsia="Arial" w:hAnsi="Arial"/>
          <w:sz w:val="14"/>
          <w:szCs w:val="14"/>
          <w:color w:val="000000"/>
        </w:rPr>
        <w:t>unsecured notes due 2030 (incorporated by reference to Exhibit 4.1 of the Company’s Current Report on Form 8-K, filed on November 22, 2023).</w:t>
      </w:r>
    </w:p>
    <w:p>
      <w:pPr>
        <w:ind w:left="1120"/>
        <w:spacing w:after="0"/>
        <w:tabs>
          <w:tab w:leader="none" w:pos="1440" w:val="left"/>
        </w:tabs>
        <w:rPr>
          <w:rFonts w:ascii="Arial" w:cs="Arial" w:eastAsia="Arial" w:hAnsi="Arial"/>
          <w:sz w:val="14"/>
          <w:szCs w:val="14"/>
          <w:color w:val="0000FF"/>
        </w:rPr>
      </w:pPr>
      <w:hyperlink r:id="rId88">
        <w:r>
          <w:rPr>
            <w:rFonts w:ascii="Arial" w:cs="Arial" w:eastAsia="Arial" w:hAnsi="Arial"/>
            <w:sz w:val="14"/>
            <w:szCs w:val="14"/>
            <w:u w:val="single" w:color="auto"/>
            <w:color w:val="0000FF"/>
          </w:rPr>
          <w:t>4.9</w:t>
        </w:r>
      </w:hyperlink>
      <w:r>
        <w:rPr>
          <w:rFonts w:ascii="Arial" w:cs="Arial" w:eastAsia="Arial" w:hAnsi="Arial"/>
          <w:sz w:val="14"/>
          <w:szCs w:val="14"/>
          <w:color w:val="0000FF"/>
        </w:rPr>
        <w:tab/>
      </w:r>
      <w:r>
        <w:rPr>
          <w:rFonts w:ascii="Arial" w:cs="Arial" w:eastAsia="Arial" w:hAnsi="Arial"/>
          <w:sz w:val="13"/>
          <w:szCs w:val="13"/>
          <w:color w:val="0000FF"/>
        </w:rPr>
        <w:t>Form of global note representing the Company’s 7.875% senior unsecured notes due 2030 (included in Exhibit 4.1 of the Company’s Current Report on Form</w:t>
      </w:r>
    </w:p>
    <w:p>
      <w:pPr>
        <w:ind w:left="1460"/>
        <w:spacing w:after="0"/>
        <w:rPr>
          <w:sz w:val="20"/>
          <w:szCs w:val="20"/>
          <w:color w:val="auto"/>
        </w:rPr>
      </w:pPr>
      <w:r>
        <w:rPr>
          <w:rFonts w:ascii="Arial" w:cs="Arial" w:eastAsia="Arial" w:hAnsi="Arial"/>
          <w:sz w:val="14"/>
          <w:szCs w:val="14"/>
          <w:color w:val="auto"/>
        </w:rPr>
        <w:t>8-K, filed on 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080885" cy="295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080885" cy="295275"/>
                    </a:xfrm>
                    <a:prstGeom prst="rect">
                      <a:avLst/>
                    </a:prstGeom>
                    <a:noFill/>
                  </pic:spPr>
                </pic:pic>
              </a:graphicData>
            </a:graphic>
          </wp:anchor>
        </w:drawing>
      </w:r>
    </w:p>
    <w:p>
      <w:pPr>
        <w:ind w:left="1040"/>
        <w:spacing w:after="0"/>
        <w:tabs>
          <w:tab w:leader="none" w:pos="1440" w:val="left"/>
        </w:tabs>
        <w:rPr>
          <w:rFonts w:ascii="Arial" w:cs="Arial" w:eastAsia="Arial" w:hAnsi="Arial"/>
          <w:sz w:val="14"/>
          <w:szCs w:val="14"/>
          <w:color w:val="0000FF"/>
        </w:rPr>
      </w:pPr>
      <w:hyperlink r:id="rId90">
        <w:r>
          <w:rPr>
            <w:rFonts w:ascii="Arial" w:cs="Arial" w:eastAsia="Arial" w:hAnsi="Arial"/>
            <w:sz w:val="14"/>
            <w:szCs w:val="14"/>
            <w:u w:val="single" w:color="auto"/>
            <w:color w:val="0000FF"/>
          </w:rPr>
          <w:t>4.10</w:t>
        </w:r>
      </w:hyperlink>
      <w:r>
        <w:rPr>
          <w:rFonts w:ascii="Arial" w:cs="Arial" w:eastAsia="Arial" w:hAnsi="Arial"/>
          <w:sz w:val="14"/>
          <w:szCs w:val="14"/>
          <w:color w:val="0000FF"/>
        </w:rPr>
        <w:tab/>
      </w:r>
      <w:r>
        <w:rPr>
          <w:rFonts w:ascii="Arial" w:cs="Arial" w:eastAsia="Arial" w:hAnsi="Arial"/>
          <w:sz w:val="13"/>
          <w:szCs w:val="13"/>
          <w:color w:val="0000FF"/>
        </w:rPr>
        <w:t>Indenture, dated April 11, 2024, among Fortress Transportation and Infrastructure Investors LLC, the Company as guarantor, and U.S. Bank Trust Company,</w:t>
      </w:r>
    </w:p>
    <w:p>
      <w:pPr>
        <w:ind w:left="1460" w:right="660"/>
        <w:spacing w:after="0" w:line="222" w:lineRule="auto"/>
        <w:rPr>
          <w:sz w:val="20"/>
          <w:szCs w:val="20"/>
          <w:color w:val="auto"/>
        </w:rPr>
      </w:pPr>
      <w:r>
        <w:rPr>
          <w:rFonts w:ascii="Arial" w:cs="Arial" w:eastAsia="Arial" w:hAnsi="Arial"/>
          <w:sz w:val="14"/>
          <w:szCs w:val="14"/>
          <w:color w:val="auto"/>
        </w:rPr>
        <w:t>National Association, as trustee, relating to the Company’s 7.000% senior unsecured notes due 2031 (incorporated by reference to Exhibit 4.1 of the Company’s Current Report on Form 8-K, filed on April 11, 2024).</w:t>
      </w:r>
    </w:p>
    <w:p>
      <w:pPr>
        <w:spacing w:after="0" w:line="6" w:lineRule="exact"/>
        <w:rPr>
          <w:sz w:val="20"/>
          <w:szCs w:val="20"/>
          <w:color w:val="auto"/>
        </w:rPr>
      </w:pPr>
    </w:p>
    <w:p>
      <w:pPr>
        <w:ind w:left="1060"/>
        <w:spacing w:after="0"/>
        <w:tabs>
          <w:tab w:leader="none" w:pos="1440" w:val="left"/>
        </w:tabs>
        <w:rPr>
          <w:rFonts w:ascii="Arial" w:cs="Arial" w:eastAsia="Arial" w:hAnsi="Arial"/>
          <w:sz w:val="14"/>
          <w:szCs w:val="14"/>
          <w:color w:val="0000FF"/>
        </w:rPr>
      </w:pPr>
      <w:hyperlink r:id="rId90">
        <w:r>
          <w:rPr>
            <w:rFonts w:ascii="Arial" w:cs="Arial" w:eastAsia="Arial" w:hAnsi="Arial"/>
            <w:sz w:val="14"/>
            <w:szCs w:val="14"/>
            <w:u w:val="single" w:color="auto"/>
            <w:color w:val="0000FF"/>
          </w:rPr>
          <w:t>4.11</w:t>
        </w:r>
      </w:hyperlink>
      <w:r>
        <w:rPr>
          <w:rFonts w:ascii="Arial" w:cs="Arial" w:eastAsia="Arial" w:hAnsi="Arial"/>
          <w:sz w:val="14"/>
          <w:szCs w:val="14"/>
          <w:color w:val="0000FF"/>
        </w:rPr>
        <w:tab/>
      </w:r>
      <w:r>
        <w:rPr>
          <w:rFonts w:ascii="Arial" w:cs="Arial" w:eastAsia="Arial" w:hAnsi="Arial"/>
          <w:sz w:val="13"/>
          <w:szCs w:val="13"/>
          <w:color w:val="0000FF"/>
        </w:rPr>
        <w:t>Form of global note representing the Company’s 7.000% senior unsecured notes due 2031 (included in Exhibit 4.1 of the Company’s Current Report on Form</w:t>
      </w:r>
    </w:p>
    <w:p>
      <w:pPr>
        <w:ind w:left="1460"/>
        <w:spacing w:after="0"/>
        <w:rPr>
          <w:sz w:val="20"/>
          <w:szCs w:val="20"/>
          <w:color w:val="auto"/>
        </w:rPr>
      </w:pPr>
      <w:r>
        <w:rPr>
          <w:rFonts w:ascii="Arial" w:cs="Arial" w:eastAsia="Arial" w:hAnsi="Arial"/>
          <w:sz w:val="14"/>
          <w:szCs w:val="14"/>
          <w:color w:val="auto"/>
        </w:rPr>
        <w:t>8-K, filed on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080885" cy="205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040"/>
        <w:spacing w:after="0"/>
        <w:tabs>
          <w:tab w:leader="none" w:pos="1440" w:val="left"/>
        </w:tabs>
        <w:rPr>
          <w:rFonts w:ascii="Arial" w:cs="Arial" w:eastAsia="Arial" w:hAnsi="Arial"/>
          <w:sz w:val="14"/>
          <w:szCs w:val="14"/>
          <w:color w:val="0000FF"/>
        </w:rPr>
      </w:pPr>
      <w:hyperlink r:id="rId92">
        <w:r>
          <w:rPr>
            <w:rFonts w:ascii="Arial" w:cs="Arial" w:eastAsia="Arial" w:hAnsi="Arial"/>
            <w:sz w:val="14"/>
            <w:szCs w:val="14"/>
            <w:u w:val="single" w:color="auto"/>
            <w:color w:val="0000FF"/>
          </w:rPr>
          <w:t>4.12</w:t>
        </w:r>
      </w:hyperlink>
      <w:r>
        <w:rPr>
          <w:rFonts w:ascii="Arial" w:cs="Arial" w:eastAsia="Arial" w:hAnsi="Arial"/>
          <w:sz w:val="14"/>
          <w:szCs w:val="14"/>
          <w:color w:val="0000FF"/>
        </w:rPr>
        <w:tab/>
      </w:r>
      <w:r>
        <w:rPr>
          <w:rFonts w:ascii="Arial" w:cs="Arial" w:eastAsia="Arial" w:hAnsi="Arial"/>
          <w:sz w:val="13"/>
          <w:szCs w:val="13"/>
          <w:color w:val="0000FF"/>
        </w:rPr>
        <w:t>Description of Securities Registered under Section 12 of the Exchange Act (incorporated by reference to Exhibit 4.15 of the Company’s Annual Report on Form</w:t>
      </w:r>
    </w:p>
    <w:p>
      <w:pPr>
        <w:ind w:left="1460"/>
        <w:spacing w:after="0"/>
        <w:rPr>
          <w:sz w:val="20"/>
          <w:szCs w:val="20"/>
          <w:color w:val="auto"/>
        </w:rPr>
      </w:pPr>
      <w:r>
        <w:rPr>
          <w:rFonts w:ascii="Arial" w:cs="Arial" w:eastAsia="Arial" w:hAnsi="Arial"/>
          <w:sz w:val="14"/>
          <w:szCs w:val="14"/>
          <w:color w:val="auto"/>
        </w:rPr>
        <w:t>10-K, filed on February 26, 2024).</w:t>
      </w:r>
    </w:p>
    <w:p>
      <w:pPr>
        <w:spacing w:after="0" w:line="8" w:lineRule="exact"/>
        <w:rPr>
          <w:sz w:val="20"/>
          <w:szCs w:val="20"/>
          <w:color w:val="auto"/>
        </w:rPr>
      </w:pPr>
    </w:p>
    <w:p>
      <w:pPr>
        <w:ind w:left="1460" w:right="200" w:hanging="1439"/>
        <w:spacing w:after="0"/>
        <w:tabs>
          <w:tab w:leader="none" w:pos="1054" w:val="left"/>
        </w:tabs>
        <w:numPr>
          <w:ilvl w:val="0"/>
          <w:numId w:val="24"/>
        </w:numPr>
        <w:rPr>
          <w:rFonts w:ascii="Arial" w:cs="Arial" w:eastAsia="Arial" w:hAnsi="Arial"/>
          <w:sz w:val="14"/>
          <w:szCs w:val="14"/>
          <w:color w:val="0000FF"/>
        </w:rPr>
      </w:pPr>
      <w:hyperlink r:id="rId93">
        <w:r>
          <w:rPr>
            <w:rFonts w:ascii="Arial" w:cs="Arial" w:eastAsia="Arial" w:hAnsi="Arial"/>
            <w:sz w:val="14"/>
            <w:szCs w:val="14"/>
            <w:u w:val="single" w:color="auto"/>
            <w:color w:val="0000FF"/>
          </w:rPr>
          <w:t>10.1</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July 31, 2022, between the Company, FTAI Aviation Ltd., the Subsidiaries that are party thereto and FIG</w:t>
      </w:r>
      <w:r>
        <w:rPr>
          <w:rFonts w:ascii="Arial" w:cs="Arial" w:eastAsia="Arial" w:hAnsi="Arial"/>
          <w:sz w:val="14"/>
          <w:szCs w:val="14"/>
          <w:color w:val="0000FF"/>
        </w:rPr>
        <w:t xml:space="preserve"> </w:t>
      </w:r>
      <w:r>
        <w:rPr>
          <w:rFonts w:ascii="Arial" w:cs="Arial" w:eastAsia="Arial" w:hAnsi="Arial"/>
          <w:sz w:val="14"/>
          <w:szCs w:val="14"/>
          <w:color w:val="000000"/>
        </w:rPr>
        <w:t>LLC (incorporated by reference to Exhibit 10.1 of the Company’s Current Report on Form 8-K, filed on August 1, 2022).</w:t>
      </w:r>
    </w:p>
    <w:p>
      <w:pPr>
        <w:spacing w:after="0" w:line="1" w:lineRule="exact"/>
        <w:rPr>
          <w:rFonts w:ascii="Arial" w:cs="Arial" w:eastAsia="Arial" w:hAnsi="Arial"/>
          <w:sz w:val="14"/>
          <w:szCs w:val="14"/>
          <w:color w:val="0000FF"/>
        </w:rPr>
      </w:pPr>
    </w:p>
    <w:p>
      <w:pPr>
        <w:ind w:left="1460" w:right="80" w:hanging="1439"/>
        <w:spacing w:after="0" w:line="224" w:lineRule="auto"/>
        <w:tabs>
          <w:tab w:leader="none" w:pos="1054" w:val="left"/>
        </w:tabs>
        <w:numPr>
          <w:ilvl w:val="0"/>
          <w:numId w:val="24"/>
        </w:numPr>
        <w:rPr>
          <w:rFonts w:ascii="Arial" w:cs="Arial" w:eastAsia="Arial" w:hAnsi="Arial"/>
          <w:sz w:val="14"/>
          <w:szCs w:val="14"/>
          <w:color w:val="0000FF"/>
        </w:rPr>
      </w:pPr>
      <w:hyperlink r:id="rId94">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Services</w:t>
      </w:r>
      <w:r>
        <w:rPr>
          <w:rFonts w:ascii="Arial" w:cs="Arial" w:eastAsia="Arial" w:hAnsi="Arial"/>
          <w:sz w:val="14"/>
          <w:szCs w:val="14"/>
          <w:color w:val="0000FF"/>
        </w:rPr>
        <w:t xml:space="preserve"> </w:t>
      </w:r>
      <w:r>
        <w:rPr>
          <w:rFonts w:ascii="Arial" w:cs="Arial" w:eastAsia="Arial" w:hAnsi="Arial"/>
          <w:sz w:val="14"/>
          <w:szCs w:val="14"/>
          <w:color w:val="000000"/>
        </w:rPr>
        <w:t>and Profit Sharing Agreement, dated November 10, 2022, by and among FTAI Aviation Holdco Ltd., the Company and Fortress Worldwide</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10.1 of the Company’s Current Report on Form 8-K, filed on November 14, 2022).</w:t>
      </w:r>
    </w:p>
    <w:p>
      <w:pPr>
        <w:spacing w:after="0" w:line="14" w:lineRule="exact"/>
        <w:rPr>
          <w:rFonts w:ascii="Arial" w:cs="Arial" w:eastAsia="Arial" w:hAnsi="Arial"/>
          <w:sz w:val="14"/>
          <w:szCs w:val="14"/>
          <w:color w:val="0000FF"/>
        </w:rPr>
      </w:pPr>
    </w:p>
    <w:p>
      <w:pPr>
        <w:ind w:left="1460" w:right="120" w:hanging="1439"/>
        <w:spacing w:after="0" w:line="224" w:lineRule="auto"/>
        <w:tabs>
          <w:tab w:leader="none" w:pos="1054" w:val="left"/>
        </w:tabs>
        <w:numPr>
          <w:ilvl w:val="0"/>
          <w:numId w:val="24"/>
        </w:numPr>
        <w:rPr>
          <w:rFonts w:ascii="Arial" w:cs="Arial" w:eastAsia="Arial" w:hAnsi="Arial"/>
          <w:sz w:val="14"/>
          <w:szCs w:val="14"/>
          <w:color w:val="0000FF"/>
        </w:rPr>
      </w:pPr>
      <w:hyperlink r:id="rId95">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Amended</w:t>
      </w:r>
      <w:r>
        <w:rPr>
          <w:rFonts w:ascii="Arial" w:cs="Arial" w:eastAsia="Arial" w:hAnsi="Arial"/>
          <w:sz w:val="14"/>
          <w:szCs w:val="14"/>
          <w:color w:val="0000FF"/>
        </w:rPr>
        <w:t xml:space="preserve"> </w:t>
      </w:r>
      <w:r>
        <w:rPr>
          <w:rFonts w:ascii="Arial" w:cs="Arial" w:eastAsia="Arial" w:hAnsi="Arial"/>
          <w:sz w:val="14"/>
          <w:szCs w:val="14"/>
          <w:color w:val="000000"/>
        </w:rPr>
        <w:t>and Restated Registration Rights Agreement, dated November 10, 2022, by and among FTAI Aviation Ltd., the Company, Fortress Worldwide</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and FIG LLC (incorporated by reference to Exhibit 10.2 of the Company’s Current Report on Form 8-K, filed on November 14, 2022).</w:t>
      </w:r>
    </w:p>
    <w:p>
      <w:pPr>
        <w:spacing w:after="0" w:line="14" w:lineRule="exact"/>
        <w:rPr>
          <w:rFonts w:ascii="Arial" w:cs="Arial" w:eastAsia="Arial" w:hAnsi="Arial"/>
          <w:sz w:val="14"/>
          <w:szCs w:val="14"/>
          <w:color w:val="0000FF"/>
        </w:rPr>
      </w:pPr>
    </w:p>
    <w:p>
      <w:pPr>
        <w:ind w:left="1040" w:hanging="1019"/>
        <w:spacing w:after="0"/>
        <w:tabs>
          <w:tab w:leader="none" w:pos="1040" w:val="left"/>
        </w:tabs>
        <w:numPr>
          <w:ilvl w:val="0"/>
          <w:numId w:val="24"/>
        </w:numPr>
        <w:rPr>
          <w:rFonts w:ascii="Arial" w:cs="Arial" w:eastAsia="Arial" w:hAnsi="Arial"/>
          <w:sz w:val="14"/>
          <w:szCs w:val="14"/>
          <w:color w:val="0000FF"/>
        </w:rPr>
      </w:pPr>
      <w:hyperlink r:id="rId96">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FTAI</w:t>
      </w:r>
      <w:r>
        <w:rPr>
          <w:rFonts w:ascii="Arial" w:cs="Arial" w:eastAsia="Arial" w:hAnsi="Arial"/>
          <w:sz w:val="14"/>
          <w:szCs w:val="14"/>
          <w:color w:val="0000FF"/>
        </w:rPr>
        <w:t xml:space="preserve"> </w:t>
      </w:r>
      <w:r>
        <w:rPr>
          <w:rFonts w:ascii="Arial" w:cs="Arial" w:eastAsia="Arial" w:hAnsi="Arial"/>
          <w:sz w:val="14"/>
          <w:szCs w:val="14"/>
          <w:color w:val="000000"/>
        </w:rPr>
        <w:t>Aviation Ltd. Nonqualified Stock Option and Incentive Award Plan, dated as of February 23, 2023.</w:t>
      </w:r>
    </w:p>
    <w:p>
      <w:pPr>
        <w:spacing w:after="0" w:line="32" w:lineRule="exact"/>
        <w:rPr>
          <w:rFonts w:ascii="Arial" w:cs="Arial" w:eastAsia="Arial" w:hAnsi="Arial"/>
          <w:sz w:val="14"/>
          <w:szCs w:val="14"/>
          <w:color w:val="0000FF"/>
        </w:rPr>
      </w:pPr>
    </w:p>
    <w:p>
      <w:pPr>
        <w:ind w:left="1460" w:right="80" w:hanging="1439"/>
        <w:spacing w:after="0" w:line="241" w:lineRule="auto"/>
        <w:tabs>
          <w:tab w:leader="none" w:pos="1054" w:val="left"/>
        </w:tabs>
        <w:numPr>
          <w:ilvl w:val="0"/>
          <w:numId w:val="24"/>
        </w:numPr>
        <w:rPr>
          <w:rFonts w:ascii="Arial" w:cs="Arial" w:eastAsia="Arial" w:hAnsi="Arial"/>
          <w:sz w:val="14"/>
          <w:szCs w:val="14"/>
          <w:color w:val="0000FF"/>
        </w:rPr>
      </w:pPr>
      <w:hyperlink r:id="rId97">
        <w:r>
          <w:rPr>
            <w:rFonts w:ascii="Arial" w:cs="Arial" w:eastAsia="Arial" w:hAnsi="Arial"/>
            <w:sz w:val="14"/>
            <w:szCs w:val="14"/>
            <w:u w:val="single" w:color="auto"/>
            <w:color w:val="0000FF"/>
          </w:rPr>
          <w:t>10.5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FTAI Aviation Ltd. Director and Officer Indemnification Agreement (incorporated by reference to Exhibit 10.6 to the Company’s Registration Statement</w:t>
      </w:r>
      <w:r>
        <w:rPr>
          <w:rFonts w:ascii="Arial" w:cs="Arial" w:eastAsia="Arial" w:hAnsi="Arial"/>
          <w:sz w:val="14"/>
          <w:szCs w:val="14"/>
          <w:color w:val="0000FF"/>
        </w:rPr>
        <w:t xml:space="preserve"> </w:t>
      </w:r>
      <w:r>
        <w:rPr>
          <w:rFonts w:ascii="Arial" w:cs="Arial" w:eastAsia="Arial" w:hAnsi="Arial"/>
          <w:sz w:val="14"/>
          <w:szCs w:val="14"/>
          <w:color w:val="000000"/>
        </w:rPr>
        <w:t>on Form S-4, filed on October 4,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1905</wp:posOffset>
            </wp:positionH>
            <wp:positionV relativeFrom="paragraph">
              <wp:posOffset>-922020</wp:posOffset>
            </wp:positionV>
            <wp:extent cx="7080885" cy="295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080885" cy="2952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-331470</wp:posOffset>
            </wp:positionV>
            <wp:extent cx="7080885" cy="123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080885" cy="123190"/>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1" w:lineRule="exact"/>
        <w:rPr>
          <w:rFonts w:ascii="Arial" w:cs="Arial" w:eastAsia="Arial" w:hAnsi="Arial"/>
          <w:sz w:val="14"/>
          <w:szCs w:val="14"/>
          <w:color w:val="auto"/>
        </w:rPr>
      </w:pPr>
    </w:p>
    <w:p>
      <w:pPr>
        <w:jc w:val="center"/>
        <w:ind w:right="-119"/>
        <w:spacing w:after="0"/>
        <w:rPr>
          <w:sz w:val="20"/>
          <w:szCs w:val="20"/>
          <w:color w:val="auto"/>
        </w:rPr>
      </w:pPr>
      <w:r>
        <w:rPr>
          <w:rFonts w:ascii="Arial" w:cs="Arial" w:eastAsia="Arial" w:hAnsi="Arial"/>
          <w:sz w:val="16"/>
          <w:szCs w:val="16"/>
          <w:color w:val="auto"/>
        </w:rPr>
        <w:t>57</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57" w:name="page58"/>
    <w:bookmarkEnd w:id="57"/>
    <w:p>
      <w:pPr>
        <w:ind w:left="579"/>
        <w:spacing w:after="0"/>
        <w:tabs>
          <w:tab w:leader="none" w:pos="5879"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7080885" cy="2133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080885" cy="213360"/>
                    </a:xfrm>
                    <a:prstGeom prst="rect">
                      <a:avLst/>
                    </a:prstGeom>
                    <a:noFill/>
                  </pic:spPr>
                </pic:pic>
              </a:graphicData>
            </a:graphic>
          </wp:anchor>
        </w:drawing>
      </w:r>
    </w:p>
    <w:p>
      <w:pPr>
        <w:spacing w:after="0" w:line="28" w:lineRule="exact"/>
        <w:rPr>
          <w:sz w:val="20"/>
          <w:szCs w:val="20"/>
          <w:color w:val="auto"/>
        </w:rPr>
      </w:pPr>
    </w:p>
    <w:p>
      <w:pPr>
        <w:ind w:left="1439" w:right="100" w:hanging="1439"/>
        <w:spacing w:after="0"/>
        <w:tabs>
          <w:tab w:leader="none" w:pos="1034" w:val="left"/>
        </w:tabs>
        <w:numPr>
          <w:ilvl w:val="0"/>
          <w:numId w:val="25"/>
        </w:numPr>
        <w:rPr>
          <w:rFonts w:ascii="Arial" w:cs="Arial" w:eastAsia="Arial" w:hAnsi="Arial"/>
          <w:sz w:val="14"/>
          <w:szCs w:val="14"/>
          <w:color w:val="0000FF"/>
        </w:rPr>
      </w:pPr>
      <w:hyperlink r:id="rId102">
        <w:r>
          <w:rPr>
            <w:rFonts w:ascii="Arial" w:cs="Arial" w:eastAsia="Arial" w:hAnsi="Arial"/>
            <w:sz w:val="14"/>
            <w:szCs w:val="14"/>
            <w:u w:val="single" w:color="auto"/>
            <w:color w:val="0000FF"/>
          </w:rPr>
          <w:t>10.6</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Director Award Agreement pursuant to the FTAI Aviation Ltd. Nonqualified Stock Option and Incentive Plan (incorporated by reference to Exhibit 10.7</w:t>
      </w:r>
      <w:r>
        <w:rPr>
          <w:rFonts w:ascii="Arial" w:cs="Arial" w:eastAsia="Arial" w:hAnsi="Arial"/>
          <w:sz w:val="14"/>
          <w:szCs w:val="14"/>
          <w:color w:val="0000FF"/>
        </w:rPr>
        <w:t xml:space="preserve"> </w:t>
      </w:r>
      <w:r>
        <w:rPr>
          <w:rFonts w:ascii="Arial" w:cs="Arial" w:eastAsia="Arial" w:hAnsi="Arial"/>
          <w:sz w:val="14"/>
          <w:szCs w:val="14"/>
          <w:color w:val="000000"/>
        </w:rPr>
        <w:t>to the Company’s Registration Statement on Form S-4, filed on October 4, 2022).</w:t>
      </w:r>
    </w:p>
    <w:p>
      <w:pPr>
        <w:spacing w:after="0" w:line="1" w:lineRule="exact"/>
        <w:rPr>
          <w:rFonts w:ascii="Arial" w:cs="Arial" w:eastAsia="Arial" w:hAnsi="Arial"/>
          <w:sz w:val="14"/>
          <w:szCs w:val="14"/>
          <w:color w:val="0000FF"/>
        </w:rPr>
      </w:pPr>
    </w:p>
    <w:p>
      <w:pPr>
        <w:ind w:left="1439" w:right="140" w:hanging="1439"/>
        <w:spacing w:after="0"/>
        <w:tabs>
          <w:tab w:leader="none" w:pos="1034" w:val="left"/>
        </w:tabs>
        <w:numPr>
          <w:ilvl w:val="0"/>
          <w:numId w:val="25"/>
        </w:numPr>
        <w:rPr>
          <w:rFonts w:ascii="Arial" w:cs="Arial" w:eastAsia="Arial" w:hAnsi="Arial"/>
          <w:sz w:val="14"/>
          <w:szCs w:val="14"/>
          <w:color w:val="0000FF"/>
        </w:rPr>
      </w:pPr>
      <w:hyperlink r:id="rId103">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FTAI Aviation Ltd. Nonqualified Stock Option and Incentive Award Plan (incorporated by reference to Exhibit 10.8 to the</w:t>
      </w:r>
      <w:r>
        <w:rPr>
          <w:rFonts w:ascii="Arial" w:cs="Arial" w:eastAsia="Arial" w:hAnsi="Arial"/>
          <w:sz w:val="14"/>
          <w:szCs w:val="14"/>
          <w:color w:val="0000FF"/>
        </w:rPr>
        <w:t xml:space="preserve"> </w:t>
      </w:r>
      <w:r>
        <w:rPr>
          <w:rFonts w:ascii="Arial" w:cs="Arial" w:eastAsia="Arial" w:hAnsi="Arial"/>
          <w:sz w:val="14"/>
          <w:szCs w:val="14"/>
          <w:color w:val="000000"/>
        </w:rPr>
        <w:t>Company’s Registration Statement on Form S-4, filed on October 4,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080885" cy="205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1019"/>
        <w:spacing w:after="0"/>
        <w:tabs>
          <w:tab w:leader="none" w:pos="1419" w:val="left"/>
        </w:tabs>
        <w:rPr>
          <w:rFonts w:ascii="Arial" w:cs="Arial" w:eastAsia="Arial" w:hAnsi="Arial"/>
          <w:sz w:val="14"/>
          <w:szCs w:val="14"/>
          <w:color w:val="0000FF"/>
        </w:rPr>
      </w:pPr>
      <w:hyperlink r:id="rId105">
        <w:r>
          <w:rPr>
            <w:rFonts w:ascii="Arial" w:cs="Arial" w:eastAsia="Arial" w:hAnsi="Arial"/>
            <w:sz w:val="14"/>
            <w:szCs w:val="14"/>
            <w:u w:val="single" w:color="auto"/>
            <w:color w:val="0000FF"/>
          </w:rPr>
          <w:t>10.8</w:t>
        </w:r>
      </w:hyperlink>
      <w:r>
        <w:rPr>
          <w:rFonts w:ascii="Arial" w:cs="Arial" w:eastAsia="Arial" w:hAnsi="Arial"/>
          <w:sz w:val="14"/>
          <w:szCs w:val="14"/>
          <w:color w:val="0000FF"/>
        </w:rPr>
        <w:tab/>
      </w:r>
      <w:r>
        <w:rPr>
          <w:rFonts w:ascii="Arial" w:cs="Arial" w:eastAsia="Arial" w:hAnsi="Arial"/>
          <w:sz w:val="13"/>
          <w:szCs w:val="13"/>
          <w:color w:val="0000FF"/>
        </w:rPr>
        <w:t>Trademark License Agreement, dated as of August 1, 2022, between Fortress Transportation and Infrastructure Investors LLC and FTAI Infrastructure Inc.</w:t>
      </w:r>
    </w:p>
    <w:p>
      <w:pPr>
        <w:ind w:left="1439"/>
        <w:spacing w:after="0"/>
        <w:rPr>
          <w:sz w:val="20"/>
          <w:szCs w:val="20"/>
          <w:color w:val="auto"/>
        </w:rPr>
      </w:pPr>
      <w:r>
        <w:rPr>
          <w:rFonts w:ascii="Arial" w:cs="Arial" w:eastAsia="Arial" w:hAnsi="Arial"/>
          <w:sz w:val="14"/>
          <w:szCs w:val="14"/>
          <w:color w:val="auto"/>
        </w:rPr>
        <w:t>(incorporated by reference to Exhibit 10.3 of the Company’s Current Report on Form 8-K, filed on August 1, 2022).</w:t>
      </w:r>
    </w:p>
    <w:p>
      <w:pPr>
        <w:spacing w:after="0" w:line="1" w:lineRule="exact"/>
        <w:rPr>
          <w:rFonts w:ascii="Arial" w:cs="Arial" w:eastAsia="Arial" w:hAnsi="Arial"/>
          <w:sz w:val="14"/>
          <w:szCs w:val="14"/>
          <w:color w:val="auto"/>
        </w:rPr>
      </w:pPr>
    </w:p>
    <w:p>
      <w:pPr>
        <w:ind w:left="1019"/>
        <w:spacing w:after="0"/>
        <w:tabs>
          <w:tab w:leader="none" w:pos="1419"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10.9</w:t>
        </w:r>
      </w:hyperlink>
      <w:r>
        <w:rPr>
          <w:rFonts w:ascii="Arial" w:cs="Arial" w:eastAsia="Arial" w:hAnsi="Arial"/>
          <w:sz w:val="14"/>
          <w:szCs w:val="14"/>
          <w:color w:val="0000FF"/>
        </w:rPr>
        <w:tab/>
      </w:r>
      <w:r>
        <w:rPr>
          <w:rFonts w:ascii="Arial" w:cs="Arial" w:eastAsia="Arial" w:hAnsi="Arial"/>
          <w:sz w:val="13"/>
          <w:szCs w:val="13"/>
          <w:color w:val="0000FF"/>
        </w:rPr>
        <w:t>Second Amended and Restated Credit Agreement, dated as of September 20, 2022, between the Company, the lenders and issuing banks from time to time</w:t>
      </w:r>
    </w:p>
    <w:p>
      <w:pPr>
        <w:ind w:left="1439"/>
        <w:spacing w:after="0" w:line="222" w:lineRule="auto"/>
        <w:rPr>
          <w:sz w:val="20"/>
          <w:szCs w:val="20"/>
          <w:color w:val="auto"/>
        </w:rPr>
      </w:pPr>
      <w:r>
        <w:rPr>
          <w:rFonts w:ascii="Arial" w:cs="Arial" w:eastAsia="Arial" w:hAnsi="Arial"/>
          <w:sz w:val="14"/>
          <w:szCs w:val="14"/>
          <w:color w:val="auto"/>
        </w:rPr>
        <w:t>party thereto and JPMorgan Chase Bank, N.A., as administrative agent (incorporated by reference to Exhibit 10.1 of the Company's Current Report on Form 8-K, filed on September 21,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5080</wp:posOffset>
            </wp:positionV>
            <wp:extent cx="7080885" cy="295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080885" cy="295275"/>
                    </a:xfrm>
                    <a:prstGeom prst="rect">
                      <a:avLst/>
                    </a:prstGeom>
                    <a:noFill/>
                  </pic:spPr>
                </pic:pic>
              </a:graphicData>
            </a:graphic>
          </wp:anchor>
        </w:drawing>
      </w:r>
    </w:p>
    <w:p>
      <w:pPr>
        <w:ind w:left="959"/>
        <w:spacing w:after="0"/>
        <w:tabs>
          <w:tab w:leader="none" w:pos="1419"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10.10</w:t>
        </w:r>
      </w:hyperlink>
      <w:r>
        <w:rPr>
          <w:rFonts w:ascii="Arial" w:cs="Arial" w:eastAsia="Arial" w:hAnsi="Arial"/>
          <w:sz w:val="14"/>
          <w:szCs w:val="14"/>
          <w:color w:val="0000FF"/>
        </w:rPr>
        <w:tab/>
      </w:r>
      <w:r>
        <w:rPr>
          <w:rFonts w:ascii="Arial" w:cs="Arial" w:eastAsia="Arial" w:hAnsi="Arial"/>
          <w:sz w:val="13"/>
          <w:szCs w:val="13"/>
          <w:color w:val="0000FF"/>
        </w:rPr>
        <w:t>Amendment No. 1 to the Second Amended and Restated Credit Agreement, dated as of November 22, 2022, between the Company, the lenders and issuing</w:t>
      </w:r>
    </w:p>
    <w:p>
      <w:pPr>
        <w:ind w:left="1439" w:right="120"/>
        <w:spacing w:after="0" w:line="222" w:lineRule="auto"/>
        <w:rPr>
          <w:sz w:val="20"/>
          <w:szCs w:val="20"/>
          <w:color w:val="auto"/>
        </w:rPr>
      </w:pPr>
      <w:r>
        <w:rPr>
          <w:rFonts w:ascii="Arial" w:cs="Arial" w:eastAsia="Arial" w:hAnsi="Arial"/>
          <w:sz w:val="14"/>
          <w:szCs w:val="14"/>
          <w:color w:val="auto"/>
        </w:rPr>
        <w:t>banks from time to time party thereto and JPMorgan Chase Bank, N.A., as administrative agent (incorporated by reference to Exhibit 10.10 of the Company’s Annual Report on Form 10-K, filed on February 27, 2023).</w:t>
      </w:r>
    </w:p>
    <w:p>
      <w:pPr>
        <w:spacing w:after="0" w:line="6" w:lineRule="exact"/>
        <w:rPr>
          <w:rFonts w:ascii="Arial" w:cs="Arial" w:eastAsia="Arial" w:hAnsi="Arial"/>
          <w:sz w:val="14"/>
          <w:szCs w:val="14"/>
          <w:color w:val="auto"/>
        </w:rPr>
      </w:pPr>
    </w:p>
    <w:p>
      <w:pPr>
        <w:jc w:val="center"/>
        <w:ind w:left="760"/>
        <w:spacing w:after="0"/>
        <w:tabs>
          <w:tab w:leader="none" w:pos="120" w:val="left"/>
        </w:tabs>
        <w:rPr>
          <w:rFonts w:ascii="Arial" w:cs="Arial" w:eastAsia="Arial" w:hAnsi="Arial"/>
          <w:sz w:val="14"/>
          <w:szCs w:val="14"/>
          <w:color w:val="0000FF"/>
        </w:rPr>
      </w:pPr>
      <w:hyperlink r:id="rId109">
        <w:r>
          <w:rPr>
            <w:rFonts w:ascii="Arial" w:cs="Arial" w:eastAsia="Arial" w:hAnsi="Arial"/>
            <w:sz w:val="14"/>
            <w:szCs w:val="14"/>
            <w:u w:val="single" w:color="auto"/>
            <w:color w:val="0000FF"/>
          </w:rPr>
          <w:t>10.11</w:t>
        </w:r>
      </w:hyperlink>
      <w:r>
        <w:rPr>
          <w:rFonts w:ascii="Arial" w:cs="Arial" w:eastAsia="Arial" w:hAnsi="Arial"/>
          <w:sz w:val="14"/>
          <w:szCs w:val="14"/>
          <w:color w:val="0000FF"/>
        </w:rPr>
        <w:tab/>
      </w:r>
      <w:r>
        <w:rPr>
          <w:rFonts w:ascii="Arial" w:cs="Arial" w:eastAsia="Arial" w:hAnsi="Arial"/>
          <w:sz w:val="13"/>
          <w:szCs w:val="13"/>
          <w:color w:val="0000FF"/>
        </w:rPr>
        <w:t>Amendment No. 2 to the Second Amended and Restated Credit Agreement, dated as of April 10, 2023, between the Company, the lenders and issuing banks</w:t>
      </w:r>
    </w:p>
    <w:p>
      <w:pPr>
        <w:ind w:left="1439" w:right="540"/>
        <w:spacing w:after="0" w:line="222" w:lineRule="auto"/>
        <w:rPr>
          <w:sz w:val="20"/>
          <w:szCs w:val="20"/>
          <w:color w:val="auto"/>
        </w:rPr>
      </w:pPr>
      <w:r>
        <w:rPr>
          <w:rFonts w:ascii="Arial" w:cs="Arial" w:eastAsia="Arial" w:hAnsi="Arial"/>
          <w:sz w:val="14"/>
          <w:szCs w:val="14"/>
          <w:color w:val="auto"/>
        </w:rPr>
        <w:t>from time to time party thereto and JPMorgan Chase Bank, N.A., as administrative agent (incorporated by reference to Exhibit 10.11 of the Company’s Quarterly Report on Form 10-Q, filed April 27, 2023).</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5080</wp:posOffset>
            </wp:positionV>
            <wp:extent cx="7080885" cy="2051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7080885" cy="205105"/>
                    </a:xfrm>
                    <a:prstGeom prst="rect">
                      <a:avLst/>
                    </a:prstGeom>
                    <a:noFill/>
                  </pic:spPr>
                </pic:pic>
              </a:graphicData>
            </a:graphic>
          </wp:anchor>
        </w:drawing>
      </w:r>
    </w:p>
    <w:p>
      <w:pPr>
        <w:ind w:left="959"/>
        <w:spacing w:after="0"/>
        <w:tabs>
          <w:tab w:leader="none" w:pos="1419"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10.12</w:t>
        </w:r>
      </w:hyperlink>
      <w:r>
        <w:rPr>
          <w:rFonts w:ascii="Arial" w:cs="Arial" w:eastAsia="Arial" w:hAnsi="Arial"/>
          <w:sz w:val="14"/>
          <w:szCs w:val="14"/>
          <w:color w:val="0000FF"/>
        </w:rPr>
        <w:tab/>
      </w:r>
      <w:r>
        <w:rPr>
          <w:rFonts w:ascii="Arial" w:cs="Arial" w:eastAsia="Arial" w:hAnsi="Arial"/>
          <w:sz w:val="13"/>
          <w:szCs w:val="13"/>
          <w:color w:val="0000FF"/>
        </w:rPr>
        <w:t>Revolver Guarantee, dated November 10, 2022 (incorporated by reference to Exhibit 4.4 of the Company’s Current Report on Form 8-K, filed on November 14,</w:t>
      </w:r>
    </w:p>
    <w:p>
      <w:pPr>
        <w:ind w:left="1439"/>
        <w:spacing w:after="0"/>
        <w:rPr>
          <w:sz w:val="20"/>
          <w:szCs w:val="20"/>
          <w:color w:val="auto"/>
        </w:rPr>
      </w:pPr>
      <w:r>
        <w:rPr>
          <w:rFonts w:ascii="Arial" w:cs="Arial" w:eastAsia="Arial" w:hAnsi="Arial"/>
          <w:sz w:val="14"/>
          <w:szCs w:val="14"/>
          <w:color w:val="auto"/>
        </w:rPr>
        <w:t>2022).</w:t>
      </w:r>
    </w:p>
    <w:p>
      <w:pPr>
        <w:spacing w:after="0" w:line="8" w:lineRule="exact"/>
        <w:rPr>
          <w:rFonts w:ascii="Arial" w:cs="Arial" w:eastAsia="Arial" w:hAnsi="Arial"/>
          <w:sz w:val="14"/>
          <w:szCs w:val="14"/>
          <w:color w:val="auto"/>
        </w:rPr>
      </w:pPr>
    </w:p>
    <w:p>
      <w:pPr>
        <w:ind w:left="1019"/>
        <w:spacing w:after="0"/>
        <w:tabs>
          <w:tab w:leader="none" w:pos="1419"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3"/>
          <w:szCs w:val="13"/>
          <w:color w:val="auto"/>
        </w:rPr>
        <w:t>Certification of Chief Executive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080885" cy="123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080885" cy="123190"/>
                    </a:xfrm>
                    <a:prstGeom prst="rect">
                      <a:avLst/>
                    </a:prstGeom>
                    <a:noFill/>
                  </pic:spPr>
                </pic:pic>
              </a:graphicData>
            </a:graphic>
          </wp:anchor>
        </w:drawing>
      </w:r>
    </w:p>
    <w:p>
      <w:pPr>
        <w:spacing w:after="0" w:line="13" w:lineRule="exact"/>
        <w:rPr>
          <w:rFonts w:ascii="Arial" w:cs="Arial" w:eastAsia="Arial" w:hAnsi="Arial"/>
          <w:sz w:val="14"/>
          <w:szCs w:val="14"/>
          <w:color w:val="auto"/>
        </w:rPr>
      </w:pPr>
    </w:p>
    <w:p>
      <w:pPr>
        <w:ind w:left="1019"/>
        <w:spacing w:after="0"/>
        <w:tabs>
          <w:tab w:leader="none" w:pos="1419"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3"/>
          <w:szCs w:val="13"/>
          <w:color w:val="auto"/>
        </w:rPr>
        <w:t>Certification of Chief Financial Officer pursuant to Rule 13a-14(a)/15d-14(a), as adopted pursuant to Section 302 of the Sarbanes-Oxley Act of 2002.</w:t>
      </w:r>
    </w:p>
    <w:p>
      <w:pPr>
        <w:spacing w:after="0" w:line="33" w:lineRule="exact"/>
        <w:rPr>
          <w:rFonts w:ascii="Arial" w:cs="Arial" w:eastAsia="Arial" w:hAnsi="Arial"/>
          <w:sz w:val="14"/>
          <w:szCs w:val="14"/>
          <w:color w:val="auto"/>
        </w:rPr>
      </w:pPr>
    </w:p>
    <w:p>
      <w:pPr>
        <w:ind w:left="1019"/>
        <w:spacing w:after="0"/>
        <w:tabs>
          <w:tab w:leader="none" w:pos="1419"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3"/>
          <w:szCs w:val="13"/>
          <w:color w:val="auto"/>
        </w:rPr>
        <w:t>Certification of Chief Executive Officer pursuant to 18 U.S.C. Section 1350, as adopted pursuant to Section 906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080885" cy="123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080885" cy="123190"/>
                    </a:xfrm>
                    <a:prstGeom prst="rect">
                      <a:avLst/>
                    </a:prstGeom>
                    <a:noFill/>
                  </pic:spPr>
                </pic:pic>
              </a:graphicData>
            </a:graphic>
          </wp:anchor>
        </w:drawing>
      </w:r>
    </w:p>
    <w:p>
      <w:pPr>
        <w:spacing w:after="0" w:line="13" w:lineRule="exact"/>
        <w:rPr>
          <w:rFonts w:ascii="Arial" w:cs="Arial" w:eastAsia="Arial" w:hAnsi="Arial"/>
          <w:sz w:val="14"/>
          <w:szCs w:val="14"/>
          <w:color w:val="auto"/>
        </w:rPr>
      </w:pPr>
    </w:p>
    <w:p>
      <w:pPr>
        <w:ind w:left="1019"/>
        <w:spacing w:after="0"/>
        <w:tabs>
          <w:tab w:leader="none" w:pos="1419"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3"/>
          <w:szCs w:val="13"/>
          <w:color w:val="auto"/>
        </w:rPr>
        <w:t>Certification of Chief Financial Officer pursuant to 18 U.S.C. Section 1350, as adopted pursuant to Section 906 of the Sarbanes-Oxley Act of 2002.</w:t>
      </w:r>
    </w:p>
    <w:p>
      <w:pPr>
        <w:spacing w:after="0" w:line="33" w:lineRule="exact"/>
        <w:rPr>
          <w:rFonts w:ascii="Arial" w:cs="Arial" w:eastAsia="Arial" w:hAnsi="Arial"/>
          <w:sz w:val="14"/>
          <w:szCs w:val="14"/>
          <w:color w:val="auto"/>
        </w:rPr>
      </w:pPr>
    </w:p>
    <w:p>
      <w:pPr>
        <w:jc w:val="both"/>
        <w:ind w:left="1439" w:right="400" w:hanging="420"/>
        <w:spacing w:after="0" w:line="224" w:lineRule="auto"/>
        <w:tabs>
          <w:tab w:leader="none" w:pos="143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March 31, 2024, formatted in iXBRL (Inline Extensible Business Reporting Language): (i) Consolidated Balance Sheets; (ii) Consolidated Statements of Operations; (iii) Consolidated Statements of Changes in Equity; (iv) Consolidated Statements of Cash Flows; and (v) Notes to Consolidated Financial Statements.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7080885" cy="123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080885" cy="123190"/>
                    </a:xfrm>
                    <a:prstGeom prst="rect">
                      <a:avLst/>
                    </a:prstGeom>
                    <a:noFill/>
                  </pic:spPr>
                </pic:pic>
              </a:graphicData>
            </a:graphic>
          </wp:anchor>
        </w:drawing>
      </w:r>
    </w:p>
    <w:p>
      <w:pPr>
        <w:ind w:left="1439" w:hanging="420"/>
        <w:spacing w:after="0"/>
        <w:tabs>
          <w:tab w:leader="none" w:pos="1439" w:val="left"/>
        </w:tabs>
        <w:numPr>
          <w:ilvl w:val="1"/>
          <w:numId w:val="27"/>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2" w:lineRule="exact"/>
        <w:rPr>
          <w:rFonts w:ascii="Arial" w:cs="Arial" w:eastAsia="Arial" w:hAnsi="Arial"/>
          <w:sz w:val="14"/>
          <w:szCs w:val="14"/>
          <w:color w:val="auto"/>
        </w:rPr>
      </w:pPr>
    </w:p>
    <w:p>
      <w:pPr>
        <w:ind w:left="219" w:hanging="219"/>
        <w:spacing w:after="0"/>
        <w:tabs>
          <w:tab w:leader="none" w:pos="219"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0" w:lineRule="exact"/>
        <w:rPr>
          <w:rFonts w:ascii="Arial" w:cs="Arial" w:eastAsia="Arial" w:hAnsi="Arial"/>
          <w:sz w:val="14"/>
          <w:szCs w:val="14"/>
          <w:color w:val="auto"/>
        </w:rPr>
      </w:pPr>
    </w:p>
    <w:p>
      <w:pPr>
        <w:jc w:val="center"/>
        <w:ind w:right="-98"/>
        <w:spacing w:after="0"/>
        <w:rPr>
          <w:sz w:val="20"/>
          <w:szCs w:val="20"/>
          <w:color w:val="auto"/>
        </w:rPr>
      </w:pPr>
      <w:r>
        <w:rPr>
          <w:rFonts w:ascii="Arial" w:cs="Arial" w:eastAsia="Arial" w:hAnsi="Arial"/>
          <w:sz w:val="16"/>
          <w:szCs w:val="16"/>
          <w:color w:val="auto"/>
        </w:rPr>
        <w:t>58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-22860</wp:posOffset>
            </wp:positionH>
            <wp:positionV relativeFrom="paragraph">
              <wp:posOffset>214630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99"/>
          </w:cols>
          <w:pgMar w:left="341" w:top="1048" w:right="459" w:bottom="1440" w:gutter="0" w:footer="0" w:header="0"/>
        </w:sectPr>
      </w:pPr>
    </w:p>
    <w:bookmarkStart w:id="58" w:name="page59"/>
    <w:bookmarkEnd w:id="58"/>
    <w:p>
      <w:pPr>
        <w:jc w:val="center"/>
        <w:ind w:right="-519"/>
        <w:spacing w:after="0"/>
        <w:rPr>
          <w:sz w:val="20"/>
          <w:szCs w:val="20"/>
          <w:color w:val="auto"/>
        </w:rPr>
      </w:pPr>
      <w:r>
        <w:rPr>
          <w:rFonts w:ascii="Arial" w:cs="Arial" w:eastAsia="Arial" w:hAnsi="Arial"/>
          <w:sz w:val="16"/>
          <w:szCs w:val="16"/>
          <w:b w:val="1"/>
          <w:bCs w:val="1"/>
          <w:color w:val="00497F"/>
        </w:rPr>
        <w:t>SIGNATURES</w:t>
      </w:r>
    </w:p>
    <w:p>
      <w:pPr>
        <w:spacing w:after="0" w:line="39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FTAI Aviation Ltd.</w:t>
      </w:r>
    </w:p>
    <w:p>
      <w:pPr>
        <w:spacing w:after="0" w:line="36" w:lineRule="exact"/>
        <w:rPr>
          <w:sz w:val="20"/>
          <w:szCs w:val="20"/>
          <w:color w:val="auto"/>
        </w:rPr>
      </w:pPr>
    </w:p>
    <w:p>
      <w:pPr>
        <w:ind w:left="560" w:right="820" w:hanging="539"/>
        <w:spacing w:after="0" w:line="276" w:lineRule="auto"/>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Joseph P. Adams, Jr. Date: April 26, 2024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-3175</wp:posOffset>
            </wp:positionV>
            <wp:extent cx="2297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Chairman and Chief Executive Officer</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(Angela) Nam</w:t>
            </w:r>
          </w:p>
        </w:tc>
        <w:tc>
          <w:tcPr>
            <w:tcW w:w="4500" w:type="dxa"/>
            <w:vAlign w:val="bottom"/>
          </w:tcPr>
          <w:p>
            <w:pPr>
              <w:ind w:left="3820"/>
              <w:spacing w:after="0"/>
              <w:rPr>
                <w:sz w:val="20"/>
                <w:szCs w:val="20"/>
                <w:color w:val="auto"/>
              </w:rPr>
            </w:pPr>
            <w:r>
              <w:rPr>
                <w:rFonts w:ascii="Arial" w:cs="Arial" w:eastAsia="Arial" w:hAnsi="Arial"/>
                <w:sz w:val="16"/>
                <w:szCs w:val="16"/>
                <w:color w:val="auto"/>
              </w:rPr>
              <w:t>Date:</w:t>
            </w:r>
          </w:p>
        </w:tc>
        <w:tc>
          <w:tcPr>
            <w:tcW w:w="1260" w:type="dxa"/>
            <w:vAlign w:val="bottom"/>
          </w:tcPr>
          <w:p>
            <w:pPr>
              <w:ind w:left="300"/>
              <w:spacing w:after="0"/>
              <w:rPr>
                <w:sz w:val="20"/>
                <w:szCs w:val="20"/>
                <w:color w:val="auto"/>
              </w:rPr>
            </w:pPr>
            <w:r>
              <w:rPr>
                <w:rFonts w:ascii="Arial" w:cs="Arial" w:eastAsia="Arial" w:hAnsi="Arial"/>
                <w:sz w:val="16"/>
                <w:szCs w:val="16"/>
                <w:color w:val="auto"/>
                <w:w w:val="95"/>
              </w:rPr>
              <w:t>April 26, 2024</w:t>
            </w:r>
          </w:p>
        </w:tc>
      </w:tr>
      <w:tr>
        <w:trPr>
          <w:trHeight w:val="199"/>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Eun (Angela) Nam</w:t>
            </w:r>
          </w:p>
        </w:tc>
        <w:tc>
          <w:tcPr>
            <w:tcW w:w="45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w w:val="97"/>
              </w:rPr>
              <w:t>Chief Financial Officer and Chief Accounting Officer</w:t>
            </w:r>
          </w:p>
        </w:tc>
        <w:tc>
          <w:tcPr>
            <w:tcW w:w="450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740"/>
          </w:cols>
          <w:pgMar w:left="320" w:top="1004" w:right="8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1"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FTAI Aviation Ltd. (the “registrant”);</w:t>
      </w:r>
    </w:p>
    <w:p>
      <w:pPr>
        <w:spacing w:after="0" w:line="151" w:lineRule="exact"/>
        <w:rPr>
          <w:rFonts w:ascii="Arial" w:cs="Arial" w:eastAsia="Arial" w:hAnsi="Arial"/>
          <w:sz w:val="16"/>
          <w:szCs w:val="16"/>
          <w:color w:val="auto"/>
        </w:rPr>
      </w:pPr>
    </w:p>
    <w:p>
      <w:pPr>
        <w:ind w:left="620" w:hanging="617"/>
        <w:spacing w:after="0" w:line="353" w:lineRule="auto"/>
        <w:tabs>
          <w:tab w:leader="none" w:pos="315"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4"/>
          <w:szCs w:val="14"/>
          <w:color w:val="auto"/>
        </w:rPr>
      </w:pPr>
    </w:p>
    <w:p>
      <w:pPr>
        <w:ind w:left="620" w:hanging="617"/>
        <w:spacing w:after="0" w:line="262" w:lineRule="auto"/>
        <w:tabs>
          <w:tab w:leader="none" w:pos="3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620" w:hanging="617"/>
        <w:spacing w:after="0" w:line="257" w:lineRule="auto"/>
        <w:tabs>
          <w:tab w:leader="none" w:pos="30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6"/>
          <w:szCs w:val="16"/>
          <w:color w:val="auto"/>
        </w:rPr>
      </w:pPr>
    </w:p>
    <w:p>
      <w:pPr>
        <w:ind w:left="1240" w:hanging="616"/>
        <w:spacing w:after="0" w:line="257" w:lineRule="auto"/>
        <w:tabs>
          <w:tab w:leader="none" w:pos="104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1240" w:hanging="616"/>
        <w:spacing w:after="0" w:line="257" w:lineRule="auto"/>
        <w:tabs>
          <w:tab w:leader="none" w:pos="1038"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left="1240" w:hanging="616"/>
        <w:spacing w:after="0" w:line="279" w:lineRule="auto"/>
        <w:tabs>
          <w:tab w:leader="none" w:pos="97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left="1240" w:hanging="616"/>
        <w:spacing w:after="0" w:line="257" w:lineRule="auto"/>
        <w:tabs>
          <w:tab w:leader="none" w:pos="1017"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620" w:hanging="617"/>
        <w:spacing w:after="0" w:line="279" w:lineRule="auto"/>
        <w:tabs>
          <w:tab w:leader="none" w:pos="29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240" w:hanging="616"/>
        <w:spacing w:after="0" w:line="262" w:lineRule="auto"/>
        <w:tabs>
          <w:tab w:leader="none" w:pos="973"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240" w:hanging="616"/>
        <w:spacing w:after="0" w:line="262" w:lineRule="auto"/>
        <w:tabs>
          <w:tab w:leader="none" w:pos="999"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April 26, 2024</w:t>
            </w:r>
          </w:p>
        </w:tc>
        <w:tc>
          <w:tcPr>
            <w:tcW w:w="5380" w:type="dxa"/>
            <w:vAlign w:val="bottom"/>
          </w:tcPr>
          <w:p>
            <w:pPr>
              <w:spacing w:after="0"/>
              <w:rPr>
                <w:sz w:val="17"/>
                <w:szCs w:val="17"/>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199"/>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07"/>
        </w:trPr>
        <w:tc>
          <w:tcPr>
            <w:tcW w:w="20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62"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Eun (Angela) Nam, certify that:</w:t>
      </w:r>
    </w:p>
    <w:p>
      <w:pPr>
        <w:spacing w:after="0" w:line="178" w:lineRule="exact"/>
        <w:rPr>
          <w:sz w:val="20"/>
          <w:szCs w:val="20"/>
          <w:color w:val="auto"/>
        </w:rPr>
      </w:pPr>
    </w:p>
    <w:p>
      <w:pPr>
        <w:ind w:left="300" w:hanging="297"/>
        <w:spacing w:after="0"/>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FTAI Aviation Ltd. (the “registrant”);</w:t>
      </w:r>
    </w:p>
    <w:p>
      <w:pPr>
        <w:spacing w:after="0" w:line="164" w:lineRule="exact"/>
        <w:rPr>
          <w:rFonts w:ascii="Arial" w:cs="Arial" w:eastAsia="Arial" w:hAnsi="Arial"/>
          <w:sz w:val="16"/>
          <w:szCs w:val="16"/>
          <w:color w:val="auto"/>
        </w:rPr>
      </w:pPr>
    </w:p>
    <w:p>
      <w:pPr>
        <w:ind w:left="620" w:hanging="617"/>
        <w:spacing w:after="0" w:line="334" w:lineRule="auto"/>
        <w:tabs>
          <w:tab w:leader="none" w:pos="315"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4"/>
          <w:szCs w:val="14"/>
          <w:color w:val="auto"/>
        </w:rPr>
      </w:pPr>
    </w:p>
    <w:p>
      <w:pPr>
        <w:ind w:left="620" w:hanging="617"/>
        <w:spacing w:after="0" w:line="262" w:lineRule="auto"/>
        <w:tabs>
          <w:tab w:leader="none" w:pos="3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620" w:hanging="617"/>
        <w:spacing w:after="0" w:line="257" w:lineRule="auto"/>
        <w:tabs>
          <w:tab w:leader="none" w:pos="30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6"/>
          <w:szCs w:val="16"/>
          <w:color w:val="auto"/>
        </w:rPr>
      </w:pPr>
    </w:p>
    <w:p>
      <w:pPr>
        <w:ind w:left="1240" w:hanging="616"/>
        <w:spacing w:after="0" w:line="249" w:lineRule="auto"/>
        <w:tabs>
          <w:tab w:leader="none" w:pos="1049" w:val="left"/>
        </w:tabs>
        <w:numPr>
          <w:ilvl w:val="2"/>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6"/>
          <w:szCs w:val="16"/>
          <w:color w:val="auto"/>
        </w:rPr>
      </w:pPr>
    </w:p>
    <w:p>
      <w:pPr>
        <w:ind w:left="1240" w:hanging="616"/>
        <w:spacing w:after="0" w:line="257" w:lineRule="auto"/>
        <w:tabs>
          <w:tab w:leader="none" w:pos="1038" w:val="left"/>
        </w:tabs>
        <w:numPr>
          <w:ilvl w:val="2"/>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left="1240" w:hanging="616"/>
        <w:spacing w:after="0" w:line="262" w:lineRule="auto"/>
        <w:tabs>
          <w:tab w:leader="none" w:pos="973" w:val="left"/>
        </w:tabs>
        <w:numPr>
          <w:ilvl w:val="2"/>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1240" w:hanging="616"/>
        <w:spacing w:after="0" w:line="249" w:lineRule="auto"/>
        <w:tabs>
          <w:tab w:leader="none" w:pos="1017" w:val="left"/>
        </w:tabs>
        <w:numPr>
          <w:ilvl w:val="2"/>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620" w:hanging="539"/>
        <w:spacing w:after="0" w:line="262" w:lineRule="auto"/>
        <w:tabs>
          <w:tab w:leader="none" w:pos="487"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240" w:hanging="616"/>
        <w:spacing w:after="0" w:line="262" w:lineRule="auto"/>
        <w:tabs>
          <w:tab w:leader="none" w:pos="973" w:val="left"/>
        </w:tabs>
        <w:numPr>
          <w:ilvl w:val="2"/>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240" w:hanging="616"/>
        <w:spacing w:after="0" w:line="279" w:lineRule="auto"/>
        <w:tabs>
          <w:tab w:leader="none" w:pos="999" w:val="left"/>
        </w:tabs>
        <w:numPr>
          <w:ilvl w:val="2"/>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April 26, 2024</w:t>
            </w:r>
          </w:p>
        </w:tc>
        <w:tc>
          <w:tcPr>
            <w:tcW w:w="5560" w:type="dxa"/>
            <w:vAlign w:val="bottom"/>
          </w:tcPr>
          <w:p>
            <w:pPr>
              <w:spacing w:after="0"/>
              <w:rPr>
                <w:sz w:val="17"/>
                <w:szCs w:val="17"/>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(Angela) Nam</w:t>
            </w:r>
          </w:p>
        </w:tc>
      </w:tr>
      <w:tr>
        <w:trPr>
          <w:trHeight w:val="199"/>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Eun (Angela) Nam</w:t>
            </w:r>
          </w:p>
        </w:tc>
      </w:tr>
      <w:tr>
        <w:trPr>
          <w:trHeight w:val="157"/>
        </w:trPr>
        <w:tc>
          <w:tcPr>
            <w:tcW w:w="19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3760" w:type="dxa"/>
            <w:vAlign w:val="bottom"/>
          </w:tcPr>
          <w:p>
            <w:pPr>
              <w:ind w:left="20"/>
              <w:spacing w:after="0" w:line="158" w:lineRule="exact"/>
              <w:rPr>
                <w:sz w:val="20"/>
                <w:szCs w:val="20"/>
                <w:color w:val="auto"/>
              </w:rPr>
            </w:pPr>
            <w:r>
              <w:rPr>
                <w:rFonts w:ascii="Arial" w:cs="Arial" w:eastAsia="Arial" w:hAnsi="Arial"/>
                <w:sz w:val="16"/>
                <w:szCs w:val="16"/>
                <w:color w:val="auto"/>
              </w:rPr>
              <w:t>Chief Financial Officer and</w:t>
            </w:r>
          </w:p>
        </w:tc>
      </w:tr>
      <w:tr>
        <w:trPr>
          <w:trHeight w:val="204"/>
        </w:trPr>
        <w:tc>
          <w:tcPr>
            <w:tcW w:w="19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Accounting Officer</w:t>
            </w:r>
          </w:p>
        </w:tc>
      </w:tr>
    </w:tbl>
    <w:p>
      <w:pPr>
        <w:sectPr>
          <w:pgSz w:w="11900" w:h="16838" w:orient="portrait"/>
          <w:cols w:equalWidth="0" w:num="1">
            <w:col w:w="11240"/>
          </w:cols>
          <w:pgMar w:left="320" w:top="86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Quarterly Report on Form 10-Q of FTAI Aviation Ltd. (the “Company”) for the quarterly period ended March 31, 2024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20" w:lineRule="exact"/>
        <w:rPr>
          <w:sz w:val="20"/>
          <w:szCs w:val="20"/>
          <w:color w:val="auto"/>
        </w:rPr>
      </w:pPr>
    </w:p>
    <w:p>
      <w:pPr>
        <w:ind w:left="360" w:hanging="357"/>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1" w:lineRule="exact"/>
        <w:rPr>
          <w:rFonts w:ascii="Arial" w:cs="Arial" w:eastAsia="Arial" w:hAnsi="Arial"/>
          <w:sz w:val="16"/>
          <w:szCs w:val="16"/>
          <w:color w:val="auto"/>
        </w:rPr>
      </w:pPr>
    </w:p>
    <w:p>
      <w:pPr>
        <w:ind w:left="360" w:hanging="357"/>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561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26, 2024</w:t>
      </w:r>
    </w:p>
    <w:p>
      <w:pPr>
        <w:sectPr>
          <w:pgSz w:w="11900" w:h="16838" w:orient="portrait"/>
          <w:cols w:equalWidth="0" w:num="1">
            <w:col w:w="11240"/>
          </w:cols>
          <w:pgMar w:left="320" w:top="86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2"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In connection with the Quarterly Report on Form 10-Q of FTAI Aviation Ltd. (the “Company”) for the quarterly period ended March 31, 2024 as filed with the Securities and Exchange Commission on the date hereof (the “Report”), Eun (Angela) Nam, as Chief Financial Officer of the Company, hereby certifies, pursuant to</w:t>
      </w:r>
    </w:p>
    <w:p>
      <w:pPr>
        <w:spacing w:after="0"/>
        <w:rPr>
          <w:sz w:val="20"/>
          <w:szCs w:val="20"/>
          <w:color w:val="auto"/>
        </w:rPr>
      </w:pPr>
      <w:r>
        <w:rPr>
          <w:rFonts w:ascii="Arial" w:cs="Arial" w:eastAsia="Arial" w:hAnsi="Arial"/>
          <w:sz w:val="16"/>
          <w:szCs w:val="16"/>
          <w:color w:val="auto"/>
        </w:rPr>
        <w:t>18 U.S.C. Section 1350, as adopted pursuant to Section 906 of the Sarbanes-Oxley Act of 2002, that, to the best of her knowledge:</w:t>
      </w:r>
    </w:p>
    <w:p>
      <w:pPr>
        <w:spacing w:after="0" w:line="141" w:lineRule="exact"/>
        <w:rPr>
          <w:sz w:val="20"/>
          <w:szCs w:val="20"/>
          <w:color w:val="auto"/>
        </w:rPr>
      </w:pPr>
    </w:p>
    <w:p>
      <w:pPr>
        <w:ind w:left="360" w:hanging="357"/>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1" w:lineRule="exact"/>
        <w:rPr>
          <w:rFonts w:ascii="Arial" w:cs="Arial" w:eastAsia="Arial" w:hAnsi="Arial"/>
          <w:sz w:val="16"/>
          <w:szCs w:val="16"/>
          <w:color w:val="auto"/>
        </w:rPr>
      </w:pPr>
    </w:p>
    <w:p>
      <w:pPr>
        <w:ind w:left="360" w:hanging="357"/>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Eun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561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Eun (Angela) Nam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Chief Accounting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26, 2024</w:t>
      </w: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lvl w:ilvl="1">
      <w:lvlJc w:val="left"/>
      <w:lvlText w:val="(%2)"/>
      <w:numFmt w:val="lowerRoman"/>
      <w:start w:val="3"/>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3"/>
    </w:lvl>
    <w:lvl w:ilvl="1">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
      <w:numFmt w:val="bullet"/>
      <w:start w:val="1"/>
    </w:lvl>
    <w:lvl w:ilvl="1">
      <w:lvlJc w:val="left"/>
      <w:lvlText w:val="%2"/>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80" Type="http://schemas.openxmlformats.org/officeDocument/2006/relationships/image" Target="media/image67.png"/><Relationship Id="rId82" Type="http://schemas.openxmlformats.org/officeDocument/2006/relationships/image" Target="media/image68.png"/><Relationship Id="rId84" Type="http://schemas.openxmlformats.org/officeDocument/2006/relationships/image" Target="media/image69.png"/><Relationship Id="rId87" Type="http://schemas.openxmlformats.org/officeDocument/2006/relationships/image" Target="media/image70.png"/><Relationship Id="rId89" Type="http://schemas.openxmlformats.org/officeDocument/2006/relationships/image" Target="media/image71.png"/><Relationship Id="rId91"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4" Type="http://schemas.openxmlformats.org/officeDocument/2006/relationships/image" Target="media/image77.png"/><Relationship Id="rId107" Type="http://schemas.openxmlformats.org/officeDocument/2006/relationships/image" Target="media/image78.png"/><Relationship Id="rId110"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69" Type="http://schemas.openxmlformats.org/officeDocument/2006/relationships/hyperlink" Target="https://www.sec.gov/Archives/edgar/data/1590364/000114036122036824/ny20005522x1_defm14a.htm#tANNEXA" TargetMode="External"/><Relationship Id="rId70" Type="http://schemas.openxmlformats.org/officeDocument/2006/relationships/hyperlink" Target="https://www.sec.gov/Archives/edgar/data/1590364/000114036122027698/brhc10040167_ex2-1.htm" TargetMode="External"/><Relationship Id="rId72" Type="http://schemas.openxmlformats.org/officeDocument/2006/relationships/hyperlink" Target="https://www.sec.gov/Archives/edgar/data/1590364/000114036122041421/brhc10044020_ex3-1.htm" TargetMode="External"/><Relationship Id="rId75" Type="http://schemas.openxmlformats.org/officeDocument/2006/relationships/hyperlink" Target="https://www.sec.gov/Archives/edgar/data/1590364/000114036123011743/brhc10049807_ex4-1.htm" TargetMode="External"/><Relationship Id="rId78" Type="http://schemas.openxmlformats.org/officeDocument/2006/relationships/hyperlink" Target="https://www.sec.gov/Archives/edgar/data/1590364/000114036123011743/brhc10049807_ex4-2.htm" TargetMode="External"/><Relationship Id="rId79" Type="http://schemas.openxmlformats.org/officeDocument/2006/relationships/hyperlink" Target="https://www.sec.gov/Archives/edgar/data/1590364/000114036120016865/nt1003669x5_ex4-1.htm" TargetMode="External"/><Relationship Id="rId81" Type="http://schemas.openxmlformats.org/officeDocument/2006/relationships/hyperlink" Target="https://www.sec.gov/Archives/edgar/data/0001590364/000114036122041407/brhc10044100_ex4-2.htm" TargetMode="External"/><Relationship Id="rId83" Type="http://schemas.openxmlformats.org/officeDocument/2006/relationships/hyperlink" Target="https://www.sec.gov/Archives/edgar/data/1590364/000114036121012434/nt10022837x5_ex4-1.htm" TargetMode="External"/><Relationship Id="rId85" Type="http://schemas.openxmlformats.org/officeDocument/2006/relationships/hyperlink" Target="https://www.sec.gov/Archives/edgar/data/1590364/000114036121032467/ny20000775x4_ex4-1.htm" TargetMode="External"/><Relationship Id="rId86" Type="http://schemas.openxmlformats.org/officeDocument/2006/relationships/hyperlink" Target="https://www.sec.gov/Archives/edgar/data/0001590364/000114036122041407/brhc10044100_ex4-3.htm" TargetMode="External"/><Relationship Id="rId88" Type="http://schemas.openxmlformats.org/officeDocument/2006/relationships/hyperlink" Target="https://www.sec.gov/Archives/edgar/data/1590364/000114036123054468/ef20015109_ex4-1.htm" TargetMode="External"/><Relationship Id="rId90" Type="http://schemas.openxmlformats.org/officeDocument/2006/relationships/hyperlink" Target="https://www.sec.gov/ix?doc=/Archives/edgar/data/1590364/000114036124019374/ef20026556_8k.htm" TargetMode="External"/><Relationship Id="rId92" Type="http://schemas.openxmlformats.org/officeDocument/2006/relationships/hyperlink" Target="https://www.sec.gov/Archives/edgar/data/1590364/000159036424000003/ftaiaviation12312023ex415.htm" TargetMode="External"/><Relationship Id="rId93" Type="http://schemas.openxmlformats.org/officeDocument/2006/relationships/hyperlink" Target="https://www.sec.gov/Archives/edgar/data/1590364/000114036122027698/brhc10040167_ex10-1.htm" TargetMode="External"/><Relationship Id="rId94" Type="http://schemas.openxmlformats.org/officeDocument/2006/relationships/hyperlink" Target="https://www.sec.gov/Archives/edgar/data/1590364/000114036122041421/brhc10044020_ex10-1.htm" TargetMode="External"/><Relationship Id="rId95" Type="http://schemas.openxmlformats.org/officeDocument/2006/relationships/hyperlink" Target="https://www.sec.gov/Archives/edgar/data/1590364/000114036122041421/brhc10044020_ex10-2.htm" TargetMode="External"/><Relationship Id="rId96" Type="http://schemas.openxmlformats.org/officeDocument/2006/relationships/hyperlink" Target="https://www.sec.gov/Archives/edgar/data/1590364/000159036423000007/ftaiaviation12312022ex104.htm" TargetMode="External"/><Relationship Id="rId97" Type="http://schemas.openxmlformats.org/officeDocument/2006/relationships/hyperlink" Target="https://www.sec.gov/Archives/edgar/data/1942420/000114036122029494/ny20005018x1_ex10-5.htm" TargetMode="External"/><Relationship Id="rId102" Type="http://schemas.openxmlformats.org/officeDocument/2006/relationships/hyperlink" Target="https://www.sec.gov/Archives/edgar/data/1942420/000114036122029494/ny20005018x1_ex10-6.htm" TargetMode="External"/><Relationship Id="rId103" Type="http://schemas.openxmlformats.org/officeDocument/2006/relationships/hyperlink" Target="https://www.sec.gov/Archives/edgar/data/1942420/000114036122029494/ny20005018x1_ex10-7.htm" TargetMode="External"/><Relationship Id="rId105" Type="http://schemas.openxmlformats.org/officeDocument/2006/relationships/hyperlink" Target="https://www.sec.gov/ix?doc=/Archives/edgar/data/0001590364/000114036122027698/brhc10040167_8k.htm" TargetMode="External"/><Relationship Id="rId106" Type="http://schemas.openxmlformats.org/officeDocument/2006/relationships/hyperlink" Target="https://www.sec.gov/Archives/edgar/data/1590364/000114036122034108/brhc10042070_ex10-1.htm" TargetMode="External"/><Relationship Id="rId108" Type="http://schemas.openxmlformats.org/officeDocument/2006/relationships/hyperlink" Target="https://www.sec.gov/Archives/edgar/data/1590364/000159036423000007/ftaiaviation12312022ex1010.htm" TargetMode="External"/><Relationship Id="rId109" Type="http://schemas.openxmlformats.org/officeDocument/2006/relationships/hyperlink" Target="https://www.sec.gov/Archives/edgar/data/1590364/000159036423000013/ftai3312023exhibit1011.htm" TargetMode="External"/><Relationship Id="rId111" Type="http://schemas.openxmlformats.org/officeDocument/2006/relationships/hyperlink" Target="https://www.sec.gov/Archives/edgar/data/0001590364/000114036122041407/brhc10044100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2024-04-26T15:52:48Z</dcterms:created>
  <dcterms:modified xsi:type="dcterms:W3CDTF">2024-04-26T15:52:48Z</dcterms:modified>
</cp:coreProperties>
</file>