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September 30, 2015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left="4300" w:right="1700" w:hanging="2595"/>
        <w:spacing w:after="0" w:line="684"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1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0"/>
              </w:rPr>
              <w:t>1345 Avenue of the Americas, 46th Floor,</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210"/>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6"/>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210"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28" w:lineRule="exact"/>
        <w:rPr>
          <w:sz w:val="24"/>
          <w:szCs w:val="24"/>
          <w:color w:val="auto"/>
        </w:rPr>
      </w:pPr>
    </w:p>
    <w:p>
      <w:pPr>
        <w:ind w:right="31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75,718,183 common shares representing limited liability company interests outstanding at November 4, 2015.</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0000EE"/>
            </w:tcBorders>
            <w:gridSpan w:val="7"/>
          </w:tcPr>
          <w:p>
            <w:pPr>
              <w:jc w:val="center"/>
              <w:spacing w:after="0"/>
              <w:rPr>
                <w:rFonts w:ascii="Arial" w:cs="Arial" w:eastAsia="Arial" w:hAnsi="Arial"/>
                <w:sz w:val="16"/>
                <w:szCs w:val="16"/>
                <w:color w:val="0000EE"/>
              </w:rPr>
            </w:pPr>
            <w:hyperlink w:anchor="page2">
              <w:r>
                <w:rPr>
                  <w:rFonts w:ascii="Arial" w:cs="Arial" w:eastAsia="Arial" w:hAnsi="Arial"/>
                  <w:sz w:val="16"/>
                  <w:szCs w:val="16"/>
                  <w:color w:val="0000EE"/>
                </w:rPr>
                <w:t>PART I—FINANCIAL INFORMATION</w:t>
              </w:r>
            </w:hyperlink>
          </w:p>
        </w:tc>
        <w:tc>
          <w:tcPr>
            <w:tcW w:w="358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960" w:type="dxa"/>
            <w:vAlign w:val="bottom"/>
            <w:gridSpan w:val="14"/>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Unaudited Consolidated Financial Statements</w:t>
              </w:r>
            </w:hyperlink>
          </w:p>
        </w:tc>
        <w:tc>
          <w:tcPr>
            <w:tcW w:w="6660" w:type="dxa"/>
            <w:vAlign w:val="bottom"/>
            <w:gridSpan w:val="15"/>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620" w:type="dxa"/>
            <w:vAlign w:val="bottom"/>
            <w:gridSpan w:val="2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(unaudited) as of September 30, 2015 and December 31, 2014</w:t>
              </w:r>
            </w:hyperlink>
          </w:p>
        </w:tc>
        <w:tc>
          <w:tcPr>
            <w:tcW w:w="8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620" w:type="dxa"/>
            <w:vAlign w:val="bottom"/>
            <w:gridSpan w:val="2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Operations (unaudited) for the three and nine months ended September 30, 2015 and 2014</w:t>
              </w:r>
            </w:hyperlink>
          </w:p>
        </w:tc>
        <w:tc>
          <w:tcPr>
            <w:tcW w:w="8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960" w:type="dxa"/>
            <w:vAlign w:val="bottom"/>
            <w:gridSpan w:val="28"/>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Comprehensive (Loss) Income (unaudited) for the three and nine months ended September 30, 2015 and 2014</w:t>
              </w:r>
            </w:hyperlink>
          </w:p>
        </w:tc>
        <w:tc>
          <w:tcPr>
            <w:tcW w:w="660" w:type="dxa"/>
            <w:vAlign w:val="bottom"/>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820" w:type="dxa"/>
            <w:vAlign w:val="bottom"/>
            <w:gridSpan w:val="25"/>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 of Changes in Equity (unaudited) for the nine months ended September 30, 2015</w:t>
              </w:r>
            </w:hyperlink>
          </w:p>
        </w:tc>
        <w:tc>
          <w:tcPr>
            <w:tcW w:w="214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080" w:type="dxa"/>
            <w:vAlign w:val="bottom"/>
            <w:gridSpan w:val="26"/>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Cash Flows (unaudited) for the nine months ended September 30, 2015 and 2014</w:t>
              </w:r>
            </w:hyperlink>
          </w:p>
        </w:tc>
        <w:tc>
          <w:tcPr>
            <w:tcW w:w="2540" w:type="dxa"/>
            <w:vAlign w:val="bottom"/>
            <w:gridSpan w:val="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80" w:type="dxa"/>
            <w:vAlign w:val="bottom"/>
            <w:gridSpan w:val="21"/>
          </w:tcPr>
          <w:p>
            <w:pPr>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Notes to Unaudited Consolidated Financial Statements (unaudited)</w:t>
              </w:r>
            </w:hyperlink>
          </w:p>
        </w:tc>
        <w:tc>
          <w:tcPr>
            <w:tcW w:w="2800" w:type="dxa"/>
            <w:vAlign w:val="bottom"/>
            <w:gridSpan w:val="5"/>
          </w:tcPr>
          <w:p>
            <w:pPr>
              <w:spacing w:after="0"/>
              <w:rPr>
                <w:sz w:val="21"/>
                <w:szCs w:val="21"/>
                <w:color w:val="auto"/>
              </w:rPr>
            </w:pPr>
          </w:p>
        </w:tc>
        <w:tc>
          <w:tcPr>
            <w:tcW w:w="2540" w:type="dxa"/>
            <w:vAlign w:val="bottom"/>
            <w:gridSpan w:val="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1: Organization</w:t>
              </w:r>
            </w:hyperlink>
          </w:p>
        </w:tc>
        <w:tc>
          <w:tcPr>
            <w:tcW w:w="5340" w:type="dxa"/>
            <w:vAlign w:val="bottom"/>
            <w:gridSpan w:val="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18"/>
          </w:tcPr>
          <w:p>
            <w:pPr>
              <w:spacing w:after="0"/>
              <w:rPr>
                <w:rFonts w:ascii="Arial" w:cs="Arial" w:eastAsia="Arial" w:hAnsi="Arial"/>
                <w:sz w:val="16"/>
                <w:szCs w:val="16"/>
                <w:color w:val="0000EE"/>
                <w:w w:val="94"/>
              </w:rPr>
            </w:pPr>
            <w:hyperlink w:anchor="page9">
              <w:r>
                <w:rPr>
                  <w:rFonts w:ascii="Arial" w:cs="Arial" w:eastAsia="Arial" w:hAnsi="Arial"/>
                  <w:sz w:val="16"/>
                  <w:szCs w:val="16"/>
                  <w:color w:val="0000EE"/>
                  <w:w w:val="94"/>
                </w:rPr>
                <w:t>Note 2: Summary of Significant Accounting Policies</w:t>
              </w:r>
            </w:hyperlink>
          </w:p>
        </w:tc>
        <w:tc>
          <w:tcPr>
            <w:tcW w:w="5840" w:type="dxa"/>
            <w:vAlign w:val="bottom"/>
            <w:gridSpan w:val="10"/>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3: Acquisitions</w:t>
              </w:r>
            </w:hyperlink>
          </w:p>
        </w:tc>
        <w:tc>
          <w:tcPr>
            <w:tcW w:w="5840" w:type="dxa"/>
            <w:vAlign w:val="bottom"/>
            <w:gridSpan w:val="10"/>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0"/>
          </w:tcPr>
          <w:p>
            <w:pPr>
              <w:spacing w:after="0"/>
              <w:rPr>
                <w:rFonts w:ascii="Arial" w:cs="Arial" w:eastAsia="Arial" w:hAnsi="Arial"/>
                <w:sz w:val="16"/>
                <w:szCs w:val="16"/>
                <w:color w:val="0000EE"/>
                <w:w w:val="91"/>
              </w:rPr>
            </w:pPr>
            <w:hyperlink w:anchor="page13">
              <w:r>
                <w:rPr>
                  <w:rFonts w:ascii="Arial" w:cs="Arial" w:eastAsia="Arial" w:hAnsi="Arial"/>
                  <w:sz w:val="16"/>
                  <w:szCs w:val="16"/>
                  <w:color w:val="0000EE"/>
                  <w:w w:val="91"/>
                </w:rPr>
                <w:t>Note 4: Leasing Equipment, net</w:t>
              </w:r>
            </w:hyperlink>
          </w:p>
        </w:tc>
        <w:tc>
          <w:tcPr>
            <w:tcW w:w="7200" w:type="dxa"/>
            <w:vAlign w:val="bottom"/>
            <w:gridSpan w:val="1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0"/>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5: Finance Leases, net</w:t>
              </w:r>
            </w:hyperlink>
          </w:p>
        </w:tc>
        <w:tc>
          <w:tcPr>
            <w:tcW w:w="7200" w:type="dxa"/>
            <w:vAlign w:val="bottom"/>
            <w:gridSpan w:val="1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14"/>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Note 6: Property, Plant and Equipment, net</w:t>
              </w:r>
            </w:hyperlink>
          </w:p>
        </w:tc>
        <w:tc>
          <w:tcPr>
            <w:tcW w:w="6520" w:type="dxa"/>
            <w:vAlign w:val="bottom"/>
            <w:gridSpan w:val="14"/>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5"/>
          </w:tcPr>
          <w:p>
            <w:pPr>
              <w:spacing w:after="0"/>
              <w:rPr>
                <w:rFonts w:ascii="Arial" w:cs="Arial" w:eastAsia="Arial" w:hAnsi="Arial"/>
                <w:sz w:val="16"/>
                <w:szCs w:val="16"/>
                <w:color w:val="0000EE"/>
                <w:w w:val="92"/>
              </w:rPr>
            </w:pPr>
            <w:hyperlink w:anchor="page15">
              <w:r>
                <w:rPr>
                  <w:rFonts w:ascii="Arial" w:cs="Arial" w:eastAsia="Arial" w:hAnsi="Arial"/>
                  <w:sz w:val="16"/>
                  <w:szCs w:val="16"/>
                  <w:color w:val="0000EE"/>
                  <w:w w:val="92"/>
                </w:rPr>
                <w:t>Note 7: Investment in Unconsolidated Entity</w:t>
              </w:r>
            </w:hyperlink>
          </w:p>
        </w:tc>
        <w:tc>
          <w:tcPr>
            <w:tcW w:w="63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5"/>
          </w:tcPr>
          <w:p>
            <w:pPr>
              <w:spacing w:after="0"/>
              <w:rPr>
                <w:rFonts w:ascii="Arial" w:cs="Arial" w:eastAsia="Arial" w:hAnsi="Arial"/>
                <w:sz w:val="16"/>
                <w:szCs w:val="16"/>
                <w:color w:val="0000EE"/>
                <w:w w:val="92"/>
              </w:rPr>
            </w:pPr>
            <w:hyperlink w:anchor="page17">
              <w:r>
                <w:rPr>
                  <w:rFonts w:ascii="Arial" w:cs="Arial" w:eastAsia="Arial" w:hAnsi="Arial"/>
                  <w:sz w:val="16"/>
                  <w:szCs w:val="16"/>
                  <w:color w:val="0000EE"/>
                  <w:w w:val="92"/>
                </w:rPr>
                <w:t>Note 8: Intangible Assets and Liabilities, net</w:t>
              </w:r>
            </w:hyperlink>
          </w:p>
        </w:tc>
        <w:tc>
          <w:tcPr>
            <w:tcW w:w="63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3"/>
          </w:tcPr>
          <w:p>
            <w:pPr>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Note 9: Debt</w:t>
              </w:r>
            </w:hyperlink>
          </w:p>
        </w:tc>
        <w:tc>
          <w:tcPr>
            <w:tcW w:w="2060" w:type="dxa"/>
            <w:vAlign w:val="bottom"/>
            <w:gridSpan w:val="12"/>
          </w:tcPr>
          <w:p>
            <w:pPr>
              <w:spacing w:after="0"/>
              <w:rPr>
                <w:sz w:val="21"/>
                <w:szCs w:val="21"/>
                <w:color w:val="auto"/>
              </w:rPr>
            </w:pPr>
          </w:p>
        </w:tc>
        <w:tc>
          <w:tcPr>
            <w:tcW w:w="6380" w:type="dxa"/>
            <w:vAlign w:val="bottom"/>
            <w:gridSpan w:val="13"/>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2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10: Fair Value Measurements</w:t>
              </w:r>
            </w:hyperlink>
          </w:p>
        </w:tc>
        <w:tc>
          <w:tcPr>
            <w:tcW w:w="8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Note 11: Revenues</w:t>
              </w:r>
            </w:hyperlink>
          </w:p>
        </w:tc>
        <w:tc>
          <w:tcPr>
            <w:tcW w:w="1020" w:type="dxa"/>
            <w:vAlign w:val="bottom"/>
            <w:gridSpan w:val="7"/>
          </w:tcPr>
          <w:p>
            <w:pPr>
              <w:spacing w:after="0"/>
              <w:rPr>
                <w:sz w:val="21"/>
                <w:szCs w:val="21"/>
                <w:color w:val="auto"/>
              </w:rPr>
            </w:pPr>
          </w:p>
        </w:tc>
        <w:tc>
          <w:tcPr>
            <w:tcW w:w="7020" w:type="dxa"/>
            <w:vAlign w:val="bottom"/>
            <w:gridSpan w:val="17"/>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28"/>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Note 12: Equity-Based Compensation</w:t>
              </w:r>
            </w:hyperlink>
          </w:p>
        </w:tc>
        <w:tc>
          <w:tcPr>
            <w:tcW w:w="82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12"/>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Note 13: Income Taxes</w:t>
              </w:r>
            </w:hyperlink>
          </w:p>
        </w:tc>
        <w:tc>
          <w:tcPr>
            <w:tcW w:w="6820" w:type="dxa"/>
            <w:vAlign w:val="bottom"/>
            <w:gridSpan w:val="16"/>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0"/>
          </w:tcPr>
          <w:p>
            <w:pPr>
              <w:spacing w:after="0"/>
              <w:rPr>
                <w:rFonts w:ascii="Arial" w:cs="Arial" w:eastAsia="Arial" w:hAnsi="Arial"/>
                <w:sz w:val="16"/>
                <w:szCs w:val="16"/>
                <w:color w:val="0000EE"/>
                <w:w w:val="91"/>
              </w:rPr>
            </w:pPr>
            <w:hyperlink w:anchor="page26">
              <w:r>
                <w:rPr>
                  <w:rFonts w:ascii="Arial" w:cs="Arial" w:eastAsia="Arial" w:hAnsi="Arial"/>
                  <w:sz w:val="16"/>
                  <w:szCs w:val="16"/>
                  <w:color w:val="0000EE"/>
                  <w:w w:val="91"/>
                </w:rPr>
                <w:t>Note 14: Management Agreement and Affiliate Transactions</w:t>
              </w:r>
            </w:hyperlink>
          </w:p>
        </w:tc>
        <w:tc>
          <w:tcPr>
            <w:tcW w:w="5340" w:type="dxa"/>
            <w:vAlign w:val="bottom"/>
            <w:gridSpan w:val="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6">
              <w:r>
                <w:rPr>
                  <w:rFonts w:ascii="Arial" w:cs="Arial" w:eastAsia="Arial" w:hAnsi="Arial"/>
                  <w:sz w:val="16"/>
                  <w:szCs w:val="16"/>
                  <w:color w:val="0000EE"/>
                </w:rPr>
                <w:t>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0"/>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Note 15: Segment Information</w:t>
              </w:r>
            </w:hyperlink>
          </w:p>
        </w:tc>
        <w:tc>
          <w:tcPr>
            <w:tcW w:w="5340" w:type="dxa"/>
            <w:vAlign w:val="bottom"/>
            <w:gridSpan w:val="8"/>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8"/>
          </w:tcPr>
          <w:p>
            <w:pPr>
              <w:spacing w:after="0"/>
              <w:rPr>
                <w:rFonts w:ascii="Arial" w:cs="Arial" w:eastAsia="Arial" w:hAnsi="Arial"/>
                <w:sz w:val="16"/>
                <w:szCs w:val="16"/>
                <w:color w:val="0000EE"/>
                <w:w w:val="88"/>
              </w:rPr>
            </w:pPr>
            <w:hyperlink w:anchor="page39">
              <w:r>
                <w:rPr>
                  <w:rFonts w:ascii="Arial" w:cs="Arial" w:eastAsia="Arial" w:hAnsi="Arial"/>
                  <w:sz w:val="16"/>
                  <w:szCs w:val="16"/>
                  <w:color w:val="0000EE"/>
                  <w:w w:val="88"/>
                </w:rPr>
                <w:t>Note 16: Earnings per Share</w:t>
              </w:r>
            </w:hyperlink>
          </w:p>
        </w:tc>
        <w:tc>
          <w:tcPr>
            <w:tcW w:w="140" w:type="dxa"/>
            <w:vAlign w:val="bottom"/>
          </w:tcPr>
          <w:p>
            <w:pPr>
              <w:spacing w:after="0"/>
              <w:rPr>
                <w:sz w:val="21"/>
                <w:szCs w:val="21"/>
                <w:color w:val="auto"/>
              </w:rPr>
            </w:pPr>
          </w:p>
        </w:tc>
        <w:tc>
          <w:tcPr>
            <w:tcW w:w="7300" w:type="dxa"/>
            <w:vAlign w:val="bottom"/>
            <w:gridSpan w:val="19"/>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80" w:type="dxa"/>
            <w:vAlign w:val="bottom"/>
            <w:gridSpan w:val="2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Note 17: Commitments and Contingencies</w:t>
              </w:r>
            </w:hyperlink>
          </w:p>
        </w:tc>
        <w:tc>
          <w:tcPr>
            <w:tcW w:w="8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8"/>
          </w:tcPr>
          <w:p>
            <w:pPr>
              <w:spacing w:after="0"/>
              <w:rPr>
                <w:rFonts w:ascii="Arial" w:cs="Arial" w:eastAsia="Arial" w:hAnsi="Arial"/>
                <w:sz w:val="16"/>
                <w:szCs w:val="16"/>
                <w:color w:val="0000EE"/>
                <w:w w:val="88"/>
              </w:rPr>
            </w:pPr>
            <w:hyperlink w:anchor="page40">
              <w:r>
                <w:rPr>
                  <w:rFonts w:ascii="Arial" w:cs="Arial" w:eastAsia="Arial" w:hAnsi="Arial"/>
                  <w:sz w:val="16"/>
                  <w:szCs w:val="16"/>
                  <w:color w:val="0000EE"/>
                  <w:w w:val="88"/>
                </w:rPr>
                <w:t>Note 18: Subsequent Events</w:t>
              </w:r>
            </w:hyperlink>
          </w:p>
        </w:tc>
        <w:tc>
          <w:tcPr>
            <w:tcW w:w="920" w:type="dxa"/>
            <w:vAlign w:val="bottom"/>
            <w:gridSpan w:val="6"/>
          </w:tcPr>
          <w:p>
            <w:pPr>
              <w:spacing w:after="0"/>
              <w:rPr>
                <w:sz w:val="21"/>
                <w:szCs w:val="21"/>
                <w:color w:val="auto"/>
              </w:rPr>
            </w:pPr>
          </w:p>
        </w:tc>
        <w:tc>
          <w:tcPr>
            <w:tcW w:w="6520" w:type="dxa"/>
            <w:vAlign w:val="bottom"/>
            <w:gridSpan w:val="14"/>
          </w:tcPr>
          <w:p>
            <w:pPr>
              <w:spacing w:after="0"/>
              <w:rPr>
                <w:sz w:val="21"/>
                <w:szCs w:val="21"/>
                <w:color w:val="auto"/>
              </w:rPr>
            </w:pPr>
          </w:p>
        </w:tc>
        <w:tc>
          <w:tcPr>
            <w:tcW w:w="8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620" w:type="dxa"/>
            <w:vAlign w:val="bottom"/>
            <w:gridSpan w:val="2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8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41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0"/>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0"/>
          </w:tcPr>
          <w:p>
            <w:pPr>
              <w:spacing w:after="0"/>
              <w:rPr>
                <w:rFonts w:ascii="Arial" w:cs="Arial" w:eastAsia="Arial" w:hAnsi="Arial"/>
                <w:sz w:val="16"/>
                <w:szCs w:val="16"/>
                <w:color w:val="0000EE"/>
                <w:w w:val="92"/>
              </w:rPr>
            </w:pPr>
            <w:hyperlink w:anchor="page68">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7"/>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0"/>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40" w:type="dxa"/>
            <w:vAlign w:val="bottom"/>
            <w:tcBorders>
              <w:left w:val="single" w:sz="8" w:color="0000EE"/>
            </w:tcBorders>
            <w:gridSpan w:val="3"/>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0"/>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Controls and Procedures</w:t>
              </w:r>
            </w:hyperlink>
          </w:p>
        </w:tc>
        <w:tc>
          <w:tcPr>
            <w:tcW w:w="5720" w:type="dxa"/>
            <w:vAlign w:val="bottom"/>
            <w:gridSpan w:val="9"/>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Borders>
              <w:bottom w:val="single" w:sz="8" w:color="0000EE"/>
            </w:tcBorders>
            <w:gridSpan w:val="5"/>
          </w:tcPr>
          <w:p>
            <w:pPr>
              <w:jc w:val="center"/>
              <w:ind w:right="40"/>
              <w:spacing w:after="0"/>
              <w:rPr>
                <w:rFonts w:ascii="Arial" w:cs="Arial" w:eastAsia="Arial" w:hAnsi="Arial"/>
                <w:sz w:val="16"/>
                <w:szCs w:val="16"/>
                <w:color w:val="0000EE"/>
                <w:w w:val="98"/>
              </w:rPr>
            </w:pPr>
            <w:hyperlink w:anchor="page69">
              <w:r>
                <w:rPr>
                  <w:rFonts w:ascii="Arial" w:cs="Arial" w:eastAsia="Arial" w:hAnsi="Arial"/>
                  <w:sz w:val="16"/>
                  <w:szCs w:val="16"/>
                  <w:color w:val="0000EE"/>
                  <w:w w:val="98"/>
                </w:rPr>
                <w:t>PART II—OTHER INFORMATION</w:t>
              </w:r>
            </w:hyperlink>
          </w:p>
        </w:tc>
        <w:tc>
          <w:tcPr>
            <w:tcW w:w="368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180" w:type="dxa"/>
            <w:vAlign w:val="bottom"/>
            <w:gridSpan w:val="4"/>
          </w:tcPr>
          <w:p>
            <w:pPr>
              <w:spacing w:after="0"/>
              <w:rPr>
                <w:rFonts w:ascii="Arial" w:cs="Arial" w:eastAsia="Arial" w:hAnsi="Arial"/>
                <w:sz w:val="16"/>
                <w:szCs w:val="16"/>
                <w:color w:val="0000EE"/>
                <w:w w:val="85"/>
              </w:rPr>
            </w:pPr>
            <w:hyperlink w:anchor="page69">
              <w:r>
                <w:rPr>
                  <w:rFonts w:ascii="Arial" w:cs="Arial" w:eastAsia="Arial" w:hAnsi="Arial"/>
                  <w:sz w:val="16"/>
                  <w:szCs w:val="16"/>
                  <w:color w:val="0000EE"/>
                  <w:w w:val="85"/>
                </w:rPr>
                <w:t>Legal Proceedings</w:t>
              </w:r>
            </w:hyperlink>
          </w:p>
        </w:tc>
        <w:tc>
          <w:tcPr>
            <w:tcW w:w="8440" w:type="dxa"/>
            <w:vAlign w:val="bottom"/>
            <w:gridSpan w:val="25"/>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1A.</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Risk Factors</w:t>
              </w:r>
            </w:hyperlink>
          </w:p>
        </w:tc>
        <w:tc>
          <w:tcPr>
            <w:tcW w:w="8440" w:type="dxa"/>
            <w:vAlign w:val="bottom"/>
            <w:gridSpan w:val="25"/>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70">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620" w:type="dxa"/>
            <w:vAlign w:val="bottom"/>
            <w:gridSpan w:val="29"/>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Unregistered Sales of Equity Securities and Use of Proceeds</w:t>
              </w:r>
            </w:hyperlink>
          </w:p>
        </w:tc>
        <w:tc>
          <w:tcPr>
            <w:tcW w:w="8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1820" w:type="dxa"/>
            <w:vAlign w:val="bottom"/>
            <w:tcBorders>
              <w:left w:val="single" w:sz="8" w:color="0000EE"/>
            </w:tcBorders>
            <w:gridSpan w:val="12"/>
            <w:shd w:val="clear" w:color="auto" w:fill="0000EE"/>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0"/>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Defaults Upon Senior Securities</w:t>
              </w:r>
            </w:hyperlink>
          </w:p>
        </w:tc>
        <w:tc>
          <w:tcPr>
            <w:tcW w:w="5720" w:type="dxa"/>
            <w:vAlign w:val="bottom"/>
            <w:gridSpan w:val="9"/>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7540" w:type="dxa"/>
            <w:vAlign w:val="bottom"/>
            <w:gridSpan w:val="2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8"/>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Mine Safety Disclosures</w:t>
              </w:r>
            </w:hyperlink>
          </w:p>
        </w:tc>
        <w:tc>
          <w:tcPr>
            <w:tcW w:w="7540" w:type="dxa"/>
            <w:vAlign w:val="bottom"/>
            <w:gridSpan w:val="21"/>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5.</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40" w:type="dxa"/>
            <w:vAlign w:val="bottom"/>
            <w:gridSpan w:val="2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90">
              <w:r>
                <w:rPr>
                  <w:rFonts w:ascii="Arial" w:cs="Arial" w:eastAsia="Arial" w:hAnsi="Arial"/>
                  <w:sz w:val="16"/>
                  <w:szCs w:val="16"/>
                  <w:color w:val="0000EE"/>
                  <w:w w:val="91"/>
                </w:rPr>
                <w:t>Other Information</w:t>
              </w:r>
            </w:hyperlink>
          </w:p>
        </w:tc>
        <w:tc>
          <w:tcPr>
            <w:tcW w:w="400" w:type="dxa"/>
            <w:vAlign w:val="bottom"/>
          </w:tcPr>
          <w:p>
            <w:pPr>
              <w:spacing w:after="0"/>
              <w:rPr>
                <w:sz w:val="20"/>
                <w:szCs w:val="20"/>
                <w:color w:val="auto"/>
              </w:rPr>
            </w:pPr>
          </w:p>
        </w:tc>
        <w:tc>
          <w:tcPr>
            <w:tcW w:w="8040" w:type="dxa"/>
            <w:vAlign w:val="bottom"/>
            <w:gridSpan w:val="24"/>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90</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6.</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440" w:type="dxa"/>
            <w:vAlign w:val="bottom"/>
            <w:gridSpan w:val="2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EE"/>
                <w:w w:val="92"/>
              </w:rPr>
            </w:pPr>
            <w:hyperlink w:anchor="page90">
              <w:r>
                <w:rPr>
                  <w:rFonts w:ascii="Arial" w:cs="Arial" w:eastAsia="Arial" w:hAnsi="Arial"/>
                  <w:sz w:val="16"/>
                  <w:szCs w:val="16"/>
                  <w:color w:val="0000EE"/>
                  <w:w w:val="92"/>
                </w:rPr>
                <w:t>Exhibits</w:t>
              </w:r>
            </w:hyperlink>
          </w:p>
        </w:tc>
        <w:tc>
          <w:tcPr>
            <w:tcW w:w="640" w:type="dxa"/>
            <w:vAlign w:val="bottom"/>
            <w:gridSpan w:val="2"/>
          </w:tcPr>
          <w:p>
            <w:pPr>
              <w:spacing w:after="0"/>
              <w:rPr>
                <w:sz w:val="20"/>
                <w:szCs w:val="20"/>
                <w:color w:val="auto"/>
              </w:rPr>
            </w:pPr>
          </w:p>
        </w:tc>
        <w:tc>
          <w:tcPr>
            <w:tcW w:w="8440" w:type="dxa"/>
            <w:vAlign w:val="bottom"/>
            <w:gridSpan w:val="25"/>
          </w:tcPr>
          <w:p>
            <w:pPr>
              <w:spacing w:after="0"/>
              <w:rPr>
                <w:sz w:val="20"/>
                <w:szCs w:val="20"/>
                <w:color w:val="auto"/>
              </w:rPr>
            </w:pPr>
          </w:p>
        </w:tc>
        <w:tc>
          <w:tcPr>
            <w:tcW w:w="820" w:type="dxa"/>
            <w:vAlign w:val="bottom"/>
            <w:gridSpan w:val="3"/>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91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66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160" w:type="dxa"/>
            <w:vAlign w:val="bottom"/>
            <w:gridSpan w:val="3"/>
            <w:vMerge w:val="restart"/>
          </w:tcPr>
          <w:p>
            <w:pPr>
              <w:jc w:val="right"/>
              <w:ind w:right="479"/>
              <w:spacing w:after="0"/>
              <w:rPr>
                <w:sz w:val="20"/>
                <w:szCs w:val="20"/>
                <w:color w:val="auto"/>
              </w:rPr>
            </w:pPr>
            <w:r>
              <w:rPr>
                <w:rFonts w:ascii="Arial" w:cs="Arial" w:eastAsia="Arial" w:hAnsi="Arial"/>
                <w:sz w:val="16"/>
                <w:szCs w:val="16"/>
                <w:b w:val="1"/>
                <w:bCs w:val="1"/>
                <w:color w:val="auto"/>
              </w:rPr>
              <w:t>Notes</w:t>
            </w: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48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1"/>
              </w:rPr>
              <w:t>December 31, 2014</w:t>
            </w: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1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21,084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616,019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509,379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294,352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227,381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Investment in and advances to unconsolidated entity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Tendered bonds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assets,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52,169</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Goodwill</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116,584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116,584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24,048</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92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1,682,136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1,404,740</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1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Debt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274,942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deposits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Security deposits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15,950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13,622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361,326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691,243</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Commitments and contingencies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Common shares ($0.01 par value per share; 2,000,000,000 shares authorized; 75,718,183 and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53,502,873 shares issued and outstanding as of September 30, 2015 and December 31, 2014,</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Additional paid in capital</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1,209,183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613,683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deficit</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Accumulated other comprehensive (loss) income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Shareholders' equity</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614,432</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124,956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99,065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equity</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c>
          <w:tcPr>
            <w:tcW w:w="0" w:type="dxa"/>
            <w:vAlign w:val="bottom"/>
          </w:tcPr>
          <w:p>
            <w:pPr>
              <w:spacing w:after="0"/>
              <w:rPr>
                <w:sz w:val="1"/>
                <w:szCs w:val="1"/>
                <w:color w:val="auto"/>
              </w:rPr>
            </w:pPr>
          </w:p>
        </w:tc>
      </w:tr>
      <w:tr>
        <w:trPr>
          <w:trHeight w:val="244"/>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 and equity</w:t>
            </w:r>
          </w:p>
        </w:tc>
        <w:tc>
          <w:tcPr>
            <w:tcW w:w="920" w:type="dxa"/>
            <w:vAlign w:val="bottom"/>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1,682,136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1,404,740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13"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7"/>
                <w:szCs w:val="17"/>
                <w:color w:val="auto"/>
              </w:rPr>
            </w:pPr>
          </w:p>
        </w:tc>
        <w:tc>
          <w:tcPr>
            <w:tcW w:w="2720" w:type="dxa"/>
            <w:vAlign w:val="bottom"/>
            <w:gridSpan w:val="4"/>
          </w:tcPr>
          <w:p>
            <w:pPr>
              <w:jc w:val="center"/>
              <w:ind w:right="218"/>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center"/>
              <w:ind w:left="598"/>
              <w:spacing w:after="0"/>
              <w:rPr>
                <w:sz w:val="20"/>
                <w:szCs w:val="20"/>
                <w:color w:val="auto"/>
              </w:rPr>
            </w:pPr>
            <w:r>
              <w:rPr>
                <w:rFonts w:ascii="Arial" w:cs="Arial" w:eastAsia="Arial" w:hAnsi="Arial"/>
                <w:sz w:val="16"/>
                <w:szCs w:val="16"/>
                <w:b w:val="1"/>
                <w:bCs w:val="1"/>
                <w:color w:val="auto"/>
                <w:w w:val="91"/>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578"/>
              <w:spacing w:after="0"/>
              <w:rPr>
                <w:sz w:val="20"/>
                <w:szCs w:val="20"/>
                <w:color w:val="auto"/>
              </w:rPr>
            </w:pPr>
            <w:r>
              <w:rPr>
                <w:rFonts w:ascii="Arial" w:cs="Arial" w:eastAsia="Arial" w:hAnsi="Arial"/>
                <w:sz w:val="16"/>
                <w:szCs w:val="16"/>
                <w:b w:val="1"/>
                <w:bCs w:val="1"/>
                <w:color w:val="auto"/>
                <w:w w:val="89"/>
              </w:rPr>
              <w:t>September 30,</w:t>
            </w:r>
          </w:p>
        </w:tc>
        <w:tc>
          <w:tcPr>
            <w:tcW w:w="96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1120" w:type="dxa"/>
            <w:vAlign w:val="bottom"/>
            <w:gridSpan w:val="3"/>
          </w:tcPr>
          <w:p>
            <w:pPr>
              <w:ind w:left="160"/>
              <w:spacing w:after="0"/>
              <w:rPr>
                <w:sz w:val="20"/>
                <w:szCs w:val="20"/>
                <w:color w:val="auto"/>
              </w:rPr>
            </w:pPr>
            <w:r>
              <w:rPr>
                <w:rFonts w:ascii="Arial" w:cs="Arial" w:eastAsia="Arial" w:hAnsi="Arial"/>
                <w:sz w:val="16"/>
                <w:szCs w:val="16"/>
                <w:b w:val="1"/>
                <w:bCs w:val="1"/>
                <w:color w:val="auto"/>
              </w:rPr>
              <w:t>Notes</w:t>
            </w:r>
          </w:p>
        </w:tc>
        <w:tc>
          <w:tcPr>
            <w:tcW w:w="1100" w:type="dxa"/>
            <w:vAlign w:val="bottom"/>
          </w:tcPr>
          <w:p>
            <w:pPr>
              <w:jc w:val="right"/>
              <w:ind w:right="45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8"/>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8"/>
              <w:spacing w:after="0"/>
              <w:rPr>
                <w:sz w:val="20"/>
                <w:szCs w:val="20"/>
                <w:color w:val="auto"/>
              </w:rPr>
            </w:pPr>
            <w:r>
              <w:rPr>
                <w:rFonts w:ascii="Arial" w:cs="Arial" w:eastAsia="Arial" w:hAnsi="Arial"/>
                <w:sz w:val="16"/>
                <w:szCs w:val="16"/>
                <w:b w:val="1"/>
                <w:bCs w:val="1"/>
                <w:color w:val="auto"/>
              </w:rPr>
              <w:t>2014</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112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24,360</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10,571</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70,031</w:t>
            </w:r>
          </w:p>
        </w:tc>
        <w:tc>
          <w:tcPr>
            <w:tcW w:w="10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28,018</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10,873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5,509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32,739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6,493</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7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35,233</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16,080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102,770</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34,511</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17,879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50,198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12,705</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1,349</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11,281</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4,606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10,505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3,535</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4, 6, 8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32,875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8,741</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4,668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14,240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2,920</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43,475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116,895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40,531</w:t>
            </w:r>
          </w:p>
        </w:tc>
      </w:tr>
      <w:tr>
        <w:trPr>
          <w:trHeight w:val="291"/>
        </w:trPr>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Equity in (loss) earnings of unconsolidated entities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(9,584)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4,831</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4,064</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Interest income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66</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income, net</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134</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other income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3,755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(4,613)</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9,095</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(Loss) Income before income taxes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(15,906)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b w:val="1"/>
                <w:bCs w:val="1"/>
                <w:color w:val="auto"/>
              </w:rPr>
              <w:t>2,102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(18,738)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b w:val="1"/>
                <w:bCs w:val="1"/>
                <w:color w:val="auto"/>
              </w:rPr>
              <w:t>3,075</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714</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Net (loss)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(16,056)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1,946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(19,384)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2,361</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0"/>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loss attributable to non-controlling interests in</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9"/>
        </w:trPr>
        <w:tc>
          <w:tcPr>
            <w:tcW w:w="4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consolidated subsidiaries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820" w:type="dxa"/>
            <w:vAlign w:val="bottom"/>
            <w:tcBorders>
              <w:bottom w:val="single" w:sz="8" w:color="CCEEFF"/>
            </w:tcBorders>
            <w:gridSpan w:val="2"/>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(11,738)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4,031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4,105</w:t>
            </w:r>
          </w:p>
        </w:tc>
      </w:tr>
      <w:tr>
        <w:trPr>
          <w:trHeight w:val="284"/>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(Loss) Earnings per Share:</w:t>
            </w:r>
          </w:p>
        </w:tc>
        <w:tc>
          <w:tcPr>
            <w:tcW w:w="70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 and Diluted</w:t>
            </w:r>
          </w:p>
        </w:tc>
        <w:tc>
          <w:tcPr>
            <w:tcW w:w="112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0.08</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75,718,183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3"/>
              </w:rPr>
              <w:t>53,502,873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64,114,734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3"/>
              </w:rPr>
              <w:t>53,502,873</w:t>
            </w:r>
          </w:p>
        </w:tc>
      </w:tr>
      <w:tr>
        <w:trPr>
          <w:trHeight w:val="243"/>
        </w:trPr>
        <w:tc>
          <w:tcPr>
            <w:tcW w:w="4460" w:type="dxa"/>
            <w:vAlign w:val="bottom"/>
          </w:tcPr>
          <w:p>
            <w:pPr>
              <w:ind w:left="500"/>
              <w:spacing w:after="0"/>
              <w:rPr>
                <w:sz w:val="20"/>
                <w:szCs w:val="20"/>
                <w:color w:val="auto"/>
              </w:rPr>
            </w:pPr>
            <w:r>
              <w:rPr>
                <w:rFonts w:ascii="Arial" w:cs="Arial" w:eastAsia="Arial" w:hAnsi="Arial"/>
                <w:sz w:val="16"/>
                <w:szCs w:val="16"/>
                <w:color w:val="auto"/>
              </w:rPr>
              <w:t>Diluted</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75,718,183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w w:val="93"/>
              </w:rPr>
              <w:t>53,502,873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64,114,734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w w:val="93"/>
              </w:rPr>
              <w:t>53,502,873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cash flow hedge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(16,150)</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2,062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(19,614)</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2,336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 attributable to shareholders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(11,832)</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4,147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(7,357)</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Non-Controlling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 Paid</w:t>
            </w:r>
          </w:p>
        </w:tc>
        <w:tc>
          <w:tcPr>
            <w:tcW w:w="18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5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Common Stock</w:t>
            </w:r>
          </w:p>
        </w:tc>
        <w:tc>
          <w:tcPr>
            <w:tcW w:w="1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Equity of</w:t>
            </w:r>
          </w:p>
        </w:tc>
        <w:tc>
          <w:tcPr>
            <w:tcW w:w="140" w:type="dxa"/>
            <w:vAlign w:val="bottom"/>
          </w:tcPr>
          <w:p>
            <w:pPr>
              <w:spacing w:after="0"/>
              <w:rPr>
                <w:sz w:val="8"/>
                <w:szCs w:val="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Total Equity</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In Capital</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613,683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99,065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Net (loss) income for the period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(19,384)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1"/>
        </w:trPr>
        <w:tc>
          <w:tcPr>
            <w:tcW w:w="2980" w:type="dxa"/>
            <w:vAlign w:val="bottom"/>
          </w:tcPr>
          <w:p>
            <w:pPr>
              <w:ind w:left="38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(19,614)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330,666</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Capital distributions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(45,226)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349,151</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(11,358)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c>
          <w:tcPr>
            <w:tcW w:w="0" w:type="dxa"/>
            <w:vAlign w:val="bottom"/>
          </w:tcPr>
          <w:p>
            <w:pPr>
              <w:spacing w:after="0"/>
              <w:rPr>
                <w:sz w:val="1"/>
                <w:szCs w:val="1"/>
                <w:color w:val="auto"/>
              </w:rPr>
            </w:pPr>
          </w:p>
        </w:tc>
      </w:tr>
      <w:tr>
        <w:trPr>
          <w:trHeight w:val="244"/>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Equity - September 30, 2015</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1,209,183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124,956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1,320,810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(19,384)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2,361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Equity in loss (earnings) of unconsolidated entities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(4,831)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Gain on sale of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Security deposits and maintenance claims included in earnings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Equity-based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32,875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8,741</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current and deferred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 fair value of non-hedge derivative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Amortization of lease intangibles and incentives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Amortization of deferred financing costs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Operating distributions from unconsolidated entities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6,942</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Bad debt expense</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(32,884)</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Management fees payable to affiliate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434</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26,870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(27,786)</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Investment in notes receivable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Construction deposit related to vessel</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Principal collections on finance leases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17,412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9,028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leasing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(136,672)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(215,770)</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(88,068)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(16,038)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lease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(3,745)</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CMQR</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(11,308)</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Jefferson Terminal</w:t>
            </w:r>
          </w:p>
        </w:tc>
        <w:tc>
          <w:tcPr>
            <w:tcW w:w="10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(47,811)</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pre-existing debt relationships</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(97,616)</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Purchase deposit for aircraft and aircraft engines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(7,427)</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sale of leasing equipment</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18,975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sale of 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sale of equipment held for sale</w:t>
            </w:r>
          </w:p>
        </w:tc>
        <w:tc>
          <w:tcPr>
            <w:tcW w:w="10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Return of capital distributions from unconsolidated entities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6,307</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(203,712)</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(374,687)</w:t>
            </w: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debt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175,349</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Repayment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(26,886)</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Payment of deferred financing costs</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Receipt of security deposits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Return of security deposits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Receipt of maintenance deposits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2,274</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Release of maintenance deposits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issuance of common shares, net of underwriter's discount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354,057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Common shares issuance costs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contributions from shareholders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295,879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290,930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distributions to shareholders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(43,410)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contributions from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43,612</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distributions to non-controlling interests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Cash dividends paid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603,016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438,128</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increase in cash and cash equivalents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426,174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35,655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7,236</w:t>
            </w:r>
          </w:p>
        </w:tc>
      </w:tr>
      <w:tr>
        <w:trPr>
          <w:trHeight w:val="28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Cash and cash equivalents, end of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448,299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42,891</w:t>
            </w:r>
          </w:p>
        </w:tc>
      </w:tr>
      <w:tr>
        <w:trPr>
          <w:trHeight w:val="284"/>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leasing equipment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(25,748)</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CMQR</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(2,991)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Jefferson</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(38,207)</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Settled and assumed security deposits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Billed, assumed and settled maintenance deposits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13,042</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Non-cash contribution of non-controlling interest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38,207</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Common share issuance costs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fair value of cash flow hedge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660" w:right="1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Fortress Transportation and Infrastructure Investors LLC (the “Company”) is a Delaware limited liability company which, through its subsidiary, Fortress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15).</w:t>
      </w:r>
    </w:p>
    <w:p>
      <w:pPr>
        <w:spacing w:after="0" w:line="70"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which provides for the Company to bear obligations for management fees and expense reimbursements payable to the Manager (Note 14).</w:t>
      </w:r>
    </w:p>
    <w:p>
      <w:pPr>
        <w:spacing w:after="0" w:line="73" w:lineRule="exact"/>
        <w:rPr>
          <w:rFonts w:ascii="Arial" w:cs="Arial" w:eastAsia="Arial" w:hAnsi="Arial"/>
          <w:sz w:val="18"/>
          <w:szCs w:val="18"/>
          <w:b w:val="1"/>
          <w:bCs w:val="1"/>
          <w:color w:val="auto"/>
        </w:rPr>
      </w:pPr>
    </w:p>
    <w:p>
      <w:pPr>
        <w:ind w:left="6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an affiliate of Fortress.</w:t>
      </w:r>
    </w:p>
    <w:p>
      <w:pPr>
        <w:spacing w:after="0" w:line="8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Initial Public Offering (“IPO”)</w:t>
      </w:r>
    </w:p>
    <w:p>
      <w:pPr>
        <w:spacing w:after="0" w:line="23" w:lineRule="exact"/>
        <w:rPr>
          <w:rFonts w:ascii="Arial" w:cs="Arial" w:eastAsia="Arial" w:hAnsi="Arial"/>
          <w:sz w:val="18"/>
          <w:szCs w:val="18"/>
          <w:b w:val="1"/>
          <w:bCs w:val="1"/>
          <w:color w:val="auto"/>
        </w:rPr>
      </w:pPr>
    </w:p>
    <w:p>
      <w:pPr>
        <w:ind w:left="660" w:right="40"/>
        <w:spacing w:after="0" w:line="319" w:lineRule="auto"/>
        <w:rPr>
          <w:rFonts w:ascii="Arial" w:cs="Arial" w:eastAsia="Arial" w:hAnsi="Arial"/>
          <w:sz w:val="18"/>
          <w:szCs w:val="18"/>
          <w:b w:val="1"/>
          <w:bCs w:val="1"/>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(i)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(ii) 53,502,873 common shares were issued to the Onshore Fund and Offshore Fund based on their relative interests in the Company.</w:t>
      </w:r>
    </w:p>
    <w:p>
      <w:pPr>
        <w:spacing w:after="0" w:line="263" w:lineRule="exact"/>
        <w:rPr>
          <w:rFonts w:ascii="Arial" w:cs="Arial" w:eastAsia="Arial" w:hAnsi="Arial"/>
          <w:sz w:val="18"/>
          <w:szCs w:val="18"/>
          <w:b w:val="1"/>
          <w:bCs w:val="1"/>
          <w:color w:val="auto"/>
        </w:rPr>
      </w:pPr>
    </w:p>
    <w:p>
      <w:pPr>
        <w:ind w:left="66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May 20, 2015, the Company completed an IPO of 20 million common shares at a price to the public of $17.00 per share. On June 15, 2015, the underwriters exercised their overallotment option, pursuant to which the Company issued an additional 2.2 million shares to such underwriters at the IPO price. At September 30, 2015, the Company was owned 29.3% by public shareholders and 70.7% by the Initial Shareholders.</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unaudited consolidated financial statements have been prepared in accordance with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in the United States (“GAAP”)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Securities and Exchange Commission (“SEC”) for interim financial reporting. Accordingly, they do not include all of the information and notes required by GAAP for complete financial statements. The consolidated balance sheet at December 31, 2014 has been derived from audited financial statements but does not include all of the information and notes required by GAAP for complete financial statements. In the opinion of management, all adjustments considered necessary for a fair statement of the Company’s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 interim financial information contained herein should be read in conjunction with the consolidated financial statements and notes thereto for the year ended December 31, 2014 included in Amendment No. 7 to the Company’s Registration Statement on Form S-1, filed with the SEC on May 14, 2015.</w:t>
      </w:r>
    </w:p>
    <w:p>
      <w:pPr>
        <w:spacing w:after="0" w:line="71"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Company consolidates all entities in which it has a controlling financial interest and in which it has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31" w:lineRule="exact"/>
        <w:rPr>
          <w:sz w:val="20"/>
          <w:szCs w:val="20"/>
          <w:color w:val="auto"/>
        </w:rPr>
      </w:pPr>
    </w:p>
    <w:p>
      <w:pPr>
        <w:ind w:left="660" w:right="100"/>
        <w:spacing w:after="0" w:line="291" w:lineRule="auto"/>
        <w:rPr>
          <w:sz w:val="20"/>
          <w:szCs w:val="20"/>
          <w:color w:val="auto"/>
        </w:rPr>
      </w:pPr>
      <w:r>
        <w:rPr>
          <w:rFonts w:ascii="Arial" w:cs="Arial" w:eastAsia="Arial" w:hAnsi="Arial"/>
          <w:sz w:val="16"/>
          <w:szCs w:val="16"/>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partner with a $3,725 loan which was utilized by the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59"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At September 30, 2015 and December 31, 2014, MT6015 had total assets of $7,533 and $7,450, respectively, which are available only to settle the obligations of MT6015. Other than entering into the above commitment, MT6015 has conducted no operations, and no creditors of MT6015 have recourse to any assets or to the general credit of the Company.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225"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ind w:left="660" w:right="8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$16,169 and $21,084 at September 30, 2015 and December 31, 2014, respectively, consists of cash held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segregated accounts pursuant to the requirements of the Company’s debt agreements (Note 9).</w:t>
      </w:r>
    </w:p>
    <w:p>
      <w:pPr>
        <w:spacing w:after="0" w:line="62"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—The Company reviews the carrying values of goodwill at least annually to assess impairment since these assets are not amortized.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 During the nine months ended September 30, 2015, there was no impairment of goodwill.</w:t>
      </w:r>
    </w:p>
    <w:p>
      <w:pPr>
        <w:spacing w:after="0" w:line="80"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—The Company is subject to concentrations of credit risk with respect to amounts due from customers on its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and operating leases. The Company attempts to limit its credit risk by performing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ongoing credit evaluations. During the three months ended September 30, 2015, the Company earned approximately 11.7% of its revenue from one customer in the offshore energy segment. During the nine months ended September 30, 2015, the Company earned approximately 23.1% of its revenue from two customers, one each in the offshore energy and Jefferson Terminal segments. During the three months ended September 30, 2014, the Company earned approximately 25.6% of its revenue from two customers, one each in the aviation leasing and offshore energy segments. During the nine months ended September 30, 2014, the Company earned approximately 51.5% of its revenue from four customers in the following segments: two in aviation leasing, one in shipping containers, and one in offshore energy. As of September 30, 2015, accounts receivable from two customers in the offshore segment each represented 17.6% and 17.2% of total accounts receivable, net. As of December 31, 2014, the Company had accounts receivable from one customer in the offshore segment that represented 11.7% of total accounts receivable, net.</w:t>
      </w:r>
    </w:p>
    <w:p>
      <w:pPr>
        <w:spacing w:after="0" w:line="58"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b w:val="1"/>
          <w:bCs w:val="1"/>
          <w:i w:val="1"/>
          <w:iCs w:val="1"/>
          <w:color w:val="auto"/>
        </w:rPr>
        <w:t>Provision for Doubtful Accounts</w:t>
      </w:r>
      <w:r>
        <w:rPr>
          <w:rFonts w:ascii="Arial" w:cs="Arial" w:eastAsia="Arial" w:hAnsi="Arial"/>
          <w:sz w:val="17"/>
          <w:szCs w:val="17"/>
          <w:color w:val="auto"/>
        </w:rPr>
        <w:t>—The Company determines the provision for doubtful accounts based on its assessment of the collectability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on a customer-by-customer basis. The provision for doubtful accounts at September 30, 2015 and December 31, 2014 was $73 and $111, respectively. Bad debt expense for the three and nine months ended September 30, 2015 was $96 and $255, respectively. Bad debt expense for the three and nine months ended September 30, 2014 was $132 and $175, respectively.</w:t>
      </w:r>
    </w:p>
    <w:p>
      <w:pPr>
        <w:spacing w:after="0" w:line="63"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derivatives accounted for as cash flow hedges and the Company’s pro-rata share of items of comprehensive income derived from investments in unconsolidated entities.</w:t>
      </w:r>
    </w:p>
    <w:p>
      <w:pPr>
        <w:spacing w:after="0" w:line="8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had reclassification adjustments of $32 and $104, which impacted accumulated other comprehensive income during the three and nine months ended September 30, 2015, respectively. During the three and nine months ended September 30, 2014, the Company had reclassification adjustments of $42 and $130, respectively.</w:t>
      </w:r>
    </w:p>
    <w:p>
      <w:pPr>
        <w:spacing w:after="0" w:line="73"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b w:val="1"/>
          <w:bCs w:val="1"/>
          <w:i w:val="1"/>
          <w:iCs w:val="1"/>
          <w:color w:val="auto"/>
        </w:rPr>
        <w:t>Derivative Financial Instruments—</w:t>
      </w:r>
      <w:r>
        <w:rPr>
          <w:rFonts w:ascii="Arial" w:cs="Arial" w:eastAsia="Arial" w:hAnsi="Arial"/>
          <w:sz w:val="17"/>
          <w:szCs w:val="17"/>
          <w:color w:val="auto"/>
        </w:rPr>
        <w:t>In the normal course of business the Company may utilize interest rate derivatives to manage its exposure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(Note 9), the Company has entered into one interest rate derivative designated as a cash flow hedge and one non-hedge derivative. The Company does not enter into speculative derivative transactions. Derivative assets of $4 and $232, as of September 30, 2015 and December 31, 2014, respectively, were recorded within other assets in the Consolidated Balance Sheets. A derivative liability of $16 as of September 30, 2015 has been recorded within accounts payable and accrued liabilities in the Consolidated Balance Sheet.</w:t>
      </w:r>
    </w:p>
    <w:p>
      <w:pPr>
        <w:spacing w:after="0" w:line="7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hedge accounting would be discontinued prospectively.</w:t>
      </w:r>
    </w:p>
    <w:p>
      <w:pPr>
        <w:spacing w:after="0" w:line="80"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 The estimated net amount of existing losses reported in accumulated other comprehensive income at September 30, 2015 expected to be reclassified into earnings within the next 12 months is approximately $70.</w:t>
      </w:r>
    </w:p>
    <w:p>
      <w:pPr>
        <w:spacing w:after="0" w:line="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In the event of a termination of an interest rate derivative prior to its contractual maturity, any related net gains or losses in accumulated other comprehensive income at the date of termination would be reclassified into earnings, unless it remains probable that interest payments on the debt will continue to occur, in which case the amount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income would be reclassified into earnings as the interest payments on the debt affect earnings.</w:t>
      </w:r>
    </w:p>
    <w:p>
      <w:pPr>
        <w:spacing w:after="0" w:line="117"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During the three months ended September 30, 2015, the Company invested $10,776 in a terminal site under development.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receivable has been recorded within Other Assets on the Consolidated Balance Sheet within the Corporate segment as of September 30, 2015.</w:t>
      </w:r>
    </w:p>
    <w:p>
      <w:pPr>
        <w:spacing w:after="0" w:line="16"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 In April 2014,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2014-08 (ASU 2014-08), </w:t>
      </w: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xml:space="preserve"> which changes the criteria for determining which disposals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standard states that a strategic shift should include a disposal of (i) major geographical area of operations, (ii) a major line of business, (iii) a major equity method investment, or</w:t>
      </w:r>
    </w:p>
    <w:p>
      <w:pPr>
        <w:spacing w:after="0" w:line="5" w:lineRule="exact"/>
        <w:rPr>
          <w:sz w:val="20"/>
          <w:szCs w:val="20"/>
          <w:color w:val="auto"/>
        </w:rPr>
      </w:pPr>
    </w:p>
    <w:p>
      <w:pPr>
        <w:jc w:val="both"/>
        <w:ind w:left="660" w:right="340" w:hanging="4"/>
        <w:spacing w:after="0" w:line="277" w:lineRule="auto"/>
        <w:tabs>
          <w:tab w:leader="none" w:pos="96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major parts of an entity. ASU 2014-08 is effective prospectively for new disposals (or classifications as held for sale) that occur within annual periods beginning on or after December 14, 2014, and interim periods within those annual periods. The Company adopted ASU 2014-08 beginning January 1, 2015, which had no impact to the Company’s consolidated financial statements.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Unadopted Accounting Pronouncements</w:t>
      </w:r>
      <w:r>
        <w:rPr>
          <w:rFonts w:ascii="Arial" w:cs="Arial" w:eastAsia="Arial" w:hAnsi="Arial"/>
          <w:sz w:val="18"/>
          <w:szCs w:val="18"/>
          <w:color w:val="auto"/>
        </w:rPr>
        <w:t>—</w:t>
      </w:r>
    </w:p>
    <w:p>
      <w:pPr>
        <w:spacing w:after="0" w:line="23" w:lineRule="exact"/>
        <w:rPr>
          <w:sz w:val="20"/>
          <w:szCs w:val="20"/>
          <w:color w:val="auto"/>
        </w:rPr>
      </w:pPr>
    </w:p>
    <w:p>
      <w:pPr>
        <w:ind w:left="660" w:right="60"/>
        <w:spacing w:after="0" w:line="277" w:lineRule="auto"/>
        <w:rPr>
          <w:sz w:val="20"/>
          <w:szCs w:val="20"/>
          <w:color w:val="auto"/>
        </w:rPr>
      </w:pPr>
      <w:r>
        <w:rPr>
          <w:rFonts w:ascii="Arial" w:cs="Arial" w:eastAsia="Arial" w:hAnsi="Arial"/>
          <w:sz w:val="17"/>
          <w:szCs w:val="17"/>
          <w:color w:val="auto"/>
        </w:rPr>
        <w:t>The FASB has recently issued or discussed a number of proposed standards on such topics as leases, financial 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6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to defer the effective date of ASU 2014-09 by one year, making it effective for annual reporting periods beginning after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15, 2017 while also providing for early adoption but not before the original effective date. The Company is currently evaluating the impact of adopting this new guidance on its consolidated financial statements.</w:t>
      </w:r>
    </w:p>
    <w:p>
      <w:pPr>
        <w:spacing w:after="0" w:line="70" w:lineRule="exact"/>
        <w:rPr>
          <w:sz w:val="20"/>
          <w:szCs w:val="20"/>
          <w:color w:val="auto"/>
        </w:rPr>
      </w:pPr>
    </w:p>
    <w:p>
      <w:pPr>
        <w:ind w:left="660" w:right="180"/>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is currently evaluating the impact of adopting this new guidance on its consolidated financial statements.</w:t>
      </w:r>
    </w:p>
    <w:p>
      <w:pPr>
        <w:spacing w:after="0" w:line="80" w:lineRule="exact"/>
        <w:rPr>
          <w:sz w:val="20"/>
          <w:szCs w:val="20"/>
          <w:color w:val="auto"/>
        </w:rPr>
      </w:pPr>
    </w:p>
    <w:p>
      <w:pPr>
        <w:ind w:left="660" w:right="140"/>
        <w:spacing w:after="0" w:line="273"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Imputation of Interest: Simplifying the Presentation of Debt Issuance Costs</w:t>
      </w:r>
      <w:r>
        <w:rPr>
          <w:rFonts w:ascii="Arial" w:cs="Arial" w:eastAsia="Arial" w:hAnsi="Arial"/>
          <w:sz w:val="17"/>
          <w:szCs w:val="17"/>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is still evaluating the impact of adopting this new guidance on its consolidated financial statements.</w:t>
      </w:r>
    </w:p>
    <w:p>
      <w:pPr>
        <w:spacing w:after="0" w:line="192" w:lineRule="exact"/>
        <w:rPr>
          <w:sz w:val="20"/>
          <w:szCs w:val="20"/>
          <w:color w:val="auto"/>
        </w:rPr>
      </w:pPr>
    </w:p>
    <w:p>
      <w:pPr>
        <w:ind w:left="660" w:right="20"/>
        <w:spacing w:after="0" w:line="292" w:lineRule="auto"/>
        <w:rPr>
          <w:sz w:val="20"/>
          <w:szCs w:val="20"/>
          <w:color w:val="auto"/>
        </w:rPr>
      </w:pPr>
      <w:r>
        <w:rPr>
          <w:rFonts w:ascii="Arial" w:cs="Arial" w:eastAsia="Arial" w:hAnsi="Arial"/>
          <w:sz w:val="17"/>
          <w:szCs w:val="17"/>
          <w:color w:val="auto"/>
        </w:rPr>
        <w:t xml:space="preserve">In August 2015, the FASB issued ASU No. 2015-15, </w:t>
      </w:r>
      <w:r>
        <w:rPr>
          <w:rFonts w:ascii="Arial" w:cs="Arial" w:eastAsia="Arial" w:hAnsi="Arial"/>
          <w:sz w:val="17"/>
          <w:szCs w:val="17"/>
          <w:i w:val="1"/>
          <w:iCs w:val="1"/>
          <w:color w:val="auto"/>
        </w:rPr>
        <w:t>Interest - Imputation of Interest (Subtopic 835-30)</w:t>
      </w:r>
      <w:r>
        <w:rPr>
          <w:rFonts w:ascii="Arial" w:cs="Arial" w:eastAsia="Arial" w:hAnsi="Arial"/>
          <w:sz w:val="17"/>
          <w:szCs w:val="17"/>
          <w:color w:val="auto"/>
        </w:rPr>
        <w:t xml:space="preserve"> ("ASU 2015-15"). ASU 2015-15 provides further guidance related to the presentation or subsequent measurement of debt issuance costs related to line-of-credit arrangements. ASU 2015-15 allows companies to defer and present debt issuance costs as an asset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fiscal years with early adoption permitted. The Company is currently evaluating the impact of adopting this new guidance on its consolidated financial statements.</w:t>
      </w:r>
    </w:p>
    <w:p>
      <w:pPr>
        <w:spacing w:after="0" w:line="170"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Business Combinations- Simplifying the Accounting for Measurement- Period Adjustments</w:t>
      </w:r>
      <w:r>
        <w:rPr>
          <w:rFonts w:ascii="Arial" w:cs="Arial" w:eastAsia="Arial" w:hAnsi="Arial"/>
          <w:sz w:val="17"/>
          <w:szCs w:val="17"/>
          <w:color w:val="auto"/>
        </w:rPr>
        <w:t xml:space="preserve"> ("ASU 2015-16")</w:t>
      </w:r>
      <w:r>
        <w:rPr>
          <w:rFonts w:ascii="Arial" w:cs="Arial" w:eastAsia="Arial" w:hAnsi="Arial"/>
          <w:sz w:val="17"/>
          <w:szCs w:val="17"/>
          <w:i w:val="1"/>
          <w:iCs w:val="1"/>
          <w:color w:val="auto"/>
        </w:rPr>
        <w:t>.</w:t>
      </w:r>
      <w:r>
        <w:rPr>
          <w:rFonts w:ascii="Arial" w:cs="Arial" w:eastAsia="Arial" w:hAnsi="Arial"/>
          <w:sz w:val="17"/>
          <w:szCs w:val="17"/>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No. 2015-16 is effective for annual and interim reporting periods beginning after December 15, 2015. The Company does not expect the adoption of this guidance to have a material impact on its consolidated financial statements.</w:t>
      </w:r>
    </w:p>
    <w:p>
      <w:pPr>
        <w:spacing w:after="0" w:line="174" w:lineRule="exact"/>
        <w:rPr>
          <w:sz w:val="20"/>
          <w:szCs w:val="20"/>
          <w:color w:val="auto"/>
        </w:rPr>
      </w:pPr>
    </w:p>
    <w:p>
      <w:pPr>
        <w:ind w:left="660" w:right="8720" w:hanging="652"/>
        <w:spacing w:after="0" w:line="400"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JEFFERSON TERMINAL</w:t>
      </w:r>
    </w:p>
    <w:p>
      <w:pPr>
        <w:ind w:left="66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The acquisition of Jefferson Terminal was consummated on August 27, 2014.</w:t>
      </w:r>
    </w:p>
    <w:p>
      <w:pPr>
        <w:spacing w:after="0" w:line="80" w:lineRule="exact"/>
        <w:rPr>
          <w:rFonts w:ascii="Arial" w:cs="Arial" w:eastAsia="Arial" w:hAnsi="Arial"/>
          <w:sz w:val="17"/>
          <w:szCs w:val="17"/>
          <w:b w:val="1"/>
          <w:bCs w:val="1"/>
          <w:color w:val="auto"/>
        </w:rPr>
      </w:pPr>
    </w:p>
    <w:p>
      <w:pPr>
        <w:ind w:left="660" w:right="14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 xml:space="preserve">Jefferson Terminal was purchased for an aggregate purchase price of approximately $607.8 million, including assumed liabilities of $522.0 million (of which $97.6 million relates to pre-existing debt relationships) and equity consideration of $38.2 million. The Company owns an approximately 60% interest in Jefferson Terminal. The remaining approximately 40% interest in Jefferson Terminal is owned by a portion of the retaining shareholders and a private equity fund sponsored by Fortress, each holding an interest of approximately 20% and accounted for as non-controlling interests in the accompanying consolidated financial statements. In connection with the acquisition, a $100 million loan was also obtained (Note 9). The acquisition was accounted for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the results of operations of the acquired business of Jefferson Terminal have been included in the consolidated financial statements since the date of acquisition. Subsequent to the acquisition, measurement period adjustments as of the acquisition date were made to decrease construction in progress within property, plant, and equipment, net by $947, increase intangible assets, net by $128, increase goodwill by $1,358, increase accounts payable and accrued liabilities assumed by $390 and increase other liabilities assumed by $149.</w:t>
      </w:r>
    </w:p>
    <w:p>
      <w:pPr>
        <w:spacing w:after="0" w:line="173" w:lineRule="exact"/>
        <w:rPr>
          <w:rFonts w:ascii="Arial" w:cs="Arial" w:eastAsia="Arial" w:hAnsi="Arial"/>
          <w:sz w:val="17"/>
          <w:szCs w:val="17"/>
          <w:b w:val="1"/>
          <w:bCs w:val="1"/>
          <w:color w:val="auto"/>
        </w:rPr>
      </w:pPr>
    </w:p>
    <w:p>
      <w:pPr>
        <w:ind w:left="660" w:right="120"/>
        <w:spacing w:after="0" w:line="303" w:lineRule="auto"/>
        <w:rPr>
          <w:rFonts w:ascii="Arial" w:cs="Arial" w:eastAsia="Arial" w:hAnsi="Arial"/>
          <w:sz w:val="17"/>
          <w:szCs w:val="17"/>
          <w:b w:val="1"/>
          <w:bCs w:val="1"/>
          <w:color w:val="auto"/>
        </w:rPr>
      </w:pPr>
      <w:r>
        <w:rPr>
          <w:rFonts w:ascii="Arial" w:cs="Arial" w:eastAsia="Arial" w:hAnsi="Arial"/>
          <w:sz w:val="16"/>
          <w:szCs w:val="16"/>
          <w:b w:val="1"/>
          <w:bCs w:val="1"/>
          <w:i w:val="1"/>
          <w:iCs w:val="1"/>
          <w:color w:val="auto"/>
        </w:rPr>
        <w:t>Supplementary Pro Forma Information</w:t>
      </w:r>
      <w:r>
        <w:rPr>
          <w:rFonts w:ascii="Arial" w:cs="Arial" w:eastAsia="Arial" w:hAnsi="Arial"/>
          <w:sz w:val="16"/>
          <w:szCs w:val="16"/>
          <w:b w:val="1"/>
          <w:bCs w:val="1"/>
          <w:color w:val="auto"/>
        </w:rPr>
        <w:t>—</w:t>
      </w:r>
      <w:r>
        <w:rPr>
          <w:rFonts w:ascii="Arial" w:cs="Arial" w:eastAsia="Arial" w:hAnsi="Arial"/>
          <w:sz w:val="16"/>
          <w:szCs w:val="16"/>
          <w:color w:val="auto"/>
        </w:rPr>
        <w:t>The unaudited pro forma information has been derived from the Company's historical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has been prepared to give effect to the acquisition, assuming that the acquisition of Jefferson Terminal occurred on January 1, 2013. The unaudited pro forma pre-tax net loss for the three and nine months ended September 30, 2014 have been adjusted to reflect the additional depreciation and amortization that would have resulted from changes in the estimated fair value of assets and liabilities.</w:t>
      </w:r>
    </w:p>
    <w:p>
      <w:pPr>
        <w:spacing w:after="0" w:line="155" w:lineRule="exact"/>
        <w:rPr>
          <w:rFonts w:ascii="Arial" w:cs="Arial" w:eastAsia="Arial" w:hAnsi="Arial"/>
          <w:sz w:val="17"/>
          <w:szCs w:val="17"/>
          <w:b w:val="1"/>
          <w:bCs w:val="1"/>
          <w:color w:val="auto"/>
        </w:rPr>
      </w:pPr>
    </w:p>
    <w:p>
      <w:pPr>
        <w:ind w:left="660" w:right="2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Pro forma results do not include any anticipated synergies or other anticipated benefits of the acquisition. Accordingly, the unaudited pro forma financial information is not necessarily indicative or either future results of operations or results that might have been achieved had the acquisition occurred on January 1, 2013.</w:t>
      </w:r>
    </w:p>
    <w:p>
      <w:pPr>
        <w:spacing w:after="0" w:line="331" w:lineRule="exact"/>
        <w:rPr>
          <w:sz w:val="20"/>
          <w:szCs w:val="20"/>
          <w:color w:val="auto"/>
        </w:rPr>
      </w:pPr>
    </w:p>
    <w:tbl>
      <w:tblPr>
        <w:tblLayout w:type="fixed"/>
        <w:tblInd w:w="1800" w:type="dxa"/>
        <w:tblCellMar>
          <w:top w:w="0" w:type="dxa"/>
          <w:left w:w="0" w:type="dxa"/>
          <w:bottom w:w="0" w:type="dxa"/>
          <w:right w:w="0" w:type="dxa"/>
        </w:tblCellMar>
      </w:tblPr>
      <w:tr>
        <w:trPr>
          <w:trHeight w:val="229"/>
        </w:trPr>
        <w:tc>
          <w:tcPr>
            <w:tcW w:w="3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Three Months Ended</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Nine Months Ended</w:t>
            </w:r>
          </w:p>
        </w:tc>
      </w:tr>
      <w:tr>
        <w:trPr>
          <w:trHeight w:val="257"/>
        </w:trPr>
        <w:tc>
          <w:tcPr>
            <w:tcW w:w="3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September 30, 2014</w:t>
            </w:r>
          </w:p>
        </w:tc>
        <w:tc>
          <w:tcPr>
            <w:tcW w:w="3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September 30, 2014</w:t>
            </w: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17,006</w:t>
            </w:r>
          </w:p>
        </w:tc>
        <w:tc>
          <w:tcPr>
            <w:tcW w:w="2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37,158</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(37,585)</w:t>
            </w:r>
          </w:p>
        </w:tc>
      </w:tr>
      <w:tr>
        <w:trPr>
          <w:trHeight w:val="27"/>
        </w:trPr>
        <w:tc>
          <w:tcPr>
            <w:tcW w:w="3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440"/>
        <w:spacing w:after="0" w:line="342" w:lineRule="auto"/>
        <w:rPr>
          <w:sz w:val="20"/>
          <w:szCs w:val="20"/>
          <w:color w:val="auto"/>
        </w:rPr>
      </w:pPr>
      <w:r>
        <w:rPr>
          <w:rFonts w:ascii="Arial" w:cs="Arial" w:eastAsia="Arial" w:hAnsi="Arial"/>
          <w:sz w:val="16"/>
          <w:szCs w:val="16"/>
          <w:color w:val="auto"/>
        </w:rPr>
        <w:t>During three and nine months ended September 30, 2014, the Company recognized $1,539 and $1,539 in revenue, respectively, and $2,231 and $7,457 in loss before taxes, respectively, which includes acquisition and transaction related expenses of $284 and $5,414,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426,142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652,824</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(36,805)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398,810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616,019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298,204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524,885</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(15,506)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509,379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2015, the Company acquired seventeen commercial jet engines and four aircraft, and also sold three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jet engines. Depreciation expense for leasing equipment for the three and nine months ended September 30, 2015 was $7,888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$22,072 respectively. Depreciation expense for leasing equipment for the three and nine months ended September 30, 2014 was $3,136 and $7,633,</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respectively.</w:t>
      </w: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Finance leases,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107,244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(10,329)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(21,843)</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85,401</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2014</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131,537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(28,724)</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11"/>
        </w:trPr>
        <w:tc>
          <w:tcPr>
            <w:tcW w:w="11420" w:type="dxa"/>
            <w:vAlign w:val="bottom"/>
            <w:gridSpan w:val="9"/>
          </w:tcPr>
          <w:p>
            <w:pPr>
              <w:jc w:val="right"/>
              <w:ind w:right="359"/>
              <w:spacing w:after="0"/>
              <w:rPr>
                <w:sz w:val="20"/>
                <w:szCs w:val="20"/>
                <w:color w:val="auto"/>
              </w:rPr>
            </w:pPr>
            <w:r>
              <w:rPr>
                <w:rFonts w:ascii="Arial" w:cs="Arial" w:eastAsia="Arial" w:hAnsi="Arial"/>
                <w:sz w:val="18"/>
                <w:szCs w:val="18"/>
                <w:color w:val="auto"/>
                <w:w w:val="95"/>
              </w:rPr>
              <w:t>At September 30, 2015, future minimum lease payments to be received under finance leases for the remainder of the lease terms are as follows:</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25,680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27,693</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7,352</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12,000</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107,244</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right="6360" w:hanging="652"/>
        <w:spacing w:after="0" w:line="445"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5"/>
              </w:rPr>
              <w:t>September 30,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51,958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207,846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207,846</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648</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301,724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(10,198)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Spare parts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24,575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269,777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294,352</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145,716</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50,627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579</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208,664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229,488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227,381</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During nine months ended September 30, 2015 additional property, plant and equipment of $75,315 was acquired, and is mainly related to land and improvements and crude oil terminal machinery and equipment. During the nine months ended September 30, 2015, disposals of railroad equipment totaled $253. Depreciation expense for property, plant and equipment was $2,764 and $8,114, for the three and nine months ended September 30, 2015, respectively. Depreciation expense for property, plant and equipment was $676 and $796, for the three and nine months ended September 30, 2014, respectively. Spare parts are depreciated in conjunction with the underlying asset when placed in service.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ENTITY</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ownership interest and carrying values of the Company’s investment in unconsolidated entity: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60" w:type="dxa"/>
            <w:vAlign w:val="bottom"/>
            <w:gridSpan w:val="4"/>
          </w:tcPr>
          <w:p>
            <w:pPr>
              <w:ind w:left="1120"/>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Date Acquired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 2015</w:t>
            </w:r>
          </w:p>
        </w:tc>
        <w:tc>
          <w:tcPr>
            <w:tcW w:w="140" w:type="dxa"/>
            <w:vAlign w:val="bottom"/>
          </w:tcPr>
          <w:p>
            <w:pPr>
              <w:spacing w:after="0"/>
              <w:rPr>
                <w:sz w:val="17"/>
                <w:szCs w:val="17"/>
                <w:color w:val="auto"/>
              </w:rPr>
            </w:pPr>
          </w:p>
        </w:tc>
        <w:tc>
          <w:tcPr>
            <w:tcW w:w="15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December 31, 2014</w:t>
            </w:r>
          </w:p>
        </w:tc>
        <w:tc>
          <w:tcPr>
            <w:tcW w:w="0" w:type="dxa"/>
            <w:vAlign w:val="bottom"/>
          </w:tcPr>
          <w:p>
            <w:pPr>
              <w:spacing w:after="0"/>
              <w:rPr>
                <w:sz w:val="1"/>
                <w:szCs w:val="1"/>
                <w:color w:val="auto"/>
              </w:rPr>
            </w:pPr>
          </w:p>
        </w:tc>
      </w:tr>
      <w:tr>
        <w:trPr>
          <w:trHeight w:val="116"/>
        </w:trPr>
        <w:tc>
          <w:tcPr>
            <w:tcW w:w="48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1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Intermodal Finance I, Ltd.</w:t>
            </w: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2012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11,370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33"/>
        </w:trPr>
        <w:tc>
          <w:tcPr>
            <w:tcW w:w="48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The Company owns a 51% non-controlling interest in Intermodal Finance I Ltd., a joint venture. Intermodal Finance I, Ltd owns a portfolio of multiple finance leases, representing 6 customers and comprising approximately 65,000 shipping containers as well as a portfolio of approximately 38,000 shipping containers subject to multiple operating leases to a single customer. During the three months ended September 30, 2015, Intermodal Finance I, Ltd. recorded an impairment charge of $20,604, which resulted from certain operating leases not being renewed and containers being returned at a faster pace than expected. Additionally, due to challenging market conditions for shipping containers, a limited number of the returned containers were sold at values lower than previously estimated. The Company's proportionate share of the impairment charge was $10,508 based on its 51% ownership percentage.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financial information for Intermodal Finance I, Ltd.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3,935</w:t>
            </w:r>
          </w:p>
        </w:tc>
        <w:tc>
          <w:tcPr>
            <w:tcW w:w="12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5,021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12,429</w:t>
            </w:r>
          </w:p>
        </w:tc>
        <w:tc>
          <w:tcPr>
            <w:tcW w:w="100" w:type="dxa"/>
            <w:vAlign w:val="bottom"/>
          </w:tcPr>
          <w:p>
            <w:pPr>
              <w:spacing w:after="0"/>
              <w:rPr>
                <w:sz w:val="20"/>
                <w:szCs w:val="20"/>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15,838</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3,930</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Loss on disposal of equipment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22,923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26,830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7,707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Gain on early termination of finance lease</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917</w:t>
            </w: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9,048</w:t>
            </w: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9,048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equity in (loss) earnings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4,831</w:t>
            </w: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w:t>
            </w:r>
          </w:p>
        </w:tc>
      </w:tr>
      <w:tr>
        <w:trPr>
          <w:trHeight w:val="270"/>
        </w:trPr>
        <w:tc>
          <w:tcPr>
            <w:tcW w:w="7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4,062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5,214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Leasing assets, net of accumulated depreciation of $5,949 and $4,449, respectively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51,165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74,045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62,393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costs, net of accumulated amortization of $794 and $602, respectively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1,524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100,776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Syndication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5,152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125,995</w:t>
            </w:r>
          </w:p>
        </w:tc>
      </w:tr>
      <w:tr>
        <w:trPr>
          <w:trHeight w:val="291"/>
        </w:trPr>
        <w:tc>
          <w:tcPr>
            <w:tcW w:w="7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20,560</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20,560</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 and members’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100,776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284"/>
        </w:trPr>
        <w:tc>
          <w:tcPr>
            <w:tcW w:w="7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Company’s investment in and advances to unconsolidated entity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11,370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21,569</w:t>
            </w:r>
          </w:p>
        </w:tc>
      </w:tr>
      <w:tr>
        <w:trPr>
          <w:trHeight w:val="33"/>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LIABILITIES,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September 30,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22,882</w:t>
            </w:r>
          </w:p>
        </w:tc>
        <w:tc>
          <w:tcPr>
            <w:tcW w:w="12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22,882</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(8,075)</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14,807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14,807</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31,680</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31,841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14,807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31,680</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161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46,648</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17,639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1"/>
        </w:trPr>
        <w:tc>
          <w:tcPr>
            <w:tcW w:w="5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35,738</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34,333</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34,530</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34,333</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52,169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Intangible liabilities relate to unfavorable lease intangibles and are included as a component of other liabilities in the accompanying Consolidated Balance Sheets. Amortization recorded in the Consolidated Statements of Operations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96"/>
              </w:rPr>
              <w:t>Nine Months Ended</w:t>
            </w: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Classification in Consolidated Statements of</w:t>
            </w:r>
          </w:p>
        </w:tc>
      </w:tr>
      <w:tr>
        <w:trPr>
          <w:trHeight w:val="243"/>
        </w:trPr>
        <w:tc>
          <w:tcPr>
            <w:tcW w:w="3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4"/>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r>
      <w:tr>
        <w:trPr>
          <w:trHeight w:val="231"/>
        </w:trPr>
        <w:tc>
          <w:tcPr>
            <w:tcW w:w="3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3880" w:type="dxa"/>
            <w:vAlign w:val="bottom"/>
          </w:tcPr>
          <w:p>
            <w:pPr>
              <w:spacing w:after="0"/>
              <w:rPr>
                <w:sz w:val="20"/>
                <w:szCs w:val="20"/>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leasing revenues</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38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1,964</w:t>
            </w:r>
          </w:p>
        </w:tc>
        <w:tc>
          <w:tcPr>
            <w:tcW w:w="3880" w:type="dxa"/>
            <w:vAlign w:val="bottom"/>
            <w:tcBorders>
              <w:bottom w:val="single" w:sz="8" w:color="CCEEFF"/>
            </w:tcBorders>
            <w:shd w:val="clear" w:color="auto" w:fill="CCEEFF"/>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estimated net annual amortization of intangibles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September 30, 2015</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9,533</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6,145</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16,609</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46,357</w:t>
            </w:r>
          </w:p>
        </w:tc>
      </w:tr>
      <w:tr>
        <w:trPr>
          <w:trHeight w:val="20"/>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20" w:type="dxa"/>
            <w:vAlign w:val="bottom"/>
          </w:tcPr>
          <w:p>
            <w:pPr>
              <w:ind w:left="44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Debt is summarized as follows:</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2015</w:t>
            </w:r>
          </w:p>
        </w:tc>
        <w:tc>
          <w:tcPr>
            <w:tcW w:w="2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2014</w:t>
            </w:r>
          </w:p>
        </w:tc>
        <w:tc>
          <w:tcPr>
            <w:tcW w:w="0" w:type="dxa"/>
            <w:vAlign w:val="bottom"/>
          </w:tcPr>
          <w:p>
            <w:pPr>
              <w:spacing w:after="0"/>
              <w:rPr>
                <w:sz w:val="1"/>
                <w:szCs w:val="1"/>
                <w:color w:val="auto"/>
              </w:rPr>
            </w:pPr>
          </w:p>
        </w:tc>
      </w:tr>
      <w:tr>
        <w:trPr>
          <w:trHeight w:val="33"/>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11,702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19,115</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9,284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9,416</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225,317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243,759</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Series 2010 Bonds</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shd w:val="clear" w:color="auto" w:fill="CCEEFF"/>
          </w:tcPr>
          <w:p>
            <w:pPr>
              <w:spacing w:after="0"/>
              <w:rPr>
                <w:sz w:val="19"/>
                <w:szCs w:val="19"/>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8"/>
              </w:rPr>
              <w:t>Series 2012 Bonds (including unamortized premium of $1,763 and $1,791 at September 30, 2015 and</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December 31, 2014,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48,521</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47,273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346,521</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right="2260"/>
        <w:spacing w:after="0" w:line="381" w:lineRule="auto"/>
        <w:rPr>
          <w:sz w:val="20"/>
          <w:szCs w:val="20"/>
          <w:color w:val="auto"/>
        </w:rPr>
      </w:pPr>
      <w:r>
        <w:rPr>
          <w:rFonts w:ascii="Arial" w:cs="Arial" w:eastAsia="Arial" w:hAnsi="Arial"/>
          <w:sz w:val="15"/>
          <w:szCs w:val="15"/>
          <w:color w:val="auto"/>
        </w:rPr>
        <w:t>As of December 31, 2014, Series 2010 Bonds purchased by the Company were deemed to be owned by the Company, and were classified as assets, Tendered bonds, in the Consolidated Balance Sheet with an equal corresponding amount</w:t>
      </w:r>
    </w:p>
    <w:p>
      <w:pPr>
        <w:sectPr>
          <w:pgSz w:w="11900" w:h="16838" w:orient="portrait"/>
          <w:cols w:equalWidth="0" w:num="1">
            <w:col w:w="11420"/>
          </w:cols>
          <w:pgMar w:left="240" w:top="121" w:right="239"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as Debt. During the three months ended September 30, 2015, the Jefferson County Industrial Development Corporation, the Company, and Amegy Bank as the related trustee, agreed to cancel the Series 2010 Bonds. Accordingly, the Series 2010 Bonds are no longer reported within Tendered Bonds or Debt in the Consolidated Balance Sheet as of September 30, 2015.</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rFonts w:ascii="Arial" w:cs="Arial" w:eastAsia="Arial" w:hAnsi="Arial"/>
          <w:sz w:val="18"/>
          <w:szCs w:val="18"/>
          <w:b w:val="1"/>
          <w:bCs w:val="1"/>
          <w:color w:val="auto"/>
        </w:rPr>
      </w:pPr>
    </w:p>
    <w:p>
      <w:pPr>
        <w:ind w:left="1360" w:hanging="704"/>
        <w:spacing w:after="0"/>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88"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following tables set forth the Company’s financial assets and liabilities measured at fair value on a recurring basis as of September 30, 2015 and December 31, 2014, by level within the fair value hierarchy. Assets and liabilities measured at fair value are classified in their entirety based on the lowest level of input that is significant to their fair value measurement.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2015</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2015</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448,299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448,299</w:t>
            </w:r>
          </w:p>
        </w:tc>
        <w:tc>
          <w:tcPr>
            <w:tcW w:w="1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464,472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464,468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2014</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43,441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43,209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2014, the Company had no liabilities that were measured at fair value on a recurring basis.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60"/>
        <w:spacing w:after="0" w:line="276" w:lineRule="auto"/>
        <w:rPr>
          <w:sz w:val="20"/>
          <w:szCs w:val="20"/>
          <w:color w:val="auto"/>
        </w:rPr>
      </w:pPr>
      <w:r>
        <w:rPr>
          <w:rFonts w:ascii="Arial" w:cs="Arial" w:eastAsia="Arial" w:hAnsi="Arial"/>
          <w:sz w:val="17"/>
          <w:szCs w:val="17"/>
          <w:color w:val="auto"/>
        </w:rPr>
        <w:t>The Company’s cash and cash equivalents and restricted cash consist largely of demand deposit accounts with initial maturities of 90 days or less that are considered to be highly liquid and easily tradable. These instruments are valued using inputs observable in active markets for identical instruments and are therefore classified as Level 1 within the fair value hierarchy. The Company’s derivatives are valued using discounted cash flow models with observable market inputs (i.e., cash rates, futures rates, swap rates and contractual cash flows) that can be verified and do not involve significant judgments and are therefore classified as Level 2 within the fair value hierarchy.</w:t>
      </w:r>
    </w:p>
    <w:p>
      <w:pPr>
        <w:spacing w:after="0" w:line="6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Except as discussed below, the Company’s financial instruments other than cash and cash equivalents, restricted cash, and derivatives consist principally of accounts receivable, accounts payable and accrued liabilities,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9"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At September 30, 2015 and December 31, 2014, the Company’s notes receivable, included as a component of other assets in the accompanying Consolidated Balance Sheet, consisted of a $3,725 loan bearing interest at 12.0% made to the Company’s joint venture partner in MT 6015 (Note 2) which is collateralized by other property owned by the joint venture partner. At September 30, 2015, the Company's notes receivable also included a $10,776 loan bearing interest at 10% related to a terminal site under development, collateralized by property at that site. The fair values of these notes receivable approximate carrying value due to both bearing a market rate of interest for similar types of loans and is classified as Level 2 within the fair value hierarchy.</w:t>
      </w:r>
    </w:p>
    <w:p>
      <w:pPr>
        <w:spacing w:after="0" w:line="85"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fair values of Container Loan #1 and Container Loan #2, reported in Debt in the Consolidated Balance Sheet at September 30, 2015 and December 31, 2014, were approximately $36,900 and $42,515, respectively, and $11,726 and $19,129, respectively, based upon current market interest rates for similar types of loans. The fair value of Series 2012 bonds, reported in Debt in the Consolidated Balance Sheet, was approximately $48,447 at September 30, 2015 and approximated carrying value at December 31, 2014, based upon market prices for similar municipal securities. The fair values of all other items reported as Debt in the Consolidated Balance Sheet approximate their carrying values due to their bearing market rates of interest, and are classified as Level 2 within the fair value hierarchy.</w:t>
      </w:r>
    </w:p>
    <w:p>
      <w:pPr>
        <w:spacing w:after="0" w:line="70" w:lineRule="exact"/>
        <w:rPr>
          <w:sz w:val="20"/>
          <w:szCs w:val="20"/>
          <w:color w:val="auto"/>
        </w:rPr>
      </w:pPr>
    </w:p>
    <w:p>
      <w:pPr>
        <w:ind w:left="660" w:right="140"/>
        <w:spacing w:after="0" w:line="273" w:lineRule="auto"/>
        <w:rPr>
          <w:sz w:val="20"/>
          <w:szCs w:val="20"/>
          <w:color w:val="auto"/>
        </w:rPr>
      </w:pPr>
      <w:r>
        <w:rPr>
          <w:rFonts w:ascii="Arial" w:cs="Arial" w:eastAsia="Arial" w:hAnsi="Arial"/>
          <w:sz w:val="17"/>
          <w:szCs w:val="17"/>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78"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During the nine months ended September 30, 2015 and 2014, no impairment charges were recognized related to the Company's assets and liabilities measured at fair value on a recurring basis. See Note 7 for impairment recorded by the Company's investment in unconsolidated entity during the three months ended September 30, 2015.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gridSpan w:val="9"/>
          </w:tcPr>
          <w:p>
            <w:pPr>
              <w:jc w:val="right"/>
              <w:ind w:right="19"/>
              <w:spacing w:after="0"/>
              <w:rPr>
                <w:sz w:val="20"/>
                <w:szCs w:val="20"/>
                <w:color w:val="auto"/>
              </w:rPr>
            </w:pPr>
            <w:r>
              <w:rPr>
                <w:rFonts w:ascii="Arial" w:cs="Arial" w:eastAsia="Arial" w:hAnsi="Arial"/>
                <w:sz w:val="16"/>
                <w:szCs w:val="16"/>
                <w:b w:val="1"/>
                <w:bCs w:val="1"/>
                <w:color w:val="auto"/>
              </w:rPr>
              <w:t>Three Months Ended September 30, 2015</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10,664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5,816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16,480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5,510</w:t>
            </w: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24,360</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3,202</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35,233</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gridSpan w:val="9"/>
          </w:tcPr>
          <w:p>
            <w:pPr>
              <w:jc w:val="right"/>
              <w:ind w:right="19"/>
              <w:spacing w:after="0"/>
              <w:rPr>
                <w:sz w:val="20"/>
                <w:szCs w:val="20"/>
                <w:color w:val="auto"/>
              </w:rPr>
            </w:pPr>
            <w:r>
              <w:rPr>
                <w:rFonts w:ascii="Arial" w:cs="Arial" w:eastAsia="Arial" w:hAnsi="Arial"/>
                <w:sz w:val="16"/>
                <w:szCs w:val="16"/>
                <w:b w:val="1"/>
                <w:bCs w:val="1"/>
                <w:color w:val="auto"/>
              </w:rPr>
              <w:t>Three Months Ended September 30, 2014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4,031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6,601</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2,487</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5,459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10,571</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3,970</w:t>
            </w: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1,100</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5,509</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5,459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16,080</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9"/>
          </w:tcPr>
          <w:p>
            <w:pPr>
              <w:jc w:val="right"/>
              <w:ind w:right="19"/>
              <w:spacing w:after="0"/>
              <w:rPr>
                <w:sz w:val="20"/>
                <w:szCs w:val="20"/>
                <w:color w:val="auto"/>
              </w:rPr>
            </w:pPr>
            <w:r>
              <w:rPr>
                <w:rFonts w:ascii="Arial" w:cs="Arial" w:eastAsia="Arial" w:hAnsi="Arial"/>
                <w:sz w:val="16"/>
                <w:szCs w:val="16"/>
                <w:b w:val="1"/>
                <w:bCs w:val="1"/>
                <w:color w:val="auto"/>
              </w:rPr>
              <w:t>Nine Months Ended September 30, 2015</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30,211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18,419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48,630</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12,895</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6,743</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1,763</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20,234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5,571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70,031</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3,850</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18,488</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10,401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10,401</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32,739</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20,234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5,571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18,488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102,770</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67"/>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gridSpan w:val="9"/>
          </w:tcPr>
          <w:p>
            <w:pPr>
              <w:jc w:val="right"/>
              <w:ind w:right="19"/>
              <w:spacing w:after="0"/>
              <w:rPr>
                <w:sz w:val="20"/>
                <w:szCs w:val="20"/>
                <w:color w:val="auto"/>
              </w:rPr>
            </w:pPr>
            <w:r>
              <w:rPr>
                <w:rFonts w:ascii="Arial" w:cs="Arial" w:eastAsia="Arial" w:hAnsi="Arial"/>
                <w:sz w:val="16"/>
                <w:szCs w:val="16"/>
                <w:b w:val="1"/>
                <w:bCs w:val="1"/>
                <w:color w:val="auto"/>
              </w:rPr>
              <w:t>Nine Months Ended September 30, 2014</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10,018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6,281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16,299</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4,029</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7,582</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14,050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6,369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28,018</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439</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4,954</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1,100</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6,493</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14,050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7,599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6,369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4,954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34,511</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Minimum future annual revenues contracted to be received under existing operating leases of equipment at September 30, 2015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September 30, 2015</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22,422</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55,351</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36,400</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23,813</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3,218</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151,061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jc w:val="both"/>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2015, subsequent to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w:t>
      </w:r>
    </w:p>
    <w:p>
      <w:pPr>
        <w:sectPr>
          <w:pgSz w:w="11900" w:h="16838" w:orient="portrait"/>
          <w:cols w:equalWidth="0" w:num="1">
            <w:col w:w="11420"/>
          </w:cols>
          <w:pgMar w:left="240" w:top="121" w:right="239" w:bottom="1149"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149"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other individuals who provide services to the Company, each as determined by the Compensation Committee of the Board of Directors. Amounts are in thousands except share data.</w:t>
      </w:r>
    </w:p>
    <w:p>
      <w:pPr>
        <w:spacing w:after="0" w:line="62"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 xml:space="preserve">As of September 30, 2015, the Incentive Plan provides for the issuance of up to 30,000,000 shares. The Company accounts for equity-based compensation expense in accordance with Accounting Standards Codification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and is reported within Operating Expenses and General and Administrative in the Consolidated Statements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In June 2015, the Company issued an aggregate of 15,000 stock options (5,000 options each) to its three independent directors pursuant to the Incentive Plan with a grant date fair value of $24 which immediately vested upon grant and expire after 10 years. The fair value of each stock option was estimated on the date of grant using a Black-Scholes option valuation model using the following assumptions: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volatility</w:t>
      </w:r>
      <w:r>
        <w:rPr>
          <w:sz w:val="20"/>
          <w:szCs w:val="20"/>
          <w:color w:val="auto"/>
        </w:rPr>
        <w:tab/>
      </w:r>
      <w:r>
        <w:rPr>
          <w:rFonts w:ascii="Arial" w:cs="Arial" w:eastAsia="Arial" w:hAnsi="Arial"/>
          <w:sz w:val="16"/>
          <w:szCs w:val="16"/>
          <w:color w:val="auto"/>
        </w:rPr>
        <w:t>Due to the lack of historical data for the Company’s own stock, the Company has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3" w:lineRule="exact"/>
        <w:rPr>
          <w:sz w:val="20"/>
          <w:szCs w:val="20"/>
          <w:color w:val="auto"/>
        </w:rPr>
      </w:pPr>
    </w:p>
    <w:p>
      <w:pPr>
        <w:ind w:left="3240" w:right="960"/>
        <w:spacing w:after="0" w:line="261" w:lineRule="auto"/>
        <w:rPr>
          <w:sz w:val="20"/>
          <w:szCs w:val="20"/>
          <w:color w:val="auto"/>
        </w:rPr>
      </w:pPr>
      <w:r>
        <w:rPr>
          <w:rFonts w:ascii="Arial" w:cs="Arial" w:eastAsia="Arial" w:hAnsi="Arial"/>
          <w:sz w:val="18"/>
          <w:szCs w:val="18"/>
          <w:color w:val="auto"/>
        </w:rPr>
        <w:t>its expected volatility on a representative peer group with similar business characteristics.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180" w:hanging="1"/>
        <w:spacing w:after="0" w:line="325" w:lineRule="auto"/>
        <w:rPr>
          <w:sz w:val="20"/>
          <w:szCs w:val="20"/>
          <w:color w:val="auto"/>
        </w:rPr>
      </w:pPr>
      <w:r>
        <w:rPr>
          <w:rFonts w:ascii="Arial" w:cs="Arial" w:eastAsia="Arial" w:hAnsi="Arial"/>
          <w:sz w:val="16"/>
          <w:szCs w:val="16"/>
          <w:color w:val="auto"/>
        </w:rPr>
        <w:t>Nine Months Ended September 30, 2015</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482" w:lineRule="exact"/>
        <w:rPr>
          <w:sz w:val="20"/>
          <w:szCs w:val="20"/>
          <w:color w:val="auto"/>
        </w:rPr>
      </w:pPr>
    </w:p>
    <w:p>
      <w:pPr>
        <w:sectPr>
          <w:pgSz w:w="11900" w:h="16838" w:orient="portrait"/>
          <w:cols w:equalWidth="0" w:num="2">
            <w:col w:w="9540" w:space="240"/>
            <w:col w:w="164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460" w:type="dxa"/>
            <w:vAlign w:val="bottom"/>
          </w:tcPr>
          <w:p>
            <w:pPr>
              <w:ind w:left="840"/>
              <w:spacing w:after="0"/>
              <w:rPr>
                <w:sz w:val="20"/>
                <w:szCs w:val="20"/>
                <w:color w:val="auto"/>
              </w:rPr>
            </w:pPr>
            <w:r>
              <w:rPr>
                <w:rFonts w:ascii="Arial" w:cs="Arial" w:eastAsia="Arial" w:hAnsi="Arial"/>
                <w:sz w:val="18"/>
                <w:szCs w:val="18"/>
                <w:color w:val="auto"/>
              </w:rPr>
              <w:t>The risk-free rate is determined using the implied yield currently available on U.S.</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360" w:type="dxa"/>
            <w:vAlign w:val="bottom"/>
          </w:tcPr>
          <w:p>
            <w:pPr>
              <w:spacing w:after="0"/>
              <w:rPr>
                <w:sz w:val="20"/>
                <w:szCs w:val="20"/>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7"/>
              </w:rPr>
              <w:t>government bonds with a term consistent with the expected term on the date of grant.</w:t>
            </w: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4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dividend yield</w:t>
      </w:r>
      <w:r>
        <w:rPr>
          <w:sz w:val="20"/>
          <w:szCs w:val="20"/>
          <w:color w:val="auto"/>
        </w:rPr>
        <w:tab/>
      </w:r>
      <w:r>
        <w:rPr>
          <w:rFonts w:ascii="Arial" w:cs="Arial" w:eastAsia="Arial" w:hAnsi="Arial"/>
          <w:sz w:val="16"/>
          <w:szCs w:val="16"/>
          <w:color w:val="auto"/>
        </w:rPr>
        <w:t>The expected dividend yield is based on management’s current expected dividend rate.</w:t>
      </w:r>
    </w:p>
    <w:p>
      <w:pPr>
        <w:spacing w:after="0" w:line="6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term</w:t>
      </w:r>
      <w:r>
        <w:rPr>
          <w:sz w:val="20"/>
          <w:szCs w:val="20"/>
          <w:color w:val="auto"/>
        </w:rPr>
        <w:tab/>
      </w:r>
      <w:r>
        <w:rPr>
          <w:rFonts w:ascii="Arial" w:cs="Arial" w:eastAsia="Arial" w:hAnsi="Arial"/>
          <w:sz w:val="16"/>
          <w:szCs w:val="16"/>
          <w:color w:val="auto"/>
        </w:rPr>
        <w:t>Expected term used represents the period of time the options granted are expected to be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outstanding.</w:t>
      </w:r>
    </w:p>
    <w:p>
      <w:pPr>
        <w:spacing w:after="0" w:line="292"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Weighted-</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Average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Arial" w:cs="Arial" w:eastAsia="Arial" w:hAnsi="Arial"/>
                <w:sz w:val="18"/>
                <w:szCs w:val="18"/>
                <w:color w:val="auto"/>
              </w:rPr>
              <w:t>Options</w:t>
            </w: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Exercise Price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88"/>
              </w:rPr>
              <w:t>(per share)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Term (in years)</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Aggregate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Intrinsic Value</w:t>
      </w:r>
    </w:p>
    <w:p>
      <w:pPr>
        <w:spacing w:after="0" w:line="363" w:lineRule="exact"/>
        <w:rPr>
          <w:sz w:val="20"/>
          <w:szCs w:val="20"/>
          <w:color w:val="auto"/>
        </w:rPr>
      </w:pPr>
    </w:p>
    <w:p>
      <w:pPr>
        <w:sectPr>
          <w:pgSz w:w="11900" w:h="16838" w:orient="portrait"/>
          <w:cols w:equalWidth="0" w:num="2">
            <w:col w:w="10100" w:space="160"/>
            <w:col w:w="11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 at January 1, 2015</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206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250"/>
              <w:spacing w:after="0"/>
              <w:rPr>
                <w:sz w:val="20"/>
                <w:szCs w:val="20"/>
                <w:color w:val="auto"/>
              </w:rPr>
            </w:pPr>
            <w:r>
              <w:rPr>
                <w:rFonts w:ascii="Arial" w:cs="Arial" w:eastAsia="Arial" w:hAnsi="Arial"/>
                <w:sz w:val="18"/>
                <w:szCs w:val="18"/>
                <w:color w:val="auto"/>
              </w:rPr>
              <w:t>16.98</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outstanding and exercisable as of September 30, 2015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660" w:right="180"/>
        <w:spacing w:after="0" w:line="272" w:lineRule="auto"/>
        <w:rPr>
          <w:sz w:val="20"/>
          <w:szCs w:val="20"/>
          <w:color w:val="auto"/>
        </w:rPr>
      </w:pPr>
      <w:r>
        <w:rPr>
          <w:rFonts w:ascii="Arial" w:cs="Arial" w:eastAsia="Arial" w:hAnsi="Arial"/>
          <w:sz w:val="17"/>
          <w:szCs w:val="17"/>
          <w:color w:val="auto"/>
        </w:rPr>
        <w:t>The Company has granted equity based compensation to employees of a subsidiary consisting of 1.3 million restricted shares of such subsidiary’s equity instruments in exchange for services to be provided. One award for 1.25 million restricted shares vests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August 27, 2014, the date of grant, and estimated using a market approach. As of September 30, 2015, the achievement of one performance condition representing 50% of the grant value remains probable.</w:t>
      </w:r>
    </w:p>
    <w:p>
      <w:pPr>
        <w:spacing w:after="0" w:line="7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 second award vests over four years, subject to continued employment. The grant date fair value of the award is $800, which is based on the fair value per share on the date of grant, estimated using a market approach.</w:t>
      </w:r>
    </w:p>
    <w:p>
      <w:pPr>
        <w:spacing w:after="0" w:line="62"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All restricted shares were outstanding and unvested as of September 30, 2015 and December 31, 2014. The awards have an assumed forfeiture rate of zero.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The Company has granted equity based compensation to employees of a subsidiary consisting of 1.4 million common units of such subsidiary’s equity instruments with an aggregate grant date fair value of $1,752 in exchange for services to be provided. The awards have varying terms, ranging between 16 and 36 months, and vest subject to continued employment through each respective vesting date. The awards are equity based, with compensation expense recognized ratably over the vesting periods. The awards have an assumed forfeiture rate of zero.</w:t>
      </w:r>
    </w:p>
    <w:p>
      <w:pPr>
        <w:spacing w:after="0" w:line="46"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Statements of Operations includes the following expense related to its stock-based compensation arrangements: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w w:val="93"/>
              </w:rPr>
              <w:t>Three Months Ended</w:t>
            </w:r>
          </w:p>
        </w:tc>
        <w:tc>
          <w:tcPr>
            <w:tcW w:w="260" w:type="dxa"/>
            <w:vAlign w:val="bottom"/>
          </w:tcPr>
          <w:p>
            <w:pPr>
              <w:spacing w:after="0"/>
              <w:rPr>
                <w:sz w:val="18"/>
                <w:szCs w:val="18"/>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6"/>
              </w:rPr>
              <w:t>Nine Months Ended</w:t>
            </w:r>
          </w:p>
        </w:tc>
        <w:tc>
          <w:tcPr>
            <w:tcW w:w="3000" w:type="dxa"/>
            <w:vAlign w:val="bottom"/>
            <w:gridSpan w:val="2"/>
          </w:tcPr>
          <w:p>
            <w:pPr>
              <w:ind w:left="100"/>
              <w:spacing w:after="0"/>
              <w:rPr>
                <w:sz w:val="20"/>
                <w:szCs w:val="20"/>
                <w:color w:val="auto"/>
              </w:rPr>
            </w:pPr>
            <w:r>
              <w:rPr>
                <w:rFonts w:ascii="Arial" w:cs="Arial" w:eastAsia="Arial" w:hAnsi="Arial"/>
                <w:sz w:val="18"/>
                <w:szCs w:val="18"/>
                <w:color w:val="auto"/>
                <w:w w:val="90"/>
              </w:rPr>
              <w:t>Remaining Expense To Be Recognized,</w:t>
            </w:r>
          </w:p>
        </w:tc>
      </w:t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w w:val="94"/>
              </w:rPr>
              <w:t>September 30, 2015</w:t>
            </w:r>
          </w:p>
        </w:tc>
        <w:tc>
          <w:tcPr>
            <w:tcW w:w="26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3"/>
              </w:rPr>
              <w:t>September 30, 2015</w:t>
            </w:r>
          </w:p>
        </w:tc>
        <w:tc>
          <w:tcPr>
            <w:tcW w:w="220" w:type="dxa"/>
            <w:vAlign w:val="bottom"/>
          </w:tcPr>
          <w:p>
            <w:pPr>
              <w:spacing w:after="0"/>
              <w:rPr>
                <w:sz w:val="20"/>
                <w:szCs w:val="20"/>
                <w:color w:val="auto"/>
              </w:rPr>
            </w:pPr>
          </w:p>
        </w:tc>
        <w:tc>
          <w:tcPr>
            <w:tcW w:w="2780" w:type="dxa"/>
            <w:vAlign w:val="bottom"/>
          </w:tcPr>
          <w:p>
            <w:pPr>
              <w:jc w:val="right"/>
              <w:ind w:right="150"/>
              <w:spacing w:after="0"/>
              <w:rPr>
                <w:sz w:val="20"/>
                <w:szCs w:val="20"/>
                <w:color w:val="auto"/>
              </w:rPr>
            </w:pPr>
            <w:r>
              <w:rPr>
                <w:rFonts w:ascii="Arial" w:cs="Arial" w:eastAsia="Arial" w:hAnsi="Arial"/>
                <w:sz w:val="18"/>
                <w:szCs w:val="18"/>
                <w:color w:val="auto"/>
                <w:w w:val="97"/>
              </w:rPr>
              <w:t>If All Vesting Conditions Are Met</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20,866</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w:t>
            </w: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21,610</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During both the three and nine months ended September 30, 2014, the Company recorded stock-based compensation expense related to restricted shares of $284.</w:t>
      </w:r>
    </w:p>
    <w:p>
      <w:pPr>
        <w:spacing w:after="0" w:line="166"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current and deferred components of the income tax expense included in the Consolidated Statements of Operations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210</w:t>
            </w:r>
          </w:p>
        </w:tc>
        <w:tc>
          <w:tcPr>
            <w:tcW w:w="34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195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 (benefit)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156</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81"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14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 of and for the nine months ended September 30, 2015, the Company had not established a liability for uncertain tax positions as no such positions existed. In general, the Company’s tax returns and the tax returns of its corporate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subsidiaries are subject to U.S. federal, state and foreign income tax examinations by tax authorities. Generally, the Company is not subject to examination by taxing authorities for tax years prior to 2011. The Company does not believe that it is reasonably possible that the total amount of unrecognized tax benefits will significantly change within 12 months of the reporting date.</w:t>
      </w:r>
    </w:p>
    <w:p>
      <w:pPr>
        <w:spacing w:after="0" w:line="1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ind w:left="660" w:right="3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IPO, the Company entered into a new management agreement with the Manager, (the “Management Agreement”) which replaced its then-existing management agreement as a private fund. The terms of each arrangement, pre-IPO and post-IPO, are described below.</w:t>
      </w:r>
    </w:p>
    <w:p>
      <w:pPr>
        <w:spacing w:after="0" w:line="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pacing w:after="0" w:line="117"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During the nine months ended September 30, 2015, pre-IPO management fees were $3,873. During the three and nine months ended September 30, 2014, pre-IPO management fees were $1,698 and $3,535, respectively.</w:t>
      </w:r>
    </w:p>
    <w:p>
      <w:pPr>
        <w:spacing w:after="0" w:line="81"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affiliates of the Manager were entitled to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 No expenses were reimbursed to the Manager or its affiliates for any period prior to the IPO.</w:t>
      </w:r>
    </w:p>
    <w:p>
      <w:pPr>
        <w:spacing w:after="0" w:line="78"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Prior to the IPO, the Master GP was entitled to an incentive return (the “Incentive Return”) generally equal to 10% of the Partnership’s profits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188"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Incentive Return was distributable to the Master GP from Distributable Proceeds of the Partnership (as defined) as they were distributed. Accordingly, an Incentive Return would have been paid to the Master GP in connection with a particular investment if and when such investment generated proceeds in excess of the capital called with respect to such investment, plus an 8% cumulative preferred return on such investment and on all previously liquidated investments. If, upon the termination of the Partnership, the aggregate amount paid to the Master GP as Incentive Return exceeded the amount actually due after taking into account the aggregate return to the Onshore Fund and the Offshore Fund investors, the excess was required to be returned by the Master GP (“clawed back”, after adjusting for tax in accordance with the Company agreements) to the Company for benefit of the Fund Investors.</w:t>
      </w:r>
    </w:p>
    <w:p>
      <w:pPr>
        <w:spacing w:after="0" w:line="189"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consummation of the IPO, the Master GP contributed its rights to previously undistributed incentive return pursuant to the Partnership Agreement in exchange for limited partnership interests in each of the Onshore Fund and Offshore Fund equal to the amount of any such undistributed incentive returns.</w:t>
      </w:r>
    </w:p>
    <w:p>
      <w:pPr>
        <w:spacing w:after="0" w:line="181"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nine months ended September 30, 2015 and 2014, the Master GP did not incur any amounts payable to these employees under such profit sharing arrangements attributable to the operations of the Company.</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Post-IPO Management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three and nine months ended September 30, 2015 were $4,606 and $6,632, respectively.</w:t>
      </w:r>
    </w:p>
    <w:p>
      <w:pPr>
        <w:spacing w:after="0" w:line="173"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78" w:lineRule="exact"/>
        <w:rPr>
          <w:sz w:val="20"/>
          <w:szCs w:val="20"/>
          <w:color w:val="auto"/>
        </w:rPr>
      </w:pPr>
    </w:p>
    <w:p>
      <w:pPr>
        <w:ind w:left="660" w:right="100"/>
        <w:spacing w:after="0" w:line="285"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w:t>
      </w:r>
    </w:p>
    <w:p>
      <w:pPr>
        <w:spacing w:after="0" w:line="2"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2.2223% for such quarter; and (3) 10.0% of the amount of pre-incentive allocation net income, if any, that exceeds 2.2223% for such quarter. These calculations will be prorated for any period of less than three months. No Income Incentive Allocation was due to the Master GP for the three and nine months ended September 30, 2015.</w:t>
      </w:r>
    </w:p>
    <w:p>
      <w:pPr>
        <w:spacing w:after="0" w:line="190"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and nine months ended September 30, 2015.</w:t>
      </w:r>
    </w:p>
    <w:p>
      <w:pPr>
        <w:spacing w:after="0" w:line="173" w:lineRule="exact"/>
        <w:rPr>
          <w:sz w:val="20"/>
          <w:szCs w:val="20"/>
          <w:color w:val="auto"/>
        </w:rPr>
      </w:pPr>
    </w:p>
    <w:p>
      <w:pPr>
        <w:ind w:left="660" w:right="120"/>
        <w:spacing w:after="0" w:line="270" w:lineRule="auto"/>
        <w:rPr>
          <w:sz w:val="20"/>
          <w:szCs w:val="20"/>
          <w:color w:val="auto"/>
        </w:rPr>
      </w:pPr>
      <w:r>
        <w:rPr>
          <w:rFonts w:ascii="Arial" w:cs="Arial" w:eastAsia="Arial" w:hAnsi="Arial"/>
          <w:sz w:val="17"/>
          <w:szCs w:val="17"/>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82"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and nine months ended September 30, 2015, expense reimbursement of $1,677 and $2,319 was recorded in General and Administrative, respectively, and $882 and $1,103 was recorded in Acquisition and Transaction expenses, respectively, in the Consolidated Statements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180"/>
        <w:spacing w:after="0" w:line="293"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65"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84"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As of September 30, 2015 and December 31, 2014, amounts receivable from the Manager or its affiliates of $0 and $335, respectively, are included within other assets in the Consolidated Balance Sheet. As of September 30, 2015 and December 31, 2014, amounts due to the Manager or its affiliates of $976 and $160, respectively, excluding accrued management fees, are included within other liabilities in the Consolidated Balance Sheet. As of September 30, 2015 and December 31, 2014, amounts due to the Manager or its affiliates of $1,497 and $3,626, respectively, related to accrued management fees, are included within accounts payable and accrued liabilities in the Consolidated Balance Sheet.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Affiliate Transactions</w:t>
      </w:r>
    </w:p>
    <w:p>
      <w:pPr>
        <w:spacing w:after="0" w:line="117"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As of September 30, 2015 and December 31, 2014, a private equity fund sponsored by Fortress owns an approximately 20% interest in Jefferson Terminal which has been accounted for as a component of non-controlling interest in consolidated subsidiaries in the accompanying consolidated financial statements. The carrying amount of this non-controlling interest at September 30, 2015 and December 31, 2014 was $71,519 and $54,273. For the three and nine months ending September 30, 2015, the amount of this non-controlling interest share of net loss was $(2,034) and $(5,591). For both the three and nine months ending September 30, 2014, the amount of this non-controlling interest share of net loss was $(1,710).</w:t>
      </w:r>
    </w:p>
    <w:p>
      <w:pPr>
        <w:spacing w:after="0" w:line="50"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September 30, 2015 and December 31, 2014, accounts payable due to this vendor was $4,093 and $14,025, respectively.</w:t>
      </w:r>
    </w:p>
    <w:p>
      <w:pPr>
        <w:spacing w:after="0" w:line="16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6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 of investments in shipping containers and related equipment subject to operating leases and finance leases and also includes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89" w:lineRule="exact"/>
        <w:rPr>
          <w:rFonts w:ascii="Arial" w:cs="Arial" w:eastAsia="Arial" w:hAnsi="Arial"/>
          <w:sz w:val="18"/>
          <w:szCs w:val="18"/>
          <w:b w:val="1"/>
          <w:bCs w:val="1"/>
          <w:color w:val="auto"/>
        </w:rPr>
      </w:pPr>
    </w:p>
    <w:p>
      <w:pPr>
        <w:ind w:left="6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With the CMQR and Jefferson Terminal acquisitions during 2014, the Company created two new reporting segments, Jefferson Terminal and Railroad. The Chief Operating Decision Maker (“CODM”) also implemented Adjusted Net Income as the key performance measure during the same period. This segment structure and performance measure reflects the current management of the businesses and provides the CODM with the information necessary to assess operational performance as well as make resource and allocation decisions. These changes have been reflected within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and the accompanying 2014 tables have been conformed to the current presentation described above.</w:t>
      </w:r>
    </w:p>
    <w:p>
      <w:pPr>
        <w:spacing w:after="0" w:line="11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 the impact of intercompany eliminations. The Company evaluates investment performance for each reportable segment primarily based on Net Income attributable to shareholders and Adjusted Net Income.</w:t>
      </w:r>
    </w:p>
    <w:p>
      <w:pPr>
        <w:spacing w:after="0" w:line="79" w:lineRule="exact"/>
        <w:rPr>
          <w:sz w:val="20"/>
          <w:szCs w:val="20"/>
          <w:color w:val="auto"/>
        </w:rPr>
      </w:pPr>
    </w:p>
    <w:p>
      <w:pPr>
        <w:ind w:left="660" w:right="120"/>
        <w:spacing w:after="0" w:line="29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Three Months Ended September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16,174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35,233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43,475</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10,521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(16,056)</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(4,318)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(11,738)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Equity in (loss) earnings of unconsolidated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2,668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9,915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Nine Months Ended September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44,226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70,031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32,739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102,770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14,240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116,895</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27,498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(18,738)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(19,384)</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26,778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Equity in (loss) earnings of unconsolidated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entities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8,466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13,378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28,309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Three Months Ended September 30,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5,459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16,080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17,733</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2,102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1,946</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2,517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5,459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Nine Months Ended September 30,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14,050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28,018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6,369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40,531</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10,535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8,847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3,075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2,361</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Arial" w:cs="Arial" w:eastAsia="Arial" w:hAnsi="Arial"/>
                <w:sz w:val="16"/>
                <w:szCs w:val="16"/>
                <w:b w:val="1"/>
                <w:bCs w:val="1"/>
                <w:color w:val="auto"/>
              </w:rPr>
              <w:t>Nine Months Ended September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4,828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4,828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6,870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14,050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and leasing equipment, net as of September 30, 2015 and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tcPr>
          <w:p>
            <w:pPr>
              <w:ind w:left="680"/>
              <w:spacing w:after="0"/>
              <w:rPr>
                <w:sz w:val="20"/>
                <w:szCs w:val="20"/>
                <w:color w:val="auto"/>
              </w:rPr>
            </w:pPr>
            <w:r>
              <w:rPr>
                <w:rFonts w:ascii="Arial" w:cs="Arial" w:eastAsia="Arial" w:hAnsi="Arial"/>
                <w:sz w:val="16"/>
                <w:szCs w:val="16"/>
                <w:b w:val="1"/>
                <w:bCs w:val="1"/>
                <w:color w:val="auto"/>
                <w:w w:val="96"/>
              </w:rPr>
              <w:t>September 30,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w w:val="88"/>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7"/>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425,072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208,608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89,483</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487,655</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34,799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436,519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1,682,136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71,102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48,283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146,273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161,537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361,326</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Non-controlling interests in equity of consolidated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7,582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115,319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124,956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377,010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326,118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429,606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1,320,810</w:t>
            </w: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425,072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487,655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1,682,136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7"/>
          </w:tcPr>
          <w:p>
            <w:pPr>
              <w:ind w:left="740"/>
              <w:spacing w:after="0"/>
              <w:rPr>
                <w:sz w:val="20"/>
                <w:szCs w:val="20"/>
                <w:color w:val="auto"/>
              </w:rPr>
            </w:pPr>
            <w:r>
              <w:rPr>
                <w:rFonts w:ascii="Arial" w:cs="Arial" w:eastAsia="Arial" w:hAnsi="Arial"/>
                <w:sz w:val="16"/>
                <w:szCs w:val="16"/>
                <w:b w:val="1"/>
                <w:bCs w:val="1"/>
                <w:color w:val="auto"/>
                <w:w w:val="92"/>
              </w:rPr>
              <w:t>September 30,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6"/>
          </w:tcPr>
          <w:p>
            <w:pPr>
              <w:ind w:left="40"/>
              <w:spacing w:after="0"/>
              <w:rPr>
                <w:sz w:val="20"/>
                <w:szCs w:val="20"/>
                <w:color w:val="auto"/>
              </w:rPr>
            </w:pPr>
            <w:r>
              <w:rPr>
                <w:rFonts w:ascii="Arial" w:cs="Arial" w:eastAsia="Arial" w:hAnsi="Arial"/>
                <w:sz w:val="16"/>
                <w:szCs w:val="16"/>
                <w:b w:val="1"/>
                <w:bCs w:val="1"/>
                <w:color w:val="auto"/>
                <w:w w:val="92"/>
              </w:rPr>
              <w:t>Equipment Leasing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48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Shipping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3"/>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Africa</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47,269</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47,269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174,038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213,551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134,638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263,650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312,835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24,575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381,324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and leasing</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398,810</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174,151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312,835</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24,575</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910,371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2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ind w:left="840"/>
              <w:spacing w:after="0"/>
              <w:rPr>
                <w:sz w:val="20"/>
                <w:szCs w:val="20"/>
                <w:color w:val="auto"/>
              </w:rPr>
            </w:pPr>
            <w:r>
              <w:rPr>
                <w:rFonts w:ascii="Arial" w:cs="Arial" w:eastAsia="Arial" w:hAnsi="Arial"/>
                <w:sz w:val="16"/>
                <w:szCs w:val="16"/>
                <w:b w:val="1"/>
                <w:bCs w:val="1"/>
                <w:color w:val="auto"/>
                <w:w w:val="95"/>
              </w:rPr>
              <w:t>December 31, 2014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6"/>
                <w:szCs w:val="16"/>
                <w:b w:val="1"/>
                <w:bCs w:val="1"/>
                <w:color w:val="auto"/>
              </w:rPr>
              <w:t>Infrastructure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20" w:type="dxa"/>
            <w:vAlign w:val="bottom"/>
          </w:tcPr>
          <w:p>
            <w:pPr>
              <w:spacing w:after="0"/>
              <w:rPr>
                <w:sz w:val="18"/>
                <w:szCs w:val="1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1,404,740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691,243</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99,065</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258,675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713,497</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1,404,740</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720"/>
              <w:spacing w:after="0"/>
              <w:rPr>
                <w:sz w:val="20"/>
                <w:szCs w:val="20"/>
                <w:color w:val="auto"/>
              </w:rPr>
            </w:pPr>
            <w:r>
              <w:rPr>
                <w:rFonts w:ascii="Arial" w:cs="Arial" w:eastAsia="Arial" w:hAnsi="Arial"/>
                <w:sz w:val="16"/>
                <w:szCs w:val="16"/>
                <w:b w:val="1"/>
                <w:bCs w:val="1"/>
                <w:color w:val="auto"/>
              </w:rPr>
              <w:t>December 31, 2014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47,945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47,945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105,762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243,743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178,618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251,407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736,760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186" w:lineRule="exact"/>
        <w:rPr>
          <w:rFonts w:ascii="Arial" w:cs="Arial" w:eastAsia="Arial" w:hAnsi="Arial"/>
          <w:sz w:val="18"/>
          <w:szCs w:val="18"/>
          <w:b w:val="1"/>
          <w:bCs w:val="1"/>
          <w:color w:val="auto"/>
        </w:rPr>
      </w:pPr>
    </w:p>
    <w:p>
      <w:pPr>
        <w:ind w:left="6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an IPO on May 20, 2015 in which the Initial Shareholders, immediately prior to the consummation of the IPO, received shares in proportion to their respective ownership percentages. As a result, the Company is retrospectively presenting the shares outstanding for all prior periods presented.</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 (in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47"/>
        </w:trPr>
        <w:tc>
          <w:tcPr>
            <w:tcW w:w="4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r>
      <w:tr>
        <w:trPr>
          <w:trHeight w:val="33"/>
        </w:trPr>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Shareholders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4,031</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w:t>
            </w: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75,718,183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53,502,873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64,114,734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53,502,873</w:t>
            </w:r>
          </w:p>
        </w:tc>
      </w:tr>
      <w:tr>
        <w:trPr>
          <w:trHeight w:val="33"/>
        </w:trPr>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75,718,183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64,114,734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r>
      <w:tr>
        <w:trPr>
          <w:trHeight w:val="324"/>
        </w:trPr>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r>
      <w:tr>
        <w:trPr>
          <w:trHeight w:val="33"/>
        </w:trPr>
        <w:tc>
          <w:tcPr>
            <w:tcW w:w="4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1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1" w:right="239" w:bottom="811"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2015, 1834 and 422 shares, respectively have been excluded from the calculation of Diluted EPS because the impact would be anti-dilutive.</w:t>
      </w:r>
    </w:p>
    <w:p>
      <w:pPr>
        <w:spacing w:after="0" w:line="16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6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a lessee has asserted that it is entitled to certain reimbursable expenses or adjustments per the terms of the related charter agreement. Although the Company believes it has strong defenses against these claims, the range of potential damages is $0 to $3,978. No amount has been recorded for this matter in the Company's consolidated financial statements as of September 30, 2015,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69" w:lineRule="exact"/>
        <w:rPr>
          <w:rFonts w:ascii="Arial" w:cs="Arial" w:eastAsia="Arial" w:hAnsi="Arial"/>
          <w:sz w:val="18"/>
          <w:szCs w:val="18"/>
          <w:b w:val="1"/>
          <w:bCs w:val="1"/>
          <w:color w:val="auto"/>
        </w:rPr>
      </w:pPr>
    </w:p>
    <w:p>
      <w:pPr>
        <w:jc w:val="both"/>
        <w:ind w:left="660" w:righ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formation of MT6015, a consolidated VIE (Note 2), the joint venture partner is obligated to fund an additional equity contribution of $11,925 and secure a charter for the vessel, at which time the Company would be obligated to contribute additional equity of $11,925.</w:t>
      </w:r>
    </w:p>
    <w:p>
      <w:pPr>
        <w:spacing w:after="0" w:line="73" w:lineRule="exact"/>
        <w:rPr>
          <w:rFonts w:ascii="Arial" w:cs="Arial" w:eastAsia="Arial" w:hAnsi="Arial"/>
          <w:sz w:val="18"/>
          <w:szCs w:val="18"/>
          <w:b w:val="1"/>
          <w:bCs w:val="1"/>
          <w:color w:val="auto"/>
        </w:rPr>
      </w:pPr>
    </w:p>
    <w:p>
      <w:pPr>
        <w:ind w:left="6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Two of the Company’s subsidiaries are lessees under various operating and capital leases. As of September 30, 2015, minimum future rental payments under these leases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September 30, 2015</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6,628</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5,333</w:t>
            </w:r>
          </w:p>
        </w:tc>
      </w:tr>
      <w:tr>
        <w:trPr>
          <w:trHeight w:val="33"/>
        </w:trPr>
        <w:tc>
          <w:tcPr>
            <w:tcW w:w="9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4,892</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48,450</w:t>
            </w:r>
          </w:p>
        </w:tc>
      </w:tr>
      <w:tr>
        <w:trPr>
          <w:trHeight w:val="3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72,872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October 27, 2015, Jefferson Terminal extended its lease with the Port of Beaumont from 30 to 50 years.</w:t>
      </w:r>
    </w:p>
    <w:p>
      <w:pPr>
        <w:spacing w:after="0" w:line="117"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November 3, 2015, the Company’s Board of Directors declared a cash dividend on its common stock of $0.33 per share for the quarter ended September 30, 2015, payable on November 30, 2015 to the holders of record on November 20,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This report contains forward-looking statements that are based on the Company’s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4"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cash flows received from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1940 Act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ind w:left="820" w:right="14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our Manager and its professionals and conflicts of interest in our relationship with our Manager;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described in the “Risk Factors” section.</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92" w:right="27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currently invest across four market sectors: aviation, energy, intermodal transport and rail.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professionals who collectively have acquired over $17 billion in transportation and infrastructure assets since 2002. As of September 30, 2015, we had total consolidated assets of $1.7 billion and total equity of $1.3 billion.</w:t>
      </w:r>
    </w:p>
    <w:p>
      <w:pPr>
        <w:spacing w:after="0" w:line="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May 2015, the remaining capital commitments of the investors of the Onshore Fund, Offshore Fund and Master GP were called. Through a series of transactions, (i)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(ii) 53,502,873 common shares were issued to the Onshore Fund and Offshore Fund based on their relative interests in the Company.</w:t>
      </w:r>
    </w:p>
    <w:p>
      <w:pPr>
        <w:spacing w:after="0" w:line="6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20, 2015, we completed an initial public offering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has used and intends to use the net proceeds from the IPO,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may use such net proceeds for follow-on investments in existing assets, working capital and other general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w:t>
      </w:r>
    </w:p>
    <w:p>
      <w:pPr>
        <w:ind w:right="20"/>
        <w:spacing w:after="0" w:line="254" w:lineRule="auto"/>
        <w:rPr>
          <w:sz w:val="20"/>
          <w:szCs w:val="20"/>
          <w:color w:val="auto"/>
        </w:rPr>
      </w:pPr>
      <w:r>
        <w:rPr>
          <w:rFonts w:ascii="Arial" w:cs="Arial" w:eastAsia="Arial" w:hAnsi="Arial"/>
          <w:sz w:val="18"/>
          <w:szCs w:val="18"/>
          <w:color w:val="auto"/>
        </w:rPr>
        <w:t>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may include structural protections to mitigate credit risk.</w:t>
      </w:r>
    </w:p>
    <w:p>
      <w:pPr>
        <w:spacing w:after="0" w:line="8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investments in shipping containers subject to operating leases and finance leases as well as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and management fees.</w:t>
      </w:r>
    </w:p>
    <w:p>
      <w:pPr>
        <w:spacing w:after="0" w:line="70" w:lineRule="exact"/>
        <w:rPr>
          <w:sz w:val="20"/>
          <w:szCs w:val="20"/>
          <w:color w:val="auto"/>
        </w:rPr>
      </w:pPr>
    </w:p>
    <w:p>
      <w:pPr>
        <w:ind w:right="300" w:firstLine="446"/>
        <w:spacing w:after="0" w:line="286" w:lineRule="auto"/>
        <w:rPr>
          <w:sz w:val="20"/>
          <w:szCs w:val="20"/>
          <w:color w:val="auto"/>
        </w:rPr>
      </w:pPr>
      <w:r>
        <w:rPr>
          <w:rFonts w:ascii="Arial" w:cs="Arial" w:eastAsia="Arial" w:hAnsi="Arial"/>
          <w:sz w:val="17"/>
          <w:szCs w:val="17"/>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796"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reflects the current management of our businesses and provides the CODM with the information necessary to assess operational performance as well as make resource and allocation decisions. Adjusted Net Income should not be considered as an alternative to net income attributable to shareholders as determined in accordance with GAAP. During the fourth quarter of 2014, the CODM implemented Adjusted Net Income as the key performance measure and prior periods have been conformed to the current presentation.</w:t>
      </w:r>
    </w:p>
    <w:p>
      <w:pPr>
        <w:spacing w:after="0" w:line="188" w:lineRule="exact"/>
        <w:rPr>
          <w:sz w:val="20"/>
          <w:szCs w:val="20"/>
          <w:color w:val="auto"/>
        </w:rPr>
      </w:pPr>
    </w:p>
    <w:p>
      <w:pPr>
        <w:ind w:right="160" w:firstLine="446"/>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right="260" w:firstLine="8"/>
        <w:spacing w:after="0" w:line="25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shareholders as defined by GAAP is the most appropriate earnings measurement with which to reconcile Adjusted Net Income.</w:t>
      </w:r>
    </w:p>
    <w:p>
      <w:pPr>
        <w:spacing w:after="0" w:line="149"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In addition, we view Adjusted EBITDA as a secondary measurement to Adjusted Net Income, which serves as a useful supplement to investors, analysts and management to measure operating performance of deployed assets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187" w:lineRule="exact"/>
        <w:rPr>
          <w:sz w:val="20"/>
          <w:szCs w:val="20"/>
          <w:color w:val="auto"/>
        </w:rPr>
      </w:pPr>
    </w:p>
    <w:p>
      <w:pPr>
        <w:ind w:right="120" w:firstLine="446"/>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right="38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include the impact of principal collections on direct finance leases (collectively, “Adjusted EBITDA”) and our pro-rata share of Adjusted EBITDA from unconsolidated entities, and (c) to exclude the impact of equity in earnings of unconsolidated entities and the non-controlling share of Adjusted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Discussed below are our consolidated results of operations for each of our reportable segments (all amounts in U.S. dollars and expressed in thousands).</w:t>
      </w:r>
    </w:p>
    <w:p>
      <w:pPr>
        <w:spacing w:after="0" w:line="248"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attributable to shareholders to Adjusted Net Income for the three and nine months ended September 30, 2015 and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16,480</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8,866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1,655</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24,360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42,013</w:t>
            </w: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3,411</w:t>
            </w: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13,534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9,301</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32,739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6,493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26,246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16,080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102,770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34,511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68,259</w:t>
            </w:r>
          </w:p>
        </w:tc>
      </w:tr>
      <w:tr>
        <w:trPr>
          <w:trHeight w:val="33"/>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9,360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50,198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37,493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(7,109)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7,430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32,875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24,134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43,475</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17,733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25,742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116,895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40,531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76,364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(15,906)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(18,008)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(21,813)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(16,056)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(18,002)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(19,384)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(21,745)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(11,738)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4,031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(15,769)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(7,127)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4,105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(11,232)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(7,109)</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61"/>
        </w:trPr>
        <w:tc>
          <w:tcPr>
            <w:tcW w:w="40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9,584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11,949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1,858</w:t>
            </w:r>
          </w:p>
        </w:tc>
        <w:tc>
          <w:tcPr>
            <w:tcW w:w="4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5,107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(3,249)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10,350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16,232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(5,882)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440" w:right="140" w:hanging="432"/>
        <w:spacing w:after="0" w:line="266" w:lineRule="auto"/>
        <w:tabs>
          <w:tab w:leader="none" w:pos="148" w:val="left"/>
        </w:tabs>
        <w:numPr>
          <w:ilvl w:val="0"/>
          <w:numId w:val="25"/>
        </w:numPr>
        <w:rPr>
          <w:rFonts w:ascii="Arial" w:cs="Arial" w:eastAsia="Arial" w:hAnsi="Arial"/>
          <w:sz w:val="8"/>
          <w:szCs w:val="8"/>
          <w:color w:val="auto"/>
        </w:rPr>
      </w:pPr>
      <w:r>
        <w:rPr>
          <w:rFonts w:ascii="Arial" w:cs="Arial" w:eastAsia="Arial" w:hAnsi="Arial"/>
          <w:sz w:val="13"/>
          <w:szCs w:val="13"/>
          <w:color w:val="auto"/>
        </w:rPr>
        <w:t>Pro-rata share of Adjusted Net Income from unconsolidated entities includes the Company’s proportionate share of the unconsolidated entities’ net income adjusted for asset impairment charges of $10,508 for the three and nine months ended September 30, 2015. Pro-rata share of Adjusted Net Income from unconsolidated entities includes the Company’s proportionate share of the unconsolidated entities’ net income adjusted for loss on extinguishment of debt of $62 for the three and nine months ended September 30, 2014.</w:t>
      </w:r>
    </w:p>
    <w:p>
      <w:pPr>
        <w:spacing w:after="0" w:line="1" w:lineRule="exact"/>
        <w:rPr>
          <w:rFonts w:ascii="Arial" w:cs="Arial" w:eastAsia="Arial" w:hAnsi="Arial"/>
          <w:sz w:val="8"/>
          <w:szCs w:val="8"/>
          <w:color w:val="auto"/>
        </w:rPr>
      </w:pPr>
    </w:p>
    <w:p>
      <w:pPr>
        <w:jc w:val="both"/>
        <w:ind w:left="440" w:right="60" w:hanging="432"/>
        <w:spacing w:after="0" w:line="246" w:lineRule="auto"/>
        <w:tabs>
          <w:tab w:leader="none" w:pos="148" w:val="left"/>
        </w:tabs>
        <w:numPr>
          <w:ilvl w:val="0"/>
          <w:numId w:val="25"/>
        </w:numPr>
        <w:rPr>
          <w:rFonts w:ascii="Arial" w:cs="Arial" w:eastAsia="Arial" w:hAnsi="Arial"/>
          <w:sz w:val="9"/>
          <w:szCs w:val="9"/>
          <w:color w:val="auto"/>
        </w:rPr>
      </w:pPr>
      <w:r>
        <w:rPr>
          <w:rFonts w:ascii="Arial" w:cs="Arial" w:eastAsia="Arial" w:hAnsi="Arial"/>
          <w:sz w:val="14"/>
          <w:szCs w:val="14"/>
          <w:color w:val="auto"/>
        </w:rPr>
        <w:t>Non-controlling share of Adjusted Net Income is comprised of the following for the three months ended September 30, 2015 and 2014, respectively: (i) equity-based compensation of $368 and $114, (ii) provision for income tax of $1 and $119, and (iii) cash tax payments of $1 and $0. Non-controlling share of Adjusted Net Income is comprised of the following for the nine months ended September 30, 2015 and 2014, respectively: (i) equity-based compensation of $1,099 and $114, (ii) provision for income tax of $21 and $119, and (iii) cash tax payments of $(70) and $0.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6"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7"/>
          <w:szCs w:val="17"/>
          <w:color w:val="auto"/>
        </w:rPr>
        <w:t>The following table sets forth a reconciliation of Net Income attributable to shareholders to Adjusted EBITDA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September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7"/>
          </w:tcPr>
          <w:p>
            <w:pPr>
              <w:ind w:left="100"/>
              <w:spacing w:after="0"/>
              <w:rPr>
                <w:sz w:val="20"/>
                <w:szCs w:val="20"/>
                <w:color w:val="auto"/>
              </w:rPr>
            </w:pPr>
            <w:r>
              <w:rPr>
                <w:rFonts w:ascii="Arial" w:cs="Arial" w:eastAsia="Arial" w:hAnsi="Arial"/>
                <w:sz w:val="16"/>
                <w:szCs w:val="16"/>
                <w:b w:val="1"/>
                <w:bCs w:val="1"/>
                <w:color w:val="auto"/>
                <w:w w:val="98"/>
              </w:rPr>
              <w:t>Nine Months Ended September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2015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(11,232)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(7,109)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4,914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27,862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11,320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8,384</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40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17,351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33,946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(17,746)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11,949</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(9,041)</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32,619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29,759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2,860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85,583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66,881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18,702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440" w:right="160" w:hanging="432"/>
        <w:spacing w:after="0" w:line="241" w:lineRule="auto"/>
        <w:tabs>
          <w:tab w:leader="none" w:pos="148" w:val="left"/>
        </w:tabs>
        <w:numPr>
          <w:ilvl w:val="0"/>
          <w:numId w:val="26"/>
        </w:numPr>
        <w:rPr>
          <w:rFonts w:ascii="Arial" w:cs="Arial" w:eastAsia="Arial" w:hAnsi="Arial"/>
          <w:sz w:val="9"/>
          <w:szCs w:val="9"/>
          <w:color w:val="auto"/>
        </w:rPr>
      </w:pPr>
      <w:r>
        <w:rPr>
          <w:rFonts w:ascii="Arial" w:cs="Arial" w:eastAsia="Arial" w:hAnsi="Arial"/>
          <w:sz w:val="14"/>
          <w:szCs w:val="14"/>
          <w:color w:val="auto"/>
        </w:rPr>
        <w:t>Depreciation and amortization expense includes $11,548 and $4,118 of depreciation and amortization expense, $1,405 and $796 of lease intangible amortization, and $62 and $0 of amortization for lease incentives in the three months ended September 30, 2015 and 2014, respectively. Depreciation and amortization expense includes $32,875 and $8,741 of depreciation and amortization expense, $5,198 and $1,652 of lease intangible amortization, and $182 and $0 of amortization for lease incentives in the nine months ended September 30, 2015 and 2014, respectively.</w:t>
      </w:r>
    </w:p>
    <w:p>
      <w:pPr>
        <w:spacing w:after="0" w:line="1" w:lineRule="exact"/>
        <w:rPr>
          <w:rFonts w:ascii="Arial" w:cs="Arial" w:eastAsia="Arial" w:hAnsi="Arial"/>
          <w:sz w:val="9"/>
          <w:szCs w:val="9"/>
          <w:color w:val="auto"/>
        </w:rPr>
      </w:pPr>
    </w:p>
    <w:p>
      <w:pPr>
        <w:ind w:left="440" w:right="20" w:hanging="432"/>
        <w:spacing w:after="0" w:line="260" w:lineRule="auto"/>
        <w:tabs>
          <w:tab w:leader="none" w:pos="148" w:val="left"/>
        </w:tabs>
        <w:numPr>
          <w:ilvl w:val="0"/>
          <w:numId w:val="26"/>
        </w:numPr>
        <w:rPr>
          <w:rFonts w:ascii="Arial" w:cs="Arial" w:eastAsia="Arial" w:hAnsi="Arial"/>
          <w:sz w:val="8"/>
          <w:szCs w:val="8"/>
          <w:color w:val="auto"/>
        </w:rPr>
      </w:pPr>
      <w:r>
        <w:rPr>
          <w:rFonts w:ascii="Arial" w:cs="Arial" w:eastAsia="Arial" w:hAnsi="Arial"/>
          <w:sz w:val="13"/>
          <w:szCs w:val="13"/>
          <w:color w:val="auto"/>
        </w:rPr>
        <w:t>The Company’s pro-rata share of Adjusted EBITDA from unconsolidated entities includes adjustments for the following items for the three months ended September 30, 2015 and 2014: (i) net income (loss) of $(9,635) and $1,633, (ii) interest expense of $474 and $793, (iii) depreciation and amortization expense of $299 and $240, (iv) principal collections of finance leases of $3,723 and $14,685, and (v) asset impairment charges of $10,508 and $0, respectively. The Company’s pro-rata share of Adjusted EBITDA from unconsolidated entities includes adjustments for the following items for the nine months ended September 30, 2015 and 2014: (i) net income (loss) of $(7,278) and $4,614, (ii) interest expense of $1,422 and $2,066, (iii) depreciation and amortization expense of $910 and $922, (iv) principal collections of finance leases of $10,638 and $26,344, and (v) asset impairment charges of $10,508 and $0, respectively.</w:t>
      </w:r>
    </w:p>
    <w:p>
      <w:pPr>
        <w:ind w:left="440" w:right="120" w:hanging="432"/>
        <w:spacing w:after="0" w:line="271" w:lineRule="auto"/>
        <w:tabs>
          <w:tab w:leader="none" w:pos="148" w:val="left"/>
        </w:tabs>
        <w:numPr>
          <w:ilvl w:val="0"/>
          <w:numId w:val="26"/>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September 30, 2015 and 2014: (i) equity based compensation of $368 and $114, (ii) provision for income taxes of $1 and $119, (iii) interest expense of $1,185 and $206, and (iv) depreciation and amortization expense of $1,450 and $356, respectively. Non-controlling share of Adjusted EBITDA is comprised of the following items for the nine months ended September 30, 2015 and 2014: (i) equity based compensation of $1,099 and $114, (ii) provision for income taxes of $21 and $119, (iii) interest expense of $3,630 and $277, and (iv) depreciation and amortization expense of $4,291 and $468,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Total revenues increased by $19,153 and $68,259 in the three and nine months ended September 30, 2015 as compared to the three and nine months ended September 30, 2014, respectively, primarily from acquisitions of leasing equipment in 2015 and the full impact of acquisitions completed in the second half of 2014 for lease income, maintenance revenue, rail revenues, and terminal services revenues.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Equipment Leasing, lease income increased by $9,879 and $32,331 in the three and nine months ended September 30, 2015, respectively, as compared to the three and nine months ended September 30, 2014, respectively, driven by the acquisitions of assets on-lease within the Aviation Leasing and Offshore Energy segments. Maintenance revenue increased by $4,085 and $8,866 in the three and nine months ended September 30, 2015 as compared to the three and nine months ended September 30, 2014, respectively, as the number of assets subject to leases with maintenance arrangements increased in the comparable periods.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46" w:name="page47"/>
    <w:bookmarkEnd w:id="46"/>
    <w:p>
      <w:pPr>
        <w:ind w:right="80" w:firstLine="648"/>
        <w:spacing w:after="0" w:line="279" w:lineRule="auto"/>
        <w:rPr>
          <w:sz w:val="20"/>
          <w:szCs w:val="20"/>
          <w:color w:val="auto"/>
        </w:rPr>
      </w:pPr>
      <w:r>
        <w:rPr>
          <w:rFonts w:ascii="Arial" w:cs="Arial" w:eastAsia="Arial" w:hAnsi="Arial"/>
          <w:sz w:val="17"/>
          <w:szCs w:val="17"/>
          <w:color w:val="auto"/>
        </w:rPr>
        <w:t>In Infrastructure, the Railroad segment acquisition in the second quarter of 2014 contributed higher rail revenues of $2,671 and $13,534 in the three and nine months ended September 30, 2015 as compared to the three and nine months ended September 30, 2014, respectively. The Jefferson Terminal acquisition in the third quarter of 2014 contributed higher terminal services revenues and lease income of $2,693 and $12,712 in the three and nine months ended September 30, 2015 as compared to the three and nine months ended September 30, 2014,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expenses increased by $25,742 and $76,364 in the three months and nine months ended September 30, 2015 as compared to the three and nine months ended September 30, 2014, respectively. This was driven by an increase in operating expenses of $8,519 and $37,493, in the three months and nine months ended September 30, 2015 as compared to the three months and nine months ended September 30, 2014, respectively, specifically related to higher expense incurred for facility operations and compensation and benefits, primarily due to the inclusion of Jefferson Terminal and CMQR, both acquired during 2014.</w:t>
      </w:r>
    </w:p>
    <w:p>
      <w:pPr>
        <w:spacing w:after="0" w:line="8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Management fees and incentive allocation to affiliate increased by $2,908 and $6,970 in the three months and nine months ended September 30, 2015 as compared to the three months and nine months ended September 30, 2014, respectively, attributable to an increase in the weighted average contributed capital and capital raised during the Company’s IPO.</w:t>
      </w:r>
    </w:p>
    <w:p>
      <w:pPr>
        <w:spacing w:after="0" w:line="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Depreciation and amortization increased by $7,430 and $24,134 in the three months and nine months ended September 30, 2015 as compared to the three months and nine months ended September 30, 2014, respectively, due to additional assets acquired in the Aviation Leasing and Offshore Energy segments in 2014, as well as the assets acquired in conjunction with the acquisition of Jefferson Terminal and CMQR and also placed into service during 2015.</w:t>
      </w:r>
    </w:p>
    <w:p>
      <w:pPr>
        <w:spacing w:after="0" w:line="7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Interest expense increased by $3,320 and $11,320 in the three months and nine months ended September 30, 2015 as compared to the three months and nine months ended September 30, 2014, respectively, due to borrowings in connection with the CMQR, Jefferson Terminal, and FTAI Pride acquisitions.</w:t>
      </w:r>
    </w:p>
    <w:p>
      <w:pPr>
        <w:spacing w:after="0" w:line="16"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Acquisition and transaction expenses increased by $1,398 in the three months ended September 30, 2015 as compared to the three months ended September 30, 2014 due to increased investment activity, but decreased by $7,109 in the nine months ended September 30, 2015 as compared to the nine months ended September 30, 2014, as 2014 included costs related to the acquisitions of Jefferson Terminal and CMQR.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Total other income decreased by $11,419 and $13,708 in the three months and nine months ended September 30, 2015 as compared to the three and nine months ended September 30, 2014, respectively. This was driven by lower equity in earnings of unconsolidated entities generated related to a shipping container joint venture of $11,284 and $11,949 in the three and nine months ended September 30, 2015 as compared to the three and nine months ended September 30, 2014, respectively. Lower equity in earnings during the three months ended September 30, 2015 was primarily driven by an asset impairment charge recorded by the shipping container joint venture. Additionally, the decrease in total other income was further affected by lower gains on sale of aviation equipment of $175 and $2,106 in the three months and nine months ended September 30, 2015 as compared to the three and nine months ended September 30,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Net income attributable to shareholders decreased by $15,769 and $11,232 in the three months and nine months ended September 30, 2015 as compared to the three months and nine months ended September 30, 2014, respectively, driven primarily by the changes discussed above, and also impacted by increases in net loss attributable to non-controlling interest in consolidated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Net Income was $1,858 and $10,350 in the three and nine months ended September 30, 2015, respectively, decreasing by $3,249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$5,882 as compared to the three months and nine months ended September 30, 2014, respectively. In addition to the changes in Net (loss) income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shareholders noted above, the decrease in the nine months ended September 30, 2015 was also driven by lower acquisition and transaction expenses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The decrease in each respective period was offset by increases from equity-based compensation expense and equity in losses of unconsolidated entities,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are excluded from Adjusted Net Income.</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4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Adjusted EBITDA was $32,619 and $85,583 in the three and nine months ended September 30, 2015, respectively, increasing by $2,860 and $18,702 as compared to the three months and nine months ended September 30, 2014, respectively. In addition to the changes in Net (loss) income attributable to shareholders noted above, the increase in each respective period was primarily due to increased (i) equity in losses of unconsolidated entities,</w:t>
      </w:r>
    </w:p>
    <w:p>
      <w:pPr>
        <w:ind w:right="20" w:firstLine="8"/>
        <w:spacing w:after="0" w:line="270"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depreciation and amortization expense from additional assets acquired or placed into service across nearly all segments, (iii) interest expense on borrowings executed in the second half of 2014 (iv) equity-based compensation expense and (v) principal collections on direct finance leases. The increase in three and nine months ended September 30, 2015 as compared to the three months and nine months ended September 30, 2014 was offset by (i) a decrease in our pro-rata share of Adjusted EBITDA from unconsolidated entities and (ii) higher non-controlling share of Adjusted EBITDA, mainly due to Jefferson Terminal. The increase in the nine months ended September 30, 2015 was also offset by lower acquisition and transaction expenses, mainly due to costs to acquire Jefferson Terminal and CMQR, as compared to the nine months ended September 30,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Aviation Leasing segment, we own and manage 58 aviation assets, including 41 commercial jet engines and 17 commercial passenger aircraft.</w:t>
      </w:r>
    </w:p>
    <w:p>
      <w:pPr>
        <w:spacing w:after="0" w:line="24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September 30, 2015, 24 of our commercial jet engines and 15 of our commercial aircraft were leased to operators or other third parties. Aviation assets currently off lease are either undergoing repair and/or maintenance, or are currently held in short term storage awaiting a future lease. Our aviation equipment was approximately 82% utilized as of September 30, 2015, based on the equity value of our on-hire leasing equipment as a percentage of the total equity value of our leasing equipment. Our aircraft assets currently have a weighted average remaining lease term of 30 months, and our engine assets, currently on-lease, have an average remaining lease term of 17 months. The chart below describes the assets in our Aviation Leasing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251575" cy="180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1575" cy="1809750"/>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Jet Engine Assets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00" w:type="dxa"/>
            <w:vAlign w:val="bottom"/>
            <w:tcBorders>
              <w:top w:val="single" w:sz="8" w:color="auto"/>
              <w:left w:val="single" w:sz="8" w:color="D8D8D8"/>
              <w:bottom w:val="single" w:sz="8" w:color="D8D8D8"/>
              <w:right w:val="single" w:sz="8" w:color="auto"/>
            </w:tcBorders>
            <w:shd w:val="clear" w:color="auto" w:fill="D8D8D8"/>
          </w:tcPr>
          <w:p>
            <w:pPr>
              <w:ind w:left="1040"/>
              <w:spacing w:after="0"/>
              <w:rPr>
                <w:sz w:val="20"/>
                <w:szCs w:val="20"/>
                <w:color w:val="auto"/>
              </w:rPr>
            </w:pPr>
            <w:r>
              <w:rPr>
                <w:rFonts w:ascii="Arial" w:cs="Arial" w:eastAsia="Arial" w:hAnsi="Arial"/>
                <w:sz w:val="16"/>
                <w:szCs w:val="16"/>
                <w:color w:val="auto"/>
              </w:rPr>
              <w:t>Engine Type</w:t>
            </w:r>
          </w:p>
        </w:tc>
        <w:tc>
          <w:tcPr>
            <w:tcW w:w="1000" w:type="dxa"/>
            <w:vAlign w:val="bottom"/>
            <w:tcBorders>
              <w:top w:val="single" w:sz="8" w:color="auto"/>
              <w:bottom w:val="single" w:sz="8" w:color="D8D8D8"/>
              <w:right w:val="single" w:sz="8" w:color="auto"/>
            </w:tcBorders>
            <w:shd w:val="clear" w:color="auto" w:fill="D8D8D8"/>
          </w:tcPr>
          <w:p>
            <w:pPr>
              <w:ind w:left="200"/>
              <w:spacing w:after="0"/>
              <w:rPr>
                <w:sz w:val="20"/>
                <w:szCs w:val="20"/>
                <w:color w:val="auto"/>
              </w:rPr>
            </w:pPr>
            <w:r>
              <w:rPr>
                <w:rFonts w:ascii="Arial" w:cs="Arial" w:eastAsia="Arial" w:hAnsi="Arial"/>
                <w:sz w:val="16"/>
                <w:szCs w:val="16"/>
                <w:color w:val="auto"/>
              </w:rPr>
              <w:t>Number</w:t>
            </w:r>
          </w:p>
        </w:tc>
        <w:tc>
          <w:tcPr>
            <w:tcW w:w="1680" w:type="dxa"/>
            <w:vAlign w:val="bottom"/>
            <w:tcBorders>
              <w:top w:val="single" w:sz="8" w:color="auto"/>
              <w:bottom w:val="single" w:sz="8" w:color="D8D8D8"/>
            </w:tcBorders>
            <w:shd w:val="clear" w:color="auto" w:fill="D8D8D8"/>
          </w:tcPr>
          <w:p>
            <w:pPr>
              <w:ind w:left="640"/>
              <w:spacing w:after="0"/>
              <w:rPr>
                <w:sz w:val="20"/>
                <w:szCs w:val="20"/>
                <w:color w:val="auto"/>
              </w:rPr>
            </w:pPr>
            <w:r>
              <w:rPr>
                <w:rFonts w:ascii="Arial" w:cs="Arial" w:eastAsia="Arial" w:hAnsi="Arial"/>
                <w:sz w:val="16"/>
                <w:szCs w:val="16"/>
                <w:color w:val="auto"/>
              </w:rPr>
              <w:t>Manufacturer</w:t>
            </w:r>
          </w:p>
        </w:tc>
        <w:tc>
          <w:tcPr>
            <w:tcW w:w="560" w:type="dxa"/>
            <w:vAlign w:val="bottom"/>
            <w:tcBorders>
              <w:top w:val="single" w:sz="8" w:color="auto"/>
              <w:bottom w:val="single" w:sz="8" w:color="D8D8D8"/>
              <w:right w:val="single" w:sz="8" w:color="auto"/>
            </w:tcBorders>
            <w:shd w:val="clear" w:color="auto" w:fill="D8D8D8"/>
          </w:tcPr>
          <w:p>
            <w:pPr>
              <w:spacing w:after="0"/>
              <w:rPr>
                <w:sz w:val="24"/>
                <w:szCs w:val="24"/>
                <w:color w:val="auto"/>
              </w:rPr>
            </w:pPr>
          </w:p>
        </w:tc>
        <w:tc>
          <w:tcPr>
            <w:tcW w:w="3800" w:type="dxa"/>
            <w:vAlign w:val="bottom"/>
            <w:tcBorders>
              <w:top w:val="single" w:sz="8" w:color="auto"/>
              <w:bottom w:val="single" w:sz="8" w:color="D8D8D8"/>
            </w:tcBorders>
            <w:shd w:val="clear" w:color="auto" w:fill="D8D8D8"/>
          </w:tcPr>
          <w:p>
            <w:pPr>
              <w:ind w:left="1160"/>
              <w:spacing w:after="0"/>
              <w:rPr>
                <w:sz w:val="20"/>
                <w:szCs w:val="20"/>
                <w:color w:val="auto"/>
              </w:rPr>
            </w:pPr>
            <w:r>
              <w:rPr>
                <w:rFonts w:ascii="Arial" w:cs="Arial" w:eastAsia="Arial" w:hAnsi="Arial"/>
                <w:sz w:val="16"/>
                <w:szCs w:val="16"/>
                <w:color w:val="auto"/>
              </w:rPr>
              <w:t>Aircraft Compatibility</w:t>
            </w:r>
          </w:p>
        </w:tc>
        <w:tc>
          <w:tcPr>
            <w:tcW w:w="20" w:type="dxa"/>
            <w:vAlign w:val="bottom"/>
            <w:tcBorders>
              <w:top w:val="single" w:sz="8" w:color="auto"/>
            </w:tcBorders>
          </w:tcPr>
          <w:p>
            <w:pPr>
              <w:spacing w:after="0"/>
              <w:rPr>
                <w:sz w:val="24"/>
                <w:szCs w:val="24"/>
                <w:color w:val="auto"/>
              </w:rPr>
            </w:pPr>
          </w:p>
        </w:tc>
      </w:tr>
      <w:tr>
        <w:trPr>
          <w:trHeight w:val="237"/>
        </w:trPr>
        <w:tc>
          <w:tcPr>
            <w:tcW w:w="2800" w:type="dxa"/>
            <w:vAlign w:val="bottom"/>
            <w:tcBorders>
              <w:top w:val="single" w:sz="8" w:color="auto"/>
              <w:right w:val="single" w:sz="8" w:color="auto"/>
            </w:tcBorders>
          </w:tcPr>
          <w:p>
            <w:pPr>
              <w:jc w:val="center"/>
              <w:ind w:left="31"/>
              <w:spacing w:after="0"/>
              <w:rPr>
                <w:sz w:val="20"/>
                <w:szCs w:val="20"/>
                <w:color w:val="auto"/>
              </w:rPr>
            </w:pPr>
            <w:r>
              <w:rPr>
                <w:rFonts w:ascii="Arial" w:cs="Arial" w:eastAsia="Arial" w:hAnsi="Arial"/>
                <w:sz w:val="18"/>
                <w:szCs w:val="18"/>
                <w:color w:val="auto"/>
                <w:w w:val="95"/>
              </w:rPr>
              <w:t>CFM56-3</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6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CFMI</w:t>
            </w:r>
          </w:p>
        </w:tc>
        <w:tc>
          <w:tcPr>
            <w:tcW w:w="560" w:type="dxa"/>
            <w:vAlign w:val="bottom"/>
            <w:tcBorders>
              <w:top w:val="single" w:sz="8" w:color="auto"/>
              <w:right w:val="single" w:sz="8" w:color="auto"/>
            </w:tcBorders>
          </w:tcPr>
          <w:p>
            <w:pPr>
              <w:spacing w:after="0"/>
              <w:rPr>
                <w:sz w:val="20"/>
                <w:szCs w:val="20"/>
                <w:color w:val="auto"/>
              </w:rPr>
            </w:pPr>
          </w:p>
        </w:tc>
        <w:tc>
          <w:tcPr>
            <w:tcW w:w="38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B737-300 / B737-400 / B737-500</w:t>
            </w:r>
          </w:p>
        </w:tc>
        <w:tc>
          <w:tcPr>
            <w:tcW w:w="20" w:type="dxa"/>
            <w:vAlign w:val="bottom"/>
            <w:tcBorders>
              <w:top w:val="single" w:sz="8" w:color="auto"/>
            </w:tcBorders>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5"/>
              </w:rPr>
              <w:t>CFM56-5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680" w:type="dxa"/>
            <w:vAlign w:val="bottom"/>
          </w:tcPr>
          <w:p>
            <w:pPr>
              <w:ind w:left="240"/>
              <w:spacing w:after="0"/>
              <w:rPr>
                <w:sz w:val="20"/>
                <w:szCs w:val="20"/>
                <w:color w:val="auto"/>
              </w:rPr>
            </w:pPr>
            <w:r>
              <w:rPr>
                <w:rFonts w:ascii="Arial" w:cs="Arial" w:eastAsia="Arial" w:hAnsi="Arial"/>
                <w:sz w:val="18"/>
                <w:szCs w:val="18"/>
                <w:color w:val="auto"/>
              </w:rPr>
              <w:t>CFMI</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A320</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5"/>
              </w:rPr>
              <w:t>CFM56-7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680" w:type="dxa"/>
            <w:vAlign w:val="bottom"/>
          </w:tcPr>
          <w:p>
            <w:pPr>
              <w:ind w:left="240"/>
              <w:spacing w:after="0"/>
              <w:rPr>
                <w:sz w:val="20"/>
                <w:szCs w:val="20"/>
                <w:color w:val="auto"/>
              </w:rPr>
            </w:pPr>
            <w:r>
              <w:rPr>
                <w:rFonts w:ascii="Arial" w:cs="Arial" w:eastAsia="Arial" w:hAnsi="Arial"/>
                <w:sz w:val="18"/>
                <w:szCs w:val="18"/>
                <w:color w:val="auto"/>
              </w:rPr>
              <w:t>CFMI</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B737-NG</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3"/>
              </w:rPr>
              <w:t>CF6-80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1680" w:type="dxa"/>
            <w:vAlign w:val="bottom"/>
          </w:tcPr>
          <w:p>
            <w:pPr>
              <w:ind w:left="240"/>
              <w:spacing w:after="0"/>
              <w:rPr>
                <w:sz w:val="20"/>
                <w:szCs w:val="20"/>
                <w:color w:val="auto"/>
              </w:rPr>
            </w:pPr>
            <w:r>
              <w:rPr>
                <w:rFonts w:ascii="Arial" w:cs="Arial" w:eastAsia="Arial" w:hAnsi="Arial"/>
                <w:sz w:val="18"/>
                <w:szCs w:val="18"/>
                <w:color w:val="auto"/>
              </w:rPr>
              <w:t>General Electric</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B747 / B767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2"/>
              </w:rPr>
              <w:t>PW2037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680" w:type="dxa"/>
            <w:vAlign w:val="bottom"/>
          </w:tcPr>
          <w:p>
            <w:pPr>
              <w:ind w:left="240"/>
              <w:spacing w:after="0"/>
              <w:rPr>
                <w:sz w:val="20"/>
                <w:szCs w:val="20"/>
                <w:color w:val="auto"/>
              </w:rPr>
            </w:pPr>
            <w:r>
              <w:rPr>
                <w:rFonts w:ascii="Arial" w:cs="Arial" w:eastAsia="Arial" w:hAnsi="Arial"/>
                <w:sz w:val="18"/>
                <w:szCs w:val="18"/>
                <w:color w:val="auto"/>
              </w:rPr>
              <w:t>Pratt &amp; Whitney</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B757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2"/>
              </w:rPr>
              <w:t>PW4056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1680" w:type="dxa"/>
            <w:vAlign w:val="bottom"/>
          </w:tcPr>
          <w:p>
            <w:pPr>
              <w:ind w:left="240"/>
              <w:spacing w:after="0"/>
              <w:rPr>
                <w:sz w:val="20"/>
                <w:szCs w:val="20"/>
                <w:color w:val="auto"/>
              </w:rPr>
            </w:pPr>
            <w:r>
              <w:rPr>
                <w:rFonts w:ascii="Arial" w:cs="Arial" w:eastAsia="Arial" w:hAnsi="Arial"/>
                <w:sz w:val="18"/>
                <w:szCs w:val="18"/>
                <w:color w:val="auto"/>
              </w:rPr>
              <w:t>Pratt &amp; Whitney</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B747 / B767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4"/>
              </w:rPr>
              <w:t>RB211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680" w:type="dxa"/>
            <w:vAlign w:val="bottom"/>
          </w:tcPr>
          <w:p>
            <w:pPr>
              <w:ind w:left="240"/>
              <w:spacing w:after="0"/>
              <w:rPr>
                <w:sz w:val="20"/>
                <w:szCs w:val="20"/>
                <w:color w:val="auto"/>
              </w:rPr>
            </w:pPr>
            <w:r>
              <w:rPr>
                <w:rFonts w:ascii="Arial" w:cs="Arial" w:eastAsia="Arial" w:hAnsi="Arial"/>
                <w:sz w:val="18"/>
                <w:szCs w:val="18"/>
                <w:color w:val="auto"/>
              </w:rPr>
              <w:t>Rolls Royce</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B757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4"/>
              </w:rPr>
              <w:t>V2527-A5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680" w:type="dxa"/>
            <w:vAlign w:val="bottom"/>
          </w:tcPr>
          <w:p>
            <w:pPr>
              <w:ind w:left="240"/>
              <w:spacing w:after="0"/>
              <w:rPr>
                <w:sz w:val="20"/>
                <w:szCs w:val="20"/>
                <w:color w:val="auto"/>
              </w:rPr>
            </w:pPr>
            <w:r>
              <w:rPr>
                <w:rFonts w:ascii="Arial" w:cs="Arial" w:eastAsia="Arial" w:hAnsi="Arial"/>
                <w:sz w:val="18"/>
                <w:szCs w:val="18"/>
                <w:color w:val="auto"/>
              </w:rPr>
              <w:t>IAE</w:t>
            </w:r>
          </w:p>
        </w:tc>
        <w:tc>
          <w:tcPr>
            <w:tcW w:w="560" w:type="dxa"/>
            <w:vAlign w:val="bottom"/>
            <w:tcBorders>
              <w:right w:val="single" w:sz="8" w:color="auto"/>
            </w:tcBorders>
          </w:tcPr>
          <w:p>
            <w:pPr>
              <w:spacing w:after="0"/>
              <w:rPr>
                <w:sz w:val="20"/>
                <w:szCs w:val="20"/>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A320 / A321 / A319</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9"/>
        </w:trPr>
        <w:tc>
          <w:tcPr>
            <w:tcW w:w="2800" w:type="dxa"/>
            <w:vAlign w:val="bottom"/>
            <w:tcBorders>
              <w:left w:val="single" w:sz="8" w:color="auto"/>
              <w:bottom w:val="single" w:sz="8" w:color="00497F"/>
              <w:right w:val="single" w:sz="8" w:color="00497F"/>
            </w:tcBorders>
            <w:shd w:val="clear" w:color="auto" w:fill="00497F"/>
          </w:tcPr>
          <w:p>
            <w:pPr>
              <w:ind w:left="40"/>
              <w:spacing w:after="0"/>
              <w:rPr>
                <w:sz w:val="20"/>
                <w:szCs w:val="20"/>
                <w:color w:val="auto"/>
              </w:rPr>
            </w:pPr>
            <w:r>
              <w:rPr>
                <w:rFonts w:ascii="Arial" w:cs="Arial" w:eastAsia="Arial" w:hAnsi="Arial"/>
                <w:sz w:val="18"/>
                <w:szCs w:val="18"/>
                <w:b w:val="1"/>
                <w:bCs w:val="1"/>
                <w:color w:val="FFFFFF"/>
              </w:rPr>
              <w:t>Aircraft Assets</w:t>
            </w:r>
          </w:p>
        </w:tc>
        <w:tc>
          <w:tcPr>
            <w:tcW w:w="1000" w:type="dxa"/>
            <w:vAlign w:val="bottom"/>
            <w:tcBorders>
              <w:bottom w:val="single" w:sz="8" w:color="00497F"/>
              <w:right w:val="single" w:sz="8" w:color="00497F"/>
            </w:tcBorders>
            <w:shd w:val="clear" w:color="auto" w:fill="00497F"/>
          </w:tcPr>
          <w:p>
            <w:pPr>
              <w:spacing w:after="0"/>
              <w:rPr>
                <w:sz w:val="22"/>
                <w:szCs w:val="22"/>
                <w:color w:val="auto"/>
              </w:rPr>
            </w:pPr>
          </w:p>
        </w:tc>
        <w:tc>
          <w:tcPr>
            <w:tcW w:w="1680" w:type="dxa"/>
            <w:vAlign w:val="bottom"/>
            <w:tcBorders>
              <w:bottom w:val="single" w:sz="8" w:color="00497F"/>
            </w:tcBorders>
            <w:shd w:val="clear" w:color="auto" w:fill="00497F"/>
          </w:tcPr>
          <w:p>
            <w:pPr>
              <w:spacing w:after="0"/>
              <w:rPr>
                <w:sz w:val="22"/>
                <w:szCs w:val="22"/>
                <w:color w:val="auto"/>
              </w:rPr>
            </w:pPr>
          </w:p>
        </w:tc>
        <w:tc>
          <w:tcPr>
            <w:tcW w:w="560" w:type="dxa"/>
            <w:vAlign w:val="bottom"/>
            <w:tcBorders>
              <w:bottom w:val="single" w:sz="8" w:color="00497F"/>
              <w:right w:val="single" w:sz="8" w:color="auto"/>
            </w:tcBorders>
            <w:shd w:val="clear" w:color="auto" w:fill="00497F"/>
          </w:tcPr>
          <w:p>
            <w:pPr>
              <w:spacing w:after="0"/>
              <w:rPr>
                <w:sz w:val="22"/>
                <w:szCs w:val="22"/>
                <w:color w:val="auto"/>
              </w:rPr>
            </w:pPr>
          </w:p>
        </w:tc>
        <w:tc>
          <w:tcPr>
            <w:tcW w:w="3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2800" w:type="dxa"/>
            <w:vAlign w:val="bottom"/>
            <w:tcBorders>
              <w:top w:val="single" w:sz="8" w:color="auto"/>
              <w:left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Airframe Type</w:t>
            </w:r>
          </w:p>
        </w:tc>
        <w:tc>
          <w:tcPr>
            <w:tcW w:w="10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4"/>
              </w:rPr>
              <w:t>Number</w:t>
            </w:r>
          </w:p>
        </w:tc>
        <w:tc>
          <w:tcPr>
            <w:tcW w:w="1680" w:type="dxa"/>
            <w:vAlign w:val="bottom"/>
            <w:tcBorders>
              <w:top w:val="single" w:sz="8" w:color="auto"/>
              <w:bottom w:val="single" w:sz="8" w:color="D8D8D8"/>
            </w:tcBorders>
            <w:shd w:val="clear" w:color="auto" w:fill="D8D8D8"/>
          </w:tcPr>
          <w:p>
            <w:pPr>
              <w:ind w:left="660"/>
              <w:spacing w:after="0"/>
              <w:rPr>
                <w:sz w:val="20"/>
                <w:szCs w:val="20"/>
                <w:color w:val="auto"/>
              </w:rPr>
            </w:pPr>
            <w:r>
              <w:rPr>
                <w:rFonts w:ascii="Arial" w:cs="Arial" w:eastAsia="Arial" w:hAnsi="Arial"/>
                <w:sz w:val="16"/>
                <w:szCs w:val="16"/>
                <w:color w:val="auto"/>
              </w:rPr>
              <w:t>Manufacturer</w:t>
            </w:r>
          </w:p>
        </w:tc>
        <w:tc>
          <w:tcPr>
            <w:tcW w:w="560" w:type="dxa"/>
            <w:vAlign w:val="bottom"/>
            <w:tcBorders>
              <w:top w:val="single" w:sz="8" w:color="auto"/>
              <w:bottom w:val="single" w:sz="8" w:color="D8D8D8"/>
              <w:right w:val="single" w:sz="8" w:color="auto"/>
            </w:tcBorders>
            <w:shd w:val="clear" w:color="auto" w:fill="D8D8D8"/>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8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B747-400</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Boeing</w:t>
            </w:r>
          </w:p>
        </w:tc>
        <w:tc>
          <w:tcPr>
            <w:tcW w:w="560" w:type="dxa"/>
            <w:vAlign w:val="bottom"/>
            <w:tcBorders>
              <w:top w:val="single" w:sz="8" w:color="auto"/>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B757-200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80" w:type="dxa"/>
            <w:vAlign w:val="bottom"/>
          </w:tcPr>
          <w:p>
            <w:pPr>
              <w:ind w:left="160"/>
              <w:spacing w:after="0"/>
              <w:rPr>
                <w:sz w:val="20"/>
                <w:szCs w:val="20"/>
                <w:color w:val="auto"/>
              </w:rPr>
            </w:pPr>
            <w:r>
              <w:rPr>
                <w:rFonts w:ascii="Arial" w:cs="Arial" w:eastAsia="Arial" w:hAnsi="Arial"/>
                <w:sz w:val="18"/>
                <w:szCs w:val="18"/>
                <w:color w:val="auto"/>
              </w:rPr>
              <w:t>Boeing</w:t>
            </w:r>
          </w:p>
        </w:tc>
        <w:tc>
          <w:tcPr>
            <w:tcW w:w="56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B767-300ER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680" w:type="dxa"/>
            <w:vAlign w:val="bottom"/>
          </w:tcPr>
          <w:p>
            <w:pPr>
              <w:ind w:left="160"/>
              <w:spacing w:after="0"/>
              <w:rPr>
                <w:sz w:val="20"/>
                <w:szCs w:val="20"/>
                <w:color w:val="auto"/>
              </w:rPr>
            </w:pPr>
            <w:r>
              <w:rPr>
                <w:rFonts w:ascii="Arial" w:cs="Arial" w:eastAsia="Arial" w:hAnsi="Arial"/>
                <w:sz w:val="18"/>
                <w:szCs w:val="18"/>
                <w:color w:val="auto"/>
              </w:rPr>
              <w:t>Boeing</w:t>
            </w:r>
          </w:p>
        </w:tc>
        <w:tc>
          <w:tcPr>
            <w:tcW w:w="56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A320-200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680" w:type="dxa"/>
            <w:vAlign w:val="bottom"/>
          </w:tcPr>
          <w:p>
            <w:pPr>
              <w:ind w:left="160"/>
              <w:spacing w:after="0"/>
              <w:rPr>
                <w:sz w:val="20"/>
                <w:szCs w:val="20"/>
                <w:color w:val="auto"/>
              </w:rPr>
            </w:pPr>
            <w:r>
              <w:rPr>
                <w:rFonts w:ascii="Arial" w:cs="Arial" w:eastAsia="Arial" w:hAnsi="Arial"/>
                <w:sz w:val="18"/>
                <w:szCs w:val="18"/>
                <w:color w:val="auto"/>
              </w:rPr>
              <w:t>Airbus</w:t>
            </w:r>
          </w:p>
        </w:tc>
        <w:tc>
          <w:tcPr>
            <w:tcW w:w="56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B737-800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680" w:type="dxa"/>
            <w:vAlign w:val="bottom"/>
          </w:tcPr>
          <w:p>
            <w:pPr>
              <w:ind w:left="160"/>
              <w:spacing w:after="0"/>
              <w:rPr>
                <w:sz w:val="20"/>
                <w:szCs w:val="20"/>
                <w:color w:val="auto"/>
              </w:rPr>
            </w:pPr>
            <w:r>
              <w:rPr>
                <w:rFonts w:ascii="Arial" w:cs="Arial" w:eastAsia="Arial" w:hAnsi="Arial"/>
                <w:sz w:val="18"/>
                <w:szCs w:val="18"/>
                <w:color w:val="auto"/>
              </w:rPr>
              <w:t>Boeing</w:t>
            </w:r>
          </w:p>
        </w:tc>
        <w:tc>
          <w:tcPr>
            <w:tcW w:w="56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B737-700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680" w:type="dxa"/>
            <w:vAlign w:val="bottom"/>
          </w:tcPr>
          <w:p>
            <w:pPr>
              <w:ind w:left="160"/>
              <w:spacing w:after="0"/>
              <w:rPr>
                <w:sz w:val="20"/>
                <w:szCs w:val="20"/>
                <w:color w:val="auto"/>
              </w:rPr>
            </w:pPr>
            <w:r>
              <w:rPr>
                <w:rFonts w:ascii="Arial" w:cs="Arial" w:eastAsia="Arial" w:hAnsi="Arial"/>
                <w:sz w:val="18"/>
                <w:szCs w:val="18"/>
                <w:color w:val="auto"/>
              </w:rPr>
              <w:t>Boeing</w:t>
            </w:r>
          </w:p>
        </w:tc>
        <w:tc>
          <w:tcPr>
            <w:tcW w:w="560" w:type="dxa"/>
            <w:vAlign w:val="bottom"/>
            <w:tcBorders>
              <w:right w:val="single" w:sz="8" w:color="auto"/>
            </w:tcBorders>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669"/>
        </w:trPr>
        <w:tc>
          <w:tcPr>
            <w:tcW w:w="2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341" w:right="279" w:bottom="1440" w:gutter="0" w:footer="0" w:header="0"/>
        </w:sectPr>
      </w:pPr>
    </w:p>
    <w:bookmarkStart w:id="48" w:name="page49"/>
    <w:bookmarkEnd w:id="48"/>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 for the three and nine months ended September 30, 2015 and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112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10,664</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10,018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20,193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4,029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8,866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16,174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5,459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10,715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44,226</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14,050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30,176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16,774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6,146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10,628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18,697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11,098</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4,064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10,521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6,250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27,498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10,535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16,963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10,213</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4,302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26,778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10,228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16,550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(benefit) for income taxes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0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vMerge w:val="continue"/>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8"/>
                <w:szCs w:val="8"/>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4000" w:type="dxa"/>
            <w:vAlign w:val="bottom"/>
            <w:vMerge w:val="restart"/>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8"/>
                <w:szCs w:val="8"/>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10,521</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27,271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10,535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16,736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ind w:right="10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Aviation Leasing segment for the three and nine months ended September 30, 2015 and September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10,213</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(benefit) for income taxes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14,356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18,110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49,652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30,630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500" w:right="80" w:hanging="492"/>
        <w:spacing w:after="0" w:line="286" w:lineRule="auto"/>
        <w:tabs>
          <w:tab w:leader="none" w:pos="154" w:val="left"/>
        </w:tabs>
        <w:numPr>
          <w:ilvl w:val="0"/>
          <w:numId w:val="28"/>
        </w:numPr>
        <w:rPr>
          <w:rFonts w:ascii="Arial" w:cs="Arial" w:eastAsia="Arial" w:hAnsi="Arial"/>
          <w:sz w:val="8"/>
          <w:szCs w:val="8"/>
          <w:color w:val="auto"/>
        </w:rPr>
      </w:pPr>
      <w:r>
        <w:rPr>
          <w:rFonts w:ascii="Arial" w:cs="Arial" w:eastAsia="Arial" w:hAnsi="Arial"/>
          <w:sz w:val="13"/>
          <w:szCs w:val="13"/>
          <w:color w:val="auto"/>
        </w:rPr>
        <w:t>Depreciation and amortization expense includes $6,122 and $2,443 of depreciation expense, $1,405 and $796 of lease intangible amortization, and $62 and $0 of amortization for lease incentives in the three months ended September 30, 2015 and 2014, respectively. Depreciation and amortization expense includes $16,774 and $6,146 of depreciation expense, $5,198 and $1,652 of lease intangible amortization, and $182 and $0 of amortization for lease incentives in the nine months ended September 30, 2015 and 2014,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Total revenue in the Aviation Leasing segment increased by $10,715 in the three months ended September 30, 2015 as compared to the three months ended September 30, 2014, due to higher lease income and maintenance revenue, driven by newly acquired assets on-lease. Lease income increased by $6,633 in the three months ended September 30, 2015 as compared to the three months ended September 30, 2014 mainly due to (i) higher aircraft lease income of $6,303 primarily driven by the purchase of ten aircraft with in-place leases during the fourth quarter of 2014 and two in the third quarter of 2015, and (ii) higher engine lease income of $993 primarily driven by net nine additional jet engines on-lease, offset by (iii) $671 of lease amortization. Maintenance revenue increased by $4,085 in the three months ended September 30, 2015 as compared to the three months ended September 30, 2014 due to net nine additional aircraft and net twelve additional jet engines on-lease in the three months ended September 30, 2015 as compared to the three months ended September 30, 2014.</w:t>
      </w:r>
    </w:p>
    <w:p>
      <w:pPr>
        <w:spacing w:after="0" w:line="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Total revenues in the Aviation Leasing segment increased by $30,176 in the nine months ended September 30, 2015 as compared to the nine months ended September 30, 2014, driven by higher lease income, maintenance revenue, and other revenue. Lease income increased by $20,193 in the nine months ended September 30, 2015 as compared to the nine months ended September 30, 2014 mainly due to (i) higher aircraft lease income of $20,908 primarily driven by ten aircraft acquired with in-place leases during the fourth quarter of 2014 and two in the third quarter of 2015 less two on-lease aircraft sold in the nine months ended September 30, 2014, and (ii) higher engine lease income of $2,975 primarily driven by net seventeen additional engines on-lease in the nine months ended September 30, 2015 as compared to the nine months ended September 30, 2014, offset by (iii) by lease amortization of $3,728 in the nine months ended September 30, 2015 as compared to the nine months ended September 30, 2014. Maintenance revenue increased by $8,866 in the nine months ended September 30, 2015 as compared to the nine months ended September 30, 2014 due to ten additional aircraft and net eight additional jet engines on-lease in the nine months ended September 30, 2015 as compared to the nine months ended September 30, 2014. Other revenue increased by $1,117 in the nine months ended September 30, 2015 as compared to the nine months ended September 30, 2014 primarily due to income recognized from the forfeiture of two security deposits in the nine months ended September 30, 2015, which did not occur in the prior year.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3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Total expenses in the Aviation Leasing segment increased by $4,287 in the three months ended September 30, 2015 as compared to the three months ended September 30, 2014. This increase was primarily driven by higher depreciation and amortization expense of $3,679, driven by the depreciation of twelve aircraft and net eight jet engines, and higher operating expenses of $608 in the three months ended September 30, 2015 as compared to the three months ended September 30, 2014. The increase in operating expenses was primarily the result of increased (i) repair and maintenance expenses of $550 associated with an on-lease aircraft, (ii) other operating expenses of $132 mainly driven by engine transportation and storage of jet engines, software related costs, and director's fees, and (iii) professional fees of $128 related to newly purchased assets and legal fees for the three months ended September 30, 2015 as compared to the three months ended September 30, 2014. These increases were offset by decreased (i) insurance expense of $57 as the number of aircraft and jet engines requiring lessor coverage decreased and (ii) bad debt expense of $127 for the three months ended September 30, 2015 as compared to the three months ended September 30, 2014.</w:t>
      </w:r>
    </w:p>
    <w:p>
      <w:pPr>
        <w:spacing w:after="0" w:line="18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Total expenses in the Aviation Leasing segment increased by $11,098 in the nine months ended September 30, 2015 as compared to the nine months ended September 30, 2014. This increase was primarily driven by depreciation and amortization expense, which increased by $10,628 primarily due to net ten aircraft and net seven jet engines in the nine months ended September 30, 2015 and an increase in operating expenses of $470 in the nine months ended September 30, 2015 as compared to the three months ended September 30, 2014. The increase in operating expenses was driven by higher (i) repairs and maintenance expense of $395 primarily due to costs associated with an on-lease aircraft offset by repair and maintenance costs associated with nine jet engines in the nine months ended September 30, 2014 as compared to one jet engine in the nine months ended September 30, 2015, (ii) other operating expenses of $284 primarily due to increased transportation and storage of jet engines, and software related costs, and (iii) professional fees of $59 primarily due to increased tax consulting fees for the nine months ended September 30, 2015 as compared to the nine months ended September 30, 2014. The increase in operating expenses was offset by decreased (i) insurance expense of $168 as the number of aircraft and jet engines requiring lessor coverage decreased and (ii) bad debt expense of $165 for the nine months ended September 30, 2015 as compared to the nine months ended September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Total other income in the Aviation Leasing segment decreased by $178 and $2,115 in the three and nine months ended September 30, 2015 as compared to the three and nine months ended September 30, 2014, respectively, as the Company recognized a lower gain on sale of equipment of $175 and $2,106 in the three and nine months ended September 30, 2015 as compared to the three and nine months ended September 30,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Net Income attributable to shareholders increased by $5,911 and $16,550 in the three months and nine months ended September 30, 2015 as compared to the three months and nine months ended September 30, 2014, respectively, driven by the changes discussed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Adjusted Net Income in the Aviation Leasing segment was $10,521 and $27,271 in the three and nine months ended September 30, 2015, respectively, increasing by $6,250 and $16,736 as compared to the three and nine months ended September 30, 2014, respectively, primarily driven by the changes to net income attributable to shareholders noted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Adjusted EBITDA in the Aviation Leasing segment was $18,110 and $49,652 in the three and nine months ended September 30, 2015, respectively, increasing by $10,100 and $30,630 as compared to the three and nine months ended September 30, 2014, respectively. In addition to the changes in Net Income attributable to shareholders noted above, this movement was primarily due to additional depreciation and amortization expense for the additional aircraft and engines owned and on-lease in the three and nine months ended September 30, 2015 as compared to the three and nine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our Offshore Energy segment, we own one remotely operated vehicle (“ROV”) support vessel, one construction support vessel and one anchor handling tug supply (“AHTS”) vessel. In addition we have contracted with a Norwegian shipyard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color w:val="auto"/>
        </w:rPr>
        <w:t>to build a new inspection, maintenance, and repair (“IMR”) vessel. The chart below describes the assets in our Offshore Energy segment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2452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2452370"/>
                    </a:xfrm>
                    <a:prstGeom prst="rect">
                      <a:avLst/>
                    </a:prstGeom>
                    <a:noFill/>
                  </pic:spPr>
                </pic:pic>
              </a:graphicData>
            </a:graphic>
          </wp:anchor>
        </w:drawing>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ind w:left="220"/>
              <w:spacing w:after="0"/>
              <w:rPr>
                <w:sz w:val="20"/>
                <w:szCs w:val="20"/>
                <w:color w:val="auto"/>
              </w:rPr>
            </w:pPr>
            <w:r>
              <w:rPr>
                <w:rFonts w:ascii="Arial" w:cs="Arial" w:eastAsia="Arial" w:hAnsi="Arial"/>
                <w:sz w:val="16"/>
                <w:szCs w:val="16"/>
                <w:color w:val="auto"/>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9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tcBorders>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October 2015 (firm</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period)</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April 2019</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EstimatedQ1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Estimated March</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Offshore Energy segment for the three and nine months ended September 30, 2015 and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3,412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7,599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12,635</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4,467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3,157</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3,159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2,267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7,048</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5,909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5,909</w:t>
            </w: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5,863</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40"/>
          </w:cols>
          <w:pgMar w:left="240" w:top="233" w:right="219" w:bottom="1440" w:gutter="0" w:footer="0" w:header="0"/>
        </w:sectPr>
      </w:pP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233" w:right="21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3,195</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1,197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5,863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Offshore Energy segment for the three and nine months ended September 30, 2015 and September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5,632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18,343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11,673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hanging="432"/>
        <w:spacing w:after="0" w:line="260" w:lineRule="auto"/>
        <w:tabs>
          <w:tab w:leader="none" w:pos="148" w:val="left"/>
        </w:tabs>
        <w:numPr>
          <w:ilvl w:val="0"/>
          <w:numId w:val="29"/>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September 30, 2015 and 2014: (i) depreciation expense of $57 and $56, (ii) and interest expense of $29 and $34, respectively. Non-controlling share of Adjusted EBITDA is comprised of the following items for the nine months ended September 30, 2015 and 2014:</w:t>
      </w:r>
    </w:p>
    <w:p>
      <w:pPr>
        <w:ind w:left="440"/>
        <w:spacing w:after="0"/>
        <w:rPr>
          <w:rFonts w:ascii="Arial" w:cs="Arial" w:eastAsia="Arial" w:hAnsi="Arial"/>
          <w:sz w:val="8"/>
          <w:szCs w:val="8"/>
          <w:color w:val="auto"/>
        </w:rPr>
      </w:pPr>
      <w:r>
        <w:rPr>
          <w:rFonts w:ascii="Arial" w:cs="Arial" w:eastAsia="Arial" w:hAnsi="Arial"/>
          <w:sz w:val="14"/>
          <w:szCs w:val="14"/>
          <w:color w:val="auto"/>
        </w:rPr>
        <w:t>(i) depreciation expense of $169 and $168, (ii) and interest expense of $90 and $105,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Total revenues in the Offshore Energy segment increased by $3,412 and $12,635 in the three and nine months ended September 30, 2015 as compared to the three and nine months ended September 30, 2014, respectively, driven by higher lease income derived from a new offshore construction support vessel acquired and put into service in September 2014.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Total expenses in the Offshore Energy segment increased by $2,267 in the three months ended September 30, 2015 as compared to the three months ended September 30, 2014. The offshore construction support vessel placed into service in September 2014 is the primary driver of increased depreciation and amortization of $928, increased interest expense of $765 and increased operating expenses of $574 in the three months ended September 30, 2015 as compared to the three months ended September 30, 2014. The increase in operating expenses was primarily the result of increased (i) management fees of $162 due to hiring a manager for the offshore construction support vessel in June 2015, (ii) insurance expense of $146 related to the offshore construction support vessel placed into service in September 2014, (iii) professional fees of $91, and (iv) other operating expenses of $70 in the three months ended September 30, 2015 as compared to the three months ended September 30, 2014.</w:t>
      </w:r>
    </w:p>
    <w:p>
      <w:pPr>
        <w:spacing w:after="0" w:line="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Total expenses in the Offshore Energy segment increased by $7,048 in the nine months ended September 30, 2015 as compared to the nine months ended September 30, 2014. The offshore construction support vessel placed into service in September 2014 is the primary driver of increased depreciation and amortization of $3,157, increased interest expense of $2,602 and increased operating expenses of $1,289 in the nine months ended September 30, 2015 as compared to the nine months ended September 30, 2014. The increase in operating expenses was primarily the result of increased (i) management fees of $255 due to hiring a manager for the offshore construction support vessel in June 2015, (ii) insurance expense of $491 related to the offshore construction support vessel placed into service in September 2014, (iii) facility operations of $287, and (iv) other operating expenses of $134 in the nine months ended September 30, 2015 as compared to the nine months ended September 30, 2014.</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Total other income in the Offshore Energy segment increased by $69 and $322 in the three and nine months ended September 30, 2015 as compared to the three and nine months ended September 30, 2014, respectively, primarily due to increased interest income and fees earned related to the loan made to our partner in the MT6015 joint venture.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Income attributable to shareholders increased by $1,197 and $5,863 in the three months and nine months ended September 30, 2015 as compared to the three months and nine months ended September 30, 2014, respectively, driven by net loss attributable to non-controlling interest in consolidated subsidiaries, as well as the changes discussed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Net Income was $3,195 and $11,030 in the three and nine months ended September 30, 2015, respectively, increasing by $1,197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$5,863 as compared to the three and nine months ended September 30, 2014, respectively. This increase in each respective period was due to the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shareholders noted above.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Adjusted EBITDA was $5,632 and $18,343 in the three and nine months ended September 30, 2015, respectively, increasing by $2,907 and $11,673 as compared to the three and nine months ended September 30, 2014, respectively. In addition to the changes in Net Income attributable to shareholders, the increase in each respective period was primarily driven by higher (i) depreciation and amortization expense, (ii) interest expense and (iii) principal collections on the direct finance leases related to an offshore construction vessel.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ind w:right="380" w:firstLine="446"/>
        <w:spacing w:after="0" w:line="259" w:lineRule="auto"/>
        <w:rPr>
          <w:sz w:val="20"/>
          <w:szCs w:val="20"/>
          <w:color w:val="auto"/>
        </w:rPr>
      </w:pPr>
      <w:r>
        <w:rPr>
          <w:rFonts w:ascii="Arial" w:cs="Arial" w:eastAsia="Arial" w:hAnsi="Arial"/>
          <w:sz w:val="18"/>
          <w:szCs w:val="18"/>
          <w:color w:val="auto"/>
        </w:rPr>
        <w:t>In our Shipping Containers segment, we own, either directly or through a joint venture, interests in approximately 145,000 maritime shipping containers and related equipment through three separate portfolios. Substantially all of these shipping containers are currently leased to operators or other third parties and, as of September 30, 2015, are 67.7% levered. The weighted average remaining lease term for these assets is 1.7 years. The chart below describes the assets in our Shipping Containers segment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54875" cy="2400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400935"/>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Shipping Containers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720" w:type="dxa"/>
            <w:vAlign w:val="bottom"/>
            <w:tcBorders>
              <w:top w:val="single" w:sz="8" w:color="auto"/>
              <w:bottom w:val="single" w:sz="8" w:color="D8D8D8"/>
              <w:right w:val="single" w:sz="8" w:color="auto"/>
            </w:tcBorders>
            <w:shd w:val="clear" w:color="auto" w:fill="D8D8D8"/>
          </w:tcPr>
          <w:p>
            <w:pPr>
              <w:ind w:left="42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40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 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51%</w:t>
            </w:r>
          </w:p>
        </w:tc>
        <w:tc>
          <w:tcPr>
            <w:tcW w:w="20" w:type="dxa"/>
            <w:vAlign w:val="bottom"/>
            <w:tcBorders>
              <w:top w:val="single" w:sz="8" w:color="auto"/>
            </w:tcBorders>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103,000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Specials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Specials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~10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39,000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Chassis</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Containers segment for the three and nine months ended September 30, 2015 and September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4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1,751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(798)</w:t>
            </w:r>
          </w:p>
        </w:tc>
      </w:tr>
      <w:tr>
        <w:trPr>
          <w:trHeight w:val="291"/>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2,156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2,334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(11,944)</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(8,557)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(11,588)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(12,564)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(8,393)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3,038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(11,431)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8,736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(12,324)</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(benefit)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40"/>
          </w:cols>
          <w:pgMar w:left="240" w:top="337"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3"/>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11,949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1,956</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3,092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8,928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(2,123)</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40" w:hanging="432"/>
        <w:spacing w:after="0" w:line="276" w:lineRule="auto"/>
        <w:tabs>
          <w:tab w:leader="none" w:pos="148" w:val="left"/>
        </w:tabs>
        <w:numPr>
          <w:ilvl w:val="0"/>
          <w:numId w:val="30"/>
        </w:numPr>
        <w:rPr>
          <w:rFonts w:ascii="Arial" w:cs="Arial" w:eastAsia="Arial" w:hAnsi="Arial"/>
          <w:sz w:val="8"/>
          <w:szCs w:val="8"/>
          <w:color w:val="auto"/>
        </w:rPr>
      </w:pPr>
      <w:r>
        <w:rPr>
          <w:rFonts w:ascii="Arial" w:cs="Arial" w:eastAsia="Arial" w:hAnsi="Arial"/>
          <w:sz w:val="13"/>
          <w:szCs w:val="13"/>
          <w:color w:val="auto"/>
        </w:rPr>
        <w:t>Pro-rata share of Adjusted Net Income from unconsolidated entities includes the Company’s proportionate share of the unconsolidated entities’ net income adjusted for asset impairment charges of $10,508 for the three and nine months ended September 30, 2015. Pro-rata share of Adjusted Net Income from unconsolidated entities includes the Company’s proportionate share of the unconsolidated entities’ net income adjusted for loss on extinguishment of debt of $62 for the three and nine months ended September 30, 2014.</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Shipping Containers segment for the three and nine months ended September 30, 2015 and September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(8,393)</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(benefit)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9,036</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40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17,351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33,946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(17,746)</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18,174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22,168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38,634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48,261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(9,627)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 w:lineRule="exact"/>
        <w:rPr>
          <w:sz w:val="20"/>
          <w:szCs w:val="20"/>
          <w:color w:val="auto"/>
        </w:rPr>
      </w:pPr>
    </w:p>
    <w:p>
      <w:pPr>
        <w:ind w:left="440" w:right="220" w:hanging="432"/>
        <w:spacing w:after="0" w:line="268" w:lineRule="auto"/>
        <w:tabs>
          <w:tab w:leader="none" w:pos="148" w:val="left"/>
        </w:tabs>
        <w:numPr>
          <w:ilvl w:val="0"/>
          <w:numId w:val="31"/>
        </w:numPr>
        <w:rPr>
          <w:rFonts w:ascii="Arial" w:cs="Arial" w:eastAsia="Arial" w:hAnsi="Arial"/>
          <w:sz w:val="8"/>
          <w:szCs w:val="8"/>
          <w:color w:val="auto"/>
        </w:rPr>
      </w:pPr>
      <w:r>
        <w:rPr>
          <w:rFonts w:ascii="Arial" w:cs="Arial" w:eastAsia="Arial" w:hAnsi="Arial"/>
          <w:sz w:val="13"/>
          <w:szCs w:val="13"/>
          <w:color w:val="auto"/>
        </w:rPr>
        <w:t>The Company’s pro-rata share of Adjusted EBITDA from unconsolidated entities includes adjustments for the following items for the three months ended September 30, 2015 and 2014: (i) net income (loss) of $(9,635) and $1,633, (ii) interest expense of $474 and $793, (iii) depreciation and amortization expense of $299 and $240, (iv) principal collections of finance leases of $3,723 and $14,685, and (v) asset impairment charges of $10,508 and $0, respectively. The Company’s pro-rata share of Adjusted EBITDA from unconsolidated entities includes the following items for nine months ended September 30, 2015 and 2014: (i) net income (loss) of $(7,278) and $4,614, (ii) interest expense of $1,422 and $2,066, (iii) depreciation and amortization expense of $910 and $922, (iv) principal collections of finance leases of $10,638 and $26,344, and (v) asset impairment charges of $10,508 and $0,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9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Total revenues in the Shipping Containers segment decreased by $338 and $798 in the three and nine months ended September 30, 2015 as compared to the three and nine months ended September 30, 2014 respectively, principally driven by lower finance lease income as a result of the amortization of the underlying principal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Total expenses in the Shipping Containers segment decreased by $40 and $178 in the three and nine months ended September 30, 2015 as compared to the three and nine months ended September 30, 2014, respectively. This was driven by a decrease in interest expense of $108 and $297 in the three and nine months ended September 30, 2015 as compared to the three and nine months ended September 30, 2014 respectively, primarily related to lower principal balances on the term loans entered into to finance the acquisition of shipping containers in prior periods. This was offset by higher operating expenses of $68 and $119 in the three and nine months ended September 30, 2015 as compared to the three and nine months ended September 30, 2014, respectively, driven by an increase in management fees.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20" w:firstLine="446"/>
        <w:spacing w:after="0" w:line="302" w:lineRule="auto"/>
        <w:rPr>
          <w:sz w:val="20"/>
          <w:szCs w:val="20"/>
          <w:color w:val="auto"/>
        </w:rPr>
      </w:pPr>
      <w:r>
        <w:rPr>
          <w:rFonts w:ascii="Arial" w:cs="Arial" w:eastAsia="Arial" w:hAnsi="Arial"/>
          <w:sz w:val="16"/>
          <w:szCs w:val="16"/>
          <w:color w:val="auto"/>
        </w:rPr>
        <w:t>Total other income in the Shipping Containers segment decreased $11,290 and $11,944 in the three and nine months ended September 30, 2015 as compared to the three and nine months ended September 30, 2014, respectively, driven by lower equity in earnings of unconsolidated entities from our shipping container joint venture by $11,284 and $11,949 in the three and nine months ended September 30, 2015 as compared to the three and nine months ended September 30, 2014, respectively. The decrease was primarily due to an impairment recognized by the shipping container joint venture.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Net income attributable to shareholders decreased by $11,431 and $12,324 in the three months and nine months ended September 30, 2015 as compared to the three months and nine months ended September 30, 2014, respectively, driven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Adjusted Net Income was $1,956 and $6,805 in the three and nine months ended September 30, 2015, decreasing by $1,136 and $2,123 in the three and nine months ended September 30, 2015 as compared to the three and nine months ended September 30, 2014, respectively. In addition to the changes in Net Income attributable to shareholders noted above, the decrease in each respective period was primarily impacted by lower equity in earnings of unconsolidated entities, a lower pro-rata share of Adjusted Net Income from unconsolidated entities, and a higher tax benefit for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Adjusted EBITDA was $18,174 and $38,634 in the three and nine months ended September 30, 2015, decreasing by $3,994 and $9,627 in the three and nine months ended September 30, 2015 as compared to the three and nine months ended September 30, 2014, respectively. In addition to the changes in Net Income attributable to shareholders noted above, the decrease in each respective period was primarily due to a lower pro-rata share of Adjusted EBITDA from unconsolidated entities driven by an asset impairment charge related to a shipping container joint venture, offset by higher principal collections on direct finance leases and lower equity in earnings of unconsolidated entities.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33"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shareholders to Adjusted Net Loss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Jefferson Terminal segment for the three and nine months ended September 30, 2015 and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4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3,411</w:t>
            </w: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10,401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9,301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12,712</w:t>
            </w:r>
          </w:p>
        </w:tc>
      </w:tr>
      <w:tr>
        <w:trPr>
          <w:trHeight w:val="291"/>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8,599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24,773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22,243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10,238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9,489</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8,638</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15,056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3,923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11,133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44,105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34,956</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(10,763)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(8,532)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(29,751)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(7,457)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(22,294)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(10,767)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(8,342)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(29,804)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(22,051)</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(10,389)</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(6,313)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(6,152)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(17,151)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(5,489)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(11,662)</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2,391</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(5,414)</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(5,762)</w:t>
            </w:r>
          </w:p>
        </w:tc>
        <w:tc>
          <w:tcPr>
            <w:tcW w:w="4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368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(15,718)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272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(15,990)</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-130175</wp:posOffset>
            </wp:positionV>
            <wp:extent cx="4707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ind w:left="140" w:hanging="132"/>
        <w:spacing w:after="0"/>
        <w:tabs>
          <w:tab w:leader="none" w:pos="140" w:val="left"/>
        </w:tabs>
        <w:numPr>
          <w:ilvl w:val="0"/>
          <w:numId w:val="32"/>
        </w:numPr>
        <w:rPr>
          <w:rFonts w:ascii="Arial" w:cs="Arial" w:eastAsia="Arial" w:hAnsi="Arial"/>
          <w:sz w:val="8"/>
          <w:szCs w:val="8"/>
          <w:color w:val="auto"/>
        </w:rPr>
      </w:pPr>
      <w:r>
        <w:rPr>
          <w:rFonts w:ascii="Arial" w:cs="Arial" w:eastAsia="Arial" w:hAnsi="Arial"/>
          <w:sz w:val="13"/>
          <w:szCs w:val="13"/>
          <w:color w:val="auto"/>
        </w:rPr>
        <w:t>Non-controlling share of Adjusted Net Loss is comprised of the following for the three months ended September 30, 2015 and 2014, respectively: (i) equity-based compensation of $357 and $114,</w:t>
      </w:r>
    </w:p>
    <w:p>
      <w:pPr>
        <w:spacing w:after="0" w:line="12" w:lineRule="exact"/>
        <w:rPr>
          <w:rFonts w:ascii="Arial" w:cs="Arial" w:eastAsia="Arial" w:hAnsi="Arial"/>
          <w:sz w:val="8"/>
          <w:szCs w:val="8"/>
          <w:color w:val="auto"/>
        </w:rPr>
      </w:pPr>
    </w:p>
    <w:p>
      <w:pPr>
        <w:ind w:left="440" w:right="200"/>
        <w:spacing w:after="0" w:line="293" w:lineRule="auto"/>
        <w:tabs>
          <w:tab w:leader="none" w:pos="652" w:val="left"/>
        </w:tabs>
        <w:numPr>
          <w:ilvl w:val="1"/>
          <w:numId w:val="32"/>
        </w:numPr>
        <w:rPr>
          <w:rFonts w:ascii="Arial" w:cs="Arial" w:eastAsia="Arial" w:hAnsi="Arial"/>
          <w:sz w:val="13"/>
          <w:szCs w:val="13"/>
          <w:color w:val="auto"/>
        </w:rPr>
      </w:pPr>
      <w:r>
        <w:rPr>
          <w:rFonts w:ascii="Arial" w:cs="Arial" w:eastAsia="Arial" w:hAnsi="Arial"/>
          <w:sz w:val="13"/>
          <w:szCs w:val="13"/>
          <w:color w:val="auto"/>
        </w:rPr>
        <w:t>provision for income tax of $1 and $119, and (iii) cash tax payments of $1 and $0. Non-controlling share of Adjusted Net Loss is comprised of the following for the nine months ended September 30, 2015 and 2014, respectively: (i) equity-based compensation of $1,064 and $114, (ii) provision for income tax of $21 and $119, and (iii) cash tax payments of $(70) and $0.</w:t>
      </w:r>
    </w:p>
    <w:p>
      <w:pPr>
        <w:sectPr>
          <w:pgSz w:w="11900" w:h="16838" w:orient="portrait"/>
          <w:cols w:equalWidth="0" w:num="1">
            <w:col w:w="11420"/>
          </w:cols>
          <w:pgMar w:left="240" w:top="44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45" w:right="239" w:bottom="1440" w:gutter="0" w:footer="0" w:header="0"/>
          <w:type w:val="continuous"/>
        </w:sectPr>
      </w:pPr>
    </w:p>
    <w:bookmarkStart w:id="58" w:name="page59"/>
    <w:bookmarkEnd w:id="58"/>
    <w:p>
      <w:pPr>
        <w:ind w:right="240" w:firstLine="648"/>
        <w:spacing w:after="0" w:line="340"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Jefferson Terminal segment for the three and nine months ended September 30, 2015 and September 30,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(6,313)</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(5,414)</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9,094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8,638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(7,977)</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20" w:hanging="432"/>
        <w:spacing w:after="0" w:line="271" w:lineRule="auto"/>
        <w:tabs>
          <w:tab w:leader="none" w:pos="148" w:val="left"/>
        </w:tabs>
        <w:numPr>
          <w:ilvl w:val="0"/>
          <w:numId w:val="33"/>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September 30, 2015 and 2014: (i) equity-based compensation of $357 and $114, (ii) provision for income taxes of $1 and $119, (iii) interest expense of $1,150 and $172, and (iv) depreciation and amortization expense of $1,370 and $300, respectively. Non-controlling share of Adjusted EBITDA is comprised of the following items for the nine months ended September 30, 2015 and 2014: (i) equity-based compensation of $1,064 and $114, (ii) provision for income taxes of $21 and $119, (iii) interest expense of $3,525 and $172, and (iv) depreciation and amortization expense of $4,072 and $300,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Total revenues for the Jefferson Terminal segment increased in the three and nine months ended September 30, 2015 by $2,693 and $12,712, respectively, as compared to the three and nine months ended September 30, 2014 due to the increase in both lease income and terminal service revenue. Lease income is derived from the leasing of rail cars that were purchased in 2014. Lease income increased by $591 and $3,411 for the three and nine months ended September 30, 2015 as compared to the three and nine months ended September 30, 2014, as lease contracts were entered into starting August 2014. Terminal services revenue in the three and nine months ended September 30, 2015 increased by $2,102 and $9,301, respectively, as compared to the three and nine months ended September 30, 2014, as the acquisition of Jefferson Terminal occurred on August 27, 2014 thereby affecting both the three and nine month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expenses in the Jefferson Terminal segment increased by $11,133 and $34,956 in the three and nine months ended September 30, 2015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three and nine months ended September 30, 2014, respectively. Expenses increased due to higher (i) operating expenses of $6,120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$22,243 incurred in connection with terminal operations, including $619 and $2,391 of equity-based compensation expense, (ii) amortization expense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acquired customer relationships of $590 and $3,012 (iii) depreciation expense of $2,175 and $6,477 related to tank railcars and property, plant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equipment and (iv) interest expense of $2,532 and $8,638 related to term debt used to finance the purchase of Jefferson Terminal, as well as amounts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on previously issued municipal bonds, in the three and nine months ended September 30, 2015 as compared to the three and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ind w:right="320" w:firstLine="648"/>
        <w:spacing w:after="0" w:line="276" w:lineRule="auto"/>
        <w:rPr>
          <w:sz w:val="20"/>
          <w:szCs w:val="20"/>
          <w:color w:val="auto"/>
        </w:rPr>
      </w:pPr>
      <w:r>
        <w:rPr>
          <w:rFonts w:ascii="Arial" w:cs="Arial" w:eastAsia="Arial" w:hAnsi="Arial"/>
          <w:sz w:val="17"/>
          <w:szCs w:val="17"/>
          <w:color w:val="auto"/>
        </w:rPr>
        <w:t>Net loss attributable to shareholders was $6,313 and $17,151 in the three and nine months ended September 30, 2015, respectively, increasing by $6,152 and $11,662 in the three and nine months ended September 30, 2015 as compared to the three and nine months ended September 30, 2014, respectively. In addition to the changes discussed above, Net loss attributable to shareholders was also affected by net loss attributable to non-controlling interest in consolidated subsidiaries, which was $4,454 and $12,653 for the three and nine months ended September 30, 2015, an increase of $2,190 and $10,389 as compared to the three and nine months ended September 30, 2014,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Adjusted Net Loss was $5,762 and $15,718 in the three and nine months ended September 30, 2015, respectively, increasing by $6,130 and $15,990 as compared to the three and nine months ended September 30, 2014, respectively. In addition to the changes in Net loss attributable to shareholders noted above, each respective period was impacted by the absence of acquisition and transaction expenses of $284 and $5,414 incurred during the three and nine months ended September 30, 2014, respectively, related to the acquisition of Jefferson Terminal. Adjusted Net Loss was also affected by higher non-controlling share of Adjusted Net Loss of $126 and $782 offset by higher equity-based compensation expense of $619 and $2,391 in the three and nine months ended September 30, 2015 as compared to the three and nine months ended September 30, 2014,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Adjusted EBITDA was $(1,827) and $(3,773) in the three and nine months ended September 30, 2015, decreasing by $2,883 and $4,778 as compared to the three and nine months ended September 30, 2014, respectively.</w:t>
      </w:r>
    </w:p>
    <w:p>
      <w:pPr>
        <w:spacing w:after="0" w:line="6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the three months ended September 30, 2015, in addition to the changes in Net loss attributable to shareholders noted above, Adjusted EBITDA was impacted by (i) higher adjustment for the non-controlling share of Adjusted EBITDA of $2,173, comprised of equity-based compensation expense of $243, provision for income taxes of $(118), interest expense of $978, and depreciation and amortization expense of $1,070 and (ii) lower acquisition and transaction expenses of $284 in the three months ended September 30, 2015 as compared to the three months ended September 30, 2014. These were offset by higher (i) depreciation and amortization expense of $2,765 related to acquired customer relationships, tank railcars and property, plant and equipment, (ii) interest expense of $2,532 and (iii) equity-based compensation expense of $619, in the three months ended September 30, 2015 as compared to the three months ended September 30, 2014.</w:t>
      </w:r>
    </w:p>
    <w:p>
      <w:pPr>
        <w:spacing w:after="0" w:line="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nine months ended September 30, 2015, in addition to the changes in Net loss attributable to shareholders noted above, Adjusted EBITDA was impacted by (i) higher adjustment for the non-controlling share of Adjusted EBITDA of $7,977, comprised of equity-based compensation expense of $950, provision for income taxes of $(98), interest expense of $3,353, and depreciation and amortization expense of $3,772 and (ii) lower acquisition and transaction expenses of $(5,414) in the nine months ended September 30, 2015 as compared to the nine months ended September 30, 2014. These were offset by higher (i) depreciation and amortization expense of $9,489 related to acquired customer relationships, tank railcars and property, plant and equipment, (ii) interest expense of $8,638 and (iii) equity-based compensation expense of $2,391, in the nine months ended September 30, 2015 as compared to the nine months ended September 30,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shareholders to Adjusted Net Loss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Railroad segment for the three and nine months ended September 30, 2015 and September 30,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2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21"/>
                <w:szCs w:val="21"/>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3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39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4"/>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6,641</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13,534</w:t>
            </w:r>
          </w:p>
        </w:tc>
      </w:tr>
      <w:tr>
        <w:trPr>
          <w:trHeight w:val="231"/>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6,641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18,488</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13,534</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3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21,519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13,372</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(5,628)</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860</w:t>
            </w:r>
          </w:p>
        </w:tc>
      </w:tr>
      <w:tr>
        <w:trPr>
          <w:trHeight w:val="33"/>
        </w:trPr>
        <w:tc>
          <w:tcPr>
            <w:tcW w:w="3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3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20" w:type="dxa"/>
            <w:vAlign w:val="bottom"/>
            <w:gridSpan w:val="7"/>
          </w:tcPr>
          <w:p>
            <w:pPr>
              <w:ind w:left="80"/>
              <w:spacing w:after="0"/>
              <w:rPr>
                <w:sz w:val="20"/>
                <w:szCs w:val="20"/>
                <w:color w:val="auto"/>
              </w:rPr>
            </w:pPr>
            <w:r>
              <w:rPr>
                <w:rFonts w:ascii="Arial" w:cs="Arial" w:eastAsia="Arial" w:hAnsi="Arial"/>
                <w:sz w:val="16"/>
                <w:szCs w:val="16"/>
                <w:b w:val="1"/>
                <w:bCs w:val="1"/>
                <w:color w:val="auto"/>
                <w:w w:val="98"/>
              </w:rPr>
              <w:t>Three Months Ended September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240" w:type="dxa"/>
            <w:vAlign w:val="bottom"/>
          </w:tcPr>
          <w:p>
            <w:pPr>
              <w:spacing w:after="0"/>
              <w:rPr>
                <w:sz w:val="21"/>
                <w:szCs w:val="21"/>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3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39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4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0"/>
        </w:trPr>
        <w:tc>
          <w:tcPr>
            <w:tcW w:w="39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422</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23,349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9,026</w:t>
            </w:r>
          </w:p>
        </w:tc>
      </w:tr>
      <w:tr>
        <w:trPr>
          <w:trHeight w:val="291"/>
        </w:trPr>
        <w:tc>
          <w:tcPr>
            <w:tcW w:w="39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79</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r>
      <w:tr>
        <w:trPr>
          <w:trHeight w:val="21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(2,943)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(9,369)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4,587</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r>
      <w:tr>
        <w:trPr>
          <w:trHeight w:val="21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(2,943)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(9,369)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4,587</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4,753</w:t>
            </w:r>
          </w:p>
        </w:tc>
      </w:tr>
      <w:tr>
        <w:trPr>
          <w:trHeight w:val="33"/>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995</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(5,628)</w:t>
            </w:r>
          </w:p>
        </w:tc>
      </w:tr>
      <w:tr>
        <w:trPr>
          <w:trHeight w:val="220"/>
        </w:trPr>
        <w:tc>
          <w:tcPr>
            <w:tcW w:w="3940" w:type="dxa"/>
            <w:vAlign w:val="bottom"/>
          </w:tcPr>
          <w:p>
            <w:pPr>
              <w:ind w:left="40"/>
              <w:spacing w:after="0"/>
              <w:rPr>
                <w:sz w:val="20"/>
                <w:szCs w:val="20"/>
                <w:color w:val="auto"/>
              </w:rPr>
            </w:pPr>
            <w:r>
              <w:rPr>
                <w:rFonts w:ascii="Arial" w:cs="Arial" w:eastAsia="Arial" w:hAnsi="Arial"/>
                <w:sz w:val="16"/>
                <w:szCs w:val="16"/>
                <w:color w:val="auto"/>
                <w:w w:val="94"/>
              </w:rPr>
              <w:t>Add: Losses on the modification or extinguishment of debt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394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44"/>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(884)</w:t>
            </w:r>
          </w:p>
        </w:tc>
        <w:tc>
          <w:tcPr>
            <w:tcW w:w="4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1,639</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(3,656)</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(3,741)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85</w:t>
            </w:r>
          </w:p>
        </w:tc>
      </w:tr>
      <w:tr>
        <w:trPr>
          <w:trHeight w:val="20"/>
        </w:trPr>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440" w:right="60" w:hanging="432"/>
        <w:spacing w:after="0" w:line="293" w:lineRule="auto"/>
        <w:tabs>
          <w:tab w:leader="none" w:pos="148" w:val="left"/>
        </w:tabs>
        <w:numPr>
          <w:ilvl w:val="0"/>
          <w:numId w:val="34"/>
        </w:numPr>
        <w:rPr>
          <w:rFonts w:ascii="Arial" w:cs="Arial" w:eastAsia="Arial" w:hAnsi="Arial"/>
          <w:sz w:val="8"/>
          <w:szCs w:val="8"/>
          <w:color w:val="auto"/>
        </w:rPr>
      </w:pPr>
      <w:r>
        <w:rPr>
          <w:rFonts w:ascii="Arial" w:cs="Arial" w:eastAsia="Arial" w:hAnsi="Arial"/>
          <w:sz w:val="13"/>
          <w:szCs w:val="13"/>
          <w:color w:val="auto"/>
        </w:rPr>
        <w:t>Non-controlling share of Adjusted Net Loss is comprised of equity-based compensation of $11 and $0, respectively, for the three months ended September 30, 2015 and 2014. Non-controlling share of Adjusted Net Loss is comprised of equity-based compensation of $35 and $0, respectively, for the nine months ended September 30, 2015 and 2014.</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612" w:right="439" w:bottom="1440" w:gutter="0" w:footer="0" w:header="0"/>
        </w:sectPr>
      </w:pPr>
    </w:p>
    <w:bookmarkStart w:id="61" w:name="page62"/>
    <w:bookmarkEnd w:id="61"/>
    <w:p>
      <w:pPr>
        <w:ind w:right="200"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Railroad segment for the three and nine months ended September 30, 2015 and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0"/>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0"/>
                <w:szCs w:val="20"/>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20"/>
        </w:trPr>
        <w:tc>
          <w:tcPr>
            <w:tcW w:w="4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(5,628)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jc w:val="both"/>
        <w:ind w:left="440" w:right="20" w:hanging="432"/>
        <w:spacing w:after="0" w:line="246" w:lineRule="auto"/>
        <w:tabs>
          <w:tab w:leader="none" w:pos="148" w:val="left"/>
        </w:tabs>
        <w:numPr>
          <w:ilvl w:val="0"/>
          <w:numId w:val="35"/>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September 30, 2015 and 2014: (i) equity-based compensation of $11 and $0, (ii) interest expense of $6 and $0, and (iii) depreciation and amortization expense of $23 and $0, respectively. Non-controlling share of Adjusted EBITDA is comprised of the following items for the nine months ended September 30, 2015 and 2014: (i) equity-based compensation of $35 and $0, (ii) interest expense of $15 and $0, and (iii) depreciation and amortization expense of $50 and $0.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Total Railroad segment revenues increased by $2,671 and $13,534 for the three and nine months ended September 30, 2015 as compared to the three and nine months ended September 30, 2014. The acquisition of CMQR was finalized by June 30, 2014 and therefore impacts the comparability of the nine months ended September 30, 2015 to the same period in 2014. The increase in the three months ended September 30, 2015 as compared to the three months ended September 30, 2014 resulted from increased volumes and customers in during 2015.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Total expenses in the Railroad segment were $7,831 and $23,349 in the three and nine months ended September 30, 2015, respectively as compared to total expenses of $6,913 and $14,323 in the three and nine months ended September 30, 2014, respectively.</w:t>
      </w:r>
    </w:p>
    <w:p>
      <w:pPr>
        <w:spacing w:after="0" w:line="62"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Expenses were comprised of (i) operating expenses of $7,220 and $21,519 incurred in connection with railroad operations, (ii) depreciation expense of $457 and $1,360 related to property, plant, and equipment, (iii) amortization expense of $11 and $36 related to acquired customer relationships, and (iv) interest expense of $143 and $434 related to borrowings under the CMQR Credit Agreement used to finance construction and improvements to the railroad, in the three and nine months ended September 30, 2015, respectively. Expenses in the three and nine months ended September 30, 2014 were mainly comprised of acquisition and transaction expenses and operating expenses incurred in connection with railroad operations, since the acquisition occurred during the second quarter of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57" w:right="239" w:bottom="1440" w:gutter="0" w:footer="0" w:header="0"/>
        </w:sectPr>
      </w:pPr>
    </w:p>
    <w:bookmarkStart w:id="62" w:name="page63"/>
    <w:bookmarkEnd w:id="62"/>
    <w:p>
      <w:pPr>
        <w:ind w:right="60" w:firstLine="446"/>
        <w:spacing w:after="0" w:line="259" w:lineRule="auto"/>
        <w:rPr>
          <w:sz w:val="20"/>
          <w:szCs w:val="20"/>
          <w:color w:val="auto"/>
        </w:rPr>
      </w:pPr>
      <w:r>
        <w:rPr>
          <w:rFonts w:ascii="Arial" w:cs="Arial" w:eastAsia="Arial" w:hAnsi="Arial"/>
          <w:sz w:val="18"/>
          <w:szCs w:val="18"/>
          <w:color w:val="auto"/>
        </w:rPr>
        <w:t>Net loss attributable to shareholders was $1,064 and $4,616 in the three and nine months ended September 30, 2015, respectively compared to a net loss of $2,943 and $9,369 for the three and nine months ended September 30, 2014, respectively. In addition to the changes discussed above, the increase was also due to a net loss attributable to non-controlling interest in consolidated subsidiaries of $54 and $166 for the three and nine months ended September 30, 2015,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160" w:firstLine="446"/>
        <w:spacing w:after="0" w:line="273" w:lineRule="auto"/>
        <w:rPr>
          <w:sz w:val="20"/>
          <w:szCs w:val="20"/>
          <w:color w:val="auto"/>
        </w:rPr>
      </w:pPr>
      <w:r>
        <w:rPr>
          <w:rFonts w:ascii="Arial" w:cs="Arial" w:eastAsia="Arial" w:hAnsi="Arial"/>
          <w:sz w:val="17"/>
          <w:szCs w:val="17"/>
          <w:color w:val="auto"/>
        </w:rPr>
        <w:t>Adjusted Net Loss was $884 and $3,656 in the three and nine months ended September 30, 2015, increasing by $1,639 and $85 as compared to the three and nine months ended September 30, 2014, respectively. In addition to the changes in Net loss attributable to shareholders noted above, Adjusted Net Loss was impacted by equity-based compensation expense of $191 and $995 recorded in the three and nine months ended September 30, 2015, respectively, and the absence of acquisition and transaction expenses of $420 and $5,628 incurred in the three and nine months ended September 30, 2014, in connection with the acquisition of CMQR, respectively. Adjusted Net Loss was also affected by the non-controlling share of Adjusted Net Loss of $11 and $35 in the three and nine months ended September 30, 2015,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Adjusted EBITDA was $(302) and $(1,891) in the three and nine months ended September 30, 2015, increasing by $1,799 and $1,302 as compared to the three and nine months ended September 30, 2014, respectively.</w:t>
      </w:r>
    </w:p>
    <w:p>
      <w:pPr>
        <w:spacing w:after="0" w:line="62" w:lineRule="exact"/>
        <w:rPr>
          <w:sz w:val="20"/>
          <w:szCs w:val="20"/>
          <w:color w:val="auto"/>
        </w:rPr>
      </w:pPr>
    </w:p>
    <w:p>
      <w:pPr>
        <w:ind w:right="420" w:firstLine="446"/>
        <w:spacing w:after="0" w:line="279" w:lineRule="auto"/>
        <w:rPr>
          <w:sz w:val="20"/>
          <w:szCs w:val="20"/>
          <w:color w:val="auto"/>
        </w:rPr>
      </w:pPr>
      <w:r>
        <w:rPr>
          <w:rFonts w:ascii="Arial" w:cs="Arial" w:eastAsia="Arial" w:hAnsi="Arial"/>
          <w:sz w:val="17"/>
          <w:szCs w:val="17"/>
          <w:color w:val="auto"/>
        </w:rPr>
        <w:t>In addition to the changes in Net loss attributable to shareholders noted above, Adjusted EBITDA was also impacted by higher (i) equity-based compensation expense of $191 and 995, (ii) depreciation and amortization expense of $58 and $860, and (iii) interest expense of $131 and 422, offset by increased non-controlling share of Adjusted EBITDA of $(40) and (100), and the absence of acquisition and transaction expenses, in the three and nine months ended September 30, 2015 as compared to the three and nine months ended September 30, 2014, respectively.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Corporate for the three and nine months ended September 30, 2015 and September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10,505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6,970</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7,177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19,582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14,414</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(14,416)</w:t>
            </w: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Loss attributable to non-controlling interest in</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(14,412)</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3,933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33"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2"/>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3"/>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Loss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September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7"/>
          </w:tcPr>
          <w:p>
            <w:pPr>
              <w:ind w:left="120"/>
              <w:spacing w:after="0"/>
              <w:rPr>
                <w:sz w:val="20"/>
                <w:szCs w:val="20"/>
                <w:color w:val="auto"/>
              </w:rPr>
            </w:pPr>
            <w:r>
              <w:rPr>
                <w:rFonts w:ascii="Arial" w:cs="Arial" w:eastAsia="Arial" w:hAnsi="Arial"/>
                <w:sz w:val="16"/>
                <w:szCs w:val="16"/>
                <w:b w:val="1"/>
                <w:bCs w:val="1"/>
                <w:color w:val="auto"/>
                <w:w w:val="99"/>
              </w:rPr>
              <w:t>Three Months Ended September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21"/>
                <w:szCs w:val="2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7"/>
        </w:trPr>
        <w:tc>
          <w:tcPr>
            <w:tcW w:w="4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4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(9,376)</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3,933</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(5,069)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(10,498)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Corporate, total expenses increased by $7,177 and $14,414 in the three and nine months ended September 30, 2015 as compared to the three and nine months ended September 30, 2014, respectively. This was mainly due to higher (i) management fees of $2,908 and $6,970 attributable to an increase in the weighted average contributed capital and capital raised during the Company’s IPO, (ii) general and administrative expenses of $2,167 and $3,556 as we expand our customer base and lines of businesses, including reimbursements to our manager and (iii) acquisition and transaction expenses for additional investment activities of $2,102 and $3,933, in the three and nine months ended September 30, 2015 as compared to the three and nine months ended September 30, 2014,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Adjusted Net Loss was $7,168 and $15,382 in the three and nine months ended September 30, 2015, increasing by $5,069 and $10,453, as compared to the three and nine months ended September 30, 2014, respectively. In addition to the changes in Net loss attributable to shareholders noted above, Adjusted Net Loss was primarily impacted by higher acquisition and transaction expenses incurred for potential acquisition opportunities in the three and nine months ended September 30, 2015, as well as equity-based compensation recorded in 2015, which is excluded from Adjusted Net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9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Adjusted EBITDA was $(7,168) and $(15,382) in the three and nine months ended September 30, 2015, decreasing by $5,069 and $10,498 as compared to the three and nine months ended September 30, 2014, respectively. In addition to the changes in Net loss attributable to shareholders noted above, the decrease in each respective period was primarily impacted by higher acquisition and transaction expenses incurred for potential acquisition opportunities in the three and nine months ended September 30, 2015, as well as equity-based compensation expense recorded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the Company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14 to our consolidated financial statements included elsewhere in this filing for more information.</w:t>
      </w:r>
    </w:p>
    <w:p>
      <w:pPr>
        <w:spacing w:after="0" w:line="70"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September 30, 2015 and December 31, 2014, accounts payable due to this vendor was $4,093 and $14,025,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November 3, 2015, the Company’s Board of Directors declared a cash dividend on its common stock of $0.33 per share for the quarter ended September 30, 2015, payable on November 30, 2015 to the holders of record on November 20,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46"/>
        <w:spacing w:after="0" w:line="342" w:lineRule="auto"/>
        <w:rPr>
          <w:sz w:val="20"/>
          <w:szCs w:val="20"/>
          <w:color w:val="auto"/>
        </w:rPr>
      </w:pPr>
      <w:r>
        <w:rPr>
          <w:rFonts w:ascii="Arial" w:cs="Arial" w:eastAsia="Arial" w:hAnsi="Arial"/>
          <w:sz w:val="16"/>
          <w:szCs w:val="16"/>
          <w:color w:val="auto"/>
        </w:rPr>
        <w:t>Our principal uses of liquidity have been (i) acquisitions of transportation infrastructure and equipment, (ii) distributions to our partners, (iii) expenses associated with our operating activities and (iv) debt service obligations associated with our investments (all dollar amounts are expressed in thousands).</w:t>
      </w:r>
    </w:p>
    <w:p>
      <w:pPr>
        <w:spacing w:after="0" w:line="16" w:lineRule="exact"/>
        <w:rPr>
          <w:sz w:val="20"/>
          <w:szCs w:val="20"/>
          <w:color w:val="auto"/>
        </w:rPr>
      </w:pPr>
    </w:p>
    <w:p>
      <w:pPr>
        <w:ind w:left="880" w:right="80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nine months ended September 30, 2015 and 2014, cash used for the purpose of making investments was $238,213 and $403,440, respectively.</w:t>
      </w:r>
    </w:p>
    <w:p>
      <w:pPr>
        <w:spacing w:after="0" w:line="62" w:lineRule="exact"/>
        <w:rPr>
          <w:rFonts w:ascii="Arial" w:cs="Arial" w:eastAsia="Arial" w:hAnsi="Arial"/>
          <w:sz w:val="18"/>
          <w:szCs w:val="18"/>
          <w:color w:val="auto"/>
        </w:rPr>
      </w:pPr>
    </w:p>
    <w:p>
      <w:pPr>
        <w:ind w:left="880" w:right="26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nine months ended September 30, 2015 and 2014, distributions to shareholders were $44,917 and $43,410, respectively, and distributions to non-controlling interest were $309 and $422, respectively.</w:t>
      </w:r>
    </w:p>
    <w:p>
      <w:pPr>
        <w:spacing w:after="0" w:line="62" w:lineRule="exact"/>
        <w:rPr>
          <w:rFonts w:ascii="Arial" w:cs="Arial" w:eastAsia="Arial" w:hAnsi="Arial"/>
          <w:sz w:val="18"/>
          <w:szCs w:val="18"/>
          <w:color w:val="auto"/>
        </w:rPr>
      </w:pPr>
    </w:p>
    <w:p>
      <w:pPr>
        <w:ind w:left="880" w:right="14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2" w:lineRule="exact"/>
        <w:rPr>
          <w:sz w:val="20"/>
          <w:szCs w:val="20"/>
          <w:color w:val="auto"/>
        </w:rPr>
      </w:pPr>
    </w:p>
    <w:p>
      <w:pPr>
        <w:ind w:right="540" w:firstLine="446"/>
        <w:spacing w:after="0" w:line="291" w:lineRule="auto"/>
        <w:rPr>
          <w:sz w:val="20"/>
          <w:szCs w:val="20"/>
          <w:color w:val="auto"/>
        </w:rPr>
      </w:pPr>
      <w:r>
        <w:rPr>
          <w:rFonts w:ascii="Arial" w:cs="Arial" w:eastAsia="Arial" w:hAnsi="Arial"/>
          <w:sz w:val="16"/>
          <w:szCs w:val="16"/>
          <w:color w:val="auto"/>
        </w:rPr>
        <w:t>Our principal sources of liquidity to fund these uses have been (i) revenues from our infrastructure and equipment assets (including finance lease collections and maintenance reserve collections) net of operating expenses, (ii) borrowings, (iii) distributions received from unconsolidated investees,</w:t>
      </w: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contributions from our shareholders and (v) proceeds from the issuance of common shares.</w:t>
      </w:r>
    </w:p>
    <w:p>
      <w:pPr>
        <w:spacing w:after="0" w:line="102" w:lineRule="exact"/>
        <w:rPr>
          <w:rFonts w:ascii="Arial" w:cs="Arial" w:eastAsia="Arial" w:hAnsi="Arial"/>
          <w:sz w:val="18"/>
          <w:szCs w:val="18"/>
          <w:color w:val="auto"/>
        </w:rPr>
      </w:pPr>
    </w:p>
    <w:p>
      <w:pPr>
        <w:ind w:left="880" w:right="40" w:hanging="318"/>
        <w:spacing w:after="0" w:line="277"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nine months ended September 30, 2015 and 2014, cash flows from operating activities, plus the principal collections on finance leases and maintenance reserve collections were $51,409 and $(16,484), respectively.</w:t>
      </w:r>
    </w:p>
    <w:p>
      <w:pPr>
        <w:spacing w:after="0" w:line="62" w:lineRule="exact"/>
        <w:rPr>
          <w:rFonts w:ascii="Arial" w:cs="Arial" w:eastAsia="Arial" w:hAnsi="Arial"/>
          <w:sz w:val="18"/>
          <w:szCs w:val="18"/>
          <w:color w:val="auto"/>
        </w:rPr>
      </w:pPr>
    </w:p>
    <w:p>
      <w:pPr>
        <w:ind w:left="880" w:right="60" w:hanging="318"/>
        <w:spacing w:after="0" w:line="259"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nine months ended September 30, 2015, additional borrowings of $200 were obtained in connection with the CMQR Credit Agreement and we made total principal repayments of $19,764. During nine months ended September 30, 2014, additional borrowings of $175,349 were obtained in connection with the Jefferson Terminal Facility of $100 million, the FTAI Pride Credit Agreement of $75 million, and the CMQR Credit Agreement of $10 million and we made total principal repayments of $26,886.</w:t>
      </w:r>
    </w:p>
    <w:p>
      <w:pPr>
        <w:spacing w:after="0" w:line="78" w:lineRule="exact"/>
        <w:rPr>
          <w:rFonts w:ascii="Arial" w:cs="Arial" w:eastAsia="Arial" w:hAnsi="Arial"/>
          <w:sz w:val="18"/>
          <w:szCs w:val="18"/>
          <w:color w:val="auto"/>
        </w:rPr>
      </w:pPr>
    </w:p>
    <w:p>
      <w:pPr>
        <w:ind w:left="880" w:right="420" w:hanging="318"/>
        <w:spacing w:after="0" w:line="308" w:lineRule="auto"/>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the nine months ended September 30, 2015 and 2014, we received $3,081 and $13,249 in cash distributions from our unconsolidated investees, respectively, of which $160 and $6,942 was included in cash flows from operating activities,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0" w:hanging="318"/>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During the nine months ended September 30, 2015 and 2014, proceeds from the sale of assets were $9,253 and $19,538, respectively.</w:t>
      </w:r>
    </w:p>
    <w:p>
      <w:pPr>
        <w:spacing w:after="0" w:line="128" w:lineRule="exact"/>
        <w:rPr>
          <w:rFonts w:ascii="Arial" w:cs="Arial" w:eastAsia="Arial" w:hAnsi="Arial"/>
          <w:sz w:val="17"/>
          <w:szCs w:val="17"/>
          <w:color w:val="auto"/>
        </w:rPr>
      </w:pPr>
    </w:p>
    <w:p>
      <w:pPr>
        <w:ind w:left="880" w:right="100" w:hanging="318"/>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nine months ended September 30, 2015 and 2014, capital contributions from shareholders were $295,879 and $290,930, respectively, and capital contributions from non-controlling interests were $34,787 and $43,612,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nine months ended September 30, 2015, proceeds from the issuance of common stock were $351,059, net of issuance costs of $2,998.</w:t>
      </w:r>
    </w:p>
    <w:p>
      <w:pPr>
        <w:sectPr>
          <w:pgSz w:w="11900" w:h="16838" w:orient="portrait"/>
          <w:cols w:equalWidth="0" w:num="1">
            <w:col w:w="11420"/>
          </w:cols>
          <w:pgMar w:left="240" w:top="233" w:right="239" w:bottom="1440" w:gutter="0" w:footer="0" w:header="0"/>
        </w:sectPr>
      </w:pPr>
    </w:p>
    <w:bookmarkStart w:id="65" w:name="page66"/>
    <w:bookmarkEnd w:id="65"/>
    <w:p>
      <w:pPr>
        <w:ind w:right="40" w:firstLine="554"/>
        <w:spacing w:after="0" w:line="264" w:lineRule="auto"/>
        <w:rPr>
          <w:sz w:val="20"/>
          <w:szCs w:val="20"/>
          <w:color w:val="auto"/>
        </w:rPr>
      </w:pPr>
      <w:r>
        <w:rPr>
          <w:rFonts w:ascii="Arial" w:cs="Arial" w:eastAsia="Arial" w:hAnsi="Arial"/>
          <w:sz w:val="18"/>
          <w:szCs w:val="18"/>
          <w:color w:val="auto"/>
        </w:rPr>
        <w:t>The Company is currently evaluating over $1.5 billion of potential Infrastructure and Equipment Leasing transactions which could occur within the next 12 months. However, as of the date of this filing, none of the above-referenced pipeline transactions or negotiations are definitive or included within the planned liquidity needs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nine months ended September 30, 2015 and September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nine months ended September 30, 2015 and September 30, 2014:</w:t>
      </w:r>
    </w:p>
    <w:p>
      <w:pPr>
        <w:spacing w:after="0" w:line="185" w:lineRule="exact"/>
        <w:rPr>
          <w:sz w:val="20"/>
          <w:szCs w:val="20"/>
          <w:color w:val="auto"/>
        </w:rPr>
      </w:pPr>
    </w:p>
    <w:p>
      <w:pPr>
        <w:jc w:val="center"/>
        <w:ind w:left="698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0" w:lineRule="exact"/>
        <w:rPr>
          <w:sz w:val="20"/>
          <w:szCs w:val="20"/>
          <w:color w:val="auto"/>
        </w:rPr>
      </w:pPr>
    </w:p>
    <w:p>
      <w:pPr>
        <w:ind w:left="7400"/>
        <w:spacing w:after="0"/>
        <w:tabs>
          <w:tab w:leader="none" w:pos="9640" w:val="left"/>
        </w:tabs>
        <w:rPr>
          <w:sz w:val="20"/>
          <w:szCs w:val="20"/>
          <w:color w:val="auto"/>
        </w:rPr>
      </w:pPr>
      <w:r>
        <w:rPr>
          <w:rFonts w:ascii="Arial" w:cs="Arial" w:eastAsia="Arial" w:hAnsi="Arial"/>
          <w:sz w:val="16"/>
          <w:szCs w:val="16"/>
          <w:b w:val="1"/>
          <w:bCs w:val="1"/>
          <w:color w:val="auto"/>
        </w:rPr>
        <w:t>September 30, 2015</w:t>
      </w:r>
      <w:r>
        <w:rPr>
          <w:sz w:val="20"/>
          <w:szCs w:val="20"/>
          <w:color w:val="auto"/>
        </w:rPr>
        <w:tab/>
      </w:r>
      <w:r>
        <w:rPr>
          <w:rFonts w:ascii="Arial" w:cs="Arial" w:eastAsia="Arial" w:hAnsi="Arial"/>
          <w:sz w:val="14"/>
          <w:szCs w:val="14"/>
          <w:b w:val="1"/>
          <w:bCs w:val="1"/>
          <w:color w:val="auto"/>
        </w:rPr>
        <w:t>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37465</wp:posOffset>
            </wp:positionV>
            <wp:extent cx="2804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66"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23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26,870</w:t>
            </w:r>
          </w:p>
        </w:tc>
        <w:tc>
          <w:tcPr>
            <w:tcW w:w="8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(27,786)</w:t>
            </w:r>
          </w:p>
        </w:tc>
      </w:tr>
      <w:tr>
        <w:trPr>
          <w:trHeight w:val="237"/>
        </w:trPr>
        <w:tc>
          <w:tcPr>
            <w:tcW w:w="536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(203,712)</w:t>
            </w:r>
          </w:p>
        </w:tc>
        <w:tc>
          <w:tcPr>
            <w:tcW w:w="8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(374,687)</w:t>
            </w:r>
          </w:p>
        </w:tc>
      </w:tr>
      <w:tr>
        <w:trPr>
          <w:trHeight w:val="33"/>
        </w:trPr>
        <w:tc>
          <w:tcPr>
            <w:tcW w:w="5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3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23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603,016</w:t>
            </w:r>
          </w:p>
        </w:tc>
        <w:tc>
          <w:tcPr>
            <w:tcW w:w="8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438,128</w:t>
            </w:r>
          </w:p>
        </w:tc>
      </w:tr>
      <w:tr>
        <w:trPr>
          <w:trHeight w:val="33"/>
        </w:trPr>
        <w:tc>
          <w:tcPr>
            <w:tcW w:w="53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firstLine="446"/>
        <w:spacing w:after="0" w:line="269" w:lineRule="auto"/>
        <w:rPr>
          <w:sz w:val="20"/>
          <w:szCs w:val="20"/>
          <w:color w:val="auto"/>
        </w:rPr>
      </w:pPr>
      <w:r>
        <w:rPr>
          <w:rFonts w:ascii="Arial" w:cs="Arial" w:eastAsia="Arial" w:hAnsi="Arial"/>
          <w:sz w:val="17"/>
          <w:szCs w:val="17"/>
          <w:color w:val="auto"/>
        </w:rPr>
        <w:t>Net cash provided by operating activities was $26,870 in the nine months ended September 30, 2015 as compared to net cash used in operating activities of $27,786 in the nine months ended September 30, 2014, representing a $54,656 increase. Net loss was $19,384 in the nine months ended September 30, 2015, compared to income of $2,361 in the nine months ended September 30, 2014, a decrease of $21,745. The increase in net cash provided by operating activities was driven by non-cash adjustments to reconcile net income which include a decrease in gain on sale of equipment of $2,027, an increase of (i) $24,134 relating to depreciation and amortization, (ii) $3,728 of amortization of lease intangibles and incentives, (iii) $11,949 in equity in losses of unconsolidated entities, and (iv) $3,410 of equity based compensation, offset by a decrease in operating distributions from an unconsolidated entity of $6,782 and a decrease due to security deposits and maintenance claims included in earnings of $439 in the nine months ended September 30, 2015 as compared to the nine months ended September 30, 2014. The increase was also driven by lower cash outflows related to accounts payable and accrued liabilities of $36,993 and higher cash inflows related to accounts receivable by $2,199 related to an increase in our customer base, offset by an increase in cash outflows for management fees payable of $1,641 in the nine months ended September 30, 2015 as compared to the nine months ended September 30, 2014.</w:t>
      </w:r>
    </w:p>
    <w:p>
      <w:pPr>
        <w:spacing w:after="0" w:line="75"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Net cash used in investing activities was $203,712 and $374,687 in the nine months ended September 30, 2015 and 2014, respectively, representing a $170,975 decrease. Cash used in the acquisition of leasing equipment, related lease intangibles and purchase deposits for aircraft and jet engines decreased year over year by $87,573 in the nine months ended September 30, 2015 as compared to the nine months ended September 30, 2014. Additionally, cash was used to fund the acquisition of Jefferson Terminal of $47,811 and purchase CMQR of $11,308 in the nine months ended September 30, 2014, both of which did not occur in the nine months ending September 30, 2015. In conjunction with Jefferson Terminal, the Company funded term loans and other receivables of $97,616 in the nine months ended September 30, 2014. The Company also received $17,412 in principal collections on financing leases in the nine months ended September 30, 2015, as compared to $9,028 in the nine months ended September 30, 2014. These decreases in cash used in investing activities were offset by higher cash flows used in the nine months ended September 30, 2015 as compared to the nine months ended September 30, 2014 for (i) the acquisitions of property plant and equipment of $72,030 related to the continued expansion and development of Jefferson Terminal and CMQR and (ii) investment in notes receivable of $10,776, as well as a decrease in proceeds from sale of assets of $10,285 for the nine months ended September 30, 2015 as compared to September 30, 2014.</w:t>
      </w:r>
    </w:p>
    <w:p>
      <w:pPr>
        <w:spacing w:after="0" w:line="75"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Net cash provided by financing activities was $603,016 and $438,128 in the nine months ended September 30, 2015 and 2014, respectively, representing a $164,888 increase. Such increase was attributable to (i) the issuance of common shares net of issuance costs paid of $351,059, (ii) an increase in capital contributions from shareholders of $4,949, and (iii) a decrease in payment of deferred financing costs of $4,793 in the nine months ended September 30, 2015 as compared to the nine months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33" w:right="29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ended September 30, 2014. These increases in cash inflows were offset by (i) an increase in cash outflows for maintenance deposits, net of receipts of $5,820,</w:t>
      </w:r>
    </w:p>
    <w:p>
      <w:pPr>
        <w:spacing w:after="0" w:line="46" w:lineRule="exact"/>
        <w:rPr>
          <w:sz w:val="20"/>
          <w:szCs w:val="20"/>
          <w:color w:val="auto"/>
        </w:rPr>
      </w:pPr>
    </w:p>
    <w:p>
      <w:pPr>
        <w:ind w:right="180" w:firstLine="8"/>
        <w:spacing w:after="0" w:line="255"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proceeds from debt, net of repayment of debt of $168,027, (iii) a decrease in capital contributions from non-controlling interests of $8,825, and (iv) an increase in cash dividends paid of $11,358 in the nine months ended September 30, 2015 as compared to the nine months ended September 30, 2014.</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2015</w:t>
            </w:r>
          </w:p>
        </w:tc>
        <w:tc>
          <w:tcPr>
            <w:tcW w:w="120" w:type="dxa"/>
            <w:vAlign w:val="bottom"/>
          </w:tcPr>
          <w:p>
            <w:pPr>
              <w:spacing w:after="0"/>
              <w:rPr>
                <w:sz w:val="20"/>
                <w:szCs w:val="20"/>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September 30, 2014</w:t>
            </w:r>
          </w:p>
        </w:tc>
      </w:tr>
      <w:tr>
        <w:trPr>
          <w:trHeight w:val="33"/>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26,870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(27,786)</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Add: Proceeds from sale of assets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19,538</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Required Payments on Debt Obligations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(19,764)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(26,886)</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Exclude: Changes in Working Capital</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39,958</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19,737</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when evaluating the Company’s ability to meet its stated dividend policy. Specifically:</w:t>
      </w:r>
    </w:p>
    <w:p>
      <w:pPr>
        <w:spacing w:after="0" w:line="80" w:lineRule="exact"/>
        <w:rPr>
          <w:sz w:val="20"/>
          <w:szCs w:val="20"/>
          <w:color w:val="auto"/>
        </w:rPr>
      </w:pPr>
    </w:p>
    <w:p>
      <w:pPr>
        <w:ind w:left="660" w:right="5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FAD does not include equity capital raised,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such factors were included in FAD, there can be no assurance that the results would be consistent with the Company’s presentation of FAD.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33"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right="2260" w:firstLine="648"/>
        <w:spacing w:after="0" w:line="291" w:lineRule="auto"/>
        <w:rPr>
          <w:sz w:val="20"/>
          <w:szCs w:val="20"/>
          <w:color w:val="auto"/>
        </w:rPr>
      </w:pPr>
      <w:r>
        <w:rPr>
          <w:rFonts w:ascii="Arial" w:cs="Arial" w:eastAsia="Arial" w:hAnsi="Arial"/>
          <w:sz w:val="16"/>
          <w:szCs w:val="16"/>
          <w:color w:val="auto"/>
        </w:rPr>
        <w:t>As of December 31, 2014, Series 2010 Bonds purchased by the Company were deemed to be owned by the Company, and were classified as assets, Tendered Bonds, in the Consolidated Balance Sheet with an equal corresponding amount</w:t>
      </w:r>
    </w:p>
    <w:p>
      <w:pPr>
        <w:ind w:right="60"/>
        <w:spacing w:after="0" w:line="255" w:lineRule="auto"/>
        <w:rPr>
          <w:sz w:val="20"/>
          <w:szCs w:val="20"/>
          <w:color w:val="auto"/>
        </w:rPr>
      </w:pPr>
      <w:r>
        <w:rPr>
          <w:rFonts w:ascii="Arial" w:cs="Arial" w:eastAsia="Arial" w:hAnsi="Arial"/>
          <w:sz w:val="18"/>
          <w:szCs w:val="18"/>
          <w:color w:val="auto"/>
        </w:rPr>
        <w:t>as Debt. During the three months ended September 30, 2015, the Jefferson County Industrial Development Corporation, the Company, and Amegy Bank as the related trustee, agreed to extinguish and cancel the Series 2010 Bonds. Accordingly, the Series 2010 Bonds are no longer reported within Tendered Bonds or Debt in the Consolidated Balance Sheet as of September 30, 2015.</w:t>
      </w:r>
    </w:p>
    <w:p>
      <w:pPr>
        <w:spacing w:after="0" w:line="82"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Additional information regarding our debt agreements is disclosed in our Amendment No. 7 to our Registration Statement on Form S-1, filed with the Securities and Exchange Commission (“SEC”) on May 14, 2015.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The following table summarizes our future obligations, by period due, as of September 30, 2015, under our various contractual obligations and commitments. We had no off-balance sheet arrangements as of September 30,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Container Loan #1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Container Loan #2</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11,702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Jefferson Terminal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Jefferson Bonds Payable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39,550</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273,179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24,623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103,463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50,511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40,122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78,760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18,304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16,965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5,073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24,789</w:t>
            </w:r>
          </w:p>
        </w:tc>
        <w:tc>
          <w:tcPr>
            <w:tcW w:w="0" w:type="dxa"/>
            <w:vAlign w:val="bottom"/>
          </w:tcPr>
          <w:p>
            <w:pPr>
              <w:spacing w:after="0"/>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72,755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48,439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24"/>
        </w:trPr>
        <w:tc>
          <w:tcPr>
            <w:tcW w:w="35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424,811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113,361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Estimated interest payments based on interest rates as of September 30, 2015.</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There were no material changes in our critical accounting policies as disclosed in Amendment No. 7 to our Registration Statement on Form S-1, filed with the SEC on May 14,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 included elsewhere in this filing for recent accounting pronouncements.</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45" w:right="23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9"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46" w:lineRule="exact"/>
        <w:rPr>
          <w:sz w:val="20"/>
          <w:szCs w:val="20"/>
          <w:color w:val="auto"/>
        </w:rPr>
      </w:pPr>
    </w:p>
    <w:p>
      <w:pPr>
        <w:ind w:right="100"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ind w:right="560" w:firstLine="446"/>
        <w:spacing w:after="0" w:line="312" w:lineRule="auto"/>
        <w:rPr>
          <w:sz w:val="20"/>
          <w:szCs w:val="20"/>
          <w:color w:val="auto"/>
        </w:rPr>
      </w:pPr>
      <w:r>
        <w:rPr>
          <w:rFonts w:ascii="Arial" w:cs="Arial" w:eastAsia="Arial" w:hAnsi="Arial"/>
          <w:sz w:val="16"/>
          <w:szCs w:val="16"/>
          <w:color w:val="auto"/>
        </w:rPr>
        <w:t>As of September 30, 2015,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$2.2 million and $(2.2) million, respectively, over the next twelve months before the impact of interest rate derivatives.</w:t>
      </w:r>
    </w:p>
    <w:p>
      <w:pPr>
        <w:spacing w:after="0" w:line="39"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Through the use of an interest rate swap, we have reduced our exposure to interest rate changes with respect to 70% of the outstanding principal balance of Container Loan #1. Through the use of an interest rate cap, we have reduced our exposure to interest rate changes with respect to 50% of the outstanding principal balance of that portion of Container Loan #2 attributable to equipment which is subject to direct finance leases having a five year term (representing a notional amount of approximately $2.5 million at September 30, 2015).</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U.S. Securities Exchange Act of 1934 (the “Exchange Act”)). Based upon that evaluation, the Company’s Chief Executive Officer and Chief Financial Officer have concluded that these disclosure controls and procedures were effective as of and for the period covered by this report. 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28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II—OTHER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49" w:right="239" w:bottom="1440" w:gutter="0" w:footer="0" w:header="0"/>
        </w:sectPr>
      </w:pPr>
    </w:p>
    <w:bookmarkStart w:id="69" w:name="page70"/>
    <w:bookmarkEnd w:id="69"/>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may be involved in litigation matters arising in the ordinary course of our business. Although we will be unable to predict with certainty the eventual outcome of any litigation, in the opinion of management, our legal proceedings are not expected to have a material adverse effect on our financial position or results of operations.</w:t>
      </w:r>
    </w:p>
    <w:p>
      <w:pPr>
        <w:spacing w:after="0" w:line="2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Manager, risks related to taxation and risks related to our common shares. However, these categories do overlap and should not be considered exclusive.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2015 has resulted in lower exploration and production budgets worldwide, with industry experts predicting that exploration and production spending will decrease by approximately 25% in 2015 (as compared to 2014).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Further, demand for our assets is related to passenger and cargo traffic growth, which in turn is dependent on general business and economic conditions. We cannot assure you that the recent global economic downturn will not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0" w:lineRule="exact"/>
        <w:rPr>
          <w:sz w:val="20"/>
          <w:szCs w:val="20"/>
          <w:color w:val="auto"/>
        </w:rPr>
      </w:pPr>
    </w:p>
    <w:p>
      <w:pPr>
        <w:ind w:right="280" w:firstLine="432"/>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ectPr>
          <w:pgSz w:w="11900" w:h="16838" w:orient="portrait"/>
          <w:cols w:equalWidth="0" w:num="1">
            <w:col w:w="11400"/>
          </w:cols>
          <w:pgMar w:left="240" w:top="445" w:right="259" w:bottom="1440" w:gutter="0" w:footer="0" w:header="0"/>
        </w:sectPr>
      </w:pPr>
    </w:p>
    <w:bookmarkStart w:id="70" w:name="page71"/>
    <w:bookmarkEnd w:id="70"/>
    <w:p>
      <w:pPr>
        <w:ind w:right="100" w:firstLine="432"/>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33" w:right="239" w:bottom="1440" w:gutter="0" w:footer="0" w:header="0"/>
        </w:sectPr>
      </w:pPr>
    </w:p>
    <w:bookmarkStart w:id="71" w:name="page72"/>
    <w:bookmarkEnd w:id="71"/>
    <w:p>
      <w:pPr>
        <w:ind w:firstLine="432"/>
        <w:spacing w:after="0" w:line="28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in the fourth quarter of 2015 we are taking redelivery of a construction support vessel, the Pride, because its prior charter has expired and we do not currently have a replacement lessee under contract.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33" w:right="239" w:bottom="1440" w:gutter="0" w:footer="0" w:header="0"/>
        </w:sectPr>
      </w:pPr>
    </w:p>
    <w:bookmarkStart w:id="72" w:name="page73"/>
    <w:bookmarkEnd w:id="72"/>
    <w:p>
      <w:pPr>
        <w:ind w:right="180" w:firstLine="432"/>
        <w:spacing w:after="0" w:line="28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our owned assets in various jurisdictions cannot be predicted. To the extent more of our business shifts to areas outside of the United States and Europe, such as China, it may become more difficult and expensive to enforce our rights and recover our assets.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33" w:right="239" w:bottom="1440" w:gutter="0" w:footer="0" w:header="0"/>
        </w:sectPr>
      </w:pPr>
    </w:p>
    <w:bookmarkStart w:id="73" w:name="page74"/>
    <w:bookmarkEnd w:id="73"/>
    <w:p>
      <w:pPr>
        <w:ind w:firstLine="432"/>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1" w:lineRule="exact"/>
        <w:rPr>
          <w:sz w:val="20"/>
          <w:szCs w:val="20"/>
          <w:color w:val="auto"/>
        </w:rPr>
      </w:pPr>
    </w:p>
    <w:p>
      <w:pPr>
        <w:ind w:right="100" w:firstLine="432"/>
        <w:spacing w:after="0" w:line="375" w:lineRule="auto"/>
        <w:rPr>
          <w:sz w:val="20"/>
          <w:szCs w:val="20"/>
          <w:color w:val="auto"/>
        </w:rPr>
      </w:pPr>
      <w:r>
        <w:rPr>
          <w:rFonts w:ascii="Arial" w:cs="Arial" w:eastAsia="Arial" w:hAnsi="Arial"/>
          <w:sz w:val="15"/>
          <w:szCs w:val="15"/>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7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70"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33" w:right="239" w:bottom="1440" w:gutter="0" w:footer="0" w:header="0"/>
        </w:sectPr>
      </w:pPr>
    </w:p>
    <w:bookmarkStart w:id="74" w:name="page75"/>
    <w:bookmarkEnd w:id="74"/>
    <w:p>
      <w:pPr>
        <w:ind w:right="460"/>
        <w:spacing w:after="0" w:line="264" w:lineRule="auto"/>
        <w:rPr>
          <w:sz w:val="20"/>
          <w:szCs w:val="20"/>
          <w:color w:val="auto"/>
        </w:rPr>
      </w:pPr>
      <w:r>
        <w:rPr>
          <w:rFonts w:ascii="Arial" w:cs="Arial" w:eastAsia="Arial" w:hAnsi="Arial"/>
          <w:sz w:val="18"/>
          <w:szCs w:val="18"/>
          <w:color w:val="auto"/>
        </w:rPr>
        <w:t>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8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For example, the 2011 earthquake in Japan and the related nuclear reactor accidents have caused the disruption of cargo shipping lines by closing off certain ports and requiring additional precautionary and safety measures at other ports around the world.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33" w:right="259" w:bottom="1440" w:gutter="0" w:footer="0" w:header="0"/>
        </w:sectPr>
      </w:pPr>
    </w:p>
    <w:bookmarkStart w:id="75" w:name="page76"/>
    <w:bookmarkEnd w:id="75"/>
    <w:p>
      <w:pPr>
        <w:jc w:val="both"/>
        <w:ind w:right="620"/>
        <w:spacing w:after="0" w:line="264" w:lineRule="auto"/>
        <w:rPr>
          <w:sz w:val="20"/>
          <w:szCs w:val="20"/>
          <w:color w:val="auto"/>
        </w:rPr>
      </w:pPr>
      <w:r>
        <w:rPr>
          <w:rFonts w:ascii="Arial" w:cs="Arial" w:eastAsia="Arial" w:hAnsi="Arial"/>
          <w:sz w:val="18"/>
          <w:szCs w:val="18"/>
          <w:color w:val="auto"/>
        </w:rPr>
        <w:t>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b w:val="1"/>
          <w:bCs w:val="1"/>
          <w:i w:val="1"/>
          <w:iCs w:val="1"/>
          <w:color w:val="auto"/>
        </w:rPr>
        <w:t>It is impossible to predict whether third parties will allege liability related to our purchase of the MM&amp;A assets out of bankruptcy, including possible claims related to the July 6, 2013 train derailment near Lac-Mégantic, Quebec.</w:t>
      </w:r>
    </w:p>
    <w:p>
      <w:pPr>
        <w:spacing w:after="0" w:line="62"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2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June 30, 2015 and we do not anticipate any expenditures relating to environmental clean-up (including impacts to the Chaudière River) as a result of the Incident.</w:t>
      </w:r>
    </w:p>
    <w:p>
      <w:pPr>
        <w:spacing w:after="0" w:line="8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33" w:right="259" w:bottom="1440" w:gutter="0" w:footer="0" w:header="0"/>
        </w:sectPr>
      </w:pPr>
    </w:p>
    <w:bookmarkStart w:id="76" w:name="page77"/>
    <w:bookmarkEnd w:id="76"/>
    <w:p>
      <w:pPr>
        <w:ind w:right="20"/>
        <w:spacing w:after="0" w:line="264" w:lineRule="auto"/>
        <w:rPr>
          <w:sz w:val="20"/>
          <w:szCs w:val="20"/>
          <w:color w:val="auto"/>
        </w:rPr>
      </w:pPr>
      <w:r>
        <w:rPr>
          <w:rFonts w:ascii="Arial" w:cs="Arial" w:eastAsia="Arial" w:hAnsi="Arial"/>
          <w:sz w:val="18"/>
          <w:szCs w:val="18"/>
          <w:color w:val="auto"/>
        </w:rPr>
        <w:t>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85" w:lineRule="exact"/>
        <w:rPr>
          <w:sz w:val="20"/>
          <w:szCs w:val="20"/>
          <w:color w:val="auto"/>
        </w:rPr>
      </w:pPr>
    </w:p>
    <w:p>
      <w:pPr>
        <w:ind w:right="40" w:firstLine="9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rFonts w:ascii="Arial" w:cs="Arial" w:eastAsia="Arial" w:hAnsi="Arial"/>
          <w:sz w:val="18"/>
          <w:szCs w:val="18"/>
          <w:color w:val="auto"/>
        </w:rPr>
      </w:pPr>
    </w:p>
    <w:p>
      <w:pPr>
        <w:ind w:left="1300" w:hanging="887"/>
        <w:spacing w:after="0"/>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28" w:lineRule="exact"/>
        <w:rPr>
          <w:rFonts w:ascii="Arial" w:cs="Arial" w:eastAsia="Arial" w:hAnsi="Arial"/>
          <w:sz w:val="17"/>
          <w:szCs w:val="17"/>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6"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33" w:right="239" w:bottom="1440" w:gutter="0" w:footer="0" w:header="0"/>
        </w:sectPr>
      </w:pPr>
    </w:p>
    <w:bookmarkStart w:id="77" w:name="page78"/>
    <w:bookmarkEnd w:id="77"/>
    <w:p>
      <w:pPr>
        <w:ind w:right="280"/>
        <w:spacing w:after="0" w:line="264" w:lineRule="auto"/>
        <w:rPr>
          <w:sz w:val="20"/>
          <w:szCs w:val="20"/>
          <w:color w:val="auto"/>
        </w:rPr>
      </w:pPr>
      <w:r>
        <w:rPr>
          <w:rFonts w:ascii="Arial" w:cs="Arial" w:eastAsia="Arial" w:hAnsi="Arial"/>
          <w:sz w:val="18"/>
          <w:szCs w:val="18"/>
          <w:color w:val="auto"/>
        </w:rPr>
        <w:t>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3"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6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6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880" w:hanging="35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71" w:lineRule="exact"/>
        <w:rPr>
          <w:rFonts w:ascii="Arial" w:cs="Arial" w:eastAsia="Arial" w:hAnsi="Arial"/>
          <w:sz w:val="18"/>
          <w:szCs w:val="18"/>
          <w:color w:val="auto"/>
        </w:rPr>
      </w:pPr>
    </w:p>
    <w:p>
      <w:pPr>
        <w:ind w:left="880" w:right="60" w:hanging="359"/>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116" w:lineRule="exact"/>
        <w:rPr>
          <w:rFonts w:ascii="Arial" w:cs="Arial" w:eastAsia="Arial" w:hAnsi="Arial"/>
          <w:sz w:val="18"/>
          <w:szCs w:val="18"/>
          <w:color w:val="auto"/>
        </w:rPr>
      </w:pPr>
    </w:p>
    <w:p>
      <w:pPr>
        <w:ind w:left="880" w:hanging="35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82" w:lineRule="exact"/>
        <w:rPr>
          <w:rFonts w:ascii="Arial" w:cs="Arial" w:eastAsia="Arial" w:hAnsi="Arial"/>
          <w:sz w:val="17"/>
          <w:szCs w:val="17"/>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71" w:lineRule="exact"/>
        <w:rPr>
          <w:rFonts w:ascii="Arial" w:cs="Arial" w:eastAsia="Arial" w:hAnsi="Arial"/>
          <w:sz w:val="18"/>
          <w:szCs w:val="18"/>
          <w:color w:val="auto"/>
        </w:rPr>
      </w:pPr>
    </w:p>
    <w:p>
      <w:pPr>
        <w:ind w:left="880" w:right="180" w:hanging="359"/>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27"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71"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116"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ectPr>
          <w:pgSz w:w="11900" w:h="16838" w:orient="portrait"/>
          <w:cols w:equalWidth="0" w:num="1">
            <w:col w:w="11380"/>
          </w:cols>
          <w:pgMar w:left="240" w:top="233" w:right="279" w:bottom="545"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Future changes in accounting rules could significantly impact how both we and our customers account for our leases.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In May 2013, the Financial Accounting Standards Board (“FASB”) issued a revised exposure draft, “Leases” (the “Lease ED”), which would replace the existing guidance in the Accounting Standards Codification 840 (“ASC 840”), Leases. Pursuant to the Lease ED, leases would be classified as either leases of property or leases of assets other than property. Leases of property will continue to use operating lease accounting. Leases of assets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our consolidated financial statements.</w:t>
      </w:r>
    </w:p>
    <w:p>
      <w:pPr>
        <w:spacing w:after="0" w:line="7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33" w:right="259" w:bottom="1440" w:gutter="0" w:footer="0" w:header="0"/>
        </w:sectPr>
      </w:pPr>
    </w:p>
    <w:bookmarkStart w:id="79" w:name="page80"/>
    <w:bookmarkEnd w:id="79"/>
    <w:p>
      <w:pPr>
        <w:ind w:right="40" w:firstLine="432"/>
        <w:spacing w:after="0" w:line="293"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7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of 1940, it could have a material adverse effect on our business, prospects, financial condition, results of operations and cash flows.”</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6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33" w:right="239" w:bottom="1440" w:gutter="0" w:footer="0" w:header="0"/>
        </w:sectPr>
      </w:pPr>
    </w:p>
    <w:bookmarkStart w:id="80" w:name="page81"/>
    <w:bookmarkEnd w:id="80"/>
    <w:p>
      <w:pPr>
        <w:ind w:right="220"/>
        <w:spacing w:after="0" w:line="259" w:lineRule="auto"/>
        <w:rPr>
          <w:sz w:val="20"/>
          <w:szCs w:val="20"/>
          <w:color w:val="auto"/>
        </w:rPr>
      </w:pPr>
      <w:r>
        <w:rPr>
          <w:rFonts w:ascii="Arial" w:cs="Arial" w:eastAsia="Arial" w:hAnsi="Arial"/>
          <w:sz w:val="18"/>
          <w:szCs w:val="18"/>
          <w:color w:val="auto"/>
        </w:rPr>
        <w:t>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5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Our Management Agreement, the Partnership Agreement and our operating agreement were negotiated among affiliated parties, and their terms, including fees payable, may not be as favorable to us as if they had been negotiated with an unaffiliated third-party.</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33" w:right="239" w:bottom="1440" w:gutter="0" w:footer="0" w:header="0"/>
        </w:sectPr>
      </w:pPr>
    </w:p>
    <w:bookmarkStart w:id="81" w:name="page82"/>
    <w:bookmarkEnd w:id="81"/>
    <w:p>
      <w:pPr>
        <w:ind w:right="120"/>
        <w:spacing w:after="0" w:line="264" w:lineRule="auto"/>
        <w:rPr>
          <w:sz w:val="20"/>
          <w:szCs w:val="20"/>
          <w:color w:val="auto"/>
        </w:rPr>
      </w:pPr>
      <w:r>
        <w:rPr>
          <w:rFonts w:ascii="Arial" w:cs="Arial" w:eastAsia="Arial" w:hAnsi="Arial"/>
          <w:sz w:val="18"/>
          <w:szCs w:val="18"/>
          <w:color w:val="auto"/>
        </w:rPr>
        <w:t>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$72 billion of assets under management as of September 30, 2015.</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It is possible that actual, potential or perceived conflicts could give rise to investor dissatisfaction, litigation or regulatory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6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33" w:right="259" w:bottom="1440" w:gutter="0" w:footer="0" w:header="0"/>
        </w:sectPr>
      </w:pPr>
    </w:p>
    <w:bookmarkStart w:id="82" w:name="page83"/>
    <w:bookmarkEnd w:id="82"/>
    <w:p>
      <w:pPr>
        <w:ind w:right="20" w:firstLine="432"/>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6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33" w:right="259" w:bottom="1440" w:gutter="0" w:footer="0" w:header="0"/>
        </w:sectPr>
      </w:pPr>
    </w:p>
    <w:bookmarkStart w:id="83" w:name="page84"/>
    <w:bookmarkEnd w:id="83"/>
    <w:p>
      <w:pPr>
        <w:ind w:firstLine="432"/>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85" w:lineRule="exact"/>
        <w:rPr>
          <w:sz w:val="20"/>
          <w:szCs w:val="20"/>
          <w:color w:val="auto"/>
        </w:rPr>
      </w:pPr>
    </w:p>
    <w:p>
      <w:pPr>
        <w:ind w:right="920" w:firstLine="432"/>
        <w:spacing w:after="0" w:line="34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6"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73"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7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33" w:right="239" w:bottom="1440" w:gutter="0" w:footer="0" w:header="0"/>
        </w:sectPr>
      </w:pPr>
    </w:p>
    <w:bookmarkStart w:id="84" w:name="page85"/>
    <w:bookmarkEnd w:id="84"/>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75"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38"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33" w:right="23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18"/>
          <w:szCs w:val="18"/>
          <w:color w:val="auto"/>
        </w:rPr>
        <w:t>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8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84"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5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ind w:right="280" w:firstLine="432"/>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33" w:right="239" w:bottom="1440" w:gutter="0" w:footer="0" w:header="0"/>
        </w:sectPr>
      </w:pPr>
    </w:p>
    <w:bookmarkStart w:id="86" w:name="page87"/>
    <w:bookmarkEnd w:id="86"/>
    <w:p>
      <w:pPr>
        <w:ind w:right="220"/>
        <w:spacing w:after="0" w:line="277" w:lineRule="auto"/>
        <w:rPr>
          <w:sz w:val="20"/>
          <w:szCs w:val="20"/>
          <w:color w:val="auto"/>
        </w:rPr>
      </w:pPr>
      <w:r>
        <w:rPr>
          <w:rFonts w:ascii="Arial" w:cs="Arial" w:eastAsia="Arial" w:hAnsi="Arial"/>
          <w:sz w:val="18"/>
          <w:szCs w:val="18"/>
          <w:color w:val="auto"/>
        </w:rPr>
        <w:t>these tax benefits or the amount of gain on the sale of our common shares and could have a negative impact on the value of our common shares or result in audits of and adjustments to our shareholders’ tax returns.</w:t>
      </w:r>
    </w:p>
    <w:p>
      <w:pPr>
        <w:spacing w:after="0" w:line="62"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5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the market for our shares will provide you with adequate liquidity.</w:t>
      </w:r>
    </w:p>
    <w:p>
      <w:pPr>
        <w:spacing w:after="0" w:line="117"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57"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Even if an active trading market develops, 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80" w:lineRule="exact"/>
        <w:rPr>
          <w:sz w:val="20"/>
          <w:szCs w:val="20"/>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7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33" w:right="279" w:bottom="1440" w:gutter="0" w:footer="0" w:header="0"/>
        </w:sectPr>
      </w:pPr>
    </w:p>
    <w:bookmarkStart w:id="87" w:name="page88"/>
    <w:bookmarkEnd w:id="87"/>
    <w:p>
      <w:pPr>
        <w:ind w:right="80" w:firstLine="432"/>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120" w:firstLine="8"/>
        <w:spacing w:after="0" w:line="255"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8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While we have begun the process of evaluating our internal controls, we are in the early phases of our review.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fail to implement the requirements of Section 404 in a timely manner, we may be subject to sanctions or investigation by regulatory authorities, including the SEC or the NYSE. Furthermore, if we discover a material weakness, our share price could decline and our ability to raise capital could be impaired.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33" w:right="239" w:bottom="1440" w:gutter="0" w:footer="0" w:header="0"/>
        </w:sectPr>
      </w:pPr>
    </w:p>
    <w:bookmarkStart w:id="88" w:name="page89"/>
    <w:bookmarkEnd w:id="88"/>
    <w:p>
      <w:pPr>
        <w:ind w:right="300"/>
        <w:spacing w:after="0" w:line="277" w:lineRule="auto"/>
        <w:rPr>
          <w:sz w:val="20"/>
          <w:szCs w:val="20"/>
          <w:color w:val="auto"/>
        </w:rPr>
      </w:pPr>
      <w:r>
        <w:rPr>
          <w:rFonts w:ascii="Arial" w:cs="Arial" w:eastAsia="Arial" w:hAnsi="Arial"/>
          <w:sz w:val="18"/>
          <w:szCs w:val="18"/>
          <w:color w:val="auto"/>
        </w:rPr>
        <w:t>property, portfolio or business acquisitions or the exercise of outstanding options or otherwise could also have an adverse effect on the market price of our common shares.</w:t>
      </w:r>
    </w:p>
    <w:p>
      <w:pPr>
        <w:spacing w:after="0" w:line="6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and our executive officers, directors, Initial Shareholders and the General Partner have agreed that, for a period of 180 days from May 14, 2015, we and they will not, without the prior written consent of the representatives of the underwriters in our initial public offering, dispose of or hedge any shares or any securities convertible into or exchangeable for our common shares. The underwriters, in their sole discretion, may release any of the securities subject to these lock-up agreements at any time, which, in the case of officers and directors, shall be with notice. If the restrictions under the lock-up agreements are waived or upon the expiration of the lock-up agreements, a substantial amount of our common shares may become available for sale into the market, subject to applicable law, which could reduce the market price for our common shares.</w:t>
      </w:r>
    </w:p>
    <w:p>
      <w:pPr>
        <w:spacing w:after="0" w:line="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50-60% of funds available for distribution, with remaining amounts used primarily to fund our future acquisitions and opportunities. As a public company, there can be no assurance that we will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For example, the Jefferson Terminal Credit Agreement (as herein defined) contains a covenant that limits its ability to pay dividends to us. See “Management’s Discussion and Analysis of Financial Condition and Results of Operations-Debt Obligations” for a discussion of the restrictions on distributions contained in the Jefferson Terminal Credit Agreement.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33" w:right="239" w:bottom="1440" w:gutter="0" w:footer="0" w:header="0"/>
        </w:sectPr>
      </w:pPr>
    </w:p>
    <w:bookmarkStart w:id="89" w:name="page90"/>
    <w:bookmarkEnd w:id="89"/>
    <w:p>
      <w:pPr>
        <w:ind w:right="60" w:firstLine="432"/>
        <w:spacing w:after="0" w:line="273" w:lineRule="auto"/>
        <w:rPr>
          <w:sz w:val="20"/>
          <w:szCs w:val="20"/>
          <w:color w:val="auto"/>
        </w:rPr>
      </w:pPr>
      <w:r>
        <w:rPr>
          <w:rFonts w:ascii="Arial" w:cs="Arial" w:eastAsia="Arial" w:hAnsi="Arial"/>
          <w:sz w:val="17"/>
          <w:szCs w:val="17"/>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70"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newly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added independent directors and created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5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33" w:right="259" w:bottom="1440" w:gutter="0" w:footer="0" w:header="0"/>
        </w:sectPr>
      </w:pPr>
    </w:p>
    <w:bookmarkStart w:id="90" w:name="page91"/>
    <w:bookmarkEnd w:id="90"/>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FORTRESS TRANSPORTATION AND INFRASTRUCTURE INVESTORS LLC</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12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November 4,</w:t>
            </w:r>
          </w:p>
        </w:tc>
        <w:tc>
          <w:tcPr>
            <w:tcW w:w="2240" w:type="dxa"/>
            <w:vAlign w:val="bottom"/>
          </w:tcPr>
          <w:p>
            <w:pPr>
              <w:spacing w:after="0"/>
              <w:rPr>
                <w:sz w:val="22"/>
                <w:szCs w:val="22"/>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2015</w:t>
            </w:r>
          </w:p>
        </w:tc>
        <w:tc>
          <w:tcPr>
            <w:tcW w:w="2240" w:type="dxa"/>
            <w:vAlign w:val="bottom"/>
          </w:tcPr>
          <w:p>
            <w:pPr>
              <w:spacing w:after="0"/>
              <w:rPr>
                <w:sz w:val="20"/>
                <w:szCs w:val="20"/>
                <w:color w:val="auto"/>
              </w:rPr>
            </w:pPr>
          </w:p>
        </w:tc>
      </w:tr>
      <w:tr>
        <w:trPr>
          <w:trHeight w:val="837"/>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56"/>
        </w:trPr>
        <w:tc>
          <w:tcPr>
            <w:tcW w:w="12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November 4,</w:t>
            </w:r>
          </w:p>
        </w:tc>
        <w:tc>
          <w:tcPr>
            <w:tcW w:w="2240" w:type="dxa"/>
            <w:vAlign w:val="bottom"/>
          </w:tcPr>
          <w:p>
            <w:pPr>
              <w:spacing w:after="0"/>
              <w:rPr>
                <w:sz w:val="22"/>
                <w:szCs w:val="22"/>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2015</w:t>
            </w:r>
          </w:p>
        </w:tc>
        <w:tc>
          <w:tcPr>
            <w:tcW w:w="2240" w:type="dxa"/>
            <w:vAlign w:val="bottom"/>
          </w:tcPr>
          <w:p>
            <w:pPr>
              <w:spacing w:after="0"/>
              <w:rPr>
                <w:sz w:val="20"/>
                <w:szCs w:val="20"/>
                <w:color w:val="auto"/>
              </w:rPr>
            </w:pPr>
          </w:p>
        </w:tc>
      </w:tr>
      <w:tr>
        <w:trPr>
          <w:trHeight w:val="837"/>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12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November 4,</w:t>
            </w:r>
          </w:p>
        </w:tc>
        <w:tc>
          <w:tcPr>
            <w:tcW w:w="2240" w:type="dxa"/>
            <w:vAlign w:val="bottom"/>
          </w:tcPr>
          <w:p>
            <w:pPr>
              <w:spacing w:after="0"/>
              <w:rPr>
                <w:sz w:val="22"/>
                <w:szCs w:val="22"/>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2015</w:t>
            </w: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45"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Arial" w:cs="Arial" w:eastAsia="Arial" w:hAnsi="Arial"/>
                <w:sz w:val="18"/>
                <w:szCs w:val="18"/>
                <w:b w:val="1"/>
                <w:bCs w:val="1"/>
                <w:color w:val="auto"/>
              </w:rPr>
              <w:t>INDEX TO EXHIBITS</w:t>
            </w:r>
          </w:p>
        </w:tc>
      </w:tr>
      <w:tr>
        <w:trPr>
          <w:trHeight w:val="594"/>
        </w:trPr>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Exhibit No.</w:t>
            </w:r>
          </w:p>
        </w:tc>
        <w:tc>
          <w:tcPr>
            <w:tcW w:w="8540" w:type="dxa"/>
            <w:vAlign w:val="bottom"/>
          </w:tcPr>
          <w:p>
            <w:pPr>
              <w:ind w:left="3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0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71"/>
        </w:trPr>
        <w:tc>
          <w:tcPr>
            <w:tcW w:w="2000" w:type="dxa"/>
            <w:vAlign w:val="bottom"/>
          </w:tcPr>
          <w:p>
            <w:pPr>
              <w:spacing w:after="0"/>
              <w:rPr>
                <w:sz w:val="20"/>
                <w:szCs w:val="20"/>
                <w:color w:val="auto"/>
              </w:rPr>
            </w:pPr>
            <w:r>
              <w:rPr>
                <w:rFonts w:ascii="Arial" w:cs="Arial" w:eastAsia="Arial" w:hAnsi="Arial"/>
                <w:sz w:val="18"/>
                <w:szCs w:val="18"/>
                <w:color w:val="auto"/>
              </w:rPr>
              <w:t>3.1</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Certificate of Formation (incorporated by reference to Amendment No. 4 to the Registrant’s Registration Statement</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w:t>
            </w:r>
          </w:p>
        </w:tc>
        <w:tc>
          <w:tcPr>
            <w:tcW w:w="8540" w:type="dxa"/>
            <w:vAlign w:val="bottom"/>
          </w:tcPr>
          <w:p>
            <w:pPr>
              <w:ind w:left="20"/>
              <w:spacing w:after="0"/>
              <w:rPr>
                <w:sz w:val="20"/>
                <w:szCs w:val="20"/>
                <w:color w:val="auto"/>
              </w:rPr>
            </w:pPr>
            <w:r>
              <w:rPr>
                <w:rFonts w:ascii="Arial" w:cs="Arial" w:eastAsia="Arial" w:hAnsi="Arial"/>
                <w:sz w:val="18"/>
                <w:szCs w:val="18"/>
                <w:color w:val="auto"/>
                <w:w w:val="91"/>
              </w:rPr>
              <w:t>Amended and Restated Limited Liability Company Agreement of Fortress Transportation and Infrastructure Investors</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LLC (incorporated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10.1</w:t>
            </w:r>
          </w:p>
        </w:tc>
        <w:tc>
          <w:tcPr>
            <w:tcW w:w="8540" w:type="dxa"/>
            <w:vAlign w:val="bottom"/>
          </w:tcPr>
          <w:p>
            <w:pPr>
              <w:ind w:left="20"/>
              <w:spacing w:after="0"/>
              <w:rPr>
                <w:sz w:val="20"/>
                <w:szCs w:val="20"/>
                <w:color w:val="auto"/>
              </w:rPr>
            </w:pPr>
            <w:r>
              <w:rPr>
                <w:rFonts w:ascii="Arial" w:cs="Arial" w:eastAsia="Arial" w:hAnsi="Arial"/>
                <w:sz w:val="18"/>
                <w:szCs w:val="18"/>
                <w:color w:val="auto"/>
                <w:w w:val="96"/>
              </w:rPr>
              <w:t>Fourth Amended and Restated Partnership Agreement of Fortress Worldwide Transportation and Infrastructure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6"/>
              </w:rPr>
              <w:t>General Partnership (incorporated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10.2</w:t>
            </w:r>
          </w:p>
        </w:tc>
        <w:tc>
          <w:tcPr>
            <w:tcW w:w="8540" w:type="dxa"/>
            <w:vAlign w:val="bottom"/>
          </w:tcPr>
          <w:p>
            <w:pPr>
              <w:ind w:left="20"/>
              <w:spacing w:after="0"/>
              <w:rPr>
                <w:sz w:val="20"/>
                <w:szCs w:val="20"/>
                <w:color w:val="auto"/>
              </w:rPr>
            </w:pPr>
            <w:r>
              <w:rPr>
                <w:rFonts w:ascii="Arial" w:cs="Arial" w:eastAsia="Arial" w:hAnsi="Arial"/>
                <w:sz w:val="18"/>
                <w:szCs w:val="18"/>
                <w:color w:val="auto"/>
              </w:rPr>
              <w:t>Management and Advisory Agreement, dated as of May 20, 2015, between Fortress Transportation and</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4"/>
              </w:rPr>
              <w:t>Infrastructure Investors LLC and FIG LLC (incorporated by reference to the Registrant’s Report on Form 8-K, filed</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10.3</w:t>
            </w:r>
          </w:p>
        </w:tc>
        <w:tc>
          <w:tcPr>
            <w:tcW w:w="8540" w:type="dxa"/>
            <w:vAlign w:val="bottom"/>
          </w:tcPr>
          <w:p>
            <w:pPr>
              <w:ind w:left="20"/>
              <w:spacing w:after="0"/>
              <w:rPr>
                <w:sz w:val="20"/>
                <w:szCs w:val="20"/>
                <w:color w:val="auto"/>
              </w:rPr>
            </w:pPr>
            <w:r>
              <w:rPr>
                <w:rFonts w:ascii="Arial" w:cs="Arial" w:eastAsia="Arial" w:hAnsi="Arial"/>
                <w:sz w:val="18"/>
                <w:szCs w:val="18"/>
                <w:color w:val="auto"/>
                <w:w w:val="97"/>
              </w:rPr>
              <w:t>Fortress Transportation and Infrastructure Investors LLC Nonqualified Stock Option and Incentive Award Plan</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10.4</w:t>
            </w:r>
          </w:p>
        </w:tc>
        <w:tc>
          <w:tcPr>
            <w:tcW w:w="8540" w:type="dxa"/>
            <w:vAlign w:val="bottom"/>
          </w:tcPr>
          <w:p>
            <w:pPr>
              <w:ind w:left="20"/>
              <w:spacing w:after="0"/>
              <w:rPr>
                <w:sz w:val="20"/>
                <w:szCs w:val="20"/>
                <w:color w:val="auto"/>
              </w:rPr>
            </w:pPr>
            <w:r>
              <w:rPr>
                <w:rFonts w:ascii="Arial" w:cs="Arial" w:eastAsia="Arial" w:hAnsi="Arial"/>
                <w:sz w:val="18"/>
                <w:szCs w:val="18"/>
                <w:color w:val="auto"/>
                <w:w w:val="98"/>
              </w:rPr>
              <w:t>Registration Rights Agreement, dated as of May 20, 2015, among Fortress Transportation and Infrastructure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Investors LLC, FIG LLC and Fortress Transportation and Infrastructure Master GP LLC (incorporated by reference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10.5</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Form of director and officer indemnification agreement of Fortress Transportation and Infrastructure Investors LLC</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Amendment No. 4 to the Registrant’s Registration Statement on Form S-1, filed April</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10.6</w:t>
            </w:r>
          </w:p>
        </w:tc>
        <w:tc>
          <w:tcPr>
            <w:tcW w:w="8540" w:type="dxa"/>
            <w:vAlign w:val="bottom"/>
          </w:tcPr>
          <w:p>
            <w:pPr>
              <w:ind w:left="20"/>
              <w:spacing w:after="0"/>
              <w:rPr>
                <w:sz w:val="20"/>
                <w:szCs w:val="20"/>
                <w:color w:val="auto"/>
              </w:rPr>
            </w:pPr>
            <w:r>
              <w:rPr>
                <w:rFonts w:ascii="Arial" w:cs="Arial" w:eastAsia="Arial" w:hAnsi="Arial"/>
                <w:sz w:val="18"/>
                <w:szCs w:val="18"/>
                <w:color w:val="auto"/>
                <w:w w:val="96"/>
              </w:rPr>
              <w:t>Credit Agreement, dated as of August 27, 2014, among Morgan Stanley Senior Funding, Inc., as administrative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agent, Jefferson Gulf Coast Energy Partners LLC and the other lenders party thereto (incorporated by reference to</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Amendment No. 4 to the Registrant’s Registration Statement 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21.1</w:t>
            </w:r>
          </w:p>
        </w:tc>
        <w:tc>
          <w:tcPr>
            <w:tcW w:w="8540" w:type="dxa"/>
            <w:vAlign w:val="bottom"/>
          </w:tcPr>
          <w:p>
            <w:pPr>
              <w:ind w:left="20"/>
              <w:spacing w:after="0"/>
              <w:rPr>
                <w:sz w:val="20"/>
                <w:szCs w:val="20"/>
                <w:color w:val="auto"/>
              </w:rPr>
            </w:pPr>
            <w:r>
              <w:rPr>
                <w:rFonts w:ascii="Arial" w:cs="Arial" w:eastAsia="Arial" w:hAnsi="Arial"/>
                <w:sz w:val="18"/>
                <w:szCs w:val="18"/>
                <w:color w:val="auto"/>
                <w:w w:val="97"/>
              </w:rPr>
              <w:t>Subsidiaries of the Registrant (incorporated by reference to Amendment No. 4 to the Registrant’s Registration</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Statement 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31.1</w:t>
            </w: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31.2</w:t>
            </w: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32.1</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32.2</w:t>
            </w: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101.INS</w:t>
            </w:r>
          </w:p>
        </w:tc>
        <w:tc>
          <w:tcPr>
            <w:tcW w:w="85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101.SCH</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101.CAL</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101.DEF</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101.LAB</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101.PRE</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200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Arial" w:cs="Arial" w:eastAsia="Arial" w:hAnsi="Arial"/>
                <w:sz w:val="18"/>
                <w:szCs w:val="18"/>
                <w:color w:val="auto"/>
              </w:rPr>
              <w:t>92</w:t>
            </w:r>
          </w:p>
        </w:tc>
      </w:tr>
    </w:tbl>
    <w:p>
      <w:pPr>
        <w:sectPr>
          <w:pgSz w:w="11900" w:h="16838" w:orient="portrait"/>
          <w:cols w:equalWidth="0" w:num="1">
            <w:col w:w="10540"/>
          </w:cols>
          <w:pgMar w:left="700" w:top="337" w:right="6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November 4, 2015</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G. Atkeson,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November 4, 2015</w:t>
            </w:r>
          </w:p>
        </w:tc>
        <w:tc>
          <w:tcPr>
            <w:tcW w:w="570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0"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September 30, 2015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November 4, 2015</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0" w:right="25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September 30, 2015 as filed with the Securities and Exchange Commission on the date hereof (the “Report”), Jonathan G. Atkeson, as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Jonathan G. Atkeson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November 4, 2015</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of Filing</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Roman"/>
      <w:start w:val="4"/>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5"/>
    </w:lvl>
  </w:abstractNum>
  <w:abstractNum w:abstractNumId="7">
    <w:nsid w:val="1E7FF521"/>
    <w:multiLevelType w:val="hybridMultilevel"/>
    <w:lvl w:ilvl="0">
      <w:lvlJc w:val="left"/>
      <w:lvlText w:val="%1."/>
      <w:numFmt w:val="decimal"/>
      <w:start w:val="6"/>
    </w:lvl>
  </w:abstractNum>
  <w:abstractNum w:abstractNumId="8">
    <w:nsid w:val="7C3DBD3D"/>
    <w:multiLevelType w:val="hybridMultilevel"/>
    <w:lvl w:ilvl="0">
      <w:lvlJc w:val="left"/>
      <w:lvlText w:val="%1."/>
      <w:numFmt w:val="decimal"/>
      <w:start w:val="7"/>
    </w:lvl>
  </w:abstractNum>
  <w:abstractNum w:abstractNumId="9">
    <w:nsid w:val="737B8DDC"/>
    <w:multiLevelType w:val="hybridMultilevel"/>
    <w:lvl w:ilvl="0">
      <w:lvlJc w:val="left"/>
      <w:lvlText w:val="%1."/>
      <w:numFmt w:val="decimal"/>
      <w:start w:val="8"/>
    </w:lvl>
  </w:abstractNum>
  <w:abstractNum w:abstractNumId="10">
    <w:nsid w:val="6CEAF087"/>
    <w:multiLevelType w:val="hybridMultilevel"/>
    <w:lvl w:ilvl="0">
      <w:lvlJc w:val="left"/>
      <w:lvlText w:val="%1."/>
      <w:numFmt w:val="decimal"/>
      <w:start w:val="10"/>
    </w:lvl>
    <w:lvl w:ilvl="1">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11"/>
    </w:lvl>
  </w:abstractNum>
  <w:abstractNum w:abstractNumId="13">
    <w:nsid w:val="3006C83E"/>
    <w:multiLevelType w:val="hybridMultilevel"/>
    <w:lvl w:ilvl="0">
      <w:lvlJc w:val="left"/>
      <w:lvlText w:val="%1."/>
      <w:numFmt w:val="decimal"/>
      <w:start w:val="12"/>
    </w:lvl>
  </w:abstractNum>
  <w:abstractNum w:abstractNumId="14">
    <w:nsid w:val="614FD4A1"/>
    <w:multiLevelType w:val="hybridMultilevel"/>
    <w:lvl w:ilvl="0">
      <w:lvlJc w:val="left"/>
      <w:lvlText w:val="%1."/>
      <w:numFmt w:val="decimal"/>
      <w:start w:val="13"/>
    </w:lvl>
  </w:abstractNum>
  <w:abstractNum w:abstractNumId="15">
    <w:nsid w:val="419AC241"/>
    <w:multiLevelType w:val="hybridMultilevel"/>
    <w:lvl w:ilvl="0">
      <w:lvlJc w:val="left"/>
      <w:lvlText w:val="%1."/>
      <w:numFmt w:val="decimal"/>
      <w:start w:val="14"/>
    </w:lvl>
  </w:abstractNum>
  <w:abstractNum w:abstractNumId="16">
    <w:nsid w:val="5577F8E1"/>
    <w:multiLevelType w:val="hybridMultilevel"/>
    <w:lvl w:ilvl="0">
      <w:lvlJc w:val="left"/>
      <w:lvlText w:val="%1."/>
      <w:numFmt w:val="decimal"/>
      <w:start w:val="15"/>
    </w:lvl>
  </w:abstractNum>
  <w:abstractNum w:abstractNumId="17">
    <w:nsid w:val="440BADFC"/>
    <w:multiLevelType w:val="hybridMultilevel"/>
    <w:lvl w:ilvl="0">
      <w:lvlJc w:val="left"/>
      <w:lvlText w:val="%1."/>
      <w:numFmt w:val="decimal"/>
      <w:start w:val="16"/>
    </w:lvl>
  </w:abstractNum>
  <w:abstractNum w:abstractNumId="18">
    <w:nsid w:val="5072367"/>
    <w:multiLevelType w:val="hybridMultilevel"/>
    <w:lvl w:ilvl="0">
      <w:lvlJc w:val="left"/>
      <w:lvlText w:val="%1."/>
      <w:numFmt w:val="decimal"/>
      <w:start w:val="17"/>
    </w:lvl>
  </w:abstractNum>
  <w:abstractNum w:abstractNumId="19">
    <w:nsid w:val="3804823E"/>
    <w:multiLevelType w:val="hybridMultilevel"/>
    <w:lvl w:ilvl="0">
      <w:lvlJc w:val="left"/>
      <w:lvlText w:val="%1."/>
      <w:numFmt w:val="decimal"/>
      <w:start w:val="18"/>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lowerLetter"/>
      <w:start w:val="2"/>
    </w:lvl>
  </w:abstractNum>
  <w:abstractNum w:abstractNumId="23">
    <w:nsid w:val="2463B9EA"/>
    <w:multiLevelType w:val="hybridMultilevel"/>
    <w:lvl w:ilvl="0">
      <w:lvlJc w:val="left"/>
      <w:lvlText w:val="(%1)"/>
      <w:numFmt w:val="lowerLetter"/>
      <w:start w:val="2"/>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3"/>
    </w:lvl>
  </w:abstractNum>
  <w:abstractNum w:abstractNumId="26">
    <w:nsid w:val="2D517796"/>
    <w:multiLevelType w:val="hybridMultilevel"/>
    <w:lvl w:ilvl="0">
      <w:lvlJc w:val="left"/>
      <w:lvlText w:val="(%1)"/>
      <w:numFmt w:val="lowerRoman"/>
      <w:start w:val="2"/>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1"/>
    </w:lvl>
    <w:lvl w:ilvl="1">
      <w:lvlJc w:val="left"/>
      <w:lvlText w:val="(%2)"/>
      <w:numFmt w:val="lowerRoman"/>
      <w:start w:val="2"/>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lowerRoman"/>
      <w:start w:val="4"/>
    </w:lvl>
    <w:lvl w:ilvl="1">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lvl w:ilvl="1">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lowerLetter"/>
      <w:start w:val="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2019-12-29T15:39:33Z</dcterms:created>
  <dcterms:modified xsi:type="dcterms:W3CDTF">2019-12-29T15:39:33Z</dcterms:modified>
</cp:coreProperties>
</file>