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31" w:lineRule="exact"/>
        <w:rPr>
          <w:sz w:val="24"/>
          <w:szCs w:val="24"/>
          <w:color w:val="auto"/>
        </w:rPr>
      </w:pPr>
    </w:p>
    <w:p>
      <w:pPr>
        <w:ind w:left="300"/>
        <w:spacing w:after="0"/>
        <w:tabs>
          <w:tab w:leader="none" w:pos="20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ANNUAL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2020</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66" w:lineRule="exact"/>
        <w:rPr>
          <w:sz w:val="24"/>
          <w:szCs w:val="24"/>
          <w:color w:val="auto"/>
        </w:rPr>
      </w:pPr>
    </w:p>
    <w:p>
      <w:pPr>
        <w:ind w:left="300"/>
        <w:spacing w:after="0"/>
        <w:tabs>
          <w:tab w:leader="none" w:pos="18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TRANSITION REPORT PURSUANT TO SECTION 13 OR 15(d) OF THE SECURITIES EXCHANGE ACT OF 1934</w:t>
      </w:r>
    </w:p>
    <w:p>
      <w:pPr>
        <w:spacing w:after="0" w:line="222"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For the transition period from ____ to ____</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83185</wp:posOffset>
            </wp:positionV>
            <wp:extent cx="138049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FORTRESS TRANSPORTATION AND INFRASTRUCTURE INVESTORS LLC</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7980" w:type="dxa"/>
            <w:vAlign w:val="bottom"/>
            <w:gridSpan w:val="4"/>
          </w:tcPr>
          <w:p>
            <w:pPr>
              <w:ind w:left="3780"/>
              <w:spacing w:after="0"/>
              <w:rPr>
                <w:sz w:val="20"/>
                <w:szCs w:val="20"/>
                <w:color w:val="auto"/>
              </w:rPr>
            </w:pPr>
            <w:r>
              <w:rPr>
                <w:rFonts w:ascii="Arial" w:cs="Arial" w:eastAsia="Arial" w:hAnsi="Arial"/>
                <w:sz w:val="16"/>
                <w:szCs w:val="16"/>
                <w:color w:val="auto"/>
              </w:rPr>
              <w:t>(Exact name of registrant as specified in its charter)</w:t>
            </w:r>
          </w:p>
        </w:tc>
        <w:tc>
          <w:tcPr>
            <w:tcW w:w="3260" w:type="dxa"/>
            <w:vAlign w:val="bottom"/>
          </w:tcPr>
          <w:p>
            <w:pPr>
              <w:spacing w:after="0"/>
              <w:rPr>
                <w:sz w:val="16"/>
                <w:szCs w:val="16"/>
                <w:color w:val="auto"/>
              </w:rPr>
            </w:pPr>
          </w:p>
        </w:tc>
      </w:tr>
      <w:tr>
        <w:trPr>
          <w:trHeight w:val="340"/>
        </w:trPr>
        <w:tc>
          <w:tcPr>
            <w:tcW w:w="5480" w:type="dxa"/>
            <w:vAlign w:val="bottom"/>
            <w:tcBorders>
              <w:bottom w:val="single" w:sz="8" w:color="auto"/>
            </w:tcBorders>
          </w:tcPr>
          <w:p>
            <w:pPr>
              <w:jc w:val="center"/>
              <w:ind w:left="2279"/>
              <w:spacing w:after="0"/>
              <w:rPr>
                <w:sz w:val="20"/>
                <w:szCs w:val="20"/>
                <w:color w:val="auto"/>
              </w:rPr>
            </w:pPr>
            <w:r>
              <w:rPr>
                <w:rFonts w:ascii="Arial" w:cs="Arial" w:eastAsia="Arial" w:hAnsi="Arial"/>
                <w:sz w:val="16"/>
                <w:szCs w:val="16"/>
                <w:b w:val="1"/>
                <w:bCs w:val="1"/>
                <w:color w:val="auto"/>
              </w:rPr>
              <w:t>Delaware</w:t>
            </w:r>
          </w:p>
        </w:tc>
        <w:tc>
          <w:tcPr>
            <w:tcW w:w="1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32-0434238</w:t>
            </w:r>
          </w:p>
        </w:tc>
      </w:tr>
      <w:tr>
        <w:trPr>
          <w:trHeight w:val="207"/>
        </w:trPr>
        <w:tc>
          <w:tcPr>
            <w:tcW w:w="6740" w:type="dxa"/>
            <w:vAlign w:val="bottom"/>
            <w:gridSpan w:val="2"/>
          </w:tcPr>
          <w:p>
            <w:pPr>
              <w:jc w:val="center"/>
              <w:ind w:left="999"/>
              <w:spacing w:after="0"/>
              <w:rPr>
                <w:sz w:val="20"/>
                <w:szCs w:val="20"/>
                <w:color w:val="auto"/>
              </w:rPr>
            </w:pPr>
            <w:r>
              <w:rPr>
                <w:rFonts w:ascii="Arial" w:cs="Arial" w:eastAsia="Arial" w:hAnsi="Arial"/>
                <w:sz w:val="16"/>
                <w:szCs w:val="16"/>
                <w:color w:val="auto"/>
              </w:rPr>
              <w:t>(State or other jurisdiction of incorporation or organization)</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381"/>
        </w:trPr>
        <w:tc>
          <w:tcPr>
            <w:tcW w:w="5480" w:type="dxa"/>
            <w:vAlign w:val="bottom"/>
          </w:tcPr>
          <w:p>
            <w:pPr>
              <w:ind w:left="1140"/>
              <w:spacing w:after="0"/>
              <w:rPr>
                <w:sz w:val="20"/>
                <w:szCs w:val="20"/>
                <w:color w:val="auto"/>
              </w:rPr>
            </w:pPr>
            <w:r>
              <w:rPr>
                <w:rFonts w:ascii="Arial" w:cs="Arial" w:eastAsia="Arial" w:hAnsi="Arial"/>
                <w:sz w:val="16"/>
                <w:szCs w:val="16"/>
                <w:b w:val="1"/>
                <w:bCs w:val="1"/>
                <w:color w:val="auto"/>
              </w:rPr>
              <w:t>1345 Avenue of the Americas, 45th Floor</w:t>
            </w: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New York</w:t>
            </w:r>
          </w:p>
        </w:tc>
        <w:tc>
          <w:tcPr>
            <w:tcW w:w="1240" w:type="dxa"/>
            <w:vAlign w:val="bottom"/>
            <w:gridSpan w:val="2"/>
          </w:tcPr>
          <w:p>
            <w:pPr>
              <w:ind w:left="360"/>
              <w:spacing w:after="0"/>
              <w:rPr>
                <w:sz w:val="20"/>
                <w:szCs w:val="20"/>
                <w:color w:val="auto"/>
              </w:rPr>
            </w:pPr>
            <w:r>
              <w:rPr>
                <w:rFonts w:ascii="Arial" w:cs="Arial" w:eastAsia="Arial" w:hAnsi="Arial"/>
                <w:sz w:val="16"/>
                <w:szCs w:val="16"/>
                <w:b w:val="1"/>
                <w:bCs w:val="1"/>
                <w:color w:val="auto"/>
              </w:rPr>
              <w:t>NY</w:t>
            </w:r>
          </w:p>
        </w:tc>
        <w:tc>
          <w:tcPr>
            <w:tcW w:w="3260" w:type="dxa"/>
            <w:vAlign w:val="bottom"/>
          </w:tcPr>
          <w:p>
            <w:pPr>
              <w:jc w:val="right"/>
              <w:ind w:right="1319"/>
              <w:spacing w:after="0"/>
              <w:rPr>
                <w:sz w:val="20"/>
                <w:szCs w:val="20"/>
                <w:color w:val="auto"/>
              </w:rPr>
            </w:pPr>
            <w:r>
              <w:rPr>
                <w:rFonts w:ascii="Arial" w:cs="Arial" w:eastAsia="Arial" w:hAnsi="Arial"/>
                <w:sz w:val="16"/>
                <w:szCs w:val="16"/>
                <w:b w:val="1"/>
                <w:bCs w:val="1"/>
                <w:color w:val="auto"/>
              </w:rPr>
              <w:t>10105</w:t>
            </w:r>
          </w:p>
        </w:tc>
      </w:tr>
      <w:tr>
        <w:trPr>
          <w:trHeight w:val="206"/>
        </w:trPr>
        <w:tc>
          <w:tcPr>
            <w:tcW w:w="5480" w:type="dxa"/>
            <w:vAlign w:val="bottom"/>
            <w:tcBorders>
              <w:top w:val="single" w:sz="8" w:color="auto"/>
            </w:tcBorders>
          </w:tcPr>
          <w:p>
            <w:pPr>
              <w:jc w:val="center"/>
              <w:ind w:left="227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8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100" w:type="dxa"/>
            <w:vAlign w:val="bottom"/>
          </w:tcPr>
          <w:p>
            <w:pPr>
              <w:spacing w:after="0"/>
              <w:rPr>
                <w:sz w:val="17"/>
                <w:szCs w:val="17"/>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6"/>
        </w:trPr>
        <w:tc>
          <w:tcPr>
            <w:tcW w:w="5020" w:type="dxa"/>
            <w:vAlign w:val="bottom"/>
            <w:gridSpan w:val="2"/>
          </w:tcPr>
          <w:p>
            <w:pPr>
              <w:jc w:val="center"/>
              <w:ind w:right="80"/>
              <w:spacing w:after="0"/>
              <w:rPr>
                <w:sz w:val="20"/>
                <w:szCs w:val="20"/>
                <w:color w:val="auto"/>
              </w:rPr>
            </w:pPr>
            <w:r>
              <w:rPr>
                <w:rFonts w:ascii="Arial" w:cs="Arial" w:eastAsia="Arial" w:hAnsi="Arial"/>
                <w:sz w:val="16"/>
                <w:szCs w:val="16"/>
                <w:color w:val="auto"/>
              </w:rPr>
              <w:t>Class A common shares, $0.01 par value per share</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FTAI</w:t>
            </w:r>
          </w:p>
        </w:tc>
        <w:tc>
          <w:tcPr>
            <w:tcW w:w="41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8.25% Fixed-to-Floating Rate Series A Cumulative Perpetual</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spacing w:after="0"/>
              <w:rPr>
                <w:sz w:val="15"/>
                <w:szCs w:val="15"/>
                <w:color w:val="auto"/>
              </w:rPr>
            </w:pPr>
          </w:p>
        </w:tc>
      </w:tr>
      <w:tr>
        <w:trPr>
          <w:trHeight w:val="19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rPr>
              <w:t>FTAI PR A</w:t>
            </w:r>
          </w:p>
        </w:tc>
        <w:tc>
          <w:tcPr>
            <w:tcW w:w="41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8.00% Fixed-to-Floating Rate Series B Cumulative Perpetual</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spacing w:after="0"/>
              <w:rPr>
                <w:sz w:val="15"/>
                <w:szCs w:val="15"/>
                <w:color w:val="auto"/>
              </w:rPr>
            </w:pPr>
          </w:p>
        </w:tc>
      </w:tr>
      <w:tr>
        <w:trPr>
          <w:trHeight w:val="19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rPr>
              <w:t>FTAI PR B</w:t>
            </w:r>
          </w:p>
        </w:tc>
        <w:tc>
          <w:tcPr>
            <w:tcW w:w="41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240" w:type="dxa"/>
        <w:tblCellMar>
          <w:top w:w="0" w:type="dxa"/>
          <w:left w:w="0" w:type="dxa"/>
          <w:bottom w:w="0" w:type="dxa"/>
          <w:right w:w="0" w:type="dxa"/>
        </w:tblCellMar>
      </w:tblP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Large accelerated filer</w:t>
            </w:r>
          </w:p>
        </w:tc>
        <w:tc>
          <w:tcPr>
            <w:tcW w:w="12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Non-accelerated filer</w:t>
            </w:r>
          </w:p>
        </w:tc>
        <w:tc>
          <w:tcPr>
            <w:tcW w:w="12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ectPr>
          <w:pgSz w:w="11900" w:h="16838" w:orient="portrait"/>
          <w:cols w:equalWidth="0" w:num="1">
            <w:col w:w="11240"/>
          </w:cols>
          <w:pgMar w:left="320" w:top="92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 w:name="page2"/>
    <w:bookmarkEnd w:id="1"/>
    <w:p>
      <w:pPr>
        <w:jc w:val="both"/>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6" w:lineRule="exact"/>
        <w:rPr>
          <w:sz w:val="20"/>
          <w:szCs w:val="20"/>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aggregate market value of the voting and non-voting common equity of Fortress Transportation and Infrastructure Investors LLC held by non-affiliates as of the close of business as of June 30, 2020 was approximately $1.1 billion.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There were 85,623,740 common shares representing limited liability company interests outstanding at February 23, 2021.</w:t>
      </w:r>
    </w:p>
    <w:p>
      <w:pPr>
        <w:spacing w:after="0" w:line="93"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Portions of the registrant's definitive proxy statement for the registrant's 2021 annual meeting, to be filed within 120 days after the close of the registrant's fiscal year, are incorporated by reference into Part III of this Annual Report on Form 10-K.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8920" w:type="dxa"/>
            <w:vAlign w:val="bottom"/>
          </w:tcPr>
          <w:p>
            <w:pPr>
              <w:ind w:left="2060"/>
              <w:spacing w:after="0"/>
              <w:rPr>
                <w:sz w:val="20"/>
                <w:szCs w:val="20"/>
                <w:color w:val="auto"/>
              </w:rPr>
            </w:pPr>
            <w:r>
              <w:rPr>
                <w:rFonts w:ascii="Arial" w:cs="Arial" w:eastAsia="Arial" w:hAnsi="Arial"/>
                <w:sz w:val="16"/>
                <w:szCs w:val="16"/>
                <w:b w:val="1"/>
                <w:bCs w:val="1"/>
                <w:color w:val="00497F"/>
              </w:rPr>
              <w:t>FORTRESS TRANSPORTATION AND INFRASTRUCTURE INVESTORS LLC</w:t>
            </w:r>
          </w:p>
        </w:tc>
        <w:tc>
          <w:tcPr>
            <w:tcW w:w="1420" w:type="dxa"/>
            <w:vAlign w:val="bottom"/>
          </w:tcPr>
          <w:p>
            <w:pPr>
              <w:spacing w:after="0"/>
              <w:rPr>
                <w:sz w:val="16"/>
                <w:szCs w:val="16"/>
                <w:color w:val="auto"/>
              </w:rPr>
            </w:pPr>
          </w:p>
        </w:tc>
      </w:tr>
      <w:tr>
        <w:trPr>
          <w:trHeight w:val="215"/>
        </w:trPr>
        <w:tc>
          <w:tcPr>
            <w:tcW w:w="700" w:type="dxa"/>
            <w:vAlign w:val="bottom"/>
          </w:tcPr>
          <w:p>
            <w:pPr>
              <w:spacing w:after="0"/>
              <w:rPr>
                <w:sz w:val="18"/>
                <w:szCs w:val="18"/>
                <w:color w:val="auto"/>
              </w:rPr>
            </w:pPr>
          </w:p>
        </w:tc>
        <w:tc>
          <w:tcPr>
            <w:tcW w:w="8920" w:type="dxa"/>
            <w:vAlign w:val="bottom"/>
          </w:tcPr>
          <w:p>
            <w:pPr>
              <w:ind w:left="4060"/>
              <w:spacing w:after="0"/>
              <w:rPr>
                <w:sz w:val="20"/>
                <w:szCs w:val="20"/>
                <w:color w:val="auto"/>
              </w:rPr>
            </w:pPr>
            <w:r>
              <w:rPr>
                <w:rFonts w:ascii="Arial" w:cs="Arial" w:eastAsia="Arial" w:hAnsi="Arial"/>
                <w:sz w:val="16"/>
                <w:szCs w:val="16"/>
                <w:b w:val="1"/>
                <w:bCs w:val="1"/>
                <w:color w:val="00497F"/>
              </w:rPr>
              <w:t>INDEX TO FORM 10-K</w:t>
            </w:r>
          </w:p>
        </w:tc>
        <w:tc>
          <w:tcPr>
            <w:tcW w:w="1420" w:type="dxa"/>
            <w:vAlign w:val="bottom"/>
          </w:tcPr>
          <w:p>
            <w:pPr>
              <w:spacing w:after="0"/>
              <w:rPr>
                <w:sz w:val="18"/>
                <w:szCs w:val="18"/>
                <w:color w:val="auto"/>
              </w:rPr>
            </w:pPr>
          </w:p>
        </w:tc>
      </w:tr>
      <w:tr>
        <w:trPr>
          <w:trHeight w:val="304"/>
        </w:trPr>
        <w:tc>
          <w:tcPr>
            <w:tcW w:w="700" w:type="dxa"/>
            <w:vAlign w:val="bottom"/>
          </w:tcPr>
          <w:p>
            <w:pPr>
              <w:spacing w:after="0"/>
              <w:rPr>
                <w:sz w:val="24"/>
                <w:szCs w:val="24"/>
                <w:color w:val="auto"/>
              </w:rPr>
            </w:pPr>
          </w:p>
        </w:tc>
        <w:tc>
          <w:tcPr>
            <w:tcW w:w="8920" w:type="dxa"/>
            <w:vAlign w:val="bottom"/>
          </w:tcPr>
          <w:p>
            <w:pPr>
              <w:jc w:val="center"/>
              <w:ind w:left="1068"/>
              <w:spacing w:after="0"/>
              <w:rPr>
                <w:sz w:val="20"/>
                <w:szCs w:val="20"/>
                <w:color w:val="auto"/>
              </w:rPr>
            </w:pPr>
            <w:r>
              <w:rPr>
                <w:rFonts w:ascii="Arial" w:cs="Arial" w:eastAsia="Arial" w:hAnsi="Arial"/>
                <w:sz w:val="14"/>
                <w:szCs w:val="14"/>
                <w:b w:val="1"/>
                <w:bCs w:val="1"/>
                <w:color w:val="00497F"/>
              </w:rPr>
              <w:t>PART I</w:t>
            </w:r>
          </w:p>
        </w:tc>
        <w:tc>
          <w:tcPr>
            <w:tcW w:w="1420" w:type="dxa"/>
            <w:vAlign w:val="bottom"/>
          </w:tcPr>
          <w:p>
            <w:pPr>
              <w:spacing w:after="0"/>
              <w:rPr>
                <w:sz w:val="24"/>
                <w:szCs w:val="24"/>
                <w:color w:val="auto"/>
              </w:rPr>
            </w:pPr>
          </w:p>
        </w:tc>
      </w:tr>
      <w:tr>
        <w:trPr>
          <w:trHeight w:val="189"/>
        </w:trPr>
        <w:tc>
          <w:tcPr>
            <w:tcW w:w="700" w:type="dxa"/>
            <w:vAlign w:val="bottom"/>
          </w:tcPr>
          <w:p>
            <w:pPr>
              <w:spacing w:after="0"/>
              <w:rPr>
                <w:sz w:val="16"/>
                <w:szCs w:val="16"/>
                <w:color w:val="auto"/>
              </w:rPr>
            </w:pPr>
          </w:p>
        </w:tc>
        <w:tc>
          <w:tcPr>
            <w:tcW w:w="8920" w:type="dxa"/>
            <w:vAlign w:val="bottom"/>
          </w:tcPr>
          <w:p>
            <w:pPr>
              <w:ind w:left="160"/>
              <w:spacing w:after="0"/>
              <w:rPr>
                <w:sz w:val="20"/>
                <w:szCs w:val="20"/>
                <w:color w:val="auto"/>
              </w:rPr>
            </w:pPr>
            <w:r>
              <w:rPr>
                <w:rFonts w:ascii="Arial" w:cs="Arial" w:eastAsia="Arial" w:hAnsi="Arial"/>
                <w:sz w:val="14"/>
                <w:szCs w:val="14"/>
                <w:color w:val="auto"/>
              </w:rPr>
              <w:t>Forward-Looking Statements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4</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1.</w:t>
            </w:r>
          </w:p>
        </w:tc>
        <w:tc>
          <w:tcPr>
            <w:tcW w:w="8920" w:type="dxa"/>
            <w:vAlign w:val="bottom"/>
          </w:tcPr>
          <w:p>
            <w:pPr>
              <w:ind w:left="160"/>
              <w:spacing w:after="0"/>
              <w:rPr>
                <w:sz w:val="20"/>
                <w:szCs w:val="20"/>
                <w:color w:val="auto"/>
              </w:rPr>
            </w:pPr>
            <w:r>
              <w:rPr>
                <w:rFonts w:ascii="Arial" w:cs="Arial" w:eastAsia="Arial" w:hAnsi="Arial"/>
                <w:sz w:val="14"/>
                <w:szCs w:val="14"/>
                <w:color w:val="auto"/>
              </w:rPr>
              <w:t>Business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5</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1A.</w:t>
            </w:r>
          </w:p>
        </w:tc>
        <w:tc>
          <w:tcPr>
            <w:tcW w:w="8920" w:type="dxa"/>
            <w:vAlign w:val="bottom"/>
          </w:tcPr>
          <w:p>
            <w:pPr>
              <w:ind w:left="160"/>
              <w:spacing w:after="0"/>
              <w:rPr>
                <w:sz w:val="20"/>
                <w:szCs w:val="20"/>
                <w:color w:val="auto"/>
              </w:rPr>
            </w:pPr>
            <w:r>
              <w:rPr>
                <w:rFonts w:ascii="Arial" w:cs="Arial" w:eastAsia="Arial" w:hAnsi="Arial"/>
                <w:sz w:val="14"/>
                <w:szCs w:val="14"/>
                <w:color w:val="auto"/>
              </w:rPr>
              <w:t>Risk Factors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12</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1B.</w:t>
            </w:r>
          </w:p>
        </w:tc>
        <w:tc>
          <w:tcPr>
            <w:tcW w:w="8920" w:type="dxa"/>
            <w:vAlign w:val="bottom"/>
          </w:tcPr>
          <w:p>
            <w:pPr>
              <w:ind w:left="160"/>
              <w:spacing w:after="0"/>
              <w:rPr>
                <w:sz w:val="20"/>
                <w:szCs w:val="20"/>
                <w:color w:val="auto"/>
              </w:rPr>
            </w:pPr>
            <w:r>
              <w:rPr>
                <w:rFonts w:ascii="Arial" w:cs="Arial" w:eastAsia="Arial" w:hAnsi="Arial"/>
                <w:sz w:val="14"/>
                <w:szCs w:val="14"/>
                <w:color w:val="auto"/>
              </w:rPr>
              <w:t>Unresolved Staff Comments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33">
              <w:r>
                <w:rPr>
                  <w:rFonts w:ascii="Arial" w:cs="Arial" w:eastAsia="Arial" w:hAnsi="Arial"/>
                  <w:sz w:val="14"/>
                  <w:szCs w:val="14"/>
                  <w:u w:val="single" w:color="auto"/>
                  <w:color w:val="0000FF"/>
                </w:rPr>
                <w:t>33</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2.</w:t>
            </w:r>
          </w:p>
        </w:tc>
        <w:tc>
          <w:tcPr>
            <w:tcW w:w="8920" w:type="dxa"/>
            <w:vAlign w:val="bottom"/>
          </w:tcPr>
          <w:p>
            <w:pPr>
              <w:ind w:left="160"/>
              <w:spacing w:after="0"/>
              <w:rPr>
                <w:sz w:val="20"/>
                <w:szCs w:val="20"/>
                <w:color w:val="auto"/>
              </w:rPr>
            </w:pPr>
            <w:r>
              <w:rPr>
                <w:rFonts w:ascii="Arial" w:cs="Arial" w:eastAsia="Arial" w:hAnsi="Arial"/>
                <w:sz w:val="14"/>
                <w:szCs w:val="14"/>
                <w:color w:val="auto"/>
              </w:rPr>
              <w:t>Properties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33">
              <w:r>
                <w:rPr>
                  <w:rFonts w:ascii="Arial" w:cs="Arial" w:eastAsia="Arial" w:hAnsi="Arial"/>
                  <w:sz w:val="14"/>
                  <w:szCs w:val="14"/>
                  <w:u w:val="single" w:color="auto"/>
                  <w:color w:val="0000FF"/>
                </w:rPr>
                <w:t>34</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3.</w:t>
            </w:r>
          </w:p>
        </w:tc>
        <w:tc>
          <w:tcPr>
            <w:tcW w:w="8920" w:type="dxa"/>
            <w:vAlign w:val="bottom"/>
          </w:tcPr>
          <w:p>
            <w:pPr>
              <w:ind w:left="160"/>
              <w:spacing w:after="0"/>
              <w:rPr>
                <w:sz w:val="20"/>
                <w:szCs w:val="20"/>
                <w:color w:val="auto"/>
              </w:rPr>
            </w:pPr>
            <w:r>
              <w:rPr>
                <w:rFonts w:ascii="Arial" w:cs="Arial" w:eastAsia="Arial" w:hAnsi="Arial"/>
                <w:sz w:val="14"/>
                <w:szCs w:val="14"/>
                <w:color w:val="auto"/>
              </w:rPr>
              <w:t>Legal Proceedings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34">
              <w:r>
                <w:rPr>
                  <w:rFonts w:ascii="Arial" w:cs="Arial" w:eastAsia="Arial" w:hAnsi="Arial"/>
                  <w:sz w:val="14"/>
                  <w:szCs w:val="14"/>
                  <w:u w:val="single" w:color="auto"/>
                  <w:color w:val="0000FF"/>
                </w:rPr>
                <w:t>34</w:t>
              </w:r>
            </w:hyperlink>
          </w:p>
        </w:tc>
      </w:tr>
      <w:tr>
        <w:trPr>
          <w:trHeight w:val="188"/>
        </w:trPr>
        <w:tc>
          <w:tcPr>
            <w:tcW w:w="700" w:type="dxa"/>
            <w:vAlign w:val="bottom"/>
          </w:tcPr>
          <w:p>
            <w:pPr>
              <w:spacing w:after="0"/>
              <w:rPr>
                <w:sz w:val="20"/>
                <w:szCs w:val="20"/>
                <w:color w:val="auto"/>
              </w:rPr>
            </w:pPr>
            <w:r>
              <w:rPr>
                <w:rFonts w:ascii="Arial" w:cs="Arial" w:eastAsia="Arial" w:hAnsi="Arial"/>
                <w:sz w:val="14"/>
                <w:szCs w:val="14"/>
                <w:color w:val="auto"/>
              </w:rPr>
              <w:t>Item 4.</w:t>
            </w:r>
          </w:p>
        </w:tc>
        <w:tc>
          <w:tcPr>
            <w:tcW w:w="8920" w:type="dxa"/>
            <w:vAlign w:val="bottom"/>
          </w:tcPr>
          <w:p>
            <w:pPr>
              <w:ind w:left="160"/>
              <w:spacing w:after="0"/>
              <w:rPr>
                <w:sz w:val="20"/>
                <w:szCs w:val="20"/>
                <w:color w:val="auto"/>
              </w:rPr>
            </w:pPr>
            <w:r>
              <w:rPr>
                <w:rFonts w:ascii="Arial" w:cs="Arial" w:eastAsia="Arial" w:hAnsi="Arial"/>
                <w:sz w:val="14"/>
                <w:szCs w:val="14"/>
                <w:color w:val="auto"/>
              </w:rPr>
              <w:t>Mine Safety Disclosures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34">
              <w:r>
                <w:rPr>
                  <w:rFonts w:ascii="Arial" w:cs="Arial" w:eastAsia="Arial" w:hAnsi="Arial"/>
                  <w:sz w:val="14"/>
                  <w:szCs w:val="14"/>
                  <w:u w:val="single" w:color="auto"/>
                  <w:color w:val="0000FF"/>
                </w:rPr>
                <w:t>34</w:t>
              </w:r>
            </w:hyperlink>
          </w:p>
        </w:tc>
      </w:tr>
      <w:tr>
        <w:trPr>
          <w:trHeight w:val="190"/>
        </w:trPr>
        <w:tc>
          <w:tcPr>
            <w:tcW w:w="700" w:type="dxa"/>
            <w:vAlign w:val="bottom"/>
          </w:tcPr>
          <w:p>
            <w:pPr>
              <w:spacing w:after="0"/>
              <w:rPr>
                <w:sz w:val="16"/>
                <w:szCs w:val="16"/>
                <w:color w:val="auto"/>
              </w:rPr>
            </w:pPr>
          </w:p>
        </w:tc>
        <w:tc>
          <w:tcPr>
            <w:tcW w:w="8920" w:type="dxa"/>
            <w:vAlign w:val="bottom"/>
          </w:tcPr>
          <w:p>
            <w:pPr>
              <w:jc w:val="center"/>
              <w:ind w:left="1068"/>
              <w:spacing w:after="0"/>
              <w:rPr>
                <w:sz w:val="20"/>
                <w:szCs w:val="20"/>
                <w:color w:val="auto"/>
              </w:rPr>
            </w:pPr>
            <w:r>
              <w:rPr>
                <w:rFonts w:ascii="Arial" w:cs="Arial" w:eastAsia="Arial" w:hAnsi="Arial"/>
                <w:sz w:val="14"/>
                <w:szCs w:val="14"/>
                <w:b w:val="1"/>
                <w:bCs w:val="1"/>
                <w:color w:val="00497F"/>
              </w:rPr>
              <w:t>PART II</w:t>
            </w:r>
          </w:p>
        </w:tc>
        <w:tc>
          <w:tcPr>
            <w:tcW w:w="1420" w:type="dxa"/>
            <w:vAlign w:val="bottom"/>
          </w:tcPr>
          <w:p>
            <w:pPr>
              <w:spacing w:after="0"/>
              <w:rPr>
                <w:sz w:val="16"/>
                <w:szCs w:val="16"/>
                <w:color w:val="auto"/>
              </w:rPr>
            </w:pPr>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5.</w:t>
            </w:r>
          </w:p>
        </w:tc>
        <w:tc>
          <w:tcPr>
            <w:tcW w:w="8920" w:type="dxa"/>
            <w:vAlign w:val="bottom"/>
          </w:tcPr>
          <w:p>
            <w:pPr>
              <w:ind w:left="160"/>
              <w:spacing w:after="0"/>
              <w:rPr>
                <w:sz w:val="20"/>
                <w:szCs w:val="20"/>
                <w:color w:val="auto"/>
              </w:rPr>
            </w:pPr>
            <w:r>
              <w:rPr>
                <w:rFonts w:ascii="Arial" w:cs="Arial" w:eastAsia="Arial" w:hAnsi="Arial"/>
                <w:sz w:val="14"/>
                <w:szCs w:val="14"/>
                <w:color w:val="auto"/>
              </w:rPr>
              <w:t>Market for Registrant’s Common Equity, Related Stockholder Matters and Issuer Purchases of Equity Securities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34">
              <w:r>
                <w:rPr>
                  <w:rFonts w:ascii="Arial" w:cs="Arial" w:eastAsia="Arial" w:hAnsi="Arial"/>
                  <w:sz w:val="14"/>
                  <w:szCs w:val="14"/>
                  <w:u w:val="single" w:color="auto"/>
                  <w:color w:val="0000FF"/>
                </w:rPr>
                <w:t>35</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6.</w:t>
            </w:r>
          </w:p>
        </w:tc>
        <w:tc>
          <w:tcPr>
            <w:tcW w:w="8920" w:type="dxa"/>
            <w:vAlign w:val="bottom"/>
          </w:tcPr>
          <w:p>
            <w:pPr>
              <w:ind w:left="160"/>
              <w:spacing w:after="0"/>
              <w:rPr>
                <w:sz w:val="20"/>
                <w:szCs w:val="20"/>
                <w:color w:val="auto"/>
              </w:rPr>
            </w:pPr>
            <w:r>
              <w:rPr>
                <w:rFonts w:ascii="Arial" w:cs="Arial" w:eastAsia="Arial" w:hAnsi="Arial"/>
                <w:sz w:val="14"/>
                <w:szCs w:val="14"/>
                <w:color w:val="auto"/>
              </w:rPr>
              <w:t>Selected Financial Data</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36">
              <w:r>
                <w:rPr>
                  <w:rFonts w:ascii="Arial" w:cs="Arial" w:eastAsia="Arial" w:hAnsi="Arial"/>
                  <w:sz w:val="14"/>
                  <w:szCs w:val="14"/>
                  <w:u w:val="single" w:color="auto"/>
                  <w:color w:val="0000FF"/>
                </w:rPr>
                <w:t>37</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7.</w:t>
            </w:r>
          </w:p>
        </w:tc>
        <w:tc>
          <w:tcPr>
            <w:tcW w:w="8920" w:type="dxa"/>
            <w:vAlign w:val="bottom"/>
          </w:tcPr>
          <w:p>
            <w:pPr>
              <w:ind w:left="16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38</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7A.</w:t>
            </w:r>
          </w:p>
        </w:tc>
        <w:tc>
          <w:tcPr>
            <w:tcW w:w="8920" w:type="dxa"/>
            <w:vAlign w:val="bottom"/>
          </w:tcPr>
          <w:p>
            <w:pPr>
              <w:ind w:left="160"/>
              <w:spacing w:after="0"/>
              <w:rPr>
                <w:sz w:val="20"/>
                <w:szCs w:val="20"/>
                <w:color w:val="auto"/>
              </w:rPr>
            </w:pPr>
            <w:r>
              <w:rPr>
                <w:rFonts w:ascii="Arial" w:cs="Arial" w:eastAsia="Arial" w:hAnsi="Arial"/>
                <w:sz w:val="14"/>
                <w:szCs w:val="14"/>
                <w:color w:val="auto"/>
              </w:rPr>
              <w:t>Quantitative and Qualitative Disclosures About Market Risk</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59">
              <w:r>
                <w:rPr>
                  <w:rFonts w:ascii="Arial" w:cs="Arial" w:eastAsia="Arial" w:hAnsi="Arial"/>
                  <w:sz w:val="14"/>
                  <w:szCs w:val="14"/>
                  <w:u w:val="single" w:color="auto"/>
                  <w:color w:val="0000FF"/>
                </w:rPr>
                <w:t>59</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8.</w:t>
            </w:r>
          </w:p>
        </w:tc>
        <w:tc>
          <w:tcPr>
            <w:tcW w:w="8920" w:type="dxa"/>
            <w:vAlign w:val="bottom"/>
          </w:tcPr>
          <w:p>
            <w:pPr>
              <w:ind w:left="160"/>
              <w:spacing w:after="0"/>
              <w:rPr>
                <w:sz w:val="20"/>
                <w:szCs w:val="20"/>
                <w:color w:val="auto"/>
              </w:rPr>
            </w:pPr>
            <w:r>
              <w:rPr>
                <w:rFonts w:ascii="Arial" w:cs="Arial" w:eastAsia="Arial" w:hAnsi="Arial"/>
                <w:sz w:val="14"/>
                <w:szCs w:val="14"/>
                <w:color w:val="auto"/>
              </w:rPr>
              <w:t>Consolidated Financial Statements of Fortress Transportation and Infrastructure Investors LLC:</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59">
              <w:r>
                <w:rPr>
                  <w:rFonts w:ascii="Arial" w:cs="Arial" w:eastAsia="Arial" w:hAnsi="Arial"/>
                  <w:sz w:val="14"/>
                  <w:szCs w:val="14"/>
                  <w:u w:val="single" w:color="auto"/>
                  <w:color w:val="0000FF"/>
                </w:rPr>
                <w:t>60</w:t>
              </w:r>
            </w:hyperlink>
          </w:p>
        </w:tc>
      </w:tr>
      <w:tr>
        <w:trPr>
          <w:trHeight w:val="189"/>
        </w:trPr>
        <w:tc>
          <w:tcPr>
            <w:tcW w:w="700" w:type="dxa"/>
            <w:vAlign w:val="bottom"/>
          </w:tcPr>
          <w:p>
            <w:pPr>
              <w:spacing w:after="0"/>
              <w:rPr>
                <w:sz w:val="16"/>
                <w:szCs w:val="16"/>
                <w:color w:val="auto"/>
              </w:rPr>
            </w:pPr>
          </w:p>
        </w:tc>
        <w:tc>
          <w:tcPr>
            <w:tcW w:w="8920" w:type="dxa"/>
            <w:vAlign w:val="bottom"/>
          </w:tcPr>
          <w:p>
            <w:pPr>
              <w:ind w:left="160"/>
              <w:spacing w:after="0"/>
              <w:rPr>
                <w:sz w:val="20"/>
                <w:szCs w:val="20"/>
                <w:color w:val="auto"/>
              </w:rPr>
            </w:pPr>
            <w:r>
              <w:rPr>
                <w:rFonts w:ascii="Arial" w:cs="Arial" w:eastAsia="Arial" w:hAnsi="Arial"/>
                <w:sz w:val="14"/>
                <w:szCs w:val="14"/>
                <w:color w:val="auto"/>
              </w:rPr>
              <w:t>Report of Independent Registered Public Accounting Firm</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61</w:t>
              </w:r>
            </w:hyperlink>
          </w:p>
        </w:tc>
      </w:tr>
      <w:tr>
        <w:trPr>
          <w:trHeight w:val="189"/>
        </w:trPr>
        <w:tc>
          <w:tcPr>
            <w:tcW w:w="700" w:type="dxa"/>
            <w:vAlign w:val="bottom"/>
          </w:tcPr>
          <w:p>
            <w:pPr>
              <w:spacing w:after="0"/>
              <w:rPr>
                <w:sz w:val="16"/>
                <w:szCs w:val="16"/>
                <w:color w:val="auto"/>
              </w:rPr>
            </w:pPr>
          </w:p>
        </w:tc>
        <w:tc>
          <w:tcPr>
            <w:tcW w:w="8920" w:type="dxa"/>
            <w:vAlign w:val="bottom"/>
          </w:tcPr>
          <w:p>
            <w:pPr>
              <w:ind w:left="160"/>
              <w:spacing w:after="0"/>
              <w:rPr>
                <w:sz w:val="20"/>
                <w:szCs w:val="20"/>
                <w:color w:val="auto"/>
              </w:rPr>
            </w:pPr>
            <w:r>
              <w:rPr>
                <w:rFonts w:ascii="Arial" w:cs="Arial" w:eastAsia="Arial" w:hAnsi="Arial"/>
                <w:sz w:val="14"/>
                <w:szCs w:val="14"/>
                <w:color w:val="auto"/>
              </w:rPr>
              <w:t>Consolidated Balance Sheets as of December 31, 2020 and 2019</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63</w:t>
              </w:r>
            </w:hyperlink>
          </w:p>
        </w:tc>
      </w:tr>
      <w:tr>
        <w:trPr>
          <w:trHeight w:val="189"/>
        </w:trPr>
        <w:tc>
          <w:tcPr>
            <w:tcW w:w="700" w:type="dxa"/>
            <w:vAlign w:val="bottom"/>
          </w:tcPr>
          <w:p>
            <w:pPr>
              <w:spacing w:after="0"/>
              <w:rPr>
                <w:sz w:val="16"/>
                <w:szCs w:val="16"/>
                <w:color w:val="auto"/>
              </w:rPr>
            </w:pPr>
          </w:p>
        </w:tc>
        <w:tc>
          <w:tcPr>
            <w:tcW w:w="8920" w:type="dxa"/>
            <w:vAlign w:val="bottom"/>
          </w:tcPr>
          <w:p>
            <w:pPr>
              <w:ind w:left="160"/>
              <w:spacing w:after="0"/>
              <w:rPr>
                <w:sz w:val="20"/>
                <w:szCs w:val="20"/>
                <w:color w:val="auto"/>
              </w:rPr>
            </w:pPr>
            <w:r>
              <w:rPr>
                <w:rFonts w:ascii="Arial" w:cs="Arial" w:eastAsia="Arial" w:hAnsi="Arial"/>
                <w:sz w:val="14"/>
                <w:szCs w:val="14"/>
                <w:color w:val="auto"/>
              </w:rPr>
              <w:t>Consolidated Statements of Operations for the years ended December 31, 2020, 2019 and 2018</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64</w:t>
              </w:r>
            </w:hyperlink>
          </w:p>
        </w:tc>
      </w:tr>
      <w:tr>
        <w:trPr>
          <w:trHeight w:val="189"/>
        </w:trPr>
        <w:tc>
          <w:tcPr>
            <w:tcW w:w="700" w:type="dxa"/>
            <w:vAlign w:val="bottom"/>
          </w:tcPr>
          <w:p>
            <w:pPr>
              <w:spacing w:after="0"/>
              <w:rPr>
                <w:sz w:val="16"/>
                <w:szCs w:val="16"/>
                <w:color w:val="auto"/>
              </w:rPr>
            </w:pPr>
          </w:p>
        </w:tc>
        <w:tc>
          <w:tcPr>
            <w:tcW w:w="8920" w:type="dxa"/>
            <w:vAlign w:val="bottom"/>
          </w:tcPr>
          <w:p>
            <w:pPr>
              <w:ind w:left="160"/>
              <w:spacing w:after="0"/>
              <w:rPr>
                <w:sz w:val="20"/>
                <w:szCs w:val="20"/>
                <w:color w:val="auto"/>
              </w:rPr>
            </w:pPr>
            <w:r>
              <w:rPr>
                <w:rFonts w:ascii="Arial" w:cs="Arial" w:eastAsia="Arial" w:hAnsi="Arial"/>
                <w:sz w:val="14"/>
                <w:szCs w:val="14"/>
                <w:color w:val="auto"/>
              </w:rPr>
              <w:t>Consolidated Statements of Comprehensive (Loss) Income for the years ended December 31, 2020, 2019 and 2018</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65</w:t>
              </w:r>
            </w:hyperlink>
          </w:p>
        </w:tc>
      </w:tr>
      <w:tr>
        <w:trPr>
          <w:trHeight w:val="189"/>
        </w:trPr>
        <w:tc>
          <w:tcPr>
            <w:tcW w:w="700" w:type="dxa"/>
            <w:vAlign w:val="bottom"/>
          </w:tcPr>
          <w:p>
            <w:pPr>
              <w:spacing w:after="0"/>
              <w:rPr>
                <w:sz w:val="16"/>
                <w:szCs w:val="16"/>
                <w:color w:val="auto"/>
              </w:rPr>
            </w:pPr>
          </w:p>
        </w:tc>
        <w:tc>
          <w:tcPr>
            <w:tcW w:w="8920" w:type="dxa"/>
            <w:vAlign w:val="bottom"/>
          </w:tcPr>
          <w:p>
            <w:pPr>
              <w:ind w:left="160"/>
              <w:spacing w:after="0"/>
              <w:rPr>
                <w:sz w:val="20"/>
                <w:szCs w:val="20"/>
                <w:color w:val="auto"/>
              </w:rPr>
            </w:pPr>
            <w:r>
              <w:rPr>
                <w:rFonts w:ascii="Arial" w:cs="Arial" w:eastAsia="Arial" w:hAnsi="Arial"/>
                <w:sz w:val="14"/>
                <w:szCs w:val="14"/>
                <w:color w:val="auto"/>
              </w:rPr>
              <w:t>Consolidated Statement of Changes in Equity for the years ended December 31, 2020, 2019 and 2018</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66">
              <w:r>
                <w:rPr>
                  <w:rFonts w:ascii="Arial" w:cs="Arial" w:eastAsia="Arial" w:hAnsi="Arial"/>
                  <w:sz w:val="14"/>
                  <w:szCs w:val="14"/>
                  <w:u w:val="single" w:color="auto"/>
                  <w:color w:val="0000FF"/>
                </w:rPr>
                <w:t>66</w:t>
              </w:r>
            </w:hyperlink>
          </w:p>
        </w:tc>
      </w:tr>
      <w:tr>
        <w:trPr>
          <w:trHeight w:val="189"/>
        </w:trPr>
        <w:tc>
          <w:tcPr>
            <w:tcW w:w="700" w:type="dxa"/>
            <w:vAlign w:val="bottom"/>
          </w:tcPr>
          <w:p>
            <w:pPr>
              <w:spacing w:after="0"/>
              <w:rPr>
                <w:sz w:val="16"/>
                <w:szCs w:val="16"/>
                <w:color w:val="auto"/>
              </w:rPr>
            </w:pPr>
          </w:p>
        </w:tc>
        <w:tc>
          <w:tcPr>
            <w:tcW w:w="8920" w:type="dxa"/>
            <w:vAlign w:val="bottom"/>
          </w:tcPr>
          <w:p>
            <w:pPr>
              <w:ind w:left="160"/>
              <w:spacing w:after="0"/>
              <w:rPr>
                <w:sz w:val="20"/>
                <w:szCs w:val="20"/>
                <w:color w:val="auto"/>
              </w:rPr>
            </w:pPr>
            <w:r>
              <w:rPr>
                <w:rFonts w:ascii="Arial" w:cs="Arial" w:eastAsia="Arial" w:hAnsi="Arial"/>
                <w:sz w:val="14"/>
                <w:szCs w:val="14"/>
                <w:color w:val="auto"/>
              </w:rPr>
              <w:t>Consolidated Statements of Cash Flows for the years ended December 31, 2020, 2019 and 2018</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67">
              <w:r>
                <w:rPr>
                  <w:rFonts w:ascii="Arial" w:cs="Arial" w:eastAsia="Arial" w:hAnsi="Arial"/>
                  <w:sz w:val="14"/>
                  <w:szCs w:val="14"/>
                  <w:u w:val="single" w:color="auto"/>
                  <w:color w:val="0000FF"/>
                </w:rPr>
                <w:t>67</w:t>
              </w:r>
            </w:hyperlink>
          </w:p>
        </w:tc>
      </w:tr>
      <w:tr>
        <w:trPr>
          <w:trHeight w:val="189"/>
        </w:trPr>
        <w:tc>
          <w:tcPr>
            <w:tcW w:w="700" w:type="dxa"/>
            <w:vAlign w:val="bottom"/>
          </w:tcPr>
          <w:p>
            <w:pPr>
              <w:spacing w:after="0"/>
              <w:rPr>
                <w:sz w:val="16"/>
                <w:szCs w:val="16"/>
                <w:color w:val="auto"/>
              </w:rPr>
            </w:pPr>
          </w:p>
        </w:tc>
        <w:tc>
          <w:tcPr>
            <w:tcW w:w="8920" w:type="dxa"/>
            <w:vAlign w:val="bottom"/>
          </w:tcPr>
          <w:p>
            <w:pPr>
              <w:ind w:left="160"/>
              <w:spacing w:after="0"/>
              <w:rPr>
                <w:sz w:val="20"/>
                <w:szCs w:val="20"/>
                <w:color w:val="auto"/>
              </w:rPr>
            </w:pPr>
            <w:r>
              <w:rPr>
                <w:rFonts w:ascii="Arial" w:cs="Arial" w:eastAsia="Arial" w:hAnsi="Arial"/>
                <w:sz w:val="14"/>
                <w:szCs w:val="14"/>
                <w:color w:val="auto"/>
              </w:rPr>
              <w:t>Notes to Consolidated Financial Statements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69</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1: Organization</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70">
              <w:r>
                <w:rPr>
                  <w:rFonts w:ascii="Arial" w:cs="Arial" w:eastAsia="Arial" w:hAnsi="Arial"/>
                  <w:sz w:val="14"/>
                  <w:szCs w:val="14"/>
                  <w:u w:val="single" w:color="auto"/>
                  <w:color w:val="0000FF"/>
                </w:rPr>
                <w:t>69</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2: Summary of Significant Accounting Policies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70">
              <w:r>
                <w:rPr>
                  <w:rFonts w:ascii="Arial" w:cs="Arial" w:eastAsia="Arial" w:hAnsi="Arial"/>
                  <w:sz w:val="14"/>
                  <w:szCs w:val="14"/>
                  <w:u w:val="single" w:color="auto"/>
                  <w:color w:val="0000FF"/>
                </w:rPr>
                <w:t>69</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3: Discontinued Operations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77">
              <w:r>
                <w:rPr>
                  <w:rFonts w:ascii="Arial" w:cs="Arial" w:eastAsia="Arial" w:hAnsi="Arial"/>
                  <w:sz w:val="14"/>
                  <w:szCs w:val="14"/>
                  <w:u w:val="single" w:color="auto"/>
                  <w:color w:val="0000FF"/>
                </w:rPr>
                <w:t>76</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4: Leasing Equipment, net</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78">
              <w:r>
                <w:rPr>
                  <w:rFonts w:ascii="Arial" w:cs="Arial" w:eastAsia="Arial" w:hAnsi="Arial"/>
                  <w:sz w:val="14"/>
                  <w:szCs w:val="14"/>
                  <w:u w:val="single" w:color="auto"/>
                  <w:color w:val="0000FF"/>
                </w:rPr>
                <w:t>77</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5: Finance Leases, net</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79">
              <w:r>
                <w:rPr>
                  <w:rFonts w:ascii="Arial" w:cs="Arial" w:eastAsia="Arial" w:hAnsi="Arial"/>
                  <w:sz w:val="14"/>
                  <w:szCs w:val="14"/>
                  <w:u w:val="single" w:color="auto"/>
                  <w:color w:val="0000FF"/>
                </w:rPr>
                <w:t>78</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6: Property, Plant and Equipment, net</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79">
              <w:r>
                <w:rPr>
                  <w:rFonts w:ascii="Arial" w:cs="Arial" w:eastAsia="Arial" w:hAnsi="Arial"/>
                  <w:sz w:val="14"/>
                  <w:szCs w:val="14"/>
                  <w:u w:val="single" w:color="auto"/>
                  <w:color w:val="0000FF"/>
                </w:rPr>
                <w:t>79</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7: Investments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80">
              <w:r>
                <w:rPr>
                  <w:rFonts w:ascii="Arial" w:cs="Arial" w:eastAsia="Arial" w:hAnsi="Arial"/>
                  <w:sz w:val="14"/>
                  <w:szCs w:val="14"/>
                  <w:u w:val="single" w:color="auto"/>
                  <w:color w:val="0000FF"/>
                </w:rPr>
                <w:t>79</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8: Intangible Assets and Liabilities, net</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82</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9: Debt, net</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84">
              <w:r>
                <w:rPr>
                  <w:rFonts w:ascii="Arial" w:cs="Arial" w:eastAsia="Arial" w:hAnsi="Arial"/>
                  <w:sz w:val="14"/>
                  <w:szCs w:val="14"/>
                  <w:u w:val="single" w:color="auto"/>
                  <w:color w:val="0000FF"/>
                </w:rPr>
                <w:t>83</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10: Fair Value Measurements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85">
              <w:r>
                <w:rPr>
                  <w:rFonts w:ascii="Arial" w:cs="Arial" w:eastAsia="Arial" w:hAnsi="Arial"/>
                  <w:sz w:val="14"/>
                  <w:szCs w:val="14"/>
                  <w:u w:val="single" w:color="auto"/>
                  <w:color w:val="0000FF"/>
                </w:rPr>
                <w:t>85</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11: Derivative Financial Instruments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87">
              <w:r>
                <w:rPr>
                  <w:rFonts w:ascii="Arial" w:cs="Arial" w:eastAsia="Arial" w:hAnsi="Arial"/>
                  <w:sz w:val="14"/>
                  <w:szCs w:val="14"/>
                  <w:u w:val="single" w:color="auto"/>
                  <w:color w:val="0000FF"/>
                </w:rPr>
                <w:t>86</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12: Revenues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87">
              <w:r>
                <w:rPr>
                  <w:rFonts w:ascii="Arial" w:cs="Arial" w:eastAsia="Arial" w:hAnsi="Arial"/>
                  <w:sz w:val="14"/>
                  <w:szCs w:val="14"/>
                  <w:u w:val="single" w:color="auto"/>
                  <w:color w:val="0000FF"/>
                </w:rPr>
                <w:t>87</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13: Leases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89">
              <w:r>
                <w:rPr>
                  <w:rFonts w:ascii="Arial" w:cs="Arial" w:eastAsia="Arial" w:hAnsi="Arial"/>
                  <w:sz w:val="14"/>
                  <w:szCs w:val="14"/>
                  <w:u w:val="single" w:color="auto"/>
                  <w:color w:val="0000FF"/>
                </w:rPr>
                <w:t>88</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14: Equity-Based Compensation</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90">
              <w:r>
                <w:rPr>
                  <w:rFonts w:ascii="Arial" w:cs="Arial" w:eastAsia="Arial" w:hAnsi="Arial"/>
                  <w:sz w:val="14"/>
                  <w:szCs w:val="14"/>
                  <w:u w:val="single" w:color="auto"/>
                  <w:color w:val="0000FF"/>
                </w:rPr>
                <w:t>89</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15: Income Taxes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92">
              <w:r>
                <w:rPr>
                  <w:rFonts w:ascii="Arial" w:cs="Arial" w:eastAsia="Arial" w:hAnsi="Arial"/>
                  <w:sz w:val="14"/>
                  <w:szCs w:val="14"/>
                  <w:u w:val="single" w:color="auto"/>
                  <w:color w:val="0000FF"/>
                </w:rPr>
                <w:t>91</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16: Management Agreement and Affiliate Transactions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93">
              <w:r>
                <w:rPr>
                  <w:rFonts w:ascii="Arial" w:cs="Arial" w:eastAsia="Arial" w:hAnsi="Arial"/>
                  <w:sz w:val="14"/>
                  <w:szCs w:val="14"/>
                  <w:u w:val="single" w:color="auto"/>
                  <w:color w:val="0000FF"/>
                </w:rPr>
                <w:t>93</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17: Segment Information</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96">
              <w:r>
                <w:rPr>
                  <w:rFonts w:ascii="Arial" w:cs="Arial" w:eastAsia="Arial" w:hAnsi="Arial"/>
                  <w:sz w:val="14"/>
                  <w:szCs w:val="14"/>
                  <w:u w:val="single" w:color="auto"/>
                  <w:color w:val="0000FF"/>
                </w:rPr>
                <w:t>95</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18: Earnings per Share and Equity</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05">
              <w:r>
                <w:rPr>
                  <w:rFonts w:ascii="Arial" w:cs="Arial" w:eastAsia="Arial" w:hAnsi="Arial"/>
                  <w:sz w:val="14"/>
                  <w:szCs w:val="14"/>
                  <w:u w:val="single" w:color="auto"/>
                  <w:color w:val="0000FF"/>
                </w:rPr>
                <w:t>104</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19: Commitments and Contingencies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06">
              <w:r>
                <w:rPr>
                  <w:rFonts w:ascii="Arial" w:cs="Arial" w:eastAsia="Arial" w:hAnsi="Arial"/>
                  <w:sz w:val="14"/>
                  <w:szCs w:val="14"/>
                  <w:u w:val="single" w:color="auto"/>
                  <w:color w:val="0000FF"/>
                </w:rPr>
                <w:t>105</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20: Quarterly Financial Information (Unaudited)</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07">
              <w:r>
                <w:rPr>
                  <w:rFonts w:ascii="Arial" w:cs="Arial" w:eastAsia="Arial" w:hAnsi="Arial"/>
                  <w:sz w:val="14"/>
                  <w:szCs w:val="14"/>
                  <w:u w:val="single" w:color="auto"/>
                  <w:color w:val="0000FF"/>
                </w:rPr>
                <w:t>106</w:t>
              </w:r>
            </w:hyperlink>
          </w:p>
        </w:tc>
      </w:tr>
      <w:tr>
        <w:trPr>
          <w:trHeight w:val="189"/>
        </w:trPr>
        <w:tc>
          <w:tcPr>
            <w:tcW w:w="700" w:type="dxa"/>
            <w:vAlign w:val="bottom"/>
          </w:tcPr>
          <w:p>
            <w:pPr>
              <w:spacing w:after="0"/>
              <w:rPr>
                <w:sz w:val="16"/>
                <w:szCs w:val="16"/>
                <w:color w:val="auto"/>
              </w:rPr>
            </w:pPr>
          </w:p>
        </w:tc>
        <w:tc>
          <w:tcPr>
            <w:tcW w:w="8920" w:type="dxa"/>
            <w:vAlign w:val="bottom"/>
          </w:tcPr>
          <w:p>
            <w:pPr>
              <w:ind w:left="380"/>
              <w:spacing w:after="0"/>
              <w:rPr>
                <w:sz w:val="20"/>
                <w:szCs w:val="20"/>
                <w:color w:val="auto"/>
              </w:rPr>
            </w:pPr>
            <w:r>
              <w:rPr>
                <w:rFonts w:ascii="Arial" w:cs="Arial" w:eastAsia="Arial" w:hAnsi="Arial"/>
                <w:sz w:val="14"/>
                <w:szCs w:val="14"/>
                <w:color w:val="auto"/>
              </w:rPr>
              <w:t>Note 21: Subsequent Events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08">
              <w:r>
                <w:rPr>
                  <w:rFonts w:ascii="Arial" w:cs="Arial" w:eastAsia="Arial" w:hAnsi="Arial"/>
                  <w:sz w:val="14"/>
                  <w:szCs w:val="14"/>
                  <w:u w:val="single" w:color="auto"/>
                  <w:color w:val="0000FF"/>
                </w:rPr>
                <w:t>107</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9.</w:t>
            </w:r>
          </w:p>
        </w:tc>
        <w:tc>
          <w:tcPr>
            <w:tcW w:w="8920" w:type="dxa"/>
            <w:vAlign w:val="bottom"/>
          </w:tcPr>
          <w:p>
            <w:pPr>
              <w:ind w:left="160"/>
              <w:spacing w:after="0"/>
              <w:rPr>
                <w:sz w:val="20"/>
                <w:szCs w:val="20"/>
                <w:color w:val="auto"/>
              </w:rPr>
            </w:pPr>
            <w:r>
              <w:rPr>
                <w:rFonts w:ascii="Arial" w:cs="Arial" w:eastAsia="Arial" w:hAnsi="Arial"/>
                <w:sz w:val="14"/>
                <w:szCs w:val="14"/>
                <w:color w:val="auto"/>
              </w:rPr>
              <w:t>Changes in and Disagreements with Accountants on Accounting and Financial Disclosure</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08">
              <w:r>
                <w:rPr>
                  <w:rFonts w:ascii="Arial" w:cs="Arial" w:eastAsia="Arial" w:hAnsi="Arial"/>
                  <w:sz w:val="14"/>
                  <w:szCs w:val="14"/>
                  <w:u w:val="single" w:color="auto"/>
                  <w:color w:val="0000FF"/>
                </w:rPr>
                <w:t>108</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9A.</w:t>
            </w:r>
          </w:p>
        </w:tc>
        <w:tc>
          <w:tcPr>
            <w:tcW w:w="8920" w:type="dxa"/>
            <w:vAlign w:val="bottom"/>
          </w:tcPr>
          <w:p>
            <w:pPr>
              <w:ind w:left="160"/>
              <w:spacing w:after="0"/>
              <w:rPr>
                <w:sz w:val="20"/>
                <w:szCs w:val="20"/>
                <w:color w:val="auto"/>
              </w:rPr>
            </w:pPr>
            <w:r>
              <w:rPr>
                <w:rFonts w:ascii="Arial" w:cs="Arial" w:eastAsia="Arial" w:hAnsi="Arial"/>
                <w:sz w:val="14"/>
                <w:szCs w:val="14"/>
                <w:color w:val="auto"/>
              </w:rPr>
              <w:t>Controls and Procedures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108</w:t>
              </w:r>
            </w:hyperlink>
          </w:p>
        </w:tc>
      </w:tr>
      <w:tr>
        <w:trPr>
          <w:trHeight w:val="188"/>
        </w:trPr>
        <w:tc>
          <w:tcPr>
            <w:tcW w:w="700" w:type="dxa"/>
            <w:vAlign w:val="bottom"/>
          </w:tcPr>
          <w:p>
            <w:pPr>
              <w:spacing w:after="0"/>
              <w:rPr>
                <w:sz w:val="20"/>
                <w:szCs w:val="20"/>
                <w:color w:val="auto"/>
              </w:rPr>
            </w:pPr>
            <w:r>
              <w:rPr>
                <w:rFonts w:ascii="Arial" w:cs="Arial" w:eastAsia="Arial" w:hAnsi="Arial"/>
                <w:sz w:val="14"/>
                <w:szCs w:val="14"/>
                <w:color w:val="auto"/>
              </w:rPr>
              <w:t>Item 9B.</w:t>
            </w:r>
          </w:p>
        </w:tc>
        <w:tc>
          <w:tcPr>
            <w:tcW w:w="8920" w:type="dxa"/>
            <w:vAlign w:val="bottom"/>
          </w:tcPr>
          <w:p>
            <w:pPr>
              <w:ind w:left="160"/>
              <w:spacing w:after="0"/>
              <w:rPr>
                <w:sz w:val="20"/>
                <w:szCs w:val="20"/>
                <w:color w:val="auto"/>
              </w:rPr>
            </w:pPr>
            <w:r>
              <w:rPr>
                <w:rFonts w:ascii="Arial" w:cs="Arial" w:eastAsia="Arial" w:hAnsi="Arial"/>
                <w:sz w:val="14"/>
                <w:szCs w:val="14"/>
                <w:color w:val="auto"/>
              </w:rPr>
              <w:t>Other Information</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10">
              <w:r>
                <w:rPr>
                  <w:rFonts w:ascii="Arial" w:cs="Arial" w:eastAsia="Arial" w:hAnsi="Arial"/>
                  <w:sz w:val="14"/>
                  <w:szCs w:val="14"/>
                  <w:u w:val="single" w:color="auto"/>
                  <w:color w:val="0000FF"/>
                </w:rPr>
                <w:t>109</w:t>
              </w:r>
            </w:hyperlink>
          </w:p>
        </w:tc>
      </w:tr>
      <w:tr>
        <w:trPr>
          <w:trHeight w:val="190"/>
        </w:trPr>
        <w:tc>
          <w:tcPr>
            <w:tcW w:w="700" w:type="dxa"/>
            <w:vAlign w:val="bottom"/>
          </w:tcPr>
          <w:p>
            <w:pPr>
              <w:spacing w:after="0"/>
              <w:rPr>
                <w:sz w:val="16"/>
                <w:szCs w:val="16"/>
                <w:color w:val="auto"/>
              </w:rPr>
            </w:pPr>
          </w:p>
        </w:tc>
        <w:tc>
          <w:tcPr>
            <w:tcW w:w="8920" w:type="dxa"/>
            <w:vAlign w:val="bottom"/>
          </w:tcPr>
          <w:p>
            <w:pPr>
              <w:jc w:val="center"/>
              <w:ind w:left="1068"/>
              <w:spacing w:after="0"/>
              <w:rPr>
                <w:sz w:val="20"/>
                <w:szCs w:val="20"/>
                <w:color w:val="auto"/>
              </w:rPr>
            </w:pPr>
            <w:r>
              <w:rPr>
                <w:rFonts w:ascii="Arial" w:cs="Arial" w:eastAsia="Arial" w:hAnsi="Arial"/>
                <w:sz w:val="14"/>
                <w:szCs w:val="14"/>
                <w:b w:val="1"/>
                <w:bCs w:val="1"/>
                <w:color w:val="00497F"/>
              </w:rPr>
              <w:t>PART III</w:t>
            </w:r>
          </w:p>
        </w:tc>
        <w:tc>
          <w:tcPr>
            <w:tcW w:w="1420" w:type="dxa"/>
            <w:vAlign w:val="bottom"/>
          </w:tcPr>
          <w:p>
            <w:pPr>
              <w:spacing w:after="0"/>
              <w:rPr>
                <w:sz w:val="16"/>
                <w:szCs w:val="16"/>
                <w:color w:val="auto"/>
              </w:rPr>
            </w:pPr>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10.</w:t>
            </w:r>
          </w:p>
        </w:tc>
        <w:tc>
          <w:tcPr>
            <w:tcW w:w="8920" w:type="dxa"/>
            <w:vAlign w:val="bottom"/>
          </w:tcPr>
          <w:p>
            <w:pPr>
              <w:ind w:left="160"/>
              <w:spacing w:after="0"/>
              <w:rPr>
                <w:sz w:val="20"/>
                <w:szCs w:val="20"/>
                <w:color w:val="auto"/>
              </w:rPr>
            </w:pPr>
            <w:r>
              <w:rPr>
                <w:rFonts w:ascii="Arial" w:cs="Arial" w:eastAsia="Arial" w:hAnsi="Arial"/>
                <w:sz w:val="14"/>
                <w:szCs w:val="14"/>
                <w:color w:val="auto"/>
              </w:rPr>
              <w:t>Directors, Executive Officers and Corporate Governance</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11">
              <w:r>
                <w:rPr>
                  <w:rFonts w:ascii="Arial" w:cs="Arial" w:eastAsia="Arial" w:hAnsi="Arial"/>
                  <w:sz w:val="14"/>
                  <w:szCs w:val="14"/>
                  <w:u w:val="single" w:color="auto"/>
                  <w:color w:val="0000FF"/>
                </w:rPr>
                <w:t>110</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11.</w:t>
            </w:r>
          </w:p>
        </w:tc>
        <w:tc>
          <w:tcPr>
            <w:tcW w:w="8920" w:type="dxa"/>
            <w:vAlign w:val="bottom"/>
          </w:tcPr>
          <w:p>
            <w:pPr>
              <w:ind w:left="160"/>
              <w:spacing w:after="0"/>
              <w:rPr>
                <w:sz w:val="20"/>
                <w:szCs w:val="20"/>
                <w:color w:val="auto"/>
              </w:rPr>
            </w:pPr>
            <w:r>
              <w:rPr>
                <w:rFonts w:ascii="Arial" w:cs="Arial" w:eastAsia="Arial" w:hAnsi="Arial"/>
                <w:sz w:val="14"/>
                <w:szCs w:val="14"/>
                <w:color w:val="auto"/>
              </w:rPr>
              <w:t>Executive Compensation</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11">
              <w:r>
                <w:rPr>
                  <w:rFonts w:ascii="Arial" w:cs="Arial" w:eastAsia="Arial" w:hAnsi="Arial"/>
                  <w:sz w:val="14"/>
                  <w:szCs w:val="14"/>
                  <w:u w:val="single" w:color="auto"/>
                  <w:color w:val="0000FF"/>
                </w:rPr>
                <w:t>110</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12.</w:t>
            </w:r>
          </w:p>
        </w:tc>
        <w:tc>
          <w:tcPr>
            <w:tcW w:w="8920" w:type="dxa"/>
            <w:vAlign w:val="bottom"/>
          </w:tcPr>
          <w:p>
            <w:pPr>
              <w:ind w:left="160"/>
              <w:spacing w:after="0"/>
              <w:rPr>
                <w:sz w:val="20"/>
                <w:szCs w:val="20"/>
                <w:color w:val="auto"/>
              </w:rPr>
            </w:pPr>
            <w:r>
              <w:rPr>
                <w:rFonts w:ascii="Arial" w:cs="Arial" w:eastAsia="Arial" w:hAnsi="Arial"/>
                <w:sz w:val="14"/>
                <w:szCs w:val="14"/>
                <w:color w:val="auto"/>
              </w:rPr>
              <w:t>Security Ownership of Certain Beneficial Owners and Management and Related Stockholder Matters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11">
              <w:r>
                <w:rPr>
                  <w:rFonts w:ascii="Arial" w:cs="Arial" w:eastAsia="Arial" w:hAnsi="Arial"/>
                  <w:sz w:val="14"/>
                  <w:szCs w:val="14"/>
                  <w:u w:val="single" w:color="auto"/>
                  <w:color w:val="0000FF"/>
                </w:rPr>
                <w:t>110</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13.</w:t>
            </w:r>
          </w:p>
        </w:tc>
        <w:tc>
          <w:tcPr>
            <w:tcW w:w="8920" w:type="dxa"/>
            <w:vAlign w:val="bottom"/>
          </w:tcPr>
          <w:p>
            <w:pPr>
              <w:ind w:left="160"/>
              <w:spacing w:after="0"/>
              <w:rPr>
                <w:sz w:val="20"/>
                <w:szCs w:val="20"/>
                <w:color w:val="auto"/>
              </w:rPr>
            </w:pPr>
            <w:r>
              <w:rPr>
                <w:rFonts w:ascii="Arial" w:cs="Arial" w:eastAsia="Arial" w:hAnsi="Arial"/>
                <w:sz w:val="14"/>
                <w:szCs w:val="14"/>
                <w:color w:val="auto"/>
              </w:rPr>
              <w:t>Certain Relationships and Related Transactions, and Director Independence</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11">
              <w:r>
                <w:rPr>
                  <w:rFonts w:ascii="Arial" w:cs="Arial" w:eastAsia="Arial" w:hAnsi="Arial"/>
                  <w:sz w:val="14"/>
                  <w:szCs w:val="14"/>
                  <w:u w:val="single" w:color="auto"/>
                  <w:color w:val="0000FF"/>
                </w:rPr>
                <w:t>110</w:t>
              </w:r>
            </w:hyperlink>
          </w:p>
        </w:tc>
      </w:tr>
      <w:tr>
        <w:trPr>
          <w:trHeight w:val="188"/>
        </w:trPr>
        <w:tc>
          <w:tcPr>
            <w:tcW w:w="700" w:type="dxa"/>
            <w:vAlign w:val="bottom"/>
          </w:tcPr>
          <w:p>
            <w:pPr>
              <w:spacing w:after="0"/>
              <w:rPr>
                <w:sz w:val="20"/>
                <w:szCs w:val="20"/>
                <w:color w:val="auto"/>
              </w:rPr>
            </w:pPr>
            <w:r>
              <w:rPr>
                <w:rFonts w:ascii="Arial" w:cs="Arial" w:eastAsia="Arial" w:hAnsi="Arial"/>
                <w:sz w:val="14"/>
                <w:szCs w:val="14"/>
                <w:color w:val="auto"/>
              </w:rPr>
              <w:t>Item 14.</w:t>
            </w:r>
          </w:p>
        </w:tc>
        <w:tc>
          <w:tcPr>
            <w:tcW w:w="8920" w:type="dxa"/>
            <w:vAlign w:val="bottom"/>
          </w:tcPr>
          <w:p>
            <w:pPr>
              <w:ind w:left="160"/>
              <w:spacing w:after="0"/>
              <w:rPr>
                <w:sz w:val="20"/>
                <w:szCs w:val="20"/>
                <w:color w:val="auto"/>
              </w:rPr>
            </w:pPr>
            <w:r>
              <w:rPr>
                <w:rFonts w:ascii="Arial" w:cs="Arial" w:eastAsia="Arial" w:hAnsi="Arial"/>
                <w:sz w:val="14"/>
                <w:szCs w:val="14"/>
                <w:color w:val="auto"/>
              </w:rPr>
              <w:t>Principal Accountant Fees and Services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11">
              <w:r>
                <w:rPr>
                  <w:rFonts w:ascii="Arial" w:cs="Arial" w:eastAsia="Arial" w:hAnsi="Arial"/>
                  <w:sz w:val="14"/>
                  <w:szCs w:val="14"/>
                  <w:u w:val="single" w:color="auto"/>
                  <w:color w:val="0000FF"/>
                </w:rPr>
                <w:t>110</w:t>
              </w:r>
            </w:hyperlink>
          </w:p>
        </w:tc>
      </w:tr>
      <w:tr>
        <w:trPr>
          <w:trHeight w:val="190"/>
        </w:trPr>
        <w:tc>
          <w:tcPr>
            <w:tcW w:w="700" w:type="dxa"/>
            <w:vAlign w:val="bottom"/>
          </w:tcPr>
          <w:p>
            <w:pPr>
              <w:spacing w:after="0"/>
              <w:rPr>
                <w:sz w:val="16"/>
                <w:szCs w:val="16"/>
                <w:color w:val="auto"/>
              </w:rPr>
            </w:pPr>
          </w:p>
        </w:tc>
        <w:tc>
          <w:tcPr>
            <w:tcW w:w="8920" w:type="dxa"/>
            <w:vAlign w:val="bottom"/>
          </w:tcPr>
          <w:p>
            <w:pPr>
              <w:jc w:val="center"/>
              <w:ind w:left="1088"/>
              <w:spacing w:after="0"/>
              <w:rPr>
                <w:sz w:val="20"/>
                <w:szCs w:val="20"/>
                <w:color w:val="auto"/>
              </w:rPr>
            </w:pPr>
            <w:r>
              <w:rPr>
                <w:rFonts w:ascii="Arial" w:cs="Arial" w:eastAsia="Arial" w:hAnsi="Arial"/>
                <w:sz w:val="14"/>
                <w:szCs w:val="14"/>
                <w:b w:val="1"/>
                <w:bCs w:val="1"/>
                <w:color w:val="00497F"/>
              </w:rPr>
              <w:t>PART IV</w:t>
            </w:r>
          </w:p>
        </w:tc>
        <w:tc>
          <w:tcPr>
            <w:tcW w:w="1420" w:type="dxa"/>
            <w:vAlign w:val="bottom"/>
          </w:tcPr>
          <w:p>
            <w:pPr>
              <w:spacing w:after="0"/>
              <w:rPr>
                <w:sz w:val="16"/>
                <w:szCs w:val="16"/>
                <w:color w:val="auto"/>
              </w:rPr>
            </w:pPr>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15.</w:t>
            </w:r>
          </w:p>
        </w:tc>
        <w:tc>
          <w:tcPr>
            <w:tcW w:w="8920" w:type="dxa"/>
            <w:vAlign w:val="bottom"/>
          </w:tcPr>
          <w:p>
            <w:pPr>
              <w:ind w:left="160"/>
              <w:spacing w:after="0"/>
              <w:rPr>
                <w:sz w:val="20"/>
                <w:szCs w:val="20"/>
                <w:color w:val="auto"/>
              </w:rPr>
            </w:pPr>
            <w:r>
              <w:rPr>
                <w:rFonts w:ascii="Arial" w:cs="Arial" w:eastAsia="Arial" w:hAnsi="Arial"/>
                <w:sz w:val="14"/>
                <w:szCs w:val="14"/>
                <w:color w:val="auto"/>
              </w:rPr>
              <w:t>Exhibits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11">
              <w:r>
                <w:rPr>
                  <w:rFonts w:ascii="Arial" w:cs="Arial" w:eastAsia="Arial" w:hAnsi="Arial"/>
                  <w:sz w:val="14"/>
                  <w:szCs w:val="14"/>
                  <w:u w:val="single" w:color="auto"/>
                  <w:color w:val="0000FF"/>
                </w:rPr>
                <w:t>110</w:t>
              </w:r>
            </w:hyperlink>
          </w:p>
        </w:tc>
      </w:tr>
      <w:tr>
        <w:trPr>
          <w:trHeight w:val="189"/>
        </w:trPr>
        <w:tc>
          <w:tcPr>
            <w:tcW w:w="700" w:type="dxa"/>
            <w:vAlign w:val="bottom"/>
          </w:tcPr>
          <w:p>
            <w:pPr>
              <w:spacing w:after="0"/>
              <w:rPr>
                <w:sz w:val="20"/>
                <w:szCs w:val="20"/>
                <w:color w:val="auto"/>
              </w:rPr>
            </w:pPr>
            <w:r>
              <w:rPr>
                <w:rFonts w:ascii="Arial" w:cs="Arial" w:eastAsia="Arial" w:hAnsi="Arial"/>
                <w:sz w:val="14"/>
                <w:szCs w:val="14"/>
                <w:color w:val="auto"/>
              </w:rPr>
              <w:t>Item 16.</w:t>
            </w:r>
          </w:p>
        </w:tc>
        <w:tc>
          <w:tcPr>
            <w:tcW w:w="8920" w:type="dxa"/>
            <w:vAlign w:val="bottom"/>
          </w:tcPr>
          <w:p>
            <w:pPr>
              <w:ind w:left="160"/>
              <w:spacing w:after="0"/>
              <w:rPr>
                <w:sz w:val="20"/>
                <w:szCs w:val="20"/>
                <w:color w:val="auto"/>
              </w:rPr>
            </w:pPr>
            <w:r>
              <w:rPr>
                <w:rFonts w:ascii="Arial" w:cs="Arial" w:eastAsia="Arial" w:hAnsi="Arial"/>
                <w:sz w:val="14"/>
                <w:szCs w:val="14"/>
                <w:color w:val="auto"/>
              </w:rPr>
              <w:t>Form 10-K Summary</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14">
              <w:r>
                <w:rPr>
                  <w:rFonts w:ascii="Arial" w:cs="Arial" w:eastAsia="Arial" w:hAnsi="Arial"/>
                  <w:sz w:val="14"/>
                  <w:szCs w:val="14"/>
                  <w:u w:val="single" w:color="auto"/>
                  <w:color w:val="0000FF"/>
                </w:rPr>
                <w:t>113</w:t>
              </w:r>
            </w:hyperlink>
          </w:p>
        </w:tc>
      </w:tr>
      <w:tr>
        <w:trPr>
          <w:trHeight w:val="189"/>
        </w:trPr>
        <w:tc>
          <w:tcPr>
            <w:tcW w:w="700" w:type="dxa"/>
            <w:vAlign w:val="bottom"/>
          </w:tcPr>
          <w:p>
            <w:pPr>
              <w:spacing w:after="0"/>
              <w:rPr>
                <w:sz w:val="16"/>
                <w:szCs w:val="16"/>
                <w:color w:val="auto"/>
              </w:rPr>
            </w:pPr>
          </w:p>
        </w:tc>
        <w:tc>
          <w:tcPr>
            <w:tcW w:w="8920" w:type="dxa"/>
            <w:vAlign w:val="bottom"/>
          </w:tcPr>
          <w:p>
            <w:pPr>
              <w:ind w:left="160"/>
              <w:spacing w:after="0"/>
              <w:rPr>
                <w:sz w:val="20"/>
                <w:szCs w:val="20"/>
                <w:color w:val="auto"/>
              </w:rPr>
            </w:pPr>
            <w:r>
              <w:rPr>
                <w:rFonts w:ascii="Arial" w:cs="Arial" w:eastAsia="Arial" w:hAnsi="Arial"/>
                <w:sz w:val="14"/>
                <w:szCs w:val="14"/>
                <w:color w:val="auto"/>
              </w:rPr>
              <w:t>Signatures</w:t>
            </w:r>
          </w:p>
        </w:tc>
        <w:tc>
          <w:tcPr>
            <w:tcW w:w="1420" w:type="dxa"/>
            <w:vAlign w:val="bottom"/>
          </w:tcPr>
          <w:p>
            <w:pPr>
              <w:jc w:val="center"/>
              <w:ind w:left="1108"/>
              <w:spacing w:after="0"/>
              <w:rPr>
                <w:rFonts w:ascii="Arial" w:cs="Arial" w:eastAsia="Arial" w:hAnsi="Arial"/>
                <w:sz w:val="14"/>
                <w:szCs w:val="14"/>
                <w:u w:val="single" w:color="auto"/>
                <w:color w:val="0000FF"/>
              </w:rPr>
            </w:pPr>
            <w:hyperlink w:anchor="page114">
              <w:r>
                <w:rPr>
                  <w:rFonts w:ascii="Arial" w:cs="Arial" w:eastAsia="Arial" w:hAnsi="Arial"/>
                  <w:sz w:val="14"/>
                  <w:szCs w:val="14"/>
                  <w:u w:val="single" w:color="auto"/>
                  <w:color w:val="0000FF"/>
                </w:rPr>
                <w:t>113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931" w:right="5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00497F"/>
        </w:rPr>
        <w:t>FORWARD-LOOKING STATEMENTS AND RISK FACTORS SUMMARY</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Item 1A. “Risk Factors” of this report. We believe that these factors include, but are not limited to:</w:t>
      </w:r>
    </w:p>
    <w:p>
      <w:pPr>
        <w:spacing w:after="0" w:line="288" w:lineRule="exact"/>
        <w:rPr>
          <w:sz w:val="20"/>
          <w:szCs w:val="20"/>
          <w:color w:val="auto"/>
        </w:rPr>
      </w:pPr>
    </w:p>
    <w:p>
      <w:pPr>
        <w:jc w:val="both"/>
        <w:ind w:left="820" w:right="20" w:hanging="326"/>
        <w:spacing w:after="0" w:line="257"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ongoing COVID-19 pandemic and other public health crises, and any related responses or actions by businesses and governments;</w:t>
      </w:r>
    </w:p>
    <w:p>
      <w:pPr>
        <w:spacing w:after="0" w:line="226"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and maintenance may require substantial capital expenditures;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 w:name="page5"/>
    <w:bookmarkEnd w:id="4"/>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 -looking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Company</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Fortress Transportation and Infrastructure Investors LLC, a Delaware limited liability company, was formed on February 19, 2014. Except as otherwise specified, “FTAI”, “we”, “us”, “our”, or “the Company” refer to us and our consolidated subsidiaries, including Fortress Worldwide Transportation and Infrastructure General Partnership (“Holdco”). Our business has been, and will continue to be, conducted through Holdco for the purpose of acquiring, managing and disposing of transportation and transportation-related infrastructure and equipment assets. Fortress Worldwide Transportation and Infrastructure Master GP LLC (the “Master GP”), owns approximately 0.05% of Holdco and is the general partner of Holdco.</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externally managed by FIG LLC (the “Manager”), an affiliate of Fortress Investment Group LLC (“Fortress”), which has a dedicated team of experienced professionals focused on the acquisition of transportation and infrastructure assets since 2002. On December 27, 2017, SoftBank Group Corp. (“SoftBank”) acquired Fortress (the “SoftBank Merger”). In connection with the SoftBank Merger, Fortress operates within SoftBank as an independent business headquartered in New York.</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As of December 31, 2020, we had total consolidated assets of $3.4 billion and total equity of $1.1 billion.</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The charts below illustrate our existing assets, and our equity deployed in acquiring these assets separated by reporting segment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293370</wp:posOffset>
            </wp:positionV>
            <wp:extent cx="5254625" cy="6643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4625" cy="664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p>
    <w:p>
      <w:pPr>
        <w:spacing w:after="0" w:line="113" w:lineRule="exact"/>
        <w:rPr>
          <w:sz w:val="20"/>
          <w:szCs w:val="20"/>
          <w:color w:val="auto"/>
        </w:rPr>
      </w:pPr>
    </w:p>
    <w:p>
      <w:pPr>
        <w:ind w:left="6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Jefferson Terminal and Ports and Terminals are included in our Infrastructure Business; Aviation Leasing is included in our Equipment Leasing Business.</w:t>
      </w:r>
    </w:p>
    <w:p>
      <w:pPr>
        <w:sectPr>
          <w:pgSz w:w="11900" w:h="16838" w:orient="portrait"/>
          <w:cols w:equalWidth="0" w:num="1">
            <w:col w:w="11240"/>
          </w:cols>
          <w:pgMar w:left="320" w:top="10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00497F"/>
        </w:rPr>
        <w:t>Our Strategy</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invest across a number of major sectors within the transportation industry, including aviation, energy, intermodal transport and ports and terminals, and we may pursue acquisitions in other areas as and when they arise in the future. In general, we seek to own a diverse mix of high-quality infrastructure and equipment within our target sectors that generate predictable cash flows in markets that we believe provide the potential for strong long-term growth and attractive returns on deployed capital. We believe that by investing in a diverse mix of assets across sectors, we can select from among the best risk-adjusted investment opportunities, while avoiding overconcentration in any one segment, further adding to the stability of our business.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take a proactive investment approach by 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Within each sector, we consider investments in operating infrastructure as well as in equipment that we lease to operators. We believe that as owners of both infrastructure and equipment assets, we have access to more opportunities and can be a more attractive counterparty to the users of our assets. Our Manager has significant prior experience in all of our target sectors, as well as a network of industry relationships, that we believe positions us well to make successful acquisitions and to actively manage and improve operations and cash flow of our existing and newly-acquired assets. These relationships include senior executives at lessors and operators, end users of transportation and infrastructure assets, as well as banks, lenders and other asset owners.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Acquisition Process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strategy is to acquire assets that are essential to the transportation of goods and people globally. We acquire assets that are used by major operators of transportation and infrastructure networks. We seek to acquire assets and businesses that we believe operate in sectors with long-term macroeconomic growth opportunities and that have significant cash flow and upside potential from earnings growth and asset appreciation.</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approach markets and opportunities by first developing an asset acquisition strategy with our Manager and then pursuing optimal opportunities within that strategy. In addition to relying on our own experience, we source new opportunities through our Manager’s network of industry relationships in order to find, structure and execute attractive acquisitions. These relationships include senior executives at industry leading operators, end users of the assets as well as banks, lenders and other asset owners. We believe that sourcing assets both globally and through multiple channels will enable us to find the most attractive opportunities. We are selective in the assets we pursue and efficient in the manner in which we pursue them.</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Once attractive opportunities are identified, our Manager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Manager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and our Manager also spend a significant amount of time on structuring our acquisitions to minimize risks while also optimizing expected returns. We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Management Agreement</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May 2015, in connection with our initial public offering (“IPO”), we entered into a new management agreement with the Manager (the “Management Agreement”), an affiliate of Fortress, pursuant to which 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Please refer to Note 16 of our consolidated financial statements included in Item 8 in this Annual Report on Form 10-K for further details regarding our Management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0497F"/>
        </w:rPr>
        <w:t>Our Portfolio</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own and acquire high quality infrastructure and equipment that is essential for the transportation of goods and people globally. We currently invest across four market sectors: aviation, energy, intermodal transport and ports and terminals. We target assets that, on a combined basis, generate strong and stable cash flows with the potential for earnings growth and asset appreciation.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Leasing Equipment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Aviation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in our Aviation Leasing segment, we own and manage 264 aviation assets, consisting of 78 commercial aircraft and 186 engines.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December 31, 2020, 70 of our commercial aircraft and 111 of our engines were leased to operators or other third parties. Aviation assets currently off lease are either undergoing repair and/or maintenance, being prepared to go on lease or held in short term storage awaiting a future lease. Our aviation equipment was approximately 73% utilized during the three months ended December 31, 2020, based on the percent of days on-lease in the quarter weighted by the monthly average equity value of our aviation leasing equipment, excluding airframes. Our aircraft currently have a weighted average remaining lease term of 39 months, and our engines currently on-lease have an average remaining lease term of 22 months. The table below provides additional information on the assets in our Aviation Leasing segment:</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760" w:type="dxa"/>
            <w:vAlign w:val="bottom"/>
            <w:tcBorders>
              <w:left w:val="single" w:sz="8" w:color="00497F"/>
            </w:tcBorders>
            <w:gridSpan w:val="2"/>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320" w:type="dxa"/>
            <w:vAlign w:val="bottom"/>
            <w:shd w:val="clear" w:color="auto" w:fill="00497F"/>
          </w:tcPr>
          <w:p>
            <w:pPr>
              <w:ind w:left="520"/>
              <w:spacing w:after="0"/>
              <w:rPr>
                <w:sz w:val="20"/>
                <w:szCs w:val="20"/>
                <w:color w:val="auto"/>
              </w:rPr>
            </w:pPr>
            <w:r>
              <w:rPr>
                <w:rFonts w:ascii="Arial" w:cs="Arial" w:eastAsia="Arial" w:hAnsi="Arial"/>
                <w:sz w:val="14"/>
                <w:szCs w:val="14"/>
                <w:b w:val="1"/>
                <w:bCs w:val="1"/>
                <w:color w:val="FFFFFF"/>
              </w:rPr>
              <w:t>Widebody</w:t>
            </w:r>
          </w:p>
        </w:tc>
        <w:tc>
          <w:tcPr>
            <w:tcW w:w="40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1360" w:type="dxa"/>
            <w:vAlign w:val="bottom"/>
            <w:shd w:val="clear" w:color="auto" w:fill="00497F"/>
          </w:tcPr>
          <w:p>
            <w:pPr>
              <w:ind w:left="440"/>
              <w:spacing w:after="0"/>
              <w:rPr>
                <w:sz w:val="20"/>
                <w:szCs w:val="20"/>
                <w:color w:val="auto"/>
              </w:rPr>
            </w:pPr>
            <w:r>
              <w:rPr>
                <w:rFonts w:ascii="Arial" w:cs="Arial" w:eastAsia="Arial" w:hAnsi="Arial"/>
                <w:sz w:val="14"/>
                <w:szCs w:val="14"/>
                <w:b w:val="1"/>
                <w:bCs w:val="1"/>
                <w:color w:val="FFFFFF"/>
              </w:rPr>
              <w:t>Narrowbody</w:t>
            </w:r>
          </w:p>
        </w:tc>
        <w:tc>
          <w:tcPr>
            <w:tcW w:w="380" w:type="dxa"/>
            <w:vAlign w:val="bottom"/>
            <w:shd w:val="clear" w:color="auto" w:fill="00497F"/>
          </w:tcPr>
          <w:p>
            <w:pPr>
              <w:spacing w:after="0"/>
              <w:rPr>
                <w:sz w:val="16"/>
                <w:szCs w:val="16"/>
                <w:color w:val="auto"/>
              </w:rPr>
            </w:pPr>
          </w:p>
        </w:tc>
        <w:tc>
          <w:tcPr>
            <w:tcW w:w="100" w:type="dxa"/>
            <w:vAlign w:val="bottom"/>
            <w:shd w:val="clear" w:color="auto" w:fill="00497F"/>
          </w:tcPr>
          <w:p>
            <w:pPr>
              <w:spacing w:after="0"/>
              <w:rPr>
                <w:sz w:val="16"/>
                <w:szCs w:val="16"/>
                <w:color w:val="auto"/>
              </w:rPr>
            </w:pPr>
          </w:p>
        </w:tc>
        <w:tc>
          <w:tcPr>
            <w:tcW w:w="1740" w:type="dxa"/>
            <w:vAlign w:val="bottom"/>
            <w:shd w:val="clear" w:color="auto" w:fill="00497F"/>
          </w:tcPr>
          <w:p>
            <w:pPr>
              <w:jc w:val="right"/>
              <w:ind w:right="628"/>
              <w:spacing w:after="0"/>
              <w:rPr>
                <w:sz w:val="20"/>
                <w:szCs w:val="20"/>
                <w:color w:val="auto"/>
              </w:rPr>
            </w:pPr>
            <w:r>
              <w:rPr>
                <w:rFonts w:ascii="Arial" w:cs="Arial" w:eastAsia="Arial" w:hAnsi="Arial"/>
                <w:sz w:val="14"/>
                <w:szCs w:val="14"/>
                <w:b w:val="1"/>
                <w:bCs w:val="1"/>
                <w:color w:val="FFFFFF"/>
              </w:rPr>
              <w:t>Total</w:t>
            </w:r>
          </w:p>
        </w:tc>
      </w:tr>
      <w:tr>
        <w:trPr>
          <w:trHeight w:val="169"/>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5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89"/>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2020</w:t>
            </w:r>
          </w:p>
        </w:tc>
        <w:tc>
          <w:tcPr>
            <w:tcW w:w="13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w:t>
            </w:r>
          </w:p>
        </w:tc>
      </w:tr>
      <w:tr>
        <w:trPr>
          <w:trHeight w:val="189"/>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Purchases</w:t>
            </w:r>
          </w:p>
        </w:tc>
        <w:tc>
          <w:tcPr>
            <w:tcW w:w="13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132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Transfers</w:t>
            </w:r>
          </w:p>
        </w:tc>
        <w:tc>
          <w:tcPr>
            <w:tcW w:w="1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183"/>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December 31, 2020</w:t>
            </w:r>
          </w:p>
        </w:tc>
        <w:tc>
          <w:tcPr>
            <w:tcW w:w="13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r>
      <w:tr>
        <w:trPr>
          <w:trHeight w:val="250"/>
        </w:trPr>
        <w:tc>
          <w:tcPr>
            <w:tcW w:w="58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62"/>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7"/>
        </w:trPr>
        <w:tc>
          <w:tcPr>
            <w:tcW w:w="580" w:type="dxa"/>
            <w:vAlign w:val="bottom"/>
            <w:tcBorders>
              <w:left w:val="single" w:sz="8" w:color="CCEEFF"/>
              <w:right w:val="single" w:sz="8" w:color="auto"/>
            </w:tcBorders>
            <w:shd w:val="clear" w:color="auto" w:fill="000000"/>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r>
        <w:trPr>
          <w:trHeight w:val="189"/>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January 1, 2020</w:t>
            </w:r>
          </w:p>
        </w:tc>
        <w:tc>
          <w:tcPr>
            <w:tcW w:w="13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164</w:t>
            </w:r>
          </w:p>
        </w:tc>
      </w:tr>
      <w:tr>
        <w:trPr>
          <w:trHeight w:val="189"/>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13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9"/>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Sales</w:t>
            </w:r>
          </w:p>
        </w:tc>
        <w:tc>
          <w:tcPr>
            <w:tcW w:w="13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57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Transfers</w:t>
            </w:r>
          </w:p>
        </w:tc>
        <w:tc>
          <w:tcPr>
            <w:tcW w:w="13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December 31, 2020</w:t>
            </w:r>
          </w:p>
        </w:tc>
        <w:tc>
          <w:tcPr>
            <w:tcW w:w="1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Infrastructure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Jefferson Terminal</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August 2014, we and certain other Fortress affiliates purchased substantially all of the assets and assumed certain liabilities of Jefferson Terminal (“Jefferson”), a Texas-based group of companies developing crude oil and refined products logistics assets. As of December 31, 2020, Jefferson is wholly owned by us and certain Fortress affiliates.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Jefferson Terminal is located on approximately 250 acres of land at the Port of Beaumont, Texas (the “Port”). Today, Jefferson leases 185 acres from the Port. As part of the lease, Jefferson was granted the concession to operate as the sole handler of liquid hydrocarbons at the Port. Jefferson does not own any land at Jefferson Terminal but does own certain equipment and leasehold improvements carried out as part of the Jefferson Terminal build-out.</w:t>
      </w:r>
    </w:p>
    <w:p>
      <w:pPr>
        <w:spacing w:after="0" w:line="93" w:lineRule="exact"/>
        <w:rPr>
          <w:sz w:val="20"/>
          <w:szCs w:val="20"/>
          <w:color w:val="auto"/>
        </w:rPr>
      </w:pPr>
    </w:p>
    <w:p>
      <w:pPr>
        <w:jc w:val="both"/>
        <w:spacing w:after="0"/>
        <w:rPr>
          <w:sz w:val="20"/>
          <w:szCs w:val="20"/>
          <w:color w:val="auto"/>
        </w:rPr>
      </w:pPr>
      <w:r>
        <w:rPr>
          <w:rFonts w:ascii="Arial" w:cs="Arial" w:eastAsia="Arial" w:hAnsi="Arial"/>
          <w:sz w:val="16"/>
          <w:szCs w:val="16"/>
          <w:color w:val="auto"/>
        </w:rPr>
        <w:t>Jefferson Terminal is developing a large multi-modal crude oil and refined products handling terminal at the Port, and also owns several other assets for the transportation and processing of crude oil and related products. Jefferson Terminal has a unique combination of direct rail service from three Class I railroads, multiple direct pipeline connections to a large local refinery, barge docks and deep water ship loading capacity, capabilities to handle multiple types of products including refined products and both free-flowing crude oil and bitumen, and a prime location close to Port Arthur and Lake Charles, which are home to refineries with over 2.3 million barrels per day of capacity. Jefferson Terminal currently has approximately 4.4</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million barrels of storage tanks in operation. As we secure new storage/handling contracts, we expect to expand storage capacity and/or develop new assets. The timing of the ultimate development of Jefferson Terminal will be dependent, in part, on the pace at which contracts are executed as well as the amount of volume subject to such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jc w:val="both"/>
        <w:spacing w:after="0" w:line="248" w:lineRule="auto"/>
        <w:rPr>
          <w:sz w:val="20"/>
          <w:szCs w:val="20"/>
          <w:color w:val="auto"/>
        </w:rPr>
      </w:pPr>
      <w:r>
        <w:rPr>
          <w:rFonts w:ascii="Arial" w:cs="Arial" w:eastAsia="Arial" w:hAnsi="Arial"/>
          <w:sz w:val="16"/>
          <w:szCs w:val="16"/>
          <w:color w:val="auto"/>
        </w:rPr>
        <w:t>Jefferson Terminal’s prime location and excellent optionality make it well suited to provide logistics solutions to regional and global refineries, including blending, storage and delivery of crude oil and refined products. Heavy crude oil from Western Canada is in high demand on the Gulf Coast because most refineries in the area are configured to handle heavier crudes (previously sourced predominately from Mexico and Venezuela) than those in other parts of the United States. Canadian conventionally produced heavy crude is well suited for transport by rail rather than pipeline because of its high viscosity. Jefferson Terminal is one of only a few terminals on the Gulf Coast that has heated unloading system capabilities to handle this type of heavy crude. As the production of Western Canadian crude oil grows in excess of existing pipeline capacity, demand for crude-by-rail to the Gulf Coast is expected to increase. Refined products opportunities for storage and logistics are expected to continue to be positively impacted by Mexico deregulating its imports of both gasoline and diesel.</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Jefferson Terminal operates an unheated crude oil unloading system, which has the capacity to discharge a unit train of up to 114 cars, and a heated crude oil unloading system which has the capacity to unload a unit train of up to 128 cars of high viscosity crude oil. Jefferson Terminal has storage tanks with capacity to hold approximately 3.7</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million barrels configured for crude oil in service.</w:t>
      </w:r>
    </w:p>
    <w:p>
      <w:pPr>
        <w:spacing w:after="0" w:line="1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Mexican demand for U.S.-sourced refined products continues to increase; however, Mexico lacks the infrastructure required to efficiently import, store and distribute large volumes of gasoline and diesel. This has spurred the rapid build-out of new Mexican transloading rail terminals, as well as storage capacity on both sides of the U.S.-Mexico border. To meet such increased demand, Jefferson operates a refined products system which receives three grades of products by direct pipeline connection from a large area refiner, as well as inland tank barge via the barge dock, stores the cargo in six tanks with a combined capacity of approximately 0.7</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million barrels, and operates a 20 spot rail car loading system with the capacity to load approximately 70,000 barrels per day. This system may be further expanded to meet additional market demand.</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Recent expansion projects completed include the construction of a 25 MW substation to support the new pipeline construction, six 12” to 20” pipelines to a large area refinery for refined and crude product movements, and a rail expansion of approximately 19,570 feet of track. Two additional pipelines, one incoming from Cushing, Oklahoma, and one outgoing to a refinery in the Port Arthur area, are nearing completion and expected to be in service by the end of Q1 2021.</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the Jefferson Terminal, Jefferson owns several other energy and transportation-related assets, including 299 tank railcars which are leased to third parties; a gas processing and condensate stabilization plant; pipeline rights-of-way; and a private inland marine terminal property all of which can be developed. These assets can be deployed or developed in the future to meet market demands for transportation and hydrocarbon processing, and if successfully deployed or developed, may represent additional opportunities to generate stable, recurring cash flow. As we secure customer contracts, we expect to invest equity capital to fund working capital needs and future construction, which may be required.</w:t>
      </w:r>
    </w:p>
    <w:p>
      <w:pPr>
        <w:spacing w:after="0" w:line="86"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All storage tank capacities refer to shell-tank capacity.</w:t>
      </w:r>
    </w:p>
    <w:p>
      <w:pPr>
        <w:spacing w:after="0" w:line="78"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i w:val="1"/>
          <w:iCs w:val="1"/>
          <w:color w:val="auto"/>
        </w:rPr>
        <w:t>Long Ridge Energy Terminal</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2017, through Ohio River Partners Shareholder LLC (“ORP”), a consolidated subsidiary, we purchased 100% of the interests in the assets of Long Ridge which consisted primarily of land, buildings, railroad track, docks, water rights, site improvements and other rights. In December 2019, ORP contributed its equity interests in Long Ridge into Long Ridge Terminal LLC and sold a 49.9% interest for $150 million in cash, plus an earn out. We no longer have a controlling interest in Long Ridge but still maintain significant influence through our retained interest and, therefore, now account for this investment in accordance with the equity method.</w:t>
      </w:r>
    </w:p>
    <w:p>
      <w:pPr>
        <w:spacing w:after="0" w:line="9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At December 31, 2020, Long Ridge continues its construction of a 485 MW combined-cycle power plant at the site, along with its associated plans to self-supply the natural gas fuel requirements for the plant. The construction project remains on-time and on-budget and is tracking ahead of its guaranteed completion date of November 2021. Long Ridge’s natural gas self-supply projects also remain on-time and on-budget.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Repauno</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We currently hold an approximately 98% economic interest, and a 100% voting interest in DRP. DRP is solely reliant on us to finance its activities and therefore is a variable interest entity (“VIE”). We concluded that we are the primary beneficiary and, accordingly, DRP has been presented on a consolidated basis in the accompanying financial statements.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Shortly after the end of 2020, DRP completed its new state of the art rail-to-ship transloading system. This will allow DRP to load Liquified Petroleum Gas marine vessels from its new wharf beginning in 2021. As the newest marine terminal on the Delaware River, Repauno is designed to safely and efficiently handle a wide variety of freight, providing critical logistics services to a multitude of industrial segments.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Corporate and Other</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to the above investments, our Corporate and Other segment includes (i) offshore energy related assets which consist of vessels and equipment that support offshore oil and gas activities and are typically subject to long-term operating leases, (ii) an investment in an unconsolidated entity engaged in the leasing of shipping containers and (iii) railroad assets retained after the December 2019 sale of our railroad business, which consist of equipment that support a railcar cleaning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00497F"/>
        </w:rPr>
        <w:t>Asset Management</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Manager actively manages and monitors our portfolios of assets on an ongoing basis, and in some cases engages third parties to assist with the management of those assets. Our Manager frequently reviews the status of all of our assets, and in the case that any are returning from lease or undergoing repair, outlines our options, which may include the re-lease or sale of that asset. In the case of operating infrastructure, our Manager plays a central role in developing and executing operational, finance and business development strategies. On a periodic basis, our Manager discusses the status of our acquired assets with our board of directors.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and our Manager maintain relationships with operators worldwide and, through these relationships, hold direct conversations as to leasing needs and opportunities. Where helpful, we reach out to third parties who assist in leasing our assets. As an example, we often partner with MRO facilities in the aviation sector to lease engines and support airlines’ fleet management needs.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we expect to hold our assets for extended periods of time, we and our Manager continually review our assets to assess whether we should sell or otherwise monetize them. Aspects that will factor into this process include relevant market conditions, the asset’s age, lease profile, relative concentration or remaining expected useful life.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Credit Process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and our Manager monitor the credit quality of our various lessees on an ongoing basis. This monitoring includes interacting with our customers regularly to monitor collections, review periodic financial statements and discuss their operating performance. Most of our lease agreements are written with conditions that require reporting on the part of our lessees, and we actively reach out to our lessees to maintain contact and monitor their liquidity positions. Furthermore, many of our leases and contractual arrangements include credit enhancement elements that provide us with additional collateral or credit support to strengthen our credit position.</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subject to concentrations of credit risk with respect to amounts due from customers on our direct finance leases and operating leases. We attempt to limit credit risk by performing ongoing credit evaluations. See “Customers.”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Customers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customers consist of global operators of transportation and infrastructure networks, including airlines, offshore energy service providers, global energy providers and major shipping lines. We maintain ongoing relationships and discussions with our customers and seek to have consistent dialogue. In addition to helping us monitor the needs and quality of our customers, we believe these relationships help source additional opportunities and gain insight into attractive opportunities in the transportation and infrastructure sectors. A substantial portion of our revenue has historically been derived from a small number of customers. As of and for the year ended December 31, 2020, our largest customer accounted for 11% of our revenue and 40% of total accounts receivable, net. We derive a significant percentage of our revenue within specific sectors from a limited number of customers. However, we do not think that we are dependent upon any particular customer, or that the loss of one or more of them would have a material adverse effect on our business or the relevant segment, because of our ability to re-lease assets at similar terms following the loss of any such customer. See “Risk Factors-Contractual defaults may adversely affect our business, prospects, financial condition, results of operations and cash flows by decreasing revenues and increasing storage, positioning, collection, recovery and lost equipment expenses.”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Competition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business of acquiring, managing and marketing transportation and transportation-related infrastructure assets is highly competitive. Market competition for acquisition opportunities includes traditional transportation and infrastructure companies, commercial and investment banks, as well as a growing number of non-traditional participants, such as hedge funds, private equity funds, and other private investors.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the markets for our products and services are competitive, and we face competition from a number of sources. These competitors include engine and aircraft parts manufacturers, aircraft and aircraft engine lessors, airline and aircraft services and repair companies, aircraft spare parts distributors, offshore services providers, maritime equipment lessors, shipping container lessors, container shipping lines, and other transportation and infrastructure equipment lessors and operators.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Manager’s experience in the transportation and the transportation-related infrastructure industry and our access to capital, in addition to our focus on diverse asset classes and customers, provides a competitive advantage versus competitors that maintain a single sector focus.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0497F"/>
        </w:rPr>
        <w:t>Environmental Regulations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Human Capital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provides a management team and other professionals who are responsible for implementing our business strategy and performing certain services for us, subject to oversight by our board of directors. As a result, as of December 31, 2020, we have no employees other than 101 employees at certain subsidiaries across our business segments, none of whom are party to a collective bargaining agreement. We consider our relationship with our employees to be good and we focus heavily on employee engagement. We have invested substantial time and resources in building our team, and our human capital management objectives include, as applicable, identifying, recruiting, retaining, incentivizing and integrating our existing and new employees. To facilitate attraction and retention, we strive to create a diverse, inclusive, and safe workplace, with opportunities for our employees to grow and develop in their careers, supported by strong compensation and benefits programs.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Insurance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leases generally require that our customers carry physical damage and liability insurance providing primary insurance coverage for loss and damage to our assets as well as for related cargo and third parties while the assets are on lease. In addition, in certain cases, we maintain contingent liability coverage for any claims or losses on our assets while they are on hire or otherwise in the possession of a third-party. Finally, we procure insurance for our assets when they are not on hire or are otherwise under our control.</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Conflicts of Interest</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In addition, we do not have a policy that expressly prohibits our directors, officers, security holders or affiliates from engaging in business activities of the types conducted by us for their own account. See “Risk Factors-Risks Related to Our Manager-There are conflicts of interest in our relationship with our Manager.”</w:t>
      </w:r>
    </w:p>
    <w:p>
      <w:pPr>
        <w:spacing w:after="0" w:line="9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Our key agreements, including our Management Agreement, the Partnership Agreement, and our operating agreement were negotiated among related parties, and their respective terms, including fees and other amounts payable, may not be as favorable to us as terms negotiated on an arm’s-length basis with unaffiliated parties. Our independent directors may not vigorously enforce the provisions of our Management Agreement against our Manager. For example, our independent directors may refrain from terminating our Manager because doing so could result in the loss of key personnel.</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may compete with entities affiliated with our Manager or Fortress for certain target assets. From time to time, affiliates of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the sectors in which we acquire assets, each with significant current or expected capital commitments. We may co-invest with these funds in certain target assets. Fortress funds generally have a fee structure similar to ours, but the fees actually paid will vary depending on the size, terms and performance of each fund.</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Manager may determine, in its discretion, to make a particular acquisition through an investment vehicle other than us. Investment allocation decisions will reflect a variety of factors, such as a particular vehicle’s availability of capital (including financing), investment objectives and concentration limits, legal, regulatory, tax and other similar considerations, the source of the opportunity and other factors that the Manager, in its discretion, deems appropriate. Our Manager does not have an obligation to offer us the opportunity to participate in any particular investment, even if it meets our asset acquisition objectives. In addition, employees of Fortress or certain of its affiliates—including personnel providing services to or on behalf of our Manager—may perform services for Fortress affiliates that may acquire or seek to acquire transportation and infrastructure-related assets.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0497F"/>
        </w:rPr>
        <w:t>Where Readers Can Find Additional Information</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Fortress Transportation and Infrastructure Investors LLC is a Delaware limited liability company. Our principal executive offices are located at 1345 Avenue of the Americas, New York, New York 10105. Fortress Transportation and Infrastructure Investors LLC files annual, quarterly and current reports, proxy statements and other information required by the Exchange Act, with the SEC. Our SEC filings are available to the public from the SEC’s internet site at http://www.sec.gov.</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Internet site is http://www.ftandi.com. We will make available free of charge through our internet 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in the ‘‘Investor Center - Corporate Governance’’ section are charters for our Audit Committee, Compensation Committee, Nominating Committee, as well as our Corporate Governance Guidelines, Code of Ethics for our officers, and our Code of Business Conduct and Ethics governing our directors, officers and employees. Information on, or accessible through, our website is not a part of, and is not incorporated into, this report.</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1A. Risk Factors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10-K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risks related to our common shares and general risks. However, these categories do overlap and should not be considered exclusive.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COVID-19 pandemic has severely disrupted the global economy and may have, and the emergence of similar crises could have, material adverse effects on our business, results of operations or financial condition.</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recent years, the outbreaks of certain highly contagious diseases have increased the risk of a pandemic resulting in economic disruptions. In particular, the ongoing COVID-19 pandemic has led to severe disruptions in the market and the global, U.S. and regional economies that may continue for a prolonged duration and trigger a recession or a period of economic slowdown. In response, various governmental bodies and private enterprises have implemented numerous measures to mitigate the outbreak, such as travel bans and restrictions, quarantines, shelter-in-place orders and shutdowns. The COVID-19 outbreak continues to be dynamic and evolving, and its ultimate scope, duration and effects remain uncertain.</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that this pandemic, and any future epidemic or pandemic crises, could result in direct and indirect adverse effects on our industry and customers, which in turn may impact our business, results of operations and financial condition. Effects of the current pandemic include, or may include, among others:</w:t>
      </w:r>
    </w:p>
    <w:p>
      <w:pPr>
        <w:spacing w:after="0" w:line="33" w:lineRule="exact"/>
        <w:rPr>
          <w:sz w:val="20"/>
          <w:szCs w:val="20"/>
          <w:color w:val="auto"/>
        </w:rPr>
      </w:pPr>
    </w:p>
    <w:p>
      <w:pPr>
        <w:jc w:val="both"/>
        <w:ind w:left="660" w:hanging="328"/>
        <w:spacing w:after="0" w:line="257"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deterioration of worldwide, regional or national economic conditions and activity, which could further reduce or prolong the recent significant declines in energy prices, or adversely affect global demand for crude oil and petroleum products, demand for our services, and time charter and spot rates;</w:t>
      </w:r>
    </w:p>
    <w:p>
      <w:pPr>
        <w:spacing w:after="0" w:line="226"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disruptions to our operations as a result of the potential health impact, such as the availability and efficacy of vaccines, on our employees and crew, and on the workforces of our customers and business partners;</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disruptions to our business from, or additional costs related to, new regulations, directives or practices implemented in response to the pandemic, such as travel restrictions, increased inspection regimes, hygiene measures (such as quarantining and physical distancing) or increased implementation of remote working arrangements;</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 lack of air travel demand or an inability of airlines to operate to or from certain regions could impact demand for air travel and the financial health of certain airlines, including our lessees;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delays in the loading and discharging of cargo on or from our vessels, and any related off hire due to quarantines, worker health or regulations, which in turn could disrupt our operations and result in a reduction of revenue;</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shortages or a lack of access to required spare parts for our vessels, or potential delays in any repairs to, scheduled or unscheduled maintenance or modifications;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delays in vessel inspections and related certifications by class societies, customers or government agencies;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constraints;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reduced access to capital, including the ability to refinance any existing obligations, as a result of any credit tightening generally or due to continued declines in global financial markets, including to the prices of publicly-traded securities of us, our peers and of listed companies generally;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deterioration in the financial condition and prospects of our customers, joint venture partners or business partners, or attempts by customers or third parties to invoke force majeure contractual clauses as a result of delays or other disruptions.</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Although disruption and effects from the COVID-19 pandemic may be temporary, given the dynamic nature of these circumstances, the duration of any business disruption and the related financial impact to us is uncertain at this time and could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jc w:val="both"/>
        <w:spacing w:after="0" w:line="260" w:lineRule="auto"/>
        <w:rPr>
          <w:sz w:val="20"/>
          <w:szCs w:val="20"/>
          <w:color w:val="auto"/>
        </w:rPr>
      </w:pPr>
      <w:r>
        <w:rPr>
          <w:rFonts w:ascii="Arial" w:cs="Arial" w:eastAsia="Arial" w:hAnsi="Arial"/>
          <w:sz w:val="16"/>
          <w:szCs w:val="16"/>
          <w:color w:val="auto"/>
        </w:rPr>
        <w:t>materially affect our business, results of operations and financial condition. The ongoing impact of COVID-19 also heightens many of the other risks described in this report, including those relating to our target returns, liquidity and asset values.</w:t>
      </w:r>
    </w:p>
    <w:p>
      <w:pPr>
        <w:spacing w:after="0" w:line="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9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286"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Department of Transportation (DOT), the Occupational Safety and Health Act (OSHA), the U.S. Federal Railroad Administration (FRA), and the U.S. Surface Transportation Board (STB), as well as numerous other state, provincial, local and federal agencies. Ongoing compliance with, 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16"/>
          <w:szCs w:val="16"/>
          <w:color w:val="auto"/>
        </w:rPr>
        <w:t>a violation of, these laws, regulations and other requirements could have a material adverse effect on our business, financial condition and results of operations.</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difficulties, strikes, lockouts or bottlenecks, could adversely impact our customers’ ability to move their product and, as a result, could affect our business.</w:t>
      </w:r>
    </w:p>
    <w:p>
      <w:pPr>
        <w:spacing w:after="0" w:line="9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derailments, major plant breakdowns, pipeline or electricity line ruptures or other disasters.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8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 w:name="page20"/>
    <w:bookmarkEnd w:id="19"/>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9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foreign currencies, may, if not appropriately hedged by us, have a material adverse effect on us and increase the volatility of our earnings.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7"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2" w:name="page23"/>
    <w:bookmarkEnd w:id="22"/>
    <w:p>
      <w:pPr>
        <w:jc w:val="both"/>
        <w:spacing w:after="0" w:line="248" w:lineRule="auto"/>
        <w:rPr>
          <w:sz w:val="20"/>
          <w:szCs w:val="20"/>
          <w:color w:val="auto"/>
        </w:rPr>
      </w:pPr>
      <w:r>
        <w:rPr>
          <w:rFonts w:ascii="Arial" w:cs="Arial" w:eastAsia="Arial" w:hAnsi="Arial"/>
          <w:sz w:val="16"/>
          <w:szCs w:val="16"/>
          <w:color w:val="auto"/>
        </w:rPr>
        <w:t>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expected discontinuation of the LIBOR benchmark interest rate may have an impact on our business.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As a result, LIBOR may be discontinued after 2021. The FCA and the submitting LIBOR banks have indicated they will support the LIBOR indices through 2021 to allow for an orderly transition to an alternative reference rate. Financial services regulators and industry groups are evaluating the phase-out of LIBOR and the development of alternate reference rate indices or reference rates.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While this announcement extends the transition period to June 2023, the U.S. Federal Reserve concurrently issued a statement advising banks to stop new LIBOR issuances by the end of 2021.</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 as the transition away from LIBOR is anticipated to be gradual over the coming years.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December 31, 2020, we had $25.0 million of total debt outstanding under facilities with interest rates based on floating-rate indices. We cannot predict what reference rate would be agreed upon or what the impact of any such replacement rate would be to our interest expense. Potential changes to the underlying floating-rate indices and reference rates may have an adverse impact on our agreements indexed to LIBOR and could have a negative impact on our profitability and cash flows.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 cyberattack that bypasses our information technology, or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3" w:name="page24"/>
    <w:bookmarkEnd w:id="23"/>
    <w:p>
      <w:pPr>
        <w:jc w:val="both"/>
        <w:spacing w:after="0" w:line="248" w:lineRule="auto"/>
        <w:rPr>
          <w:sz w:val="20"/>
          <w:szCs w:val="20"/>
          <w:color w:val="auto"/>
        </w:rPr>
      </w:pPr>
      <w:r>
        <w:rPr>
          <w:rFonts w:ascii="Arial" w:cs="Arial" w:eastAsia="Arial" w:hAnsi="Arial"/>
          <w:sz w:val="16"/>
          <w:szCs w:val="16"/>
          <w:color w:val="auto"/>
        </w:rPr>
        <w:t>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Aviation, Jefferson, Repauno and Long Ridge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Inc., Florida East Coast Industries, LLC (“FECI”) and FYX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Inc and FYX. Although we have the same Manager, we may compete with entities affiliated with our Manager or Fortress, including Seacastle Inc., FECI and FYX,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4" w:name="page25"/>
    <w:bookmarkEnd w:id="24"/>
    <w:p>
      <w:pPr>
        <w:jc w:val="both"/>
        <w:spacing w:after="0" w:line="251" w:lineRule="auto"/>
        <w:rPr>
          <w:sz w:val="20"/>
          <w:szCs w:val="20"/>
          <w:color w:val="auto"/>
        </w:rPr>
      </w:pPr>
      <w:r>
        <w:rPr>
          <w:rFonts w:ascii="Arial" w:cs="Arial" w:eastAsia="Arial" w:hAnsi="Arial"/>
          <w:sz w:val="16"/>
          <w:szCs w:val="16"/>
          <w:color w:val="auto"/>
        </w:rPr>
        <w:t>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Inc., FECI and FYX,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5" w:name="page26"/>
    <w:bookmarkEnd w:id="25"/>
    <w:p>
      <w:pPr>
        <w:jc w:val="both"/>
        <w:spacing w:after="0" w:line="250" w:lineRule="auto"/>
        <w:rPr>
          <w:sz w:val="20"/>
          <w:szCs w:val="20"/>
          <w:color w:val="auto"/>
        </w:rPr>
      </w:pPr>
      <w:r>
        <w:rPr>
          <w:rFonts w:ascii="Arial" w:cs="Arial" w:eastAsia="Arial" w:hAnsi="Arial"/>
          <w:sz w:val="16"/>
          <w:szCs w:val="16"/>
          <w:color w:val="auto"/>
        </w:rPr>
        <w:t>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Such shareholders may not receive cash dividends equal to their allocable share of our net taxable income or even the tax liability that results from that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entities classified as CFCs or PFICs for U.S. federal income tax purposes.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our investments are in non-U.S. corporations or are held through non-U.S. subsidiaries that are classified as corporations for U.S. federal income tax purposes. Some of these foreign entities may be classified as controlled foreign corporations (“CFCs”) or passive foreign investment companies (“PFICs”) (each as defined in the Code). Shareholders subject to U.S. federal income tax may experience adverse U.S. federal income tax consequences related to the indirect ownership of CFC or PFIC shares. For example, such shareholders may be required to take into account U.S. taxable income with respect to such CFCs or PFICs without a corresponding receipt of cash from us. In addition, under the CFC rules, certain capital gains are treated as ordinary dividend income and shareholders could be subject to income inclusions in respect of the "global intangible low-taxed income" of the CFC. Treasury regulations have been proposed that, if finalized, will generally have the effect of limiting certain adverse consequences of the CFC rules to shareholders treated for U.S. federal income tax purposes as owning indirectly or constructively (including through other partnerships) stock possessing 10% or more of the voting power or value of such CFCs. Taxpayers are permitted to rely, and we intend to rely, on such proposed regulations.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the PFIC rules, indirect ownership of PFIC shares by U.S. persons generally gives rise to materially adverse U.S. federal income tax consequences, which may be mitigated by electing to treat the PFIC as a qualified electing fund (“QEF”). We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6" w:name="page27"/>
    <w:bookmarkEnd w:id="26"/>
    <w:p>
      <w:pPr>
        <w:jc w:val="both"/>
        <w:spacing w:after="0" w:line="248" w:lineRule="auto"/>
        <w:rPr>
          <w:sz w:val="20"/>
          <w:szCs w:val="20"/>
          <w:color w:val="auto"/>
        </w:rPr>
      </w:pPr>
      <w:r>
        <w:rPr>
          <w:rFonts w:ascii="Arial" w:cs="Arial" w:eastAsia="Arial" w:hAnsi="Arial"/>
          <w:sz w:val="16"/>
          <w:szCs w:val="16"/>
          <w:color w:val="auto"/>
        </w:rPr>
        <w:t>currently anticipate using commercially reasonable efforts to make such an election (a “QEF Election”) with respect to each PFIC in which we hold a material interest, directly or indirectly, in the first year during which we hold shares in such entity. As a result, U.S. holders of our common shares will generally be subject to tax on a current basis on their respective shares of each such PFIC’s undistributed ordinary earnings and net capital gains for each year in which the entity is a PFIC, regardless of whether such holders receive a corresponding distribution of cash from us. In certain cases, however, we may be unable to make a QEF Election with respect to a PFIC because, for example, we are unable to obtain the necessary information. In such event, U.S. holders of our common shares will be subject to imputed interest charges and other disadvantageous tax treatment with respect to certain “excess distributions” from the PFIC and gain realized upon the direct or indirect sale of the PFIC (including through the sale our common shares).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regarding the potential impact of the rules regarding CFCs and PFICs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holders of our preferred shares are generally not anticipated to share in our items of income, gain, loss or deduction, nor are they anticipated to be allocated any share of our nonrecourse liabilities. If our preferred shares were treated as indebtedness for tax purposes, rather than as guaranteed payments for the use of capital, distributions likely would be treated as payments of interest by us to the holders of our preferred shares. Finally, if holders of our preferred shares were entitled to an allocation of income from FTAI, the risk factors applicable to holders of common shares would generally apply.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tax reform could adversely affect us and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Tax Cuts and Jobs Act (the “TCJA”), which is generally effective for taxable years beginning after December 31, 2017, amended the Code in a manner that significantly changed the taxation of individuals and business entities, including with respect to the taxation of offshore earnings and the deductibility of interest. In some cases, there is still uncertainty around the scope and application of the TCJA that may be addressed in future guidance issued by the U.S. Department of Treasury and the IRS. Some of the changes could adversely affect our business and financial condition and the value of our shares. The Coronavirus Aid, Relief, and Economic Security Act (the “CARES Act”), which was enacted on March 27, 2020, temporarily modifies some provisions of the TCJA.</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not U.S. persons could be subject to U.S. federal income tax, including a 10% withholding tax, on the disposition of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believe that our return from investments will include interest, dividends, capital gains and other types of qualifying income, but no assurance can be given as to the types of income that will be earned in any given year.</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on gain at the highest marginal U.S. federal income tax rates applicable to ordinary income.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2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such shares (and may have a U.S. tax return filing obligation).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both"/>
        <w:ind w:right="20"/>
        <w:spacing w:after="0" w:line="260" w:lineRule="auto"/>
        <w:rPr>
          <w:sz w:val="20"/>
          <w:szCs w:val="20"/>
          <w:color w:val="auto"/>
        </w:rPr>
      </w:pPr>
      <w:r>
        <w:rPr>
          <w:rFonts w:ascii="Arial" w:cs="Arial" w:eastAsia="Arial" w:hAnsi="Arial"/>
          <w:sz w:val="16"/>
          <w:szCs w:val="16"/>
          <w:color w:val="auto"/>
        </w:rPr>
        <w:t>cause an ownership change in one or more of our corporate subsidiaries. Sales of our shares by our shareholders, as well as future issuances of our shares, could contribute to a potential ownership change in our corporate subsidiaries.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0" w:name="page31"/>
    <w:bookmarkEnd w:id="30"/>
    <w:p>
      <w:pPr>
        <w:jc w:val="both"/>
        <w:spacing w:after="0" w:line="260" w:lineRule="auto"/>
        <w:rPr>
          <w:sz w:val="20"/>
          <w:szCs w:val="20"/>
          <w:color w:val="auto"/>
        </w:rPr>
      </w:pPr>
      <w:r>
        <w:rPr>
          <w:rFonts w:ascii="Arial" w:cs="Arial" w:eastAsia="Arial" w:hAnsi="Arial"/>
          <w:sz w:val="16"/>
          <w:szCs w:val="16"/>
          <w:color w:val="auto"/>
        </w:rPr>
        <w:t>shareholder has in its common shares and would offset any gain (or increase the amount of loss) realized by such shareholder on a subsequent disposition of its common shares.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This differs from the rules that apply for taxable years beginning before January 1, 2018, which generally provide that tax adjustments only affect the persons who were shareholders in the tax year in which the item was reported on our tax return. The manner in which these rules apply is uncertain and in many respects depends on the promulgation of future regulations or other guidance by the U.S. Treasury Department or the IRS.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95"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we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7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Reports on Form 10-K starting with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1" w:name="page32"/>
    <w:bookmarkEnd w:id="31"/>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2,218,692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December 31, 2020, rights relating to 2,243,692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2" w:name="page33"/>
    <w:bookmarkEnd w:id="32"/>
    <w:p>
      <w:pPr>
        <w:jc w:val="both"/>
        <w:spacing w:after="0" w:line="248" w:lineRule="auto"/>
        <w:rPr>
          <w:sz w:val="20"/>
          <w:szCs w:val="20"/>
          <w:color w:val="auto"/>
        </w:rPr>
      </w:pPr>
      <w:r>
        <w:rPr>
          <w:rFonts w:ascii="Arial" w:cs="Arial" w:eastAsia="Arial" w:hAnsi="Arial"/>
          <w:sz w:val="16"/>
          <w:szCs w:val="16"/>
          <w:color w:val="auto"/>
        </w:rPr>
        <w:t>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 Furthermore, the terms of our Series A preferred shares generally prevent us from declaring or paying dividends on or repurchasing our common shares or other junior capital unless all accrued distributions on such preferred shares have been paid in full.</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1B. Unresolved Staff Comments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have no unresolved staff comments.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00497F"/>
        </w:rPr>
        <w:t>Item 2. Properties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An affiliate of our Manager leases principal executive offices at 1345 Avenue of the Americas, New York, NY 10105. We also lease office space from an affiliate of our Manager in Ireland and Dubai. Our Jefferson Terminal operating segment leases approximately 200 acres of property for its terminal facilities and leases approximately 12,300 square feet of office space in Texas and 300 square feet in Canada. We are redeveloping Repauno, located in New Jersey, which includes over 1,600 acres of land, riparian rights, rail tracks and a 186,000 barrel underground storage cavern, to be a multi-purpose, multi-modal deepwater port. Additionally, our aviation leasing business, railcar cleaning business and offshore energy business lease office space in Florida, Maine, and Singapore, respectively. We believe that our office facilities and properties are suitable and adequate for our business as it is contemplated to be conducted.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3. Legal Proceedings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ind w:left="5340"/>
        <w:spacing w:after="0"/>
        <w:rPr>
          <w:sz w:val="20"/>
          <w:szCs w:val="20"/>
          <w:color w:val="auto"/>
        </w:rPr>
      </w:pPr>
      <w:r>
        <w:rPr>
          <w:rFonts w:ascii="Arial" w:cs="Arial" w:eastAsia="Arial" w:hAnsi="Arial"/>
          <w:sz w:val="16"/>
          <w:szCs w:val="16"/>
          <w:b w:val="1"/>
          <w:bCs w:val="1"/>
          <w:color w:val="00497F"/>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5. Market for Registrant's Common Equity, Related Stockholder Matters and Issuer Purchases of Equity Securities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common shares began trading on the NYSE under the symbol “FTAI” on May 15, 2015, the date of the IPO. As of February 25, 2021, there were approximately ten record holders of our common shares. This figure does not reflect the beneficial ownership of shares held in nominee name.</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Although we currently intend to continue to pay regular quarterly dividends to holders of our common shares, we may change our dividend policy at any time and no assurances can be given that any future dividends will be paid or, if paid, as to the amounts or timing.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25, 2021, our Board of Directors declared a cash dividend on our common shares of $0.33 per share for the quarter ended December 31, 2020, payable on March 23, 2021 to the holders of record on March 12, 2021.</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Nonqualified Stock Option and Incentive Award Plan</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2015, in connection with the IPO,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 As of December 31, 2020, the Incentive Plan provides for the issuance of up to 29.9 million shares.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the total number of outstanding securities in the Incentive Plan and the number of securities remaining for future issuance, as well as the weighted average strike price of all outstanding securities as of December 31,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Equity Compensation Plan Information</w:t>
            </w:r>
          </w:p>
        </w:tc>
        <w:tc>
          <w:tcPr>
            <w:tcW w:w="2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 securities to be issued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Weighted-average exercise price of</w:t>
            </w:r>
          </w:p>
        </w:tc>
        <w:tc>
          <w:tcPr>
            <w:tcW w:w="2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35"/>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1"/>
                <w:szCs w:val="11"/>
                <w:color w:val="auto"/>
              </w:rPr>
            </w:pPr>
          </w:p>
        </w:tc>
        <w:tc>
          <w:tcPr>
            <w:tcW w:w="2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upon exercise of outstanding options,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outstanding options, warrants, and</w:t>
            </w:r>
          </w:p>
        </w:tc>
        <w:tc>
          <w:tcPr>
            <w:tcW w:w="2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75"/>
        </w:trPr>
        <w:tc>
          <w:tcPr>
            <w:tcW w:w="27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rights</w:t>
            </w:r>
          </w:p>
        </w:tc>
        <w:tc>
          <w:tcPr>
            <w:tcW w:w="100" w:type="dxa"/>
            <w:vAlign w:val="bottom"/>
            <w:tcBorders>
              <w:bottom w:val="single" w:sz="8" w:color="CCEEFF"/>
            </w:tcBorders>
          </w:tcPr>
          <w:p>
            <w:pPr>
              <w:spacing w:after="0"/>
              <w:rPr>
                <w:sz w:val="15"/>
                <w:szCs w:val="15"/>
                <w:color w:val="auto"/>
              </w:rPr>
            </w:pPr>
          </w:p>
        </w:tc>
        <w:tc>
          <w:tcPr>
            <w:tcW w:w="28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rPr>
              <w:t xml:space="preserve">compensation plans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7"/>
        </w:trPr>
        <w:tc>
          <w:tcPr>
            <w:tcW w:w="282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Equity compensation plans approved by</w:t>
            </w:r>
          </w:p>
        </w:tc>
        <w:tc>
          <w:tcPr>
            <w:tcW w:w="2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2,243,692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17.01</w:t>
            </w:r>
          </w:p>
        </w:tc>
        <w:tc>
          <w:tcPr>
            <w:tcW w:w="100" w:type="dxa"/>
            <w:vAlign w:val="bottom"/>
            <w:shd w:val="clear" w:color="auto" w:fill="CCEEFF"/>
          </w:tcPr>
          <w:p>
            <w:pPr>
              <w:spacing w:after="0"/>
              <w:rPr>
                <w:sz w:val="12"/>
                <w:szCs w:val="12"/>
                <w:color w:val="auto"/>
              </w:rPr>
            </w:pPr>
          </w:p>
        </w:tc>
        <w:tc>
          <w:tcPr>
            <w:tcW w:w="2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29,854,909</w:t>
            </w:r>
          </w:p>
        </w:tc>
        <w:tc>
          <w:tcPr>
            <w:tcW w:w="0" w:type="dxa"/>
            <w:vAlign w:val="bottom"/>
          </w:tcPr>
          <w:p>
            <w:pPr>
              <w:spacing w:after="0"/>
              <w:rPr>
                <w:sz w:val="1"/>
                <w:szCs w:val="1"/>
                <w:color w:val="auto"/>
              </w:rPr>
            </w:pPr>
          </w:p>
        </w:tc>
      </w:tr>
      <w:tr>
        <w:trPr>
          <w:trHeight w:val="171"/>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security holders</w:t>
            </w:r>
          </w:p>
        </w:tc>
        <w:tc>
          <w:tcPr>
            <w:tcW w:w="2640" w:type="dxa"/>
            <w:vAlign w:val="bottom"/>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2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Equity compensation plans not approved</w:t>
            </w:r>
          </w:p>
        </w:tc>
        <w:tc>
          <w:tcPr>
            <w:tcW w:w="2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by security holders</w:t>
            </w:r>
          </w:p>
        </w:tc>
        <w:tc>
          <w:tcPr>
            <w:tcW w:w="2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gridSpan w:val="2"/>
            <w:vMerge w:val="continue"/>
          </w:tcPr>
          <w:p>
            <w:pPr>
              <w:spacing w:after="0"/>
              <w:rPr>
                <w:sz w:val="14"/>
                <w:szCs w:val="14"/>
                <w:color w:val="auto"/>
              </w:rPr>
            </w:pPr>
          </w:p>
        </w:tc>
        <w:tc>
          <w:tcPr>
            <w:tcW w:w="2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2,243,692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29,854,909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152"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Excludes 25,000 stock options and 120,091 common shares issued to directors as compensation.</w:t>
      </w:r>
    </w:p>
    <w:p>
      <w:pPr>
        <w:spacing w:after="0" w:line="200" w:lineRule="exact"/>
        <w:rPr>
          <w:rFonts w:ascii="Arial" w:cs="Arial" w:eastAsia="Arial" w:hAnsi="Arial"/>
          <w:sz w:val="16"/>
          <w:szCs w:val="16"/>
          <w:color w:val="auto"/>
          <w:vertAlign w:val="superscript"/>
        </w:rPr>
      </w:pPr>
    </w:p>
    <w:p>
      <w:pPr>
        <w:spacing w:after="0" w:line="397" w:lineRule="exact"/>
        <w:rPr>
          <w:rFonts w:ascii="Arial" w:cs="Arial" w:eastAsia="Arial" w:hAnsi="Arial"/>
          <w:sz w:val="16"/>
          <w:szCs w:val="16"/>
          <w:color w:val="auto"/>
          <w:vertAlign w:val="superscript"/>
        </w:rPr>
      </w:pPr>
    </w:p>
    <w:p>
      <w:pPr>
        <w:ind w:left="5540"/>
        <w:spacing w:after="0"/>
        <w:rPr>
          <w:rFonts w:ascii="Arial" w:cs="Arial" w:eastAsia="Arial" w:hAnsi="Arial"/>
          <w:sz w:val="16"/>
          <w:szCs w:val="16"/>
          <w:color w:val="auto"/>
          <w:vertAlign w:val="superscript"/>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00497F"/>
        </w:rPr>
        <w:t>Performance Graph</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graph compares the cumulative total return for our common shares (stock price change plus reinvested dividends) with the comparable return of three indices: S&amp;P Mid Cap 400, Dow Jones US Transportation Services, and Alerian MLP. The graph assumes an investment of $100 in our common shares and in each of the indices on December 31, 2015, and that all dividends were reinvested. The past performance of our shares is not an indication of future performance.</w:t>
      </w:r>
    </w:p>
    <w:p>
      <w:pPr>
        <w:spacing w:after="0" w:line="73"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108" w:lineRule="exact"/>
        <w:rPr>
          <w:sz w:val="20"/>
          <w:szCs w:val="20"/>
          <w:color w:val="auto"/>
        </w:rPr>
      </w:pPr>
    </w:p>
    <w:p>
      <w:pPr>
        <w:ind w:left="4260" w:right="40" w:hanging="3725"/>
        <w:spacing w:after="0" w:line="287" w:lineRule="auto"/>
        <w:rPr>
          <w:sz w:val="20"/>
          <w:szCs w:val="20"/>
          <w:color w:val="auto"/>
        </w:rPr>
      </w:pPr>
      <w:r>
        <w:rPr>
          <w:rFonts w:ascii="Arial" w:cs="Arial" w:eastAsia="Arial" w:hAnsi="Arial"/>
          <w:sz w:val="18"/>
          <w:szCs w:val="18"/>
          <w:b w:val="1"/>
          <w:bCs w:val="1"/>
          <w:color w:val="auto"/>
        </w:rPr>
        <w:t>Among Fortress Transportation &amp; Infrastructure Investors LLC, the S&amp;P Midcap 400 Index, the Dow Jones US Transportation Services Index and Alerian MLP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43180</wp:posOffset>
            </wp:positionV>
            <wp:extent cx="5837555" cy="3257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755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*$100 each invested on December 31, 2015 in stock and index, including reinvestment of dividends. Fiscal year ending December 31.</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ind w:left="20"/>
              <w:spacing w:after="0"/>
              <w:rPr>
                <w:sz w:val="20"/>
                <w:szCs w:val="20"/>
                <w:color w:val="auto"/>
              </w:rPr>
            </w:pPr>
            <w:r>
              <w:rPr>
                <w:rFonts w:ascii="Arial" w:cs="Arial" w:eastAsia="Arial" w:hAnsi="Arial"/>
                <w:sz w:val="14"/>
                <w:szCs w:val="14"/>
                <w:i w:val="1"/>
                <w:iCs w:val="1"/>
                <w:color w:val="auto"/>
              </w:rPr>
              <w:t>(in whole dollars)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Index</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3"/>
        </w:trPr>
        <w:tc>
          <w:tcPr>
            <w:tcW w:w="28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Fortress Transportation &amp; Infrastructure</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133.19</w:t>
            </w:r>
          </w:p>
        </w:tc>
        <w:tc>
          <w:tcPr>
            <w:tcW w:w="1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216.06</w:t>
            </w:r>
          </w:p>
        </w:tc>
        <w:tc>
          <w:tcPr>
            <w:tcW w:w="1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168.13</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248.60</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332.80</w:t>
            </w:r>
          </w:p>
        </w:tc>
        <w:tc>
          <w:tcPr>
            <w:tcW w:w="0" w:type="dxa"/>
            <w:vAlign w:val="bottom"/>
          </w:tcPr>
          <w:p>
            <w:pPr>
              <w:spacing w:after="0"/>
              <w:rPr>
                <w:sz w:val="1"/>
                <w:szCs w:val="1"/>
                <w:color w:val="auto"/>
              </w:rPr>
            </w:pPr>
          </w:p>
        </w:tc>
      </w:tr>
      <w:tr>
        <w:trPr>
          <w:trHeight w:val="105"/>
        </w:trPr>
        <w:tc>
          <w:tcPr>
            <w:tcW w:w="2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Investors LLC</w:t>
            </w:r>
          </w:p>
        </w:tc>
        <w:tc>
          <w:tcPr>
            <w:tcW w:w="30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88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S&amp;P Midcap 400</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120.74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140.35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124.80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179.00</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Dow Jones US Transportation Services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164.29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161.47</w:t>
            </w:r>
          </w:p>
        </w:tc>
        <w:tc>
          <w:tcPr>
            <w:tcW w:w="0" w:type="dxa"/>
            <w:vAlign w:val="bottom"/>
          </w:tcPr>
          <w:p>
            <w:pPr>
              <w:spacing w:after="0"/>
              <w:rPr>
                <w:sz w:val="1"/>
                <w:szCs w:val="1"/>
                <w:color w:val="auto"/>
              </w:rPr>
            </w:pPr>
          </w:p>
        </w:tc>
      </w:tr>
      <w:tr>
        <w:trPr>
          <w:trHeight w:val="191"/>
        </w:trPr>
        <w:tc>
          <w:tcPr>
            <w:tcW w:w="2880" w:type="dxa"/>
            <w:vAlign w:val="bottom"/>
          </w:tcPr>
          <w:p>
            <w:pPr>
              <w:ind w:left="20"/>
              <w:spacing w:after="0"/>
              <w:rPr>
                <w:sz w:val="20"/>
                <w:szCs w:val="20"/>
                <w:color w:val="auto"/>
              </w:rPr>
            </w:pPr>
            <w:r>
              <w:rPr>
                <w:rFonts w:ascii="Arial" w:cs="Arial" w:eastAsia="Arial" w:hAnsi="Arial"/>
                <w:sz w:val="14"/>
                <w:szCs w:val="14"/>
                <w:color w:val="auto"/>
              </w:rPr>
              <w:t>Alerian MLP</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110.59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96.86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73.60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00497F"/>
        </w:rPr>
        <w:t>Item 6. Selected Financial Data</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selected historical financial information set forth below as of and for the years ended December 31, 2020, 2019, 2018, 2017 and 2016 has been derived from our audited historical consolidated financial statements.</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information below should be read in conjunction with “Management's Discussion and Analysis of Financial Condition and Results of Operations,” included in Item 7 and the consolidated financial statements and notes thereto included in Item 8 in this Annual Report on Form 10-K.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As of and for the 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297,934</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349,322</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253,039</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170,000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101,949</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68,562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229,452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89,073</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15,934</w:t>
            </w: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366,496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578,774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342,112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185,052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117,883</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460,642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631,493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367,143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157,503</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(16,782)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204,851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18,297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128"/>
        </w:trPr>
        <w:tc>
          <w:tcPr>
            <w:tcW w:w="40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(Loss) income from continuing operations before income</w:t>
            </w:r>
          </w:p>
        </w:tc>
        <w:tc>
          <w:tcPr>
            <w:tcW w:w="3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(110,928)</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152,132</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(17,657)</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(20,549)</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(40,935)</w:t>
            </w: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3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(5,905)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income from continuing operations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(105,023)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134,322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(41,203)</w:t>
            </w:r>
          </w:p>
        </w:tc>
        <w:tc>
          <w:tcPr>
            <w:tcW w:w="0" w:type="dxa"/>
            <w:vAlign w:val="bottom"/>
          </w:tcPr>
          <w:p>
            <w:pPr>
              <w:spacing w:after="0"/>
              <w:rPr>
                <w:sz w:val="1"/>
                <w:szCs w:val="1"/>
                <w:color w:val="auto"/>
              </w:rPr>
            </w:pPr>
          </w:p>
        </w:tc>
      </w:tr>
      <w:tr>
        <w:trPr>
          <w:trHeight w:val="153"/>
        </w:trPr>
        <w:tc>
          <w:tcPr>
            <w:tcW w:w="4080" w:type="dxa"/>
            <w:vAlign w:val="bottom"/>
          </w:tcPr>
          <w:p>
            <w:pPr>
              <w:ind w:left="140"/>
              <w:spacing w:after="0" w:line="153" w:lineRule="exact"/>
              <w:rPr>
                <w:sz w:val="20"/>
                <w:szCs w:val="20"/>
                <w:color w:val="auto"/>
              </w:rPr>
            </w:pPr>
            <w:r>
              <w:rPr>
                <w:rFonts w:ascii="Arial" w:cs="Arial" w:eastAsia="Arial" w:hAnsi="Arial"/>
                <w:sz w:val="14"/>
                <w:szCs w:val="14"/>
                <w:color w:val="auto"/>
              </w:rPr>
              <w:t>Net income (loss) from discontinued operations, net of</w:t>
            </w: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1,331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73,462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4,402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(103,692)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207,784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(40,598)</w:t>
            </w:r>
          </w:p>
        </w:tc>
        <w:tc>
          <w:tcPr>
            <w:tcW w:w="0" w:type="dxa"/>
            <w:vAlign w:val="bottom"/>
          </w:tcPr>
          <w:p>
            <w:pPr>
              <w:spacing w:after="0"/>
              <w:rPr>
                <w:sz w:val="1"/>
                <w:szCs w:val="1"/>
                <w:color w:val="auto"/>
              </w:rPr>
            </w:pPr>
          </w:p>
        </w:tc>
      </w:tr>
      <w:tr>
        <w:trPr>
          <w:trHeight w:val="133"/>
        </w:trPr>
        <w:tc>
          <w:tcPr>
            <w:tcW w:w="4080" w:type="dxa"/>
            <w:vAlign w:val="bottom"/>
          </w:tcPr>
          <w:p>
            <w:pPr>
              <w:ind w:left="20"/>
              <w:spacing w:after="0" w:line="133" w:lineRule="exact"/>
              <w:rPr>
                <w:sz w:val="20"/>
                <w:szCs w:val="20"/>
                <w:color w:val="auto"/>
              </w:rPr>
            </w:pPr>
            <w:r>
              <w:rPr>
                <w:rFonts w:ascii="Arial" w:cs="Arial" w:eastAsia="Arial" w:hAnsi="Arial"/>
                <w:sz w:val="14"/>
                <w:szCs w:val="14"/>
                <w:color w:val="auto"/>
              </w:rPr>
              <w:t>Less: Net (loss) income attributable to non-controlling interest</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20"/>
              <w:spacing w:after="0"/>
              <w:rPr>
                <w:sz w:val="20"/>
                <w:szCs w:val="20"/>
                <w:color w:val="auto"/>
              </w:rPr>
            </w:pPr>
            <w:r>
              <w:rPr>
                <w:rFonts w:ascii="Arial" w:cs="Arial" w:eastAsia="Arial" w:hAnsi="Arial"/>
                <w:sz w:val="14"/>
                <w:szCs w:val="14"/>
                <w:color w:val="auto"/>
              </w:rPr>
              <w:t>in consolidated subsidiaries: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(20,557)</w:t>
            </w: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17,869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(105,039)</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223,270</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5,882</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(20,064)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0.85</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86,015,702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85,992,019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83,654,068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75,766,811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75,738,698</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86,015,702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86,029,363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83,664,833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75,766,811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75,738,698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per share of common stock</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As of and for the 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r>
      <w:tr>
        <w:trPr>
          <w:trHeight w:val="16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data:</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3,387,977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3,236,922</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2,638,778</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1,955,806</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1,547,312</w:t>
            </w: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1,904,762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1,420,928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1,215,108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680,751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247,357</w:t>
            </w: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2,288,656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1,898,065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1,584,996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920,731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381,632</w:t>
            </w: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1,099,321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1,338,857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1,053,782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1,035,075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1,165,680</w:t>
            </w:r>
          </w:p>
        </w:tc>
      </w:tr>
      <w:tr>
        <w:trPr>
          <w:trHeight w:val="216"/>
        </w:trPr>
        <w:tc>
          <w:tcPr>
            <w:tcW w:w="4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Net cash provided by (used in):</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63,106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151,043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133,697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30,903</w:t>
            </w:r>
          </w:p>
        </w:tc>
      </w:tr>
      <w:tr>
        <w:trPr>
          <w:trHeight w:val="189"/>
        </w:trPr>
        <w:tc>
          <w:tcPr>
            <w:tcW w:w="4080" w:type="dxa"/>
            <w:vAlign w:val="bottom"/>
          </w:tcPr>
          <w:p>
            <w:pPr>
              <w:ind w:left="14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(509,123)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(495,236)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(703,533)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(472,265)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(210,749)</w:t>
            </w:r>
          </w:p>
        </w:tc>
      </w:tr>
      <w:tr>
        <w:trPr>
          <w:trHeight w:val="189"/>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Financing activities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364,918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465,873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597,867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(89,971)</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 Management’s Discussion and Analysis of Financial Condition and Results of Operations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Our MD&amp;A should be read in conjunction with our consolidated financial statements and the accompanying notes, and with Part I, Item 1A, “Risk Factors” and “Forward-Looking Statements” included elsewhere in this Annual Report on Form 10-K.</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discussion of our results of operations and cash flows for 2019 compared to 2018 is included in our Annual Report on Form 10-K for the year ended December 31, 2019, under Part II, Item 7, Management's Discussion and Analysis of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the Manager, an affiliate of Fortress, which has a dedicated team of experienced professionals focused on the acquisition of transportation and infrastructure assets since 2002. As of December 31, 2020, we had total consolidated assets of $3.4 billion and total equity of $1.1 billion.</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While our strategy permits us to acquire a broad array of transportation-related assets, we are currently active in four sectors where we believe there are meaningful opportunities to deploy capital to achieve attractive risk adjusted returns: aviation, energy, intermodal transport and ports and terminals.</w:t>
      </w:r>
    </w:p>
    <w:p>
      <w:pPr>
        <w:spacing w:after="0" w:line="87" w:lineRule="exact"/>
        <w:rPr>
          <w:sz w:val="20"/>
          <w:szCs w:val="20"/>
          <w:color w:val="auto"/>
        </w:rPr>
      </w:pPr>
    </w:p>
    <w:p>
      <w:pPr>
        <w:ind w:left="660" w:hanging="328"/>
        <w:spacing w:after="0" w:line="26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Commercial air travel and air freight activity have historically been long-term growth sectors and are tied to the underlying demand for passenger and freight movement. We continue to see long-term demand for aviation related assets.</w:t>
      </w:r>
    </w:p>
    <w:p>
      <w:pPr>
        <w:spacing w:after="0" w:line="87" w:lineRule="exact"/>
        <w:rPr>
          <w:rFonts w:ascii="Arial" w:cs="Arial" w:eastAsia="Arial" w:hAnsi="Arial"/>
          <w:sz w:val="16"/>
          <w:szCs w:val="16"/>
          <w:color w:val="auto"/>
        </w:rPr>
      </w:pPr>
    </w:p>
    <w:p>
      <w:pPr>
        <w:jc w:val="both"/>
        <w:ind w:left="660" w:hanging="328"/>
        <w:spacing w:after="0" w:line="25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Offshore energy service equipment refers to vessels supporting the extraction, processing and transportation of oil and natural gas from deposits located beneath the sea floor, as well as the ongoing inspection, repair, maintenance and ultimate abandonment of subsea wells and associated infrastructure. The prolonged oil price decline has led to oil and gas companies reducing and deferring spending decisions, creating an oversupply of offshore energy assets, and in turn, lower day-rates, utilization and earnings for offshore service companies. These rates, however, have partially rebounded over the course of the past three years.</w:t>
      </w:r>
    </w:p>
    <w:p>
      <w:pPr>
        <w:spacing w:after="0" w:line="94"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intermodal transport market includes the efficient movement of goods throughout multiple modes of transportation, making it possible to move cargo from a point of origin to a final destination without repeated unpacking and repacking. Over the last year, new container prices have increased significantly.</w:t>
      </w:r>
    </w:p>
    <w:p>
      <w:pPr>
        <w:spacing w:after="0" w:line="9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Land-based infrastructure refers to facilities that enable the storage, unloading, loading and movement of crude oil and refined products from producers to end users, such as refineries. Customers of land-based infrastructure typically purchase capacity on a take-or-pay basis, and the economics of these assets directly relate to the volume of throughput.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00497F"/>
        </w:rPr>
        <w:t>Impact of COVID-19</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Due to the outbreak of COVID-19, we have taken measures to protect the health and safety of our employees, including having employees work remotely, where possible. Market conditions due to the outbreak of COVID-19 resulted in asset impairment charges and a decline in our equipment leasing revenues during the year ended December 31, 2020. A number of our lessees continue to experience increased financial stress due to the significant decline in travel demand, particularly as various regions experience spikes in COVID-19 cases. A number of these lessees have been placed on non-accrual status as of December 31, 2020; however, we believe our overall portfolio exposure is limited by maintenance reserves and security deposits which are secured against lessee defaults. The value of these deposits was $185.4 million as of December 31, 2020. The extent of the impact of the COVID-19 pandemic on our operational and financial performance will depend on future developments, including the duration, severity and spread of the pandemic, as well as additional waves of COVID-19 infections and the ultimate impact of related restrictions imposed by the U.S. and international governments, all of which remain uncertain. For additional detail, see Liquidity and Capital Resources and Item 1A. Risk Factors—“The COVID-19 pandemic has severely disrupted the global economy and may have, and the emergence of similar crises could have, material adverse effects on our business, results of operations or financial condition.”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three reportable segments: (i) Aviation Leasing, which is within the Equipment Leasing Business, and (ii) Jefferson Terminal and (iii) Ports and Terminals,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The Ports and Terminals segment consists of Repauno, a 1,630 acre deep-water port located along the Delaware River with an underground storage cavern and multiple industrial development opportunities. Additionally, Ports and Terminals includes an equity method investment (“Long Ridge”), which is a 1,660 acre multi-modal port located along the Ohio River with rail, dock, and multiple industrial development opportunities, including a power plant under construction.</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December 2019, we completed the sale of substantially all of our railroad business, which was formerly reported as our Railroad segment. Under ASC 205-20, this disposition met the criteria to be reported as discontinued operations and the assets, liabilities and results of operations have been presented as discontinued operations for all periods presented. Additionally, in accordance with ASC 280, we assessed our reportable segments and determined that our retained investment of the railroad business no longer met the requirement as a reportable segment. Accordingly, we have presented this operating segment, along with Corporate results, within Corporate and Other effective in 2019. All prior periods have been restated for historical comparison across segments.</w:t>
      </w:r>
    </w:p>
    <w:p>
      <w:pPr>
        <w:spacing w:after="0" w:line="2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long-term operating leases, (ii) an investment in an unconsolidated entity engaged in the leasing of shipping containers and (iii) railroad assets retained after the December 2019 sale, which consist of equipment that support a railcar cleaning business.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Note 2 to the consolidated financial statements; however, financial information presented by segment includes the impact of intercompany eliminations.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Organizational Restructuring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early 2020, we completed an organizational restructuring of the Aviation Leasing segment. Previously, Aviation Leasing’s employees were employed by the Manager and compensation and related costs associated with these employees were reimbursed to the Manager, per the Management Agreement. These costs were reported within Corporate and Other.</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Effective in the first quarter of 2020, Aviation Leasing’s employees are employed by one of our subsidiaries. Compensation and related costs incurred by this subsidiary are reported within the Aviation Leasing segment. Prior periods have been restated for historical comparison. See Note 17 to the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chief operating decision maker (“CODM”) utilizes Adjusted EBITDA as the key performance measure. Adjusted EBITDA is not a financial measure in accordance with U.S. generally accepted accounting principles (“GAAP”). This performance measure provides the CODM with the information necessary to assess operational performance, as well as making resource and allocation decisions. We believe Adjusted EBITDA is a useful metric for investors and analysts for similar purposes of assessing our operational performance.</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 vs '19</w:t>
            </w:r>
          </w:p>
        </w:tc>
        <w:tc>
          <w:tcPr>
            <w:tcW w:w="260" w:type="dxa"/>
            <w:vAlign w:val="bottom"/>
          </w:tcPr>
          <w:p>
            <w:pPr>
              <w:spacing w:after="0"/>
              <w:rPr>
                <w:sz w:val="15"/>
                <w:szCs w:val="15"/>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'19 vs '18</w:t>
            </w:r>
          </w:p>
        </w:tc>
      </w:tr>
      <w:tr>
        <w:trPr>
          <w:trHeight w:val="16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177,476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207,101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49,911</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101,462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134,914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89,870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45,044</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r>
      <w:tr>
        <w:trPr>
          <w:trHeight w:val="18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16,736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12,077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w:t>
            </w: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297,934</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349,322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253,039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(51,388)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96,283</w:t>
            </w:r>
          </w:p>
        </w:tc>
      </w:tr>
      <w:tr>
        <w:trPr>
          <w:trHeight w:val="169"/>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50,887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42,965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7,922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32,857</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Crude marketing revenues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8,210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166,134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(157,924)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105,616</w:t>
            </w:r>
          </w:p>
        </w:tc>
      </w:tr>
      <w:tr>
        <w:trPr>
          <w:trHeight w:val="18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8,279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68,562</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229,452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89,073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(160,890)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140,379</w:t>
            </w:r>
          </w:p>
        </w:tc>
      </w:tr>
      <w:tr>
        <w:trPr>
          <w:trHeight w:val="18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366,496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578,774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342,112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(212,278)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236,662</w:t>
            </w:r>
          </w:p>
        </w:tc>
      </w:tr>
      <w:tr>
        <w:trPr>
          <w:trHeight w:val="209"/>
        </w:trPr>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109,512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138,406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153,166</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18,159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1,615</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9,868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10,655</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18,519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36,059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15,726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20,333</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172,400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35,115</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33,978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29,252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4,726</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98,206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95,585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56,845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2,621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38,740</w:t>
            </w:r>
          </w:p>
        </w:tc>
      </w:tr>
      <w:tr>
        <w:trPr>
          <w:trHeight w:val="18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460,642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631,493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367,143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(170,851)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264,350</w:t>
            </w:r>
          </w:p>
        </w:tc>
      </w:tr>
      <w:tr>
        <w:trPr>
          <w:trHeight w:val="209"/>
        </w:trPr>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(5,039)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203,250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(203,558)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199,339</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(11,667)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r>
      <w:tr>
        <w:trPr>
          <w:trHeight w:val="18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(16,782)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204,851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(221,633)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197,477</w:t>
            </w: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from continuing operations before income taxes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(110,928)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169,789</w:t>
            </w:r>
          </w:p>
        </w:tc>
      </w:tr>
      <w:tr>
        <w:trPr>
          <w:trHeight w:val="18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(5,905)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15,361</w:t>
            </w:r>
          </w:p>
        </w:tc>
      </w:tr>
      <w:tr>
        <w:trPr>
          <w:trHeight w:val="183"/>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income from continuing operations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(105,023)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154,428</w:t>
            </w:r>
          </w:p>
        </w:tc>
      </w:tr>
      <w:tr>
        <w:trPr>
          <w:trHeight w:val="189"/>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73,462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(72,131)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69,060</w:t>
            </w: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(103,692)</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207,784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(311,476)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223,488</w:t>
            </w:r>
          </w:p>
        </w:tc>
      </w:tr>
      <w:tr>
        <w:trPr>
          <w:trHeight w:val="133"/>
        </w:trPr>
        <w:tc>
          <w:tcPr>
            <w:tcW w:w="4520" w:type="dxa"/>
            <w:vAlign w:val="bottom"/>
          </w:tcPr>
          <w:p>
            <w:pPr>
              <w:ind w:left="20"/>
              <w:spacing w:after="0" w:line="133" w:lineRule="exact"/>
              <w:rPr>
                <w:sz w:val="20"/>
                <w:szCs w:val="20"/>
                <w:color w:val="auto"/>
              </w:rPr>
            </w:pPr>
            <w:r>
              <w:rPr>
                <w:rFonts w:ascii="Arial" w:cs="Arial" w:eastAsia="Arial" w:hAnsi="Arial"/>
                <w:sz w:val="14"/>
                <w:szCs w:val="14"/>
                <w:color w:val="auto"/>
              </w:rPr>
              <w:t>Less: Net (loss) income attributable to non-controlling interest in</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71"/>
        </w:trPr>
        <w:tc>
          <w:tcPr>
            <w:tcW w:w="452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(16,522)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4,354</w:t>
            </w:r>
          </w:p>
        </w:tc>
      </w:tr>
      <w:tr>
        <w:trPr>
          <w:trHeight w:val="189"/>
        </w:trPr>
        <w:tc>
          <w:tcPr>
            <w:tcW w:w="452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9"/>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17,869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w:t>
            </w: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(105,039)</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223,270</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5,882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(328,309)</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217,388</w:t>
            </w: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The following table sets forth a reconciliation of net (loss) income attributable to shareholders from continuing operations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 vs '19</w:t>
            </w:r>
          </w:p>
        </w:tc>
        <w:tc>
          <w:tcPr>
            <w:tcW w:w="260" w:type="dxa"/>
            <w:vAlign w:val="bottom"/>
          </w:tcPr>
          <w:p>
            <w:pPr>
              <w:spacing w:after="0"/>
              <w:rPr>
                <w:sz w:val="15"/>
                <w:szCs w:val="15"/>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'19 vs '18</w:t>
            </w:r>
          </w:p>
        </w:tc>
        <w:tc>
          <w:tcPr>
            <w:tcW w:w="0" w:type="dxa"/>
            <w:vAlign w:val="bottom"/>
          </w:tcPr>
          <w:p>
            <w:pPr>
              <w:spacing w:after="0"/>
              <w:rPr>
                <w:sz w:val="1"/>
                <w:szCs w:val="1"/>
                <w:color w:val="auto"/>
              </w:rPr>
            </w:pPr>
          </w:p>
        </w:tc>
      </w:tr>
      <w:tr>
        <w:trPr>
          <w:trHeight w:val="129"/>
        </w:trPr>
        <w:tc>
          <w:tcPr>
            <w:tcW w:w="45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(loss) income attributable to shareholders from continuing</w:t>
            </w:r>
          </w:p>
        </w:tc>
        <w:tc>
          <w:tcPr>
            <w:tcW w:w="28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(106,370)</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150,055</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1,819</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(256,425)</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148,236</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8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(5,905)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(23,715)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15,361</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9,868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17,623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10,655</w:t>
            </w:r>
          </w:p>
        </w:tc>
        <w:tc>
          <w:tcPr>
            <w:tcW w:w="0" w:type="dxa"/>
            <w:vAlign w:val="bottom"/>
          </w:tcPr>
          <w:p>
            <w:pPr>
              <w:spacing w:after="0"/>
              <w:rPr>
                <w:sz w:val="1"/>
                <w:szCs w:val="1"/>
                <w:color w:val="auto"/>
              </w:rPr>
            </w:pPr>
          </w:p>
        </w:tc>
      </w:tr>
      <w:tr>
        <w:trPr>
          <w:trHeight w:val="153"/>
        </w:trPr>
        <w:tc>
          <w:tcPr>
            <w:tcW w:w="4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11,667</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11,667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10,078</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33,978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20,824</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&amp; amortization expense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202,746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160,567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38,618</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98,206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95,585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56,845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2,621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38,740</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vertAlign w:val="subscript"/>
              </w:rPr>
              <w:t>(2)</w:t>
            </w:r>
            <w:r>
              <w:rPr>
                <w:rFonts w:ascii="Arial" w:cs="Arial" w:eastAsia="Arial" w:hAnsi="Arial"/>
                <w:sz w:val="14"/>
                <w:szCs w:val="14"/>
                <w:color w:val="auto"/>
              </w:rPr>
              <w:t>Add: Pro-rata share of Adjusted EBITDA from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5,039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2,664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(9,637)</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243,306</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503,408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215,872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(260,102)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287,536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04" w:lineRule="auto"/>
        <w:tabs>
          <w:tab w:leader="none" w:pos="172"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2020, 2019 and 2018: (i) depreciation and amortization expense of $172,400, $169,023 and $133,908, (ii) lease intangible amortization of $3,747, $7,181 and $8,588 and (iii) amortization for lease incentives of $26,599, $22,981 and $18,071, respectively.</w:t>
      </w:r>
    </w:p>
    <w:p>
      <w:pPr>
        <w:spacing w:after="0" w:line="1" w:lineRule="exact"/>
        <w:rPr>
          <w:rFonts w:ascii="Arial" w:cs="Arial" w:eastAsia="Arial" w:hAnsi="Arial"/>
          <w:sz w:val="19"/>
          <w:szCs w:val="19"/>
          <w:color w:val="auto"/>
          <w:vertAlign w:val="superscript"/>
        </w:rPr>
      </w:pPr>
    </w:p>
    <w:p>
      <w:pPr>
        <w:jc w:val="both"/>
        <w:ind w:left="180" w:hanging="172"/>
        <w:spacing w:after="0" w:line="215" w:lineRule="auto"/>
        <w:tabs>
          <w:tab w:leader="none" w:pos="175"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2020, 2019 and 2018: (i) net loss of $(5,435), $(2,563) and $(1,196), (ii) interest expense of $1,138, $131 and $477, (iii) depreciation and amortization expense of $5,513, $1,045 and $1,078, (iv) acquisition and transaction expense of $581, $0 and $0 and (v) changes in fair value of non-hedge derivative instruments of $(589), $0 and $0, respectively.</w:t>
      </w:r>
    </w:p>
    <w:p>
      <w:pPr>
        <w:spacing w:after="0" w:line="1" w:lineRule="exact"/>
        <w:rPr>
          <w:rFonts w:ascii="Arial" w:cs="Arial" w:eastAsia="Arial" w:hAnsi="Arial"/>
          <w:sz w:val="19"/>
          <w:szCs w:val="19"/>
          <w:color w:val="auto"/>
          <w:vertAlign w:val="superscript"/>
        </w:rPr>
      </w:pPr>
    </w:p>
    <w:p>
      <w:pPr>
        <w:jc w:val="both"/>
        <w:ind w:left="180" w:hanging="172"/>
        <w:spacing w:after="0" w:line="220" w:lineRule="auto"/>
        <w:tabs>
          <w:tab w:leader="none" w:pos="17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2020, 2019 and 2018: (i) equity based compensation of $374, $230 and $113, (ii) provision for income taxes of $59, $60 and $57, (iii) interest expense of $2,025, $3,400 and $4,624, (iv) depreciation and amortization expense of $6,149, $4,833 and $6,049, (v) changes in fair value of non-hedge derivative instruments of $38, $1,336 and $(1,099) and (vi) loss on extinguishment of debt of $992, $0 and $0,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2020 and 2019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ind w:right="360"/>
        <w:spacing w:after="0" w:line="387" w:lineRule="auto"/>
        <w:rPr>
          <w:sz w:val="20"/>
          <w:szCs w:val="20"/>
          <w:color w:val="auto"/>
        </w:rPr>
      </w:pPr>
      <w:r>
        <w:rPr>
          <w:rFonts w:ascii="Arial" w:cs="Arial" w:eastAsia="Arial" w:hAnsi="Arial"/>
          <w:sz w:val="16"/>
          <w:szCs w:val="16"/>
          <w:color w:val="auto"/>
        </w:rPr>
        <w:t>Total revenues decreased $212.3 million primarily due to lower revenues in the Jefferson Terminal, Aviation Leasing and Ports and Terminals segments. Equipment Leasing</w:t>
      </w:r>
    </w:p>
    <w:p>
      <w:pPr>
        <w:spacing w:after="0" w:line="1" w:lineRule="exact"/>
        <w:rPr>
          <w:sz w:val="20"/>
          <w:szCs w:val="20"/>
          <w:color w:val="auto"/>
        </w:rPr>
      </w:pPr>
    </w:p>
    <w:p>
      <w:pPr>
        <w:jc w:val="both"/>
        <w:ind w:left="660" w:hanging="328"/>
        <w:spacing w:after="0" w:line="253"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Maintenance revenue decreased by $33.5 million primarily due to lower aircraft and engine utilization as a result of the COVID-19 pandemic and lower end-of-lease maintenance compensation, partially offset by the recognition of maintenance deposits due to the early redelivery of eleven aircraft.</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Lease income decreased $29.6 million primarily due to an increase in aircraft redelivered, a decrease in the number of engines on lease and an increase in the number of customers placed on non-accrual status, partially offset by an increase in the number of aircraft placed on lease.</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revenue increased by $12.1 million, which primarily reflects (i) an increase of $9.4 million in the Aviation Leasing segment due to an increase in end-of-lease redelivery compensation and settlement of an engine loss and (ii) an increase of $2.6 million in the offshore energy business related to victualling income as our vessels were on-hire longer in 2020 compared to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Infrastructure</w:t>
      </w:r>
    </w:p>
    <w:p>
      <w:pPr>
        <w:spacing w:after="0" w:line="113" w:lineRule="exact"/>
        <w:rPr>
          <w:sz w:val="20"/>
          <w:szCs w:val="20"/>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Crude marketing revenues decreased $157.9 million primarily due to Jefferson Terminal exiting the crude marketing strategy in the fourth quarter of 2019. Revenues in 2020 include contracts executed in 2019 but delivered in 2020.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42" w:name="page43"/>
    <w:bookmarkEnd w:id="42"/>
    <w:p>
      <w:pPr>
        <w:jc w:val="both"/>
        <w:ind w:left="660" w:hanging="328"/>
        <w:spacing w:after="0" w:line="25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revenue decreased $8.7 million which primarily reflects (i) a decrease of $6.3 million at Long Ridge due to Long Ridge being accounted for as an equity method investment starting in the fourth quarter of 2019 (the “Long Ridge Transaction”), (ii) a decrease of $3.9 million at Repauno due to lower sales of butane, partially offset by (iii) an increase of $1.5 million in our railcar cleaning business due to higher volumes.</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Terminal services revenue increased $7.9 million which primarily reflects (i) an increase of $15.0 million due to increased activity and storage capacity at Jefferson Terminal, partially offset by (ii) a decrease of $7.1 million due to the Long Ridge Transaction.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decreased $170.9 million primarily due to decreases in (i) operating expenses, (ii) management fees and incentive allocation to affiliate and</w:t>
      </w:r>
    </w:p>
    <w:p>
      <w:pPr>
        <w:spacing w:after="0" w:line="5" w:lineRule="exact"/>
        <w:rPr>
          <w:sz w:val="20"/>
          <w:szCs w:val="20"/>
          <w:color w:val="auto"/>
        </w:rPr>
      </w:pPr>
    </w:p>
    <w:p>
      <w:pPr>
        <w:ind w:right="100" w:firstLine="8"/>
        <w:spacing w:after="0" w:line="387" w:lineRule="auto"/>
        <w:tabs>
          <w:tab w:leader="none" w:pos="2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acquisition and transaction expenses, partially offset by an increase in (iv) asset impairment, (v) depreciation and amortization and (vi) interest expense. Operating expenses decreased $182.1 million primarily due to decreases in:</w:t>
      </w:r>
    </w:p>
    <w:p>
      <w:pPr>
        <w:ind w:left="640" w:hanging="308"/>
        <w:spacing w:after="0"/>
        <w:tabs>
          <w:tab w:leader="none" w:pos="6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cost of sales of $167.2 million primarily due to Jefferson Terminal exiting the crude marketing strategy in the fourth quarter of 2019 and</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1"/>
          <w:numId w:val="20"/>
        </w:numPr>
        <w:rPr>
          <w:rFonts w:ascii="Arial" w:cs="Arial" w:eastAsia="Arial" w:hAnsi="Arial"/>
          <w:sz w:val="16"/>
          <w:szCs w:val="16"/>
          <w:color w:val="auto"/>
        </w:rPr>
      </w:pPr>
      <w:r>
        <w:rPr>
          <w:rFonts w:ascii="Arial" w:cs="Arial" w:eastAsia="Arial" w:hAnsi="Arial"/>
          <w:sz w:val="16"/>
          <w:szCs w:val="16"/>
          <w:color w:val="auto"/>
        </w:rPr>
        <w:t>facility operations of $8.7 million which primarily reflects (i) a decrease of $4.9 million at Jefferson Terminal due to lower railcar expenses associated with the crude marketing strategy and (ii) a decrease of $4.1 million due to the Long Ridge Transaction.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Management fees and incentive allocation to affiliate decreased $17.5 million which reflects (i) lower incentive fees of $21.2 million due to the decrease in gains on sale of assets, net, partially offset by (ii) an increase of $3.7 million in the base management fee as our average total equity was higher in 2020 compared to 2019.</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Acquisition and transaction expenses decreased $7.8 million which primarily reflects lower professional fees and other acquisition-related costs due to fewer transactions in 2020 compared to 2019.</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Asset impairment increased $29.3 million primarily due to asset impairment charges in 2020 in the Aviation Leasing segment. See Note 4 to the consolidated financial statements for additional information.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Depreciation and amortization increased $3.4 million which primarily reflects (i) an increase of $6.2 million due to assets placed into service at Jefferson Terminal, (ii) an increase of $4.9 million in the Aviation Leasing segment primarily due to a change in the estimated useful lives and residual values of certain aircraft engines and additional assets owned and on lease, partially offset by (iii) a decrease of $8.4 million due to the Long Ridge Transaction.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$2.6 million primarily due to:</w:t>
      </w:r>
    </w:p>
    <w:p>
      <w:pPr>
        <w:spacing w:after="0" w:line="113" w:lineRule="exact"/>
        <w:rPr>
          <w:sz w:val="20"/>
          <w:szCs w:val="20"/>
          <w:color w:val="auto"/>
        </w:rPr>
      </w:pPr>
    </w:p>
    <w:p>
      <w:pPr>
        <w:jc w:val="both"/>
        <w:ind w:left="660" w:hanging="328"/>
        <w:spacing w:after="0" w:line="253"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of $9.8 million in Corporate and Other primarily due to (i) the issuance of $400 million of senior notes due 2027 (“2027 Notes”), (ii) an increase in the average outstanding debt of $83.6 million for the senior notes due 2025 (“2025 Notes”), partially offset by (iii) a decrease in interest expense related to the FTAI Pride Credit Agreement which was repaid in full in March 2020; and</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decrease of $6.8 million at Jefferson Terminal due to the issuance of the Series 2020 Bonds (“Jefferson Refinancing”), which reduced its weighted average interest rate. See Note 9 to the consolidated financial statements for additional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decreased $221.6 million which primarily reflects:</w:t>
      </w:r>
    </w:p>
    <w:p>
      <w:pPr>
        <w:spacing w:after="0" w:line="113" w:lineRule="exact"/>
        <w:rPr>
          <w:sz w:val="20"/>
          <w:szCs w:val="20"/>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decrease of $203.6 million in gains on sale of assets, net due to the Long Ridge Transaction and asset sales in the Aviation Leasing segment in 2019;</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loss on extinguishment of debt of $11.7 million due to (i) the early repayment of $300 million of senior unsecured notes due 2022 (“2022 Notes”) in December 2020 and (ii) the Jefferson Refinancing. See Note 9 to the consolidated financial statements for additional information;</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decrease in other income of $3.4 million due to the Long Ridge Transaction;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increase of $2.7 million in equity in losses of unconsolidated entities.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income taxes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provision for income taxes decreased $23.7 million which primarily reflects deferred tax expense in 2019 due to the gain on sale for the Long Ridge Transaction.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from continuing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income from continuing operations decreased $239.3 million primarily due to the changes discussed above.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i w:val="1"/>
          <w:iCs w:val="1"/>
          <w:color w:val="00497F"/>
        </w:rPr>
        <w:t>Net income from discontinued operations, net of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income from discontinued operations, net of income taxes decreased $72.1 million due to the sale of our railroad business in December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$260.1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in our Aviation Leasing segment, we own and manage 264 aviation assets, consisting of 78 commercial aircraft and 186 engines.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December 31, 2020, 70 of our commercial aircraft and 111 of our engines were leased to operators or other third parties. Aviation assets currently off lease are either undergoing repair and/or maintenance, being prepared to go on lease or held in short term storage awaiting a future lease. Our aviation equipment was approximately 73% utilized during the three months ended December 31, 2020, based on the percent of days on-lease in the quarter weighted by the monthly average equity value of our aviation leasing equipment, excluding airframes. Our aircraft currently have a weighted average remaining lease term of 39 months, and our engines currently on-lease have an average remaining lease term of 22 months. The table below provides additional information on the assets in our Aviation Leasing segment: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500" w:type="dxa"/>
            <w:vAlign w:val="bottom"/>
            <w:gridSpan w:val="3"/>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64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20" w:type="dxa"/>
            <w:vAlign w:val="bottom"/>
            <w:shd w:val="clear" w:color="auto" w:fill="00497F"/>
          </w:tcPr>
          <w:p>
            <w:pPr>
              <w:spacing w:after="0"/>
              <w:rPr>
                <w:sz w:val="16"/>
                <w:szCs w:val="16"/>
                <w:color w:val="auto"/>
              </w:rPr>
            </w:pPr>
          </w:p>
        </w:tc>
        <w:tc>
          <w:tcPr>
            <w:tcW w:w="100" w:type="dxa"/>
            <w:vAlign w:val="bottom"/>
            <w:shd w:val="clear" w:color="auto" w:fill="00497F"/>
          </w:tcPr>
          <w:p>
            <w:pPr>
              <w:spacing w:after="0"/>
              <w:rPr>
                <w:sz w:val="16"/>
                <w:szCs w:val="16"/>
                <w:color w:val="auto"/>
              </w:rPr>
            </w:pPr>
          </w:p>
        </w:tc>
        <w:tc>
          <w:tcPr>
            <w:tcW w:w="1700" w:type="dxa"/>
            <w:vAlign w:val="bottom"/>
            <w:shd w:val="clear" w:color="auto" w:fill="00497F"/>
          </w:tcPr>
          <w:p>
            <w:pPr>
              <w:ind w:left="68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16"/>
                <w:szCs w:val="16"/>
                <w:color w:val="auto"/>
              </w:rPr>
            </w:pPr>
          </w:p>
        </w:tc>
        <w:tc>
          <w:tcPr>
            <w:tcW w:w="100" w:type="dxa"/>
            <w:vAlign w:val="bottom"/>
            <w:shd w:val="clear" w:color="auto" w:fill="00497F"/>
          </w:tcPr>
          <w:p>
            <w:pPr>
              <w:spacing w:after="0"/>
              <w:rPr>
                <w:sz w:val="16"/>
                <w:szCs w:val="16"/>
                <w:color w:val="auto"/>
              </w:rPr>
            </w:pPr>
          </w:p>
        </w:tc>
        <w:tc>
          <w:tcPr>
            <w:tcW w:w="2160" w:type="dxa"/>
            <w:vAlign w:val="bottom"/>
            <w:shd w:val="clear" w:color="auto" w:fill="00497F"/>
          </w:tcPr>
          <w:p>
            <w:pPr>
              <w:jc w:val="right"/>
              <w:ind w:right="828"/>
              <w:spacing w:after="0"/>
              <w:rPr>
                <w:sz w:val="20"/>
                <w:szCs w:val="20"/>
                <w:color w:val="auto"/>
              </w:rPr>
            </w:pPr>
            <w:r>
              <w:rPr>
                <w:rFonts w:ascii="Arial" w:cs="Arial" w:eastAsia="Arial" w:hAnsi="Arial"/>
                <w:sz w:val="14"/>
                <w:szCs w:val="14"/>
                <w:b w:val="1"/>
                <w:bCs w:val="1"/>
                <w:color w:val="FFFFFF"/>
              </w:rPr>
              <w:t>Total</w:t>
            </w:r>
          </w:p>
        </w:tc>
      </w:tr>
      <w:tr>
        <w:trPr>
          <w:trHeight w:val="162"/>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89"/>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2020</w:t>
            </w:r>
          </w:p>
        </w:tc>
        <w:tc>
          <w:tcPr>
            <w:tcW w:w="16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w:t>
            </w:r>
          </w:p>
        </w:tc>
      </w:tr>
      <w:tr>
        <w:trPr>
          <w:trHeight w:val="189"/>
        </w:trPr>
        <w:tc>
          <w:tcPr>
            <w:tcW w:w="4500" w:type="dxa"/>
            <w:vAlign w:val="bottom"/>
            <w:gridSpan w:val="3"/>
          </w:tcPr>
          <w:p>
            <w:pPr>
              <w:ind w:left="20"/>
              <w:spacing w:after="0"/>
              <w:rPr>
                <w:sz w:val="20"/>
                <w:szCs w:val="20"/>
                <w:color w:val="auto"/>
              </w:rPr>
            </w:pPr>
            <w:r>
              <w:rPr>
                <w:rFonts w:ascii="Arial" w:cs="Arial" w:eastAsia="Arial" w:hAnsi="Arial"/>
                <w:sz w:val="14"/>
                <w:szCs w:val="14"/>
                <w:color w:val="auto"/>
              </w:rPr>
              <w:t>Purchases</w:t>
            </w:r>
          </w:p>
        </w:tc>
        <w:tc>
          <w:tcPr>
            <w:tcW w:w="16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1640" w:type="dxa"/>
            <w:vAlign w:val="bottom"/>
            <w:shd w:val="clear" w:color="auto" w:fill="CCEEFF"/>
          </w:tcPr>
          <w:p>
            <w:pPr>
              <w:spacing w:after="0"/>
              <w:rPr>
                <w:sz w:val="16"/>
                <w:szCs w:val="16"/>
                <w:color w:val="auto"/>
              </w:rPr>
            </w:pPr>
          </w:p>
        </w:tc>
        <w:tc>
          <w:tcPr>
            <w:tcW w:w="2320" w:type="dxa"/>
            <w:vAlign w:val="bottom"/>
            <w:gridSpan w:val="3"/>
            <w:shd w:val="clear" w:color="auto" w:fill="CCEEFF"/>
          </w:tcPr>
          <w:p>
            <w:pPr>
              <w:jc w:val="right"/>
              <w:ind w:right="178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Transfers</w:t>
            </w:r>
          </w:p>
        </w:tc>
        <w:tc>
          <w:tcPr>
            <w:tcW w:w="16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183"/>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Assets at December 31, 2020</w:t>
            </w:r>
          </w:p>
        </w:tc>
        <w:tc>
          <w:tcPr>
            <w:tcW w:w="16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162"/>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6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960" w:type="dxa"/>
            <w:vAlign w:val="bottom"/>
            <w:tcBorders>
              <w:left w:val="single" w:sz="8" w:color="auto"/>
            </w:tcBorders>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r>
        <w:trPr>
          <w:trHeight w:val="189"/>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at January 1, 2020</w:t>
            </w:r>
          </w:p>
        </w:tc>
        <w:tc>
          <w:tcPr>
            <w:tcW w:w="16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164</w:t>
            </w:r>
          </w:p>
        </w:tc>
      </w:tr>
      <w:tr>
        <w:trPr>
          <w:trHeight w:val="189"/>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16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9"/>
        </w:trPr>
        <w:tc>
          <w:tcPr>
            <w:tcW w:w="4500" w:type="dxa"/>
            <w:vAlign w:val="bottom"/>
            <w:gridSpan w:val="3"/>
          </w:tcPr>
          <w:p>
            <w:pPr>
              <w:ind w:left="20"/>
              <w:spacing w:after="0"/>
              <w:rPr>
                <w:sz w:val="20"/>
                <w:szCs w:val="20"/>
                <w:color w:val="auto"/>
              </w:rPr>
            </w:pPr>
            <w:r>
              <w:rPr>
                <w:rFonts w:ascii="Arial" w:cs="Arial" w:eastAsia="Arial" w:hAnsi="Arial"/>
                <w:sz w:val="14"/>
                <w:szCs w:val="14"/>
                <w:color w:val="auto"/>
              </w:rPr>
              <w:t>Sales</w:t>
            </w:r>
          </w:p>
        </w:tc>
        <w:tc>
          <w:tcPr>
            <w:tcW w:w="16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Transfers</w:t>
            </w:r>
          </w:p>
        </w:tc>
        <w:tc>
          <w:tcPr>
            <w:tcW w:w="16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at December 31, 2020</w:t>
            </w:r>
          </w:p>
        </w:tc>
        <w:tc>
          <w:tcPr>
            <w:tcW w:w="16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 vs '19</w:t>
            </w:r>
          </w:p>
        </w:tc>
        <w:tc>
          <w:tcPr>
            <w:tcW w:w="260" w:type="dxa"/>
            <w:vAlign w:val="bottom"/>
          </w:tcPr>
          <w:p>
            <w:pPr>
              <w:spacing w:after="0"/>
              <w:rPr>
                <w:sz w:val="15"/>
                <w:szCs w:val="15"/>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'19 vs '18</w:t>
            </w:r>
          </w:p>
        </w:tc>
        <w:tc>
          <w:tcPr>
            <w:tcW w:w="0" w:type="dxa"/>
            <w:vAlign w:val="bottom"/>
          </w:tcPr>
          <w:p>
            <w:pPr>
              <w:spacing w:after="0"/>
              <w:rPr>
                <w:sz w:val="1"/>
                <w:szCs w:val="1"/>
                <w:color w:val="auto"/>
              </w:rPr>
            </w:pPr>
          </w:p>
        </w:tc>
      </w:tr>
      <w:tr>
        <w:trPr>
          <w:trHeight w:val="16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166,331</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197,305</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151,531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(30,974)</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45,774</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101,462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134,914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45,044</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11,158</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9,350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281,211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336,675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244,270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(55,464)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92,405</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20,667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6,683</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6,687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4,611</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133,904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26,571</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33,978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33,978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195,236</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155,299</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117,434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39,937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37,865</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of assets, net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78,043</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(2,138)</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80,229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(82,367)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76,859</w:t>
            </w: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83,837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261,605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130,206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(177,768)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131,399</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88,649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258,779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127,926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(170,130)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130,853</w:t>
            </w:r>
          </w:p>
        </w:tc>
        <w:tc>
          <w:tcPr>
            <w:tcW w:w="0" w:type="dxa"/>
            <w:vAlign w:val="bottom"/>
          </w:tcPr>
          <w:p>
            <w:pPr>
              <w:spacing w:after="0"/>
              <w:rPr>
                <w:sz w:val="1"/>
                <w:szCs w:val="1"/>
                <w:color w:val="auto"/>
              </w:rPr>
            </w:pPr>
          </w:p>
        </w:tc>
      </w:tr>
      <w:tr>
        <w:trPr>
          <w:trHeight w:val="133"/>
        </w:trPr>
        <w:tc>
          <w:tcPr>
            <w:tcW w:w="45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88,649</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258,779</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127,950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(170,130)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130,829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 vs '19</w:t>
            </w:r>
          </w:p>
        </w:tc>
        <w:tc>
          <w:tcPr>
            <w:tcW w:w="260" w:type="dxa"/>
            <w:vAlign w:val="bottom"/>
          </w:tcPr>
          <w:p>
            <w:pPr>
              <w:spacing w:after="0"/>
              <w:rPr>
                <w:sz w:val="15"/>
                <w:szCs w:val="15"/>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'19 vs '18</w:t>
            </w:r>
          </w:p>
        </w:tc>
        <w:tc>
          <w:tcPr>
            <w:tcW w:w="0" w:type="dxa"/>
            <w:vAlign w:val="bottom"/>
          </w:tcPr>
          <w:p>
            <w:pPr>
              <w:spacing w:after="0"/>
              <w:rPr>
                <w:sz w:val="1"/>
                <w:szCs w:val="1"/>
                <w:color w:val="auto"/>
              </w:rPr>
            </w:pPr>
          </w:p>
        </w:tc>
      </w:tr>
      <w:tr>
        <w:trPr>
          <w:trHeight w:val="18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88,649</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258,779</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127,950</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(170,130)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130,829</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(4,812)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2,280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6,687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4,611</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33,978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164,250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129,078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5,098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30,074</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vertAlign w:val="subscript"/>
              </w:rPr>
              <w:t>(2)</w:t>
            </w:r>
            <w:r>
              <w:rPr>
                <w:rFonts w:ascii="Arial" w:cs="Arial" w:eastAsia="Arial" w:hAnsi="Arial"/>
                <w:sz w:val="14"/>
                <w:szCs w:val="14"/>
                <w:color w:val="auto"/>
              </w:rPr>
              <w:t>Add: Pro-rata share of Adjusted EBITDA from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1,932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743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288,752</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429,398</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263,166</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(140,646)</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166,232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04" w:lineRule="auto"/>
        <w:tabs>
          <w:tab w:leader="none" w:pos="172"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2020, 2019 and 2018: (i) depreciation expense of $133,904, $128,990 and $102,419, (ii) lease intangible amortization of $3,747, $7,181 and $8,588 and (iii) amortization for lease incentives of $26,599, $22,981 and $18,071, respectively.</w:t>
      </w:r>
    </w:p>
    <w:p>
      <w:pPr>
        <w:spacing w:after="0" w:line="1" w:lineRule="exact"/>
        <w:rPr>
          <w:rFonts w:ascii="Arial" w:cs="Arial" w:eastAsia="Arial" w:hAnsi="Arial"/>
          <w:sz w:val="19"/>
          <w:szCs w:val="19"/>
          <w:color w:val="auto"/>
          <w:vertAlign w:val="superscript"/>
        </w:rPr>
      </w:pPr>
    </w:p>
    <w:p>
      <w:pPr>
        <w:ind w:left="180" w:hanging="172"/>
        <w:spacing w:after="0"/>
        <w:tabs>
          <w:tab w:leader="none" w:pos="172"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the proportionate share of the unconsolidated entities' net income adjusted for the excluded and included items detailed in the table, for which there were no adjustments.</w:t>
      </w:r>
    </w:p>
    <w:p>
      <w:pPr>
        <w:spacing w:after="0" w:line="105" w:lineRule="exact"/>
        <w:rPr>
          <w:rFonts w:ascii="Arial" w:cs="Arial" w:eastAsia="Arial" w:hAnsi="Arial"/>
          <w:sz w:val="19"/>
          <w:szCs w:val="19"/>
          <w:color w:val="auto"/>
          <w:vertAlign w:val="superscript"/>
        </w:rPr>
      </w:pPr>
    </w:p>
    <w:p>
      <w:pPr>
        <w:ind w:left="160" w:hanging="152"/>
        <w:spacing w:after="0" w:line="199" w:lineRule="auto"/>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depreciation and amortization expense of $172 for the year ended December 31, 2018.</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2020 and 2019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decreased $55.5 million driven by lower lease income and maintenance revenue partially offset by higher other revenue.</w:t>
      </w:r>
    </w:p>
    <w:p>
      <w:pPr>
        <w:spacing w:after="0" w:line="113" w:lineRule="exact"/>
        <w:rPr>
          <w:sz w:val="20"/>
          <w:szCs w:val="20"/>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Maintenance revenue decreased $33.5 million primarily due to lower aircraft and engine utilization as a result of the COVID-19 pandemic and lower end-of-lease maintenance compensation, partially offset by the recognition of maintenance deposits due to the early redelivery of eleven aircraft.</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Lease income decreased $31.0 million primarily due to an increase in aircraft redelivered, a decrease in the number of engines on lease and an increase in the number of customers placed on non-accrual status, partially offset by an increase in the number of aircraft placed on lease.</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revenue increased $9.4 million primarily due to the increase in end-of lease redelivery compensation and settlement of an engine loss.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$39.9 million primarily due to an increase in asset impairment, depreciation and amortization expense and operating expenses, partially offset by a decrease in acquisition and transaction expense.</w:t>
      </w:r>
    </w:p>
    <w:p>
      <w:pPr>
        <w:spacing w:after="0" w:line="87" w:lineRule="exact"/>
        <w:rPr>
          <w:sz w:val="20"/>
          <w:szCs w:val="20"/>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Asset impairment increased $34.0 million for the adjustment of the carrying value of leasing equipment to fair value, net of redelivery compensation. See Note 4 to the consolidated financial statements for additional information.</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Depreciation and amortization expense increased $4.9 million driven by a change in the estimated useful lives and residual values of certain aircraft engines and additional assets owned and on lease, partially offset by additional aircraft redelivered and parted out into our engine leasing pool.</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Operating expenses increased $3.0 million primarily as a result of an increase in shipping and storage fees, compensation and benefit expense and professional fees, partially offset by a decrease in repairs and maintenance expenses and other operating expenses.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Acquisition and transaction expense decreased $2.0 million driven by lower compensation and related costs associated with the acquisition of aviation leasing equipment.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decreased $82.4 million primarily due to a decrease of $82.3 million in gain on the sale of leasing equipment in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$140.6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'20 vs '19</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'19 vs '18</w:t>
            </w:r>
          </w:p>
        </w:tc>
        <w:tc>
          <w:tcPr>
            <w:tcW w:w="0" w:type="dxa"/>
            <w:vAlign w:val="bottom"/>
          </w:tcPr>
          <w:p>
            <w:pPr>
              <w:spacing w:after="0"/>
              <w:rPr>
                <w:sz w:val="1"/>
                <w:szCs w:val="1"/>
                <w:color w:val="auto"/>
              </w:rPr>
            </w:pPr>
          </w:p>
        </w:tc>
      </w:tr>
      <w:tr>
        <w:trPr>
          <w:trHeight w:val="16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1,186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2,306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50,887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35,908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25,800</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8,210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166,134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60,518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(157,924)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105,616</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60,283</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204,348</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70,985</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(144,065)</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133,363</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53,072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231,506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136,884</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29,034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22,873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19,745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6,161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3,128</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9,426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16,189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15,513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91,532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270,568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129,880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(179,036)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140,688</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4,636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4,636</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(4,640)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5,096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(35,889)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25,235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(5,908)</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(36,167)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(61,408)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(55,477)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25,241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(5,931)</w:t>
            </w:r>
          </w:p>
        </w:tc>
        <w:tc>
          <w:tcPr>
            <w:tcW w:w="0" w:type="dxa"/>
            <w:vAlign w:val="bottom"/>
          </w:tcPr>
          <w:p>
            <w:pPr>
              <w:spacing w:after="0"/>
              <w:rPr>
                <w:sz w:val="1"/>
                <w:szCs w:val="1"/>
                <w:color w:val="auto"/>
              </w:rPr>
            </w:pPr>
          </w:p>
        </w:tc>
      </w:tr>
      <w:tr>
        <w:trPr>
          <w:trHeight w:val="133"/>
        </w:trPr>
        <w:tc>
          <w:tcPr>
            <w:tcW w:w="458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(16,483)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(17,356)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(21,801)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873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4,445</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(19,684)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(44,052)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(33,676)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24,368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7"/>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'20 vs '19</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'19 vs '18</w:t>
            </w: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(19,684)</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(44,052)</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(33,676)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24,368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(10,376)</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4,724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11,887</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29,034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3,128</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9,426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15,513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vertAlign w:val="subscript"/>
              </w:rPr>
              <w:t>(1)</w:t>
            </w:r>
            <w:r>
              <w:rPr>
                <w:rFonts w:ascii="Arial" w:cs="Arial" w:eastAsia="Arial" w:hAnsi="Arial"/>
                <w:sz w:val="14"/>
                <w:szCs w:val="14"/>
                <w:color w:val="auto"/>
              </w:rPr>
              <w:t>Add: Pro-rata share of Adjusted EBITDA from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(9,517)</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16,118</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(11,645)</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22,278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5,485</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11" w:lineRule="auto"/>
        <w:tabs>
          <w:tab w:leader="none" w:pos="158"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2019 and 2018: (i) net loss of $(349) and $(574) and (ii) depreciation and amortization expense of $1,005 and $1,052, respectively.</w:t>
      </w:r>
    </w:p>
    <w:p>
      <w:pPr>
        <w:jc w:val="both"/>
        <w:ind w:left="180" w:hanging="172"/>
        <w:spacing w:after="0" w:line="220" w:lineRule="auto"/>
        <w:tabs>
          <w:tab w:leader="none" w:pos="173"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2020, 2019 and 2018: (i) equity-based compensation of $352, $221 and $106, (ii) provision for income taxes of $59, $60 and $57, (iii) interest expense of $1,979, $3,400 and $4,465, (iv) changes in fair value of non-hedge derivative instruments of $38, $1,336 and $(1,099), (v) depreciation and amortization expense of $6,097, $4,803 and $5,847 and (vi) loss on extinguishment of debt of $992, $0 and $0,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2020 and 2019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decreased $144.1 million which primarily reflects (i) a decrease in crude marketing revenue of $157.9 million due to Jefferson Terminal exiting the crude marketing strategy in the fourth quarter of 2019, partially offset by (ii) an increase in terminal services of $15.0 million due to increased activity and storage capacity.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decreased $179.0 million which reflects (i) a decrease in operating expenses of $178.4 million primarily due to Jefferson Terminal exiting the crude marketing strategy in the fourth quarter of 2019, (ii) a decrease in interest expense of $6.8 million due to the Jefferson Refinancing, partially offset by (iii) an increase in depreciation and amortization of $6.2 million due to additional assets placed into service.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decreased $9.7 million which primarily reflects (i) a loss on extinguishment of debt of $4.7 million due to the Jefferson Refinancing and (ii) a decrease in gains on sale of assets, net due to a $4.6 million gain recognized in 2019.</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$22.3 million primarily due to the changes in net loss attributable to shareholders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'20 vs '19</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'19 vs '18</w:t>
            </w:r>
          </w:p>
        </w:tc>
        <w:tc>
          <w:tcPr>
            <w:tcW w:w="0" w:type="dxa"/>
            <w:vAlign w:val="bottom"/>
          </w:tcPr>
          <w:p>
            <w:pPr>
              <w:spacing w:after="0"/>
              <w:rPr>
                <w:sz w:val="1"/>
                <w:szCs w:val="1"/>
                <w:color w:val="auto"/>
              </w:rPr>
            </w:pPr>
          </w:p>
        </w:tc>
      </w:tr>
      <w:tr>
        <w:trPr>
          <w:trHeight w:val="16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7,057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7,057</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3,855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14,074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15,982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22,187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(18,332)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4,743</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10,327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24,854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18,312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6,542</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9,849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4,710</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14,066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46,149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24,100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(32,083)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22,049</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(3,222)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116,660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116,660</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(3,222)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118,566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(121,788)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118,566</w:t>
            </w:r>
          </w:p>
        </w:tc>
        <w:tc>
          <w:tcPr>
            <w:tcW w:w="0" w:type="dxa"/>
            <w:vAlign w:val="bottom"/>
          </w:tcPr>
          <w:p>
            <w:pPr>
              <w:spacing w:after="0"/>
              <w:rPr>
                <w:sz w:val="1"/>
                <w:szCs w:val="1"/>
                <w:color w:val="auto"/>
              </w:rPr>
            </w:pPr>
          </w:p>
        </w:tc>
      </w:tr>
      <w:tr>
        <w:trPr>
          <w:trHeight w:val="18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(13,433)</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94,604</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(108,037)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101,260</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14,700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14,699</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79,904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(91,546)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86,561</w:t>
            </w:r>
          </w:p>
        </w:tc>
        <w:tc>
          <w:tcPr>
            <w:tcW w:w="0" w:type="dxa"/>
            <w:vAlign w:val="bottom"/>
          </w:tcPr>
          <w:p>
            <w:pPr>
              <w:spacing w:after="0"/>
              <w:rPr>
                <w:sz w:val="1"/>
                <w:szCs w:val="1"/>
                <w:color w:val="auto"/>
              </w:rPr>
            </w:pPr>
          </w:p>
        </w:tc>
      </w:tr>
      <w:tr>
        <w:trPr>
          <w:trHeight w:val="133"/>
        </w:trPr>
        <w:tc>
          <w:tcPr>
            <w:tcW w:w="458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(11,603)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80,119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(91,722)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86,676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following table sets forth a reconciliation of net (loss) income attributable to shareholders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 vs '19</w:t>
            </w:r>
          </w:p>
        </w:tc>
        <w:tc>
          <w:tcPr>
            <w:tcW w:w="260" w:type="dxa"/>
            <w:vAlign w:val="bottom"/>
          </w:tcPr>
          <w:p>
            <w:pPr>
              <w:spacing w:after="0"/>
              <w:rPr>
                <w:sz w:val="15"/>
                <w:szCs w:val="15"/>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'19 vs '18</w:t>
            </w:r>
          </w:p>
        </w:tc>
        <w:tc>
          <w:tcPr>
            <w:tcW w:w="0" w:type="dxa"/>
            <w:vAlign w:val="bottom"/>
          </w:tcPr>
          <w:p>
            <w:pPr>
              <w:spacing w:after="0"/>
              <w:rPr>
                <w:sz w:val="1"/>
                <w:szCs w:val="1"/>
                <w:color w:val="auto"/>
              </w:rPr>
            </w:pPr>
          </w:p>
        </w:tc>
      </w:tr>
      <w:tr>
        <w:trPr>
          <w:trHeight w:val="18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(11,603)</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80,119</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(6,557)</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(91,722)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86,676</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(1,791)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(16,491)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14,699</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907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5,008</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4,710</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1,335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vertAlign w:val="subscript"/>
              </w:rPr>
              <w:t>(1)</w:t>
            </w:r>
            <w:r>
              <w:rPr>
                <w:rFonts w:ascii="Arial" w:cs="Arial" w:eastAsia="Arial" w:hAnsi="Arial"/>
                <w:sz w:val="14"/>
                <w:szCs w:val="14"/>
                <w:color w:val="auto"/>
              </w:rPr>
              <w:t>Add: Pro-rata share of Adjusted EBITDA from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3,304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3,222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3,030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(2,600)</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114,760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(117,360)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115,375</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jc w:val="both"/>
        <w:ind w:left="180" w:hanging="172"/>
        <w:spacing w:after="0" w:line="215" w:lineRule="auto"/>
        <w:tabs>
          <w:tab w:leader="none" w:pos="18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2020 and 2019: (i) net loss of $(3,222) and $(193), (ii) depreciation expense of $5,513 and $40, (iii) interest expense of $1,021 and $0, (iv) acquisition and transaction expense of $581 and $0 and (v) changes in fair value of non-hedge derivative instruments of $(589) and $0, respectively.</w:t>
      </w:r>
    </w:p>
    <w:p>
      <w:pPr>
        <w:spacing w:after="0" w:line="1" w:lineRule="exact"/>
        <w:rPr>
          <w:rFonts w:ascii="Arial" w:cs="Arial" w:eastAsia="Arial" w:hAnsi="Arial"/>
          <w:sz w:val="19"/>
          <w:szCs w:val="19"/>
          <w:color w:val="auto"/>
          <w:vertAlign w:val="superscript"/>
        </w:rPr>
      </w:pPr>
    </w:p>
    <w:p>
      <w:pPr>
        <w:ind w:left="180" w:hanging="172"/>
        <w:spacing w:after="0" w:line="211" w:lineRule="auto"/>
        <w:tabs>
          <w:tab w:leader="none" w:pos="18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2020, 2019 and 2018: (i) equity-based compensation of $22, $9 and $7, (ii) interest expense of $46, $0 and $159 and (iii) depreciation expense of $52, $30 and $30,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2020 and 2019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decreased $18.3 million, primarily due to (i) the Long Ridge Transaction and (ii) a decrease of $3.9 million in butane sales at Repauno.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decreased $32.1 million primarily due to decreases in (i) operating expenses of $14.5 million (ii) depreciation expense of $8.4 million related to the Long Ridge Transaction (iii) asset impairment of $4.7 million in 2019 at Long Ridge due to the expiration of unproved gas leases and (iv) acquisition and transaction expense of $4.1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operating expenses was primarily driven by lower:</w:t>
      </w:r>
    </w:p>
    <w:p>
      <w:pPr>
        <w:spacing w:after="0" w:line="113"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operating expenses of $12.7 million primarily due to the Long Ridge Transaction;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 of sales of $2.6 million related to the sale of butane at Repauno.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operating expenses was offset by an increase in compensation and benefits of $1.1 million due to increased headcount.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 decreased due to transaction costs associated with the Long Ridge Transaction during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decreased $121.8 million primarily due to decreases in (i) gain on sale of $116.7 million from the Long Ridge Transaction in 2019 (ii) equity method income of $3.0 million from Long Ridge in 2020 and (iii) other income of $1.8 million due to unrealized gains on power swap derivatives, which was deconsolidated with the Long Ridge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income taxes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provision for income taxes decreased $16.5 million which primarily reflects a deferred tax benefit due to pre-tax losses in 2020 compared to a gain in 2019 from the Long Ridge Transaction.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$117.4 million primarily due to the changes in net income (loss) attributable to shareholders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'20 vs '19</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'19 vs '18</w:t>
            </w:r>
          </w:p>
        </w:tc>
        <w:tc>
          <w:tcPr>
            <w:tcW w:w="0" w:type="dxa"/>
            <w:vAlign w:val="bottom"/>
          </w:tcPr>
          <w:p>
            <w:pPr>
              <w:spacing w:after="0"/>
              <w:rPr>
                <w:sz w:val="1"/>
                <w:szCs w:val="1"/>
                <w:color w:val="auto"/>
              </w:rPr>
            </w:pPr>
          </w:p>
        </w:tc>
      </w:tr>
      <w:tr>
        <w:trPr>
          <w:trHeight w:val="169"/>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11,145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9,796</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5,659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4,137</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18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5,578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8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16,723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3,878</w:t>
            </w:r>
          </w:p>
        </w:tc>
        <w:tc>
          <w:tcPr>
            <w:tcW w:w="0" w:type="dxa"/>
            <w:vAlign w:val="bottom"/>
          </w:tcPr>
          <w:p>
            <w:pPr>
              <w:spacing w:after="0"/>
              <w:rPr>
                <w:sz w:val="1"/>
                <w:szCs w:val="1"/>
                <w:color w:val="auto"/>
              </w:rPr>
            </w:pPr>
          </w:p>
        </w:tc>
      </w:tr>
      <w:tr>
        <w:trPr>
          <w:trHeight w:val="169"/>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4,424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0" w:type="dxa"/>
            <w:vAlign w:val="bottom"/>
          </w:tcPr>
          <w:p>
            <w:pPr>
              <w:spacing w:after="0"/>
              <w:rPr>
                <w:sz w:val="1"/>
                <w:szCs w:val="1"/>
                <w:color w:val="auto"/>
              </w:rPr>
            </w:pPr>
          </w:p>
        </w:tc>
      </w:tr>
      <w:tr>
        <w:trPr>
          <w:trHeight w:val="18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2,273</w:t>
            </w:r>
          </w:p>
        </w:tc>
        <w:tc>
          <w:tcPr>
            <w:tcW w:w="0" w:type="dxa"/>
            <w:vAlign w:val="bottom"/>
          </w:tcPr>
          <w:p>
            <w:pPr>
              <w:spacing w:after="0"/>
              <w:rPr>
                <w:sz w:val="1"/>
                <w:szCs w:val="1"/>
                <w:color w:val="auto"/>
              </w:rPr>
            </w:pPr>
          </w:p>
        </w:tc>
      </w:tr>
      <w:tr>
        <w:trPr>
          <w:trHeight w:val="18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21,147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25,446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14,487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36,059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20,333</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7,965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87,445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77,684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40,683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37,001</w:t>
            </w:r>
          </w:p>
        </w:tc>
        <w:tc>
          <w:tcPr>
            <w:tcW w:w="0" w:type="dxa"/>
            <w:vAlign w:val="bottom"/>
          </w:tcPr>
          <w:p>
            <w:pPr>
              <w:spacing w:after="0"/>
              <w:rPr>
                <w:sz w:val="1"/>
                <w:szCs w:val="1"/>
                <w:color w:val="auto"/>
              </w:rPr>
            </w:pPr>
          </w:p>
        </w:tc>
      </w:tr>
      <w:tr>
        <w:trPr>
          <w:trHeight w:val="18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159,808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159,477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95,729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63,748</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(6,943)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8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(6,782)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(145,443)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(142,953)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(85,991)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(56,962)</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(145,863)</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(142,953)</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(85,898)</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(57,055)</w:t>
            </w:r>
          </w:p>
        </w:tc>
        <w:tc>
          <w:tcPr>
            <w:tcW w:w="0" w:type="dxa"/>
            <w:vAlign w:val="bottom"/>
          </w:tcPr>
          <w:p>
            <w:pPr>
              <w:spacing w:after="0"/>
              <w:rPr>
                <w:sz w:val="1"/>
                <w:szCs w:val="1"/>
                <w:color w:val="auto"/>
              </w:rPr>
            </w:pPr>
          </w:p>
        </w:tc>
      </w:tr>
      <w:tr>
        <w:trPr>
          <w:trHeight w:val="133"/>
        </w:trPr>
        <w:tc>
          <w:tcPr>
            <w:tcW w:w="45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17,869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16,031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208"/>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(163,732)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(58,893)</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'20 vs '19</w:t>
            </w:r>
          </w:p>
        </w:tc>
        <w:tc>
          <w:tcPr>
            <w:tcW w:w="28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'19 vs '18</w:t>
            </w:r>
          </w:p>
        </w:tc>
        <w:tc>
          <w:tcPr>
            <w:tcW w:w="0" w:type="dxa"/>
            <w:vAlign w:val="bottom"/>
          </w:tcPr>
          <w:p>
            <w:pPr>
              <w:spacing w:after="0"/>
              <w:rPr>
                <w:sz w:val="1"/>
                <w:szCs w:val="1"/>
                <w:color w:val="auto"/>
              </w:rPr>
            </w:pPr>
          </w:p>
        </w:tc>
      </w:tr>
      <w:tr>
        <w:trPr>
          <w:trHeight w:val="18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(163,732)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(144,791)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(85,898)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(18,941)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(58,893)</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6,943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6,943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20,824</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87,445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77,684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40,683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37,001</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vertAlign w:val="subscript"/>
              </w:rPr>
              <w:t>(1)</w:t>
            </w:r>
            <w:r>
              <w:rPr>
                <w:rFonts w:ascii="Arial" w:cs="Arial" w:eastAsia="Arial" w:hAnsi="Arial"/>
                <w:sz w:val="14"/>
                <w:szCs w:val="14"/>
                <w:color w:val="auto"/>
              </w:rPr>
              <w:t>Add: Pro-rata share of Adjusted EBITDA from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(58,964)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(34,590)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(35,034)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(24,374)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right="20" w:hanging="172"/>
        <w:spacing w:after="0" w:line="211" w:lineRule="auto"/>
        <w:tabs>
          <w:tab w:leader="none" w:pos="174"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2020, 2019 and 2018: (i) net (loss) income of $(281), $(192) and $121, (ii) interest expense of $117, $131 and $477 and (iii) depreciation expense of $0, $0 and $26,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2020 and 2019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Equipment leasing revenues increased $4.1 million primarily due to higher victualling income and lease income as our vessels were on-hire for longer in 2020 compared to 2019.</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Infrastructure revenues increased $1.5 million due to higher volume in our railcar cleaning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slightly due to higher (i) interest expense and (ii) operating expenses, partially offset by lower (iii) management fees and incentive allocation to affiliate and (iv) acquisition and transaction expenses.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Interest expense increased $9.8 million which reflects an increase in the average outstanding debt of approximately $190.1 million, which primarily consists of increases in (i) the 2027 Notes of $200.0 million and (ii) the 2025 Notes of $83.6 million, partially offset by decreases in (iii) the Revolving Credit Facility of $43.8 million, (iv) the FTAI Pride Credit Agreement of $38.4 million, which was repaid in full in March 2020 and (v) the 2022 Notes of $11.3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expenses increased $7.9 million which primarily reflects higher (i) charter costs of $4.2 million in our offshore energy business, (ii) repairs and maintenance of $1.6 million in our offshore energy business and (iii) compensation and benefits of $1.1 million in our railcar cleaning business due to higher volumes.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Management fees and incentive allocation to affiliate decreased $17.5 million which reflects (i) lower incentive fees of $21.2 million due to the decrease in gains on sale of assets, net, partially offset by (ii) an increase of $3.7 million in the base management fee as our average total equity was higher in 2020 compared to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expenses decreased $1.7 million primarily due to a higher volume of transactions in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income decreased $7.7 million primarily due to a loss on extinguishment of debt of $6.9 million due to the early repayment of $300 million of the 2022 Notes in December 2020.</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$24.4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00497F"/>
        </w:rPr>
        <w:t>Transactions with Affiliates and Affiliated Entities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managed by the Manager, an affiliate of Fortress, pursuant to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16 to our consolidated financial statements included elsewhere in this filing for more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Geographic Information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Please refer to Note 17 of our consolidated financial statements included in Item 8 in this Annual Report on Form 10-K for a report, by geographic area for each segment, of revenues from our external customers, for the years ended December 31, 2020, 2019 and 2018, as well as a report, by geographic area for each segment, of our total property, plant and equipment and equipment held for lease as of December 31, 2020 and 2019.</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28, 2020, we issued $400 million aggregate principal amount of 2027 Notes. We used a portion of the proceeds to repay $220 million of outstanding borrowings under the Revolving Credit Facility, and intend to use the remaining proceeds for general corporate purposes, and the funding of future acquisitions and investments, including aviation investments.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June 30, 2020, we entered into an At Market Issuance Sales Agreement with a third party to sell shares of our Series A Preferred Shares and Series B Preferred Shares (collectively, the “ATM Shares”), having an aggregate offering price of up to $100 million, from time to time, through an “at-the market” equity offering program. During the third quarter of 2020, we sold 1,070,000 ATM Shares for net proceeds of approximately $20.6 million.</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December 23, 2020, we issued an additional $400 million aggregate principal amount of 2025 Notes. We used a portion of the proceeds to repay $300 million of outstanding 2022 Notes through the Tender Offer and $50 million of outstanding borrowings under the Revolving Credit Facility, and intend to use the remaining proceeds for general corporate purposes, and the funding of future acquisitions and investments, including aviation investments. Following the repayment, we have additional borrowing capacity of $250 million under the Revolving Credit Facility.</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 amid the COVID-19 pandemic.</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principal uses of liquidity have been and continue to be (i) acquisitions or expansion of transportation infrastructure and equipment, (ii) distributions to our shareholders, (iii) expenses associated with our operating activities and (iv) debt service obligations associated with our investments.</w:t>
      </w:r>
    </w:p>
    <w:p>
      <w:pPr>
        <w:spacing w:after="0" w:line="87" w:lineRule="exact"/>
        <w:rPr>
          <w:sz w:val="20"/>
          <w:szCs w:val="20"/>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$597.5 million, $942.5 million, and $751.5 million during the years ended December 31, 2020, 2019, and 2018,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Distributions to shareholders, including cash dividends, were $131.4 million, $115.4 million and $110.6 million during the years ended December 31, 2020, 2019 and 2018,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$110.3 million, $229.7 million and $189.3 million during the years ended December 31, 2020, 2019, and 2018, respectively.</w:t>
      </w:r>
    </w:p>
    <w:p>
      <w:pPr>
        <w:spacing w:after="0" w:line="87"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year ended December 31, 2020, additional borrowings were obtained in connection with the (i) 2025 Notes of $407.0 million, (ii) 2027 Notes of $400.0 million, (iii) Revolving Credit Facility of $270.0 million and (iv) Series 2020 Bonds (as defined in Note 9) of $264.0 million. We made principal payments of $852.2 million related to the 2022 Notes, Revolving Credit Facility, Series 2016 Bonds, Jefferson Revolver, Series 2012 Bonds and FTAI Pride Credit Agreement.</w:t>
      </w:r>
    </w:p>
    <w:p>
      <w:pPr>
        <w:spacing w:after="0" w:line="94" w:lineRule="exact"/>
        <w:rPr>
          <w:rFonts w:ascii="Arial" w:cs="Arial" w:eastAsia="Arial" w:hAnsi="Arial"/>
          <w:sz w:val="16"/>
          <w:szCs w:val="16"/>
          <w:color w:val="auto"/>
        </w:rPr>
      </w:pPr>
    </w:p>
    <w:p>
      <w:pPr>
        <w:jc w:val="both"/>
        <w:ind w:left="660"/>
        <w:spacing w:after="0" w:line="251" w:lineRule="auto"/>
        <w:rPr>
          <w:rFonts w:ascii="Arial" w:cs="Arial" w:eastAsia="Arial" w:hAnsi="Arial"/>
          <w:sz w:val="16"/>
          <w:szCs w:val="16"/>
          <w:color w:val="auto"/>
        </w:rPr>
      </w:pPr>
      <w:r>
        <w:rPr>
          <w:rFonts w:ascii="Arial" w:cs="Arial" w:eastAsia="Arial" w:hAnsi="Arial"/>
          <w:sz w:val="16"/>
          <w:szCs w:val="16"/>
          <w:color w:val="auto"/>
        </w:rPr>
        <w:t>During the year ended December 31, 2019, additional borrowings were obtained in connection with (i) the Revolving Credit Facility of $250.0 million, (ii) LREG Credit Agreement of $173.5 million, (iii) the 2025 Notes of $148.7 million, (iv) the 2022 Notes of $147.8 million, (v) the DRP Revolver of $25.0 million, (vi) the Jefferson Revolver of $23.2 million and (vii) CMQR Credit Agreement of $20.9 million. We made principal payments of $405.1 million primarily related to the Revolving Credit Facility, Jefferson Revolver and CMQR Credit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jc w:val="both"/>
        <w:ind w:left="660"/>
        <w:spacing w:after="0" w:line="251" w:lineRule="auto"/>
        <w:rPr>
          <w:sz w:val="20"/>
          <w:szCs w:val="20"/>
          <w:color w:val="auto"/>
        </w:rPr>
      </w:pPr>
      <w:r>
        <w:rPr>
          <w:rFonts w:ascii="Arial" w:cs="Arial" w:eastAsia="Arial" w:hAnsi="Arial"/>
          <w:sz w:val="16"/>
          <w:szCs w:val="16"/>
          <w:color w:val="auto"/>
        </w:rPr>
        <w:t>During the year ended December 31, 2018, additional borrowings were obtained in connection with (i) the 2025 Notes of $291.0 million, (ii) the Revolving Credit Facility of $275.0 million, (iii) the 2022 Notes of $100.0 million, (iv) the Jefferson Revolver of $49.5 million and (v) the CMQR Credit Agreement of $35.5 million. We made principal payments of $218.8 million primarily related to the Revolving Credit Facility and the CMQR Credit Agreement.</w:t>
      </w:r>
    </w:p>
    <w:p>
      <w:pPr>
        <w:spacing w:after="0" w:line="94" w:lineRule="exact"/>
        <w:rPr>
          <w:sz w:val="20"/>
          <w:szCs w:val="20"/>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Proceeds from the sale of subsidiaries and assets were $72.2 million, $432.3 million and $44.1 million during the years ended December 31, 2020, 2019, and 2018,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Proceeds from the issuance of common shares were $148.3 million, net of issuance costs of $0.8 million, during the year ended December 31, 2018. There were no issuances of common shares in 2020 or 2019.</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$19.7 million and $194.0 million during the years ended December 31, 2020 and 2019, respectively.</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net cash provided by operating activities has been less than the amount of distributions to our shareholders. Our board of directors takes this and other factors into account as part of any decision to pay a dividend, and the timing and amount of any future dividend is subject to change at the discretion of our board of directors.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transactions or negotiations are definitive or included within our planned liquidity needs. We cannot assure if or when any such transaction will be consummated or the terms of any such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historical cash flow: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right="20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16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63,106</w:t>
            </w:r>
          </w:p>
        </w:tc>
        <w:tc>
          <w:tcPr>
            <w:tcW w:w="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center"/>
              <w:ind w:left="408"/>
              <w:spacing w:after="0"/>
              <w:rPr>
                <w:sz w:val="20"/>
                <w:szCs w:val="20"/>
                <w:color w:val="auto"/>
              </w:rPr>
            </w:pPr>
            <w:r>
              <w:rPr>
                <w:rFonts w:ascii="Arial" w:cs="Arial" w:eastAsia="Arial" w:hAnsi="Arial"/>
                <w:sz w:val="14"/>
                <w:szCs w:val="14"/>
                <w:color w:val="auto"/>
              </w:rPr>
              <w:t>151,043</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center"/>
              <w:ind w:left="428"/>
              <w:spacing w:after="0"/>
              <w:rPr>
                <w:sz w:val="20"/>
                <w:szCs w:val="20"/>
                <w:color w:val="auto"/>
              </w:rPr>
            </w:pPr>
            <w:r>
              <w:rPr>
                <w:rFonts w:ascii="Arial" w:cs="Arial" w:eastAsia="Arial" w:hAnsi="Arial"/>
                <w:sz w:val="14"/>
                <w:szCs w:val="14"/>
                <w:color w:val="auto"/>
              </w:rPr>
              <w:t>133,697</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(509,123)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(495,236)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(703,533)</w:t>
            </w:r>
          </w:p>
        </w:tc>
      </w:tr>
      <w:tr>
        <w:trPr>
          <w:trHeight w:val="191"/>
        </w:trPr>
        <w:tc>
          <w:tcPr>
            <w:tcW w:w="652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364,918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center"/>
              <w:ind w:left="408"/>
              <w:spacing w:after="0"/>
              <w:rPr>
                <w:sz w:val="20"/>
                <w:szCs w:val="20"/>
                <w:color w:val="auto"/>
              </w:rPr>
            </w:pPr>
            <w:r>
              <w:rPr>
                <w:rFonts w:ascii="Arial" w:cs="Arial" w:eastAsia="Arial" w:hAnsi="Arial"/>
                <w:sz w:val="14"/>
                <w:szCs w:val="14"/>
                <w:color w:val="auto"/>
              </w:rPr>
              <w:t>465,873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left="428"/>
              <w:spacing w:after="0"/>
              <w:rPr>
                <w:sz w:val="20"/>
                <w:szCs w:val="20"/>
                <w:color w:val="auto"/>
              </w:rPr>
            </w:pPr>
            <w:r>
              <w:rPr>
                <w:rFonts w:ascii="Arial" w:cs="Arial" w:eastAsia="Arial" w:hAnsi="Arial"/>
                <w:sz w:val="14"/>
                <w:szCs w:val="14"/>
                <w:color w:val="auto"/>
              </w:rPr>
              <w:t>597,867</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2020 and 2019</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provided by operating activities decreased $87.9 million, which primarily reflects (i) a decrease in net income of $311.5 million and (ii) changes in management fees payable to affiliate, accounts receivable, accounts payable and accrued liabilities, other assets and other liabilities of $83.6 million, partially offset by (iii) a change in gain on sale of subsidiaries and assets of $279.7 million and (iv) a change in security deposits and maintenance claims included in earnings of $14.0 million</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used in investing activities increased $13.9 million primarily due to (i) a decrease in proceeds from the sale of subsidiaries of $183.8 million and (ii) a decrease in proceeds from the sale of leasing equipment of $176.3 million, partially offset by (iii) an decrease in acquisitions of leasing equipment of $247.0 million, (iv) a decrease in acquisitions of property, plant and equipment of $66.3 million and (v) a decrease in the acquisition of the remaining interest in a JV investment of $28.8 million.</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financing activities decreased $101.0 million primarily due to (i) an increase in repayments of debt of $447.1 million, (ii) a decrease in proceeds from the issuance of preferred shares, net of $174.3 million and (iii) a decrease in receipt of maintenance deposits of $31.9 million, partially offset by (iv) an increase in proceeds from debt of $552.2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We believe FAD is a useful metric for investors and analysts for similar purposes. FAD is not a financial measure in accordance with GAAP. The GAAP measure most directly comparable to FAD is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4" w:name="page55"/>
    <w:bookmarkEnd w:id="54"/>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18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63,106</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151,043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133,697</w:t>
            </w:r>
          </w:p>
        </w:tc>
      </w:tr>
      <w:tr>
        <w:trPr>
          <w:trHeight w:val="189"/>
        </w:trPr>
        <w:tc>
          <w:tcPr>
            <w:tcW w:w="6560" w:type="dxa"/>
            <w:vAlign w:val="bottom"/>
          </w:tcPr>
          <w:p>
            <w:pPr>
              <w:ind w:left="20"/>
              <w:spacing w:after="0"/>
              <w:rPr>
                <w:sz w:val="20"/>
                <w:szCs w:val="20"/>
                <w:color w:val="auto"/>
              </w:rPr>
            </w:pPr>
            <w:r>
              <w:rPr>
                <w:rFonts w:ascii="Arial" w:cs="Arial" w:eastAsia="Arial" w:hAnsi="Arial"/>
                <w:sz w:val="14"/>
                <w:szCs w:val="14"/>
                <w:color w:val="auto"/>
              </w:rPr>
              <w:t>Add: Principal collections on finance leases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13,823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13,398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1,981</w:t>
            </w:r>
          </w:p>
        </w:tc>
      </w:tr>
      <w:tr>
        <w:trPr>
          <w:trHeight w:val="189"/>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sale of 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72,175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432,273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44,085</w:t>
            </w:r>
          </w:p>
        </w:tc>
      </w:tr>
      <w:tr>
        <w:trPr>
          <w:trHeight w:val="189"/>
        </w:trPr>
        <w:tc>
          <w:tcPr>
            <w:tcW w:w="6560" w:type="dxa"/>
            <w:vAlign w:val="bottom"/>
          </w:tcPr>
          <w:p>
            <w:pPr>
              <w:ind w:left="2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2,085</w:t>
            </w:r>
          </w:p>
        </w:tc>
      </w:tr>
      <w:tr>
        <w:trPr>
          <w:trHeight w:val="189"/>
        </w:trPr>
        <w:tc>
          <w:tcPr>
            <w:tcW w:w="65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(36,559)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(7,793)</w:t>
            </w:r>
          </w:p>
        </w:tc>
      </w:tr>
      <w:tr>
        <w:trPr>
          <w:trHeight w:val="189"/>
        </w:trPr>
        <w:tc>
          <w:tcPr>
            <w:tcW w:w="6560" w:type="dxa"/>
            <w:vAlign w:val="bottom"/>
          </w:tcPr>
          <w:p>
            <w:pPr>
              <w:ind w:left="20"/>
              <w:spacing w:after="0"/>
              <w:rPr>
                <w:sz w:val="20"/>
                <w:szCs w:val="20"/>
                <w:color w:val="auto"/>
              </w:rPr>
            </w:pPr>
            <w:r>
              <w:rPr>
                <w:rFonts w:ascii="Arial" w:cs="Arial" w:eastAsia="Arial" w:hAnsi="Arial"/>
                <w:sz w:val="14"/>
                <w:szCs w:val="14"/>
                <w:color w:val="auto"/>
              </w:rPr>
              <w:t>Less: Capital distributions to non-controlling interest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Exclude: Changes in working capital</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88,314</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7,610</w:t>
            </w:r>
          </w:p>
        </w:tc>
      </w:tr>
      <w:tr>
        <w:trPr>
          <w:trHeight w:val="182"/>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Funds Available for Distribution (FAD)</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237,418</w:t>
            </w: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566,436</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181,665</w:t>
            </w:r>
          </w:p>
        </w:tc>
      </w:tr>
      <w:tr>
        <w:trPr>
          <w:trHeight w:val="21"/>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271" w:lineRule="exact"/>
        <w:rPr>
          <w:sz w:val="20"/>
          <w:szCs w:val="20"/>
          <w:color w:val="auto"/>
        </w:rPr>
      </w:pPr>
    </w:p>
    <w:p>
      <w:pPr>
        <w:jc w:val="both"/>
        <w:ind w:left="180" w:hanging="172"/>
        <w:spacing w:after="0" w:line="228" w:lineRule="auto"/>
        <w:tabs>
          <w:tab w:leader="none" w:pos="172"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Required payments on debt obligations for the year ended December 31, 2020 exclude repayments of $306,206 for the 2022 Notes, $270,000 for the Revolving Credit Facility, $144,200 for the Series 2016 Bonds, $50,262 for the Jefferson Revolver, $45,520 for the Series 2012 Bonds and $36,009 for the FTAI Pride Credit Agreement, and for the year ended December 31, 2019 exclude repayments of $350,000 for the Revolving Credit Facility and $18,572 for the CMQR Credit Agreement, and for the year ended December 31, 2018 exclude repayments of $175,000 for the Revolving Credit Facility and $36,026 for the CMQR Credit Agreement, all of which were voluntary refinancings as repayments of these amounts were not required at such time.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94" w:lineRule="exact"/>
        <w:rPr>
          <w:sz w:val="20"/>
          <w:szCs w:val="20"/>
          <w:color w:val="auto"/>
        </w:rPr>
      </w:pPr>
    </w:p>
    <w:p>
      <w:pPr>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9 to the consolidated financial statements for information related to our debt obligations.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future obligations, by period due, as of December 31, 2020, under our various contractual obligations and commitments.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had no off-balance sheet arrangements as of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Revolver</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Revolving Credit Facility</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2020 Bonds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263,980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184,920</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Senior Notes due 2022</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Senior Notes due 2027</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28"/>
        </w:trPr>
        <w:tc>
          <w:tcPr>
            <w:tcW w:w="32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Total principal payments on loans and bonds</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1,938,980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400,000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929,060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584,920</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payable</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717,439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133,693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106,190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168,272</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obligations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168,323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145,769</w:t>
            </w: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885,762</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138,452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116,447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110,775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110,544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95,503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314,041</w:t>
            </w: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2,824,742</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163,452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516,447</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110,775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110,544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1,024,563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898,961</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spacing w:after="0" w:line="50"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Estimated interest payments based on rates as of December 31, 2020.</w:t>
      </w: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i w:val="1"/>
          <w:iCs w:val="1"/>
          <w:color w:val="000000"/>
        </w:rPr>
        <w:t>—</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fair value of the aircraft and lease. The fair value of the lease may include a lease premium or discount.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to 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 liabilities in the Consolidated Balance Sheets. Reimbursements made to the lessee upon the receipt of evidence of qualifying maintenance work are recorded against the maintenance deposit liability.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for the estimated value of the end-of-life maintenance payment at acquisition. We recognize payments received as end-of-lease compensation adjustments, within lease revenue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estimated useful lives, to estimated residual values which are summarized as follows:</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Asset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Range of Estimated Useful Lives</w:t>
            </w:r>
          </w:p>
        </w:tc>
        <w:tc>
          <w:tcPr>
            <w:tcW w:w="120" w:type="dxa"/>
            <w:vAlign w:val="bottom"/>
            <w:tcBorders>
              <w:bottom w:val="single" w:sz="8" w:color="CCEEFF"/>
            </w:tcBorders>
          </w:tcPr>
          <w:p>
            <w:pPr>
              <w:spacing w:after="0"/>
              <w:rPr>
                <w:sz w:val="16"/>
                <w:szCs w:val="16"/>
                <w:color w:val="auto"/>
              </w:rPr>
            </w:pP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47"/>
        </w:trPr>
        <w:tc>
          <w:tcPr>
            <w:tcW w:w="422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Aircraft</w:t>
            </w:r>
          </w:p>
        </w:tc>
        <w:tc>
          <w:tcPr>
            <w:tcW w:w="3520" w:type="dxa"/>
            <w:vAlign w:val="bottom"/>
            <w:gridSpan w:val="4"/>
            <w:shd w:val="clear" w:color="auto" w:fill="CCEEFF"/>
          </w:tcPr>
          <w:p>
            <w:pPr>
              <w:ind w:left="20"/>
              <w:spacing w:after="0" w:line="147" w:lineRule="exact"/>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Generally not to exceed 15% of manufacturer’s list</w:t>
            </w:r>
          </w:p>
        </w:tc>
      </w:tr>
      <w:tr>
        <w:trPr>
          <w:trHeight w:val="171"/>
        </w:trPr>
        <w:tc>
          <w:tcPr>
            <w:tcW w:w="4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r>
        <w:trPr>
          <w:trHeight w:val="153"/>
        </w:trPr>
        <w:tc>
          <w:tcPr>
            <w:tcW w:w="42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Aircraft engines</w:t>
            </w:r>
          </w:p>
        </w:tc>
        <w:tc>
          <w:tcPr>
            <w:tcW w:w="120" w:type="dxa"/>
            <w:vAlign w:val="bottom"/>
          </w:tcPr>
          <w:p>
            <w:pPr>
              <w:ind w:left="20"/>
              <w:spacing w:after="0" w:line="153" w:lineRule="exact"/>
              <w:rPr>
                <w:sz w:val="20"/>
                <w:szCs w:val="20"/>
                <w:color w:val="auto"/>
              </w:rPr>
            </w:pPr>
            <w:r>
              <w:rPr>
                <w:rFonts w:ascii="Arial" w:cs="Arial" w:eastAsia="Arial" w:hAnsi="Arial"/>
                <w:sz w:val="14"/>
                <w:szCs w:val="14"/>
                <w:color w:val="auto"/>
              </w:rPr>
              <w:t>2</w:t>
            </w:r>
          </w:p>
        </w:tc>
        <w:tc>
          <w:tcPr>
            <w:tcW w:w="340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- 6 years, based on maintenance adjusted service</w:t>
            </w:r>
          </w:p>
        </w:tc>
        <w:tc>
          <w:tcPr>
            <w:tcW w:w="3460" w:type="dxa"/>
            <w:vAlign w:val="bottom"/>
          </w:tcPr>
          <w:p>
            <w:pPr>
              <w:ind w:left="20"/>
              <w:spacing w:after="0" w:line="153" w:lineRule="exact"/>
              <w:rPr>
                <w:sz w:val="20"/>
                <w:szCs w:val="20"/>
                <w:color w:val="auto"/>
              </w:rPr>
            </w:pPr>
            <w:r>
              <w:rPr>
                <w:rFonts w:ascii="Arial" w:cs="Arial" w:eastAsia="Arial" w:hAnsi="Arial"/>
                <w:sz w:val="14"/>
                <w:szCs w:val="14"/>
                <w:color w:val="auto"/>
              </w:rPr>
              <w:t>Sum of engine core salvage value plus the estimated</w:t>
            </w:r>
          </w:p>
        </w:tc>
      </w:tr>
      <w:tr>
        <w:trPr>
          <w:trHeight w:val="171"/>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4"/>
          </w:tcPr>
          <w:p>
            <w:pPr>
              <w:ind w:left="20"/>
              <w:spacing w:after="0"/>
              <w:rPr>
                <w:sz w:val="20"/>
                <w:szCs w:val="20"/>
                <w:color w:val="auto"/>
              </w:rPr>
            </w:pPr>
            <w:r>
              <w:rPr>
                <w:rFonts w:ascii="Arial" w:cs="Arial" w:eastAsia="Arial" w:hAnsi="Arial"/>
                <w:sz w:val="14"/>
                <w:szCs w:val="14"/>
                <w:color w:val="auto"/>
              </w:rPr>
              <w:t>life</w:t>
            </w:r>
          </w:p>
        </w:tc>
        <w:tc>
          <w:tcPr>
            <w:tcW w:w="3460" w:type="dxa"/>
            <w:vAlign w:val="bottom"/>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Offshore energy vessels</w:t>
            </w:r>
          </w:p>
        </w:tc>
        <w:tc>
          <w:tcPr>
            <w:tcW w:w="35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 of new build cost</w:t>
            </w:r>
          </w:p>
        </w:tc>
      </w:tr>
      <w:tr>
        <w:trPr>
          <w:trHeight w:val="189"/>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Railcars</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40</w:t>
            </w:r>
          </w:p>
        </w:tc>
        <w:tc>
          <w:tcPr>
            <w:tcW w:w="3320" w:type="dxa"/>
            <w:vAlign w:val="bottom"/>
            <w:gridSpan w:val="2"/>
          </w:tcPr>
          <w:p>
            <w:pPr>
              <w:ind w:left="20"/>
              <w:spacing w:after="0"/>
              <w:rPr>
                <w:sz w:val="20"/>
                <w:szCs w:val="20"/>
                <w:color w:val="auto"/>
              </w:rPr>
            </w:pPr>
            <w:r>
              <w:rPr>
                <w:rFonts w:ascii="Arial" w:cs="Arial" w:eastAsia="Arial" w:hAnsi="Arial"/>
                <w:sz w:val="14"/>
                <w:szCs w:val="14"/>
                <w:color w:val="auto"/>
              </w:rPr>
              <w:t>- 50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- 50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Buildings and site improvements</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20</w:t>
            </w:r>
          </w:p>
        </w:tc>
        <w:tc>
          <w:tcPr>
            <w:tcW w:w="3320" w:type="dxa"/>
            <w:vAlign w:val="bottom"/>
            <w:gridSpan w:val="2"/>
          </w:tcPr>
          <w:p>
            <w:pPr>
              <w:ind w:left="20"/>
              <w:spacing w:after="0"/>
              <w:rPr>
                <w:sz w:val="20"/>
                <w:szCs w:val="20"/>
                <w:color w:val="auto"/>
              </w:rPr>
            </w:pPr>
            <w:r>
              <w:rPr>
                <w:rFonts w:ascii="Arial" w:cs="Arial" w:eastAsia="Arial" w:hAnsi="Arial"/>
                <w:sz w:val="14"/>
                <w:szCs w:val="14"/>
                <w:color w:val="auto"/>
              </w:rPr>
              <w:t>- 30 years</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- 15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Terminal machinery and equipment</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15</w:t>
            </w:r>
          </w:p>
        </w:tc>
        <w:tc>
          <w:tcPr>
            <w:tcW w:w="3320" w:type="dxa"/>
            <w:vAlign w:val="bottom"/>
            <w:gridSpan w:val="2"/>
          </w:tcPr>
          <w:p>
            <w:pPr>
              <w:ind w:left="20"/>
              <w:spacing w:after="0"/>
              <w:rPr>
                <w:sz w:val="20"/>
                <w:szCs w:val="20"/>
                <w:color w:val="auto"/>
              </w:rPr>
            </w:pPr>
            <w:r>
              <w:rPr>
                <w:rFonts w:ascii="Arial" w:cs="Arial" w:eastAsia="Arial" w:hAnsi="Arial"/>
                <w:sz w:val="14"/>
                <w:szCs w:val="14"/>
                <w:color w:val="auto"/>
              </w:rPr>
              <w:t>- 25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3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- 7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3"/>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tcPr>
          <w:p>
            <w:pPr>
              <w:ind w:left="20"/>
              <w:spacing w:after="0"/>
              <w:rPr>
                <w:sz w:val="20"/>
                <w:szCs w:val="20"/>
                <w:color w:val="auto"/>
              </w:rPr>
            </w:pPr>
            <w:r>
              <w:rPr>
                <w:rFonts w:ascii="Arial" w:cs="Arial" w:eastAsia="Arial" w:hAnsi="Arial"/>
                <w:sz w:val="14"/>
                <w:szCs w:val="14"/>
                <w:color w:val="auto"/>
              </w:rPr>
              <w:t>None</w:t>
            </w: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- 5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jc w:val="both"/>
        <w:spacing w:after="0" w:line="252"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we measure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2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 With respect to our offshore energy business, although we expect current market conditions to improve, if such conditions persist for an extended period of time, this could result in the impairment of some of our offshore vessels.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The carrying amount of goodwill was approximately $122.7 million and $122.6 million as of December 31, 2020 and 2019, respectively.</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2020 or 2019.</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Beginning in 2020, we adopted new guidance regarding the testing and recognition of a goodwill impairment which prior to 2020 required two steps. 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of any goodwill recorded in the reporting unit.</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estimate the fair value of the reporting units using an income approach, specifically a discounted cash flow analysis. This analysis requires us to make significant assumptions and estimates about the extent and timing of future cash flows (including forecasted revenue growth rates and EBITDA margins), capital expenditures and discount rates. The estimates and assumptions used consider historical performance if indicative of future performance, and are consistent with the assumptions used in determining future profit plans for the reporting units.</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reporting unit or other key inputs are negatively revised in the future, the estimated fair value of the Jefferson Terminal reporting unit could be adversely impacted, potentially leading to an impairment in the future that could materially affect our operating results. The Jefferson Terminal segment forecasted revenue is dependent on the ramp up of volumes under current and expected future contracts for storage of heavy and light crude and refined products during 2021 and beyond subject to obtaining rail capacity for crude, expansion of refined product distribution to Mexico and movements in future oil spreads. Jefferson Terminal was designed to reach a storage capacity of 21.7 million barrels, and 4.4 million of storage, or approximately 20.3% of capacity, is currently operational.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Although we do not have significant direct exposure to volatility of crude oil prices, changes in crude oil pricing that effect long term refining planned output could impact Jefferson Terminal operations. Other assumptions utilized in our annual impairment analysis that are significant in determination of the fair value of the reporting unit include the discount rate utilized in our discounted cash flow analysis of 13.5% and our terminal growth rate of 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p>
      <w:pPr>
        <w:jc w:val="both"/>
        <w:spacing w:after="0" w:line="248" w:lineRule="auto"/>
        <w:rPr>
          <w:sz w:val="20"/>
          <w:szCs w:val="20"/>
          <w:color w:val="auto"/>
        </w:rPr>
      </w:pPr>
      <w:r>
        <w:rPr>
          <w:rFonts w:ascii="Arial" w:cs="Arial" w:eastAsia="Arial" w:hAnsi="Arial"/>
          <w:sz w:val="16"/>
          <w:szCs w:val="16"/>
          <w:color w:val="auto"/>
        </w:rPr>
        <w:t>Furthermore, both inbound and outbound pipelines projects are becoming fully operational early in 2021 to and from the Jefferson Terminal and will affect our forecasted growth and therefore our estimated fair value. We expect the Jefferson Terminal segment to continue to generate positive Adjusted EBITDA during 2021. Although certain of our anticipated contracts or expected volumes from existing contracts for Jefferson Terminal have been delayed, we continue to believe our projected revenues are achievable. Further delays in executing these contracts or achieving our projections could adversely affect the fair value of the reporting unit. The impact of the COVID-19 global pandemic during 2020 certainly negatively affected refining volumes and therefore Jefferson Terminal crude throughput but we anticipate the impact to normalize over 2021 and ramp back to normal levels by 2022. Furthermore, we anticipate strengthening macroeconomic demand for storage and the increasing spread between Western Canadian Crude and Western Texas Intermediate as Canadian crude pipeline apportionment increases and our pipeline connections become fully operational during 2021, we remain positive for the outlook of Jefferson Terminal’s earnings potential.</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impairments of goodwill for the years ended December 31, 2020, 2019, and 2018.</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Income Taxes</w:t>
      </w:r>
      <w:r>
        <w:rPr>
          <w:rFonts w:ascii="Arial" w:cs="Arial" w:eastAsia="Arial" w:hAnsi="Arial"/>
          <w:sz w:val="16"/>
          <w:szCs w:val="16"/>
          <w:color w:val="000000"/>
        </w:rPr>
        <w:t>—A portion of our income earned by our corporate subsidiaries is subject to U.S. federal and state income taxation, taxed at prevailing rates.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remainder of our income is allocated directly to our partners and is not subject to a corporate level of taxation. Certain subsidiaries of ours are subject to income tax in the foreign countries in which they conduct business.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account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Please see Note 2 to our consolidated financial statements included elsewhere in this filing for recent accounting pronouncements.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7A. Quantitative and Qualitative Disclosures About Market Risk</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may elect to manage our exposure to interest rate movements through the use of interest rate derivatives (interest rate swaps and caps).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2020, assuming we do not hedge our exposure to interest rate fluctuations related to our outstanding floating rate debt, a hypothetical 100-basis point increase/decrease in our variable interest rate on our borrowings would result in an increase of approximately $0.2 million or a decrease of approximately $0.1 million in interest expense over the next 12 months.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00497F"/>
        </w:rPr>
        <w:t>Item 8. Financial Statements and Supplementary Data</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Index to Financial Statements: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300" w:type="dxa"/>
            <w:vAlign w:val="bottom"/>
          </w:tcPr>
          <w:p>
            <w:pPr>
              <w:spacing w:after="0"/>
              <w:rPr>
                <w:sz w:val="20"/>
                <w:szCs w:val="20"/>
                <w:color w:val="auto"/>
              </w:rPr>
            </w:pPr>
            <w:r>
              <w:rPr>
                <w:rFonts w:ascii="Arial" w:cs="Arial" w:eastAsia="Arial" w:hAnsi="Arial"/>
                <w:sz w:val="14"/>
                <w:szCs w:val="14"/>
                <w:b w:val="1"/>
                <w:bCs w:val="1"/>
                <w:color w:val="auto"/>
              </w:rPr>
              <w:t>Consolidated Financial Statements of Fortress Transportation and Infrastructure Investors LLC:</w:t>
            </w:r>
          </w:p>
        </w:tc>
        <w:tc>
          <w:tcPr>
            <w:tcW w:w="1640" w:type="dxa"/>
            <w:vAlign w:val="bottom"/>
          </w:tcPr>
          <w:p>
            <w:pPr>
              <w:spacing w:after="0"/>
              <w:rPr>
                <w:sz w:val="16"/>
                <w:szCs w:val="16"/>
                <w:color w:val="auto"/>
              </w:rPr>
            </w:pPr>
          </w:p>
        </w:tc>
      </w:tr>
      <w:tr>
        <w:trPr>
          <w:trHeight w:val="189"/>
        </w:trPr>
        <w:tc>
          <w:tcPr>
            <w:tcW w:w="9300" w:type="dxa"/>
            <w:vAlign w:val="bottom"/>
          </w:tcPr>
          <w:p>
            <w:pPr>
              <w:ind w:left="420"/>
              <w:spacing w:after="0"/>
              <w:rPr>
                <w:sz w:val="20"/>
                <w:szCs w:val="20"/>
                <w:color w:val="auto"/>
              </w:rPr>
            </w:pPr>
            <w:r>
              <w:rPr>
                <w:rFonts w:ascii="Arial" w:cs="Arial" w:eastAsia="Arial" w:hAnsi="Arial"/>
                <w:sz w:val="14"/>
                <w:szCs w:val="14"/>
                <w:color w:val="auto"/>
              </w:rPr>
              <w:t>Report of Independent Registered Public Accounting Firm</w:t>
            </w:r>
          </w:p>
        </w:tc>
        <w:tc>
          <w:tcPr>
            <w:tcW w:w="1640" w:type="dxa"/>
            <w:vAlign w:val="bottom"/>
          </w:tcPr>
          <w:p>
            <w:pPr>
              <w:jc w:val="right"/>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61</w:t>
              </w:r>
            </w:hyperlink>
          </w:p>
        </w:tc>
      </w:tr>
      <w:tr>
        <w:trPr>
          <w:trHeight w:val="189"/>
        </w:trPr>
        <w:tc>
          <w:tcPr>
            <w:tcW w:w="9300" w:type="dxa"/>
            <w:vAlign w:val="bottom"/>
          </w:tcPr>
          <w:p>
            <w:pPr>
              <w:ind w:left="420"/>
              <w:spacing w:after="0"/>
              <w:rPr>
                <w:sz w:val="20"/>
                <w:szCs w:val="20"/>
                <w:color w:val="auto"/>
              </w:rPr>
            </w:pPr>
            <w:r>
              <w:rPr>
                <w:rFonts w:ascii="Arial" w:cs="Arial" w:eastAsia="Arial" w:hAnsi="Arial"/>
                <w:sz w:val="14"/>
                <w:szCs w:val="14"/>
                <w:color w:val="auto"/>
              </w:rPr>
              <w:t>Consolidated Balance Sheets as of December 31, 2020 and 2019</w:t>
            </w:r>
          </w:p>
        </w:tc>
        <w:tc>
          <w:tcPr>
            <w:tcW w:w="1640" w:type="dxa"/>
            <w:vAlign w:val="bottom"/>
          </w:tcPr>
          <w:p>
            <w:pPr>
              <w:jc w:val="right"/>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63</w:t>
              </w:r>
            </w:hyperlink>
          </w:p>
        </w:tc>
      </w:tr>
      <w:tr>
        <w:trPr>
          <w:trHeight w:val="189"/>
        </w:trPr>
        <w:tc>
          <w:tcPr>
            <w:tcW w:w="9300" w:type="dxa"/>
            <w:vAlign w:val="bottom"/>
          </w:tcPr>
          <w:p>
            <w:pPr>
              <w:ind w:left="420"/>
              <w:spacing w:after="0"/>
              <w:rPr>
                <w:sz w:val="20"/>
                <w:szCs w:val="20"/>
                <w:color w:val="auto"/>
              </w:rPr>
            </w:pPr>
            <w:r>
              <w:rPr>
                <w:rFonts w:ascii="Arial" w:cs="Arial" w:eastAsia="Arial" w:hAnsi="Arial"/>
                <w:sz w:val="14"/>
                <w:szCs w:val="14"/>
                <w:color w:val="auto"/>
              </w:rPr>
              <w:t>Consolidated Statements of Operations for the years ended December 31, 2020, 2019 and 2018</w:t>
            </w:r>
          </w:p>
        </w:tc>
        <w:tc>
          <w:tcPr>
            <w:tcW w:w="1640" w:type="dxa"/>
            <w:vAlign w:val="bottom"/>
          </w:tcPr>
          <w:p>
            <w:pPr>
              <w:jc w:val="right"/>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64</w:t>
              </w:r>
            </w:hyperlink>
          </w:p>
        </w:tc>
      </w:tr>
      <w:tr>
        <w:trPr>
          <w:trHeight w:val="189"/>
        </w:trPr>
        <w:tc>
          <w:tcPr>
            <w:tcW w:w="9300" w:type="dxa"/>
            <w:vAlign w:val="bottom"/>
          </w:tcPr>
          <w:p>
            <w:pPr>
              <w:ind w:left="420"/>
              <w:spacing w:after="0"/>
              <w:rPr>
                <w:sz w:val="20"/>
                <w:szCs w:val="20"/>
                <w:color w:val="auto"/>
              </w:rPr>
            </w:pPr>
            <w:r>
              <w:rPr>
                <w:rFonts w:ascii="Arial" w:cs="Arial" w:eastAsia="Arial" w:hAnsi="Arial"/>
                <w:sz w:val="14"/>
                <w:szCs w:val="14"/>
                <w:color w:val="auto"/>
              </w:rPr>
              <w:t>Consolidated Statements of Comprehensive (Loss) Income for the years ended December 31, 2020, 2019 and 2018</w:t>
            </w:r>
          </w:p>
        </w:tc>
        <w:tc>
          <w:tcPr>
            <w:tcW w:w="1640" w:type="dxa"/>
            <w:vAlign w:val="bottom"/>
          </w:tcPr>
          <w:p>
            <w:pPr>
              <w:jc w:val="right"/>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65</w:t>
              </w:r>
            </w:hyperlink>
          </w:p>
        </w:tc>
      </w:tr>
      <w:tr>
        <w:trPr>
          <w:trHeight w:val="189"/>
        </w:trPr>
        <w:tc>
          <w:tcPr>
            <w:tcW w:w="9300" w:type="dxa"/>
            <w:vAlign w:val="bottom"/>
          </w:tcPr>
          <w:p>
            <w:pPr>
              <w:ind w:left="420"/>
              <w:spacing w:after="0"/>
              <w:rPr>
                <w:sz w:val="20"/>
                <w:szCs w:val="20"/>
                <w:color w:val="auto"/>
              </w:rPr>
            </w:pPr>
            <w:r>
              <w:rPr>
                <w:rFonts w:ascii="Arial" w:cs="Arial" w:eastAsia="Arial" w:hAnsi="Arial"/>
                <w:sz w:val="14"/>
                <w:szCs w:val="14"/>
                <w:color w:val="auto"/>
              </w:rPr>
              <w:t>Consolidated Statement of Changes in Equity for the years ended December 31, 2020, 2019 and 2018</w:t>
            </w:r>
          </w:p>
        </w:tc>
        <w:tc>
          <w:tcPr>
            <w:tcW w:w="1640" w:type="dxa"/>
            <w:vAlign w:val="bottom"/>
          </w:tcPr>
          <w:p>
            <w:pPr>
              <w:jc w:val="right"/>
              <w:spacing w:after="0"/>
              <w:rPr>
                <w:rFonts w:ascii="Arial" w:cs="Arial" w:eastAsia="Arial" w:hAnsi="Arial"/>
                <w:sz w:val="14"/>
                <w:szCs w:val="14"/>
                <w:u w:val="single" w:color="auto"/>
                <w:color w:val="0000FF"/>
              </w:rPr>
            </w:pPr>
            <w:hyperlink w:anchor="page66">
              <w:r>
                <w:rPr>
                  <w:rFonts w:ascii="Arial" w:cs="Arial" w:eastAsia="Arial" w:hAnsi="Arial"/>
                  <w:sz w:val="14"/>
                  <w:szCs w:val="14"/>
                  <w:u w:val="single" w:color="auto"/>
                  <w:color w:val="0000FF"/>
                </w:rPr>
                <w:t>66</w:t>
              </w:r>
            </w:hyperlink>
          </w:p>
        </w:tc>
      </w:tr>
      <w:tr>
        <w:trPr>
          <w:trHeight w:val="189"/>
        </w:trPr>
        <w:tc>
          <w:tcPr>
            <w:tcW w:w="9300" w:type="dxa"/>
            <w:vAlign w:val="bottom"/>
          </w:tcPr>
          <w:p>
            <w:pPr>
              <w:ind w:left="420"/>
              <w:spacing w:after="0"/>
              <w:rPr>
                <w:sz w:val="20"/>
                <w:szCs w:val="20"/>
                <w:color w:val="auto"/>
              </w:rPr>
            </w:pPr>
            <w:r>
              <w:rPr>
                <w:rFonts w:ascii="Arial" w:cs="Arial" w:eastAsia="Arial" w:hAnsi="Arial"/>
                <w:sz w:val="14"/>
                <w:szCs w:val="14"/>
                <w:color w:val="auto"/>
              </w:rPr>
              <w:t>Consolidated Statements of Cash Flows for the years ended December 31, 2020, 2019 and 2018</w:t>
            </w:r>
          </w:p>
        </w:tc>
        <w:tc>
          <w:tcPr>
            <w:tcW w:w="1640" w:type="dxa"/>
            <w:vAlign w:val="bottom"/>
          </w:tcPr>
          <w:p>
            <w:pPr>
              <w:jc w:val="right"/>
              <w:spacing w:after="0"/>
              <w:rPr>
                <w:rFonts w:ascii="Arial" w:cs="Arial" w:eastAsia="Arial" w:hAnsi="Arial"/>
                <w:sz w:val="14"/>
                <w:szCs w:val="14"/>
                <w:u w:val="single" w:color="auto"/>
                <w:color w:val="0000FF"/>
              </w:rPr>
            </w:pPr>
            <w:hyperlink w:anchor="page67">
              <w:r>
                <w:rPr>
                  <w:rFonts w:ascii="Arial" w:cs="Arial" w:eastAsia="Arial" w:hAnsi="Arial"/>
                  <w:sz w:val="14"/>
                  <w:szCs w:val="14"/>
                  <w:u w:val="single" w:color="auto"/>
                  <w:color w:val="0000FF"/>
                </w:rPr>
                <w:t>67</w:t>
              </w:r>
            </w:hyperlink>
          </w:p>
        </w:tc>
      </w:tr>
      <w:tr>
        <w:trPr>
          <w:trHeight w:val="189"/>
        </w:trPr>
        <w:tc>
          <w:tcPr>
            <w:tcW w:w="9300" w:type="dxa"/>
            <w:vAlign w:val="bottom"/>
          </w:tcPr>
          <w:p>
            <w:pPr>
              <w:ind w:left="420"/>
              <w:spacing w:after="0"/>
              <w:rPr>
                <w:sz w:val="20"/>
                <w:szCs w:val="20"/>
                <w:color w:val="auto"/>
              </w:rPr>
            </w:pPr>
            <w:r>
              <w:rPr>
                <w:rFonts w:ascii="Arial" w:cs="Arial" w:eastAsia="Arial" w:hAnsi="Arial"/>
                <w:sz w:val="14"/>
                <w:szCs w:val="14"/>
                <w:color w:val="auto"/>
              </w:rPr>
              <w:t>Notes to Consolidated Financial Statements</w:t>
            </w:r>
          </w:p>
        </w:tc>
        <w:tc>
          <w:tcPr>
            <w:tcW w:w="1640" w:type="dxa"/>
            <w:vAlign w:val="bottom"/>
          </w:tcPr>
          <w:p>
            <w:pPr>
              <w:jc w:val="right"/>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69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931" w:right="619" w:bottom="1440" w:gutter="0" w:footer="0" w:header="0"/>
        </w:sectPr>
      </w:pPr>
    </w:p>
    <w:bookmarkStart w:id="60" w:name="page61"/>
    <w:bookmarkEnd w:id="60"/>
    <w:p>
      <w:pPr>
        <w:ind w:right="3380" w:firstLine="3379"/>
        <w:spacing w:after="0" w:line="396"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Fortress Transportation and Infrastructure Investors LLC </w:t>
      </w:r>
      <w:r>
        <w:rPr>
          <w:rFonts w:ascii="Arial" w:cs="Arial" w:eastAsia="Arial" w:hAnsi="Arial"/>
          <w:sz w:val="16"/>
          <w:szCs w:val="16"/>
          <w:b w:val="1"/>
          <w:bCs w:val="1"/>
          <w:color w:val="auto"/>
        </w:rPr>
        <w:t>Opinion on the Financial Statements</w:t>
      </w:r>
    </w:p>
    <w:p>
      <w:pPr>
        <w:jc w:val="both"/>
        <w:spacing w:after="0" w:line="249" w:lineRule="auto"/>
        <w:rPr>
          <w:sz w:val="20"/>
          <w:szCs w:val="20"/>
          <w:color w:val="auto"/>
        </w:rPr>
      </w:pPr>
      <w:r>
        <w:rPr>
          <w:rFonts w:ascii="Arial" w:cs="Arial" w:eastAsia="Arial" w:hAnsi="Arial"/>
          <w:sz w:val="16"/>
          <w:szCs w:val="16"/>
          <w:color w:val="auto"/>
        </w:rPr>
        <w:t>We have audited the accompanying consolidated balance sheets of Fortress Transportation and Infrastructure Investors LLC (the “Company”) as of December 31, 2020 and 2019, the related consolidated statements of operations, comprehensive income (loss), changes in equity, and cash flows for each of the three years in the period ended December 31, 2020, and the related notes</w:t>
      </w:r>
      <w:r>
        <w:rPr>
          <w:sz w:val="1"/>
          <w:szCs w:val="1"/>
          <w:color w:val="auto"/>
        </w:rPr>
        <w:drawing>
          <wp:inline distT="0" distB="0" distL="0" distR="0">
            <wp:extent cx="17145" cy="7747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 cy="77470"/>
                    </a:xfrm>
                    <a:prstGeom prst="rect">
                      <a:avLst/>
                    </a:prstGeom>
                    <a:noFill/>
                    <a:ln>
                      <a:noFill/>
                    </a:ln>
                  </pic:spPr>
                </pic:pic>
              </a:graphicData>
            </a:graphic>
          </wp:inline>
        </w:drawing>
      </w:r>
      <w:r>
        <w:rPr>
          <w:rFonts w:ascii="Arial" w:cs="Arial" w:eastAsia="Arial" w:hAnsi="Arial"/>
          <w:sz w:val="16"/>
          <w:szCs w:val="16"/>
          <w:color w:val="auto"/>
        </w:rPr>
        <w:t>(collectively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1" w:name="page62"/>
    <w:bookmarkEnd w:id="61"/>
    <w:p>
      <w:pPr>
        <w:ind w:left="1380"/>
        <w:spacing w:after="0"/>
        <w:rPr>
          <w:sz w:val="20"/>
          <w:szCs w:val="20"/>
          <w:color w:val="auto"/>
        </w:rPr>
      </w:pPr>
      <w:r>
        <w:rPr>
          <w:rFonts w:ascii="Arial" w:cs="Arial" w:eastAsia="Arial" w:hAnsi="Arial"/>
          <w:sz w:val="16"/>
          <w:szCs w:val="16"/>
          <w:b w:val="1"/>
          <w:bCs w:val="1"/>
          <w:color w:val="auto"/>
        </w:rPr>
        <w:t>Valuation of Goodwill-Jefferson Terminal Reporting Unit</w:t>
      </w:r>
    </w:p>
    <w:p>
      <w:pPr>
        <w:sectPr>
          <w:pgSz w:w="11900" w:h="16838" w:orient="portrait"/>
          <w:cols w:equalWidth="0" w:num="1">
            <w:col w:w="11220"/>
          </w:cols>
          <w:pgMar w:left="320" w:top="918" w:right="359" w:bottom="1440" w:gutter="0" w:footer="0" w:header="0"/>
        </w:sectPr>
      </w:pPr>
    </w:p>
    <w:p>
      <w:pPr>
        <w:spacing w:after="0" w:line="306" w:lineRule="exact"/>
        <w:rPr>
          <w:sz w:val="20"/>
          <w:szCs w:val="20"/>
          <w:color w:val="auto"/>
        </w:rPr>
      </w:pPr>
    </w:p>
    <w:p>
      <w:pPr>
        <w:ind w:left="20"/>
        <w:spacing w:after="0" w:line="263" w:lineRule="auto"/>
        <w:rPr>
          <w:sz w:val="20"/>
          <w:szCs w:val="20"/>
          <w:color w:val="auto"/>
        </w:rPr>
      </w:pPr>
      <w:r>
        <w:rPr>
          <w:rFonts w:ascii="Arial" w:cs="Arial" w:eastAsia="Arial" w:hAnsi="Arial"/>
          <w:sz w:val="16"/>
          <w:szCs w:val="16"/>
          <w:i w:val="1"/>
          <w:iCs w:val="1"/>
          <w:color w:val="333333"/>
        </w:rPr>
        <w:t>Description of the Matter</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At December 31, 2020, the Company’s goodwill was $122.7 million for the Jefferson Terminal reporting unit. As discussed in Note 2 of the consolidated financial statements, goodwill is tested for impairment at least annually at the reporting unit level.</w:t>
      </w:r>
    </w:p>
    <w:p>
      <w:pPr>
        <w:spacing w:after="0" w:line="155" w:lineRule="exact"/>
        <w:rPr>
          <w:sz w:val="20"/>
          <w:szCs w:val="20"/>
          <w:color w:val="auto"/>
        </w:rPr>
      </w:pPr>
    </w:p>
    <w:p>
      <w:pPr>
        <w:sectPr>
          <w:pgSz w:w="11900" w:h="16838" w:orient="portrait"/>
          <w:cols w:equalWidth="0" w:num="2">
            <w:col w:w="1280" w:space="320"/>
            <w:col w:w="9620"/>
          </w:cols>
          <w:pgMar w:left="320" w:top="918" w:right="359" w:bottom="1440" w:gutter="0" w:footer="0" w:header="0"/>
          <w:type w:val="continuous"/>
        </w:sectPr>
      </w:pPr>
    </w:p>
    <w:p>
      <w:pPr>
        <w:jc w:val="both"/>
        <w:ind w:left="1600"/>
        <w:spacing w:after="0" w:line="233" w:lineRule="auto"/>
        <w:rPr>
          <w:sz w:val="20"/>
          <w:szCs w:val="20"/>
          <w:color w:val="auto"/>
        </w:rPr>
      </w:pPr>
      <w:r>
        <w:rPr>
          <w:rFonts w:ascii="Arial" w:cs="Arial" w:eastAsia="Arial" w:hAnsi="Arial"/>
          <w:sz w:val="16"/>
          <w:szCs w:val="16"/>
          <w:color w:val="auto"/>
        </w:rPr>
        <w:t>Auditing the fair value of the Jefferson Terminal reporting unit used in the annual goodwill impairment test was complex and highly judgmental due to the significant estimation required in determining the fair value of the Jefferson Terminal reporting unit. In particular, the fair value estimate was sensitive to significant assumptions such as the extent and timing of future cash flows (including forecasted revenue growth rates and EBITDA margins), capital expenditures and discount rate, which are affected by expectations about the Company’s ability to secure additional contracts and increase volumes from existing contracts as well as expectations about the overall industry, market and economic conditions.</w:t>
      </w:r>
    </w:p>
    <w:p>
      <w:pPr>
        <w:sectPr>
          <w:pgSz w:w="11900" w:h="16838" w:orient="portrait"/>
          <w:cols w:equalWidth="0" w:num="1">
            <w:col w:w="11220"/>
          </w:cols>
          <w:pgMar w:left="320" w:top="918" w:right="359" w:bottom="1440" w:gutter="0" w:footer="0" w:header="0"/>
          <w:type w:val="continuous"/>
        </w:sectPr>
      </w:pPr>
    </w:p>
    <w:p>
      <w:pPr>
        <w:spacing w:after="0" w:line="19" w:lineRule="exact"/>
        <w:rPr>
          <w:sz w:val="20"/>
          <w:szCs w:val="20"/>
          <w:color w:val="auto"/>
        </w:rPr>
      </w:pPr>
    </w:p>
    <w:p>
      <w:pPr>
        <w:ind w:left="20"/>
        <w:spacing w:after="0" w:line="246" w:lineRule="auto"/>
        <w:rPr>
          <w:sz w:val="20"/>
          <w:szCs w:val="20"/>
          <w:color w:val="auto"/>
        </w:rPr>
      </w:pPr>
      <w:r>
        <w:rPr>
          <w:rFonts w:ascii="Arial" w:cs="Arial" w:eastAsia="Arial" w:hAnsi="Arial"/>
          <w:sz w:val="16"/>
          <w:szCs w:val="16"/>
          <w:i w:val="1"/>
          <w:iCs w:val="1"/>
          <w:color w:val="333333"/>
        </w:rPr>
        <w:t>How We Addressed the Matter in Our Audit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goodwill impairment review process, including tests of controls over management’s review of valuation methodology and significant assumptions described above.</w:t>
      </w:r>
    </w:p>
    <w:p>
      <w:pPr>
        <w:spacing w:after="0" w:line="156" w:lineRule="exact"/>
        <w:rPr>
          <w:sz w:val="20"/>
          <w:szCs w:val="20"/>
          <w:color w:val="auto"/>
        </w:rPr>
      </w:pPr>
    </w:p>
    <w:p>
      <w:pPr>
        <w:sectPr>
          <w:pgSz w:w="11900" w:h="16838" w:orient="portrait"/>
          <w:cols w:equalWidth="0" w:num="2">
            <w:col w:w="1460" w:space="140"/>
            <w:col w:w="9620"/>
          </w:cols>
          <w:pgMar w:left="320" w:top="918" w:right="359" w:bottom="1440" w:gutter="0" w:footer="0" w:header="0"/>
          <w:type w:val="continuous"/>
        </w:sectPr>
      </w:pPr>
    </w:p>
    <w:p>
      <w:pPr>
        <w:jc w:val="both"/>
        <w:ind w:left="1600"/>
        <w:spacing w:after="0" w:line="231" w:lineRule="auto"/>
        <w:rPr>
          <w:sz w:val="20"/>
          <w:szCs w:val="20"/>
          <w:color w:val="auto"/>
        </w:rPr>
      </w:pPr>
      <w:r>
        <w:rPr>
          <w:rFonts w:ascii="Arial" w:cs="Arial" w:eastAsia="Arial" w:hAnsi="Arial"/>
          <w:sz w:val="16"/>
          <w:szCs w:val="16"/>
          <w:color w:val="auto"/>
        </w:rPr>
        <w:t>To test the estimated fair value of the Company’s Jefferson Terminal reporting unit for use in the goodwill impairment assessment, we performed audit procedures that included, among others, assessing the valuation methodology used and testing the significant assumptions described above and the completeness and accuracy of the underlying data used by the Company in its impairment test. For example, we compared the significant assumptions used by management to current industry, market and economic trends; to the historical results of the reporting unit and other guideline companies within the same industry; and evaluated whether changes to the Company’s business model, customer base or product mix and other relevant factors would affect the significant assumptions. We also assessed the historical accuracy of management’s estimates and performed sensitivity analyses over significant assumptions to evaluate the changes in the fair value of the Jefferson Terminal reporting unit that would result from changes in the significant assumptions. We also involved our valuation specialists to assist in our evaluation of the Company's valuation methodology and certain significant assumptions.</w:t>
      </w:r>
    </w:p>
    <w:p>
      <w:pPr>
        <w:spacing w:after="0" w:line="23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Recognition of Maintenance Revenue for Aircraft Leases</w:t>
      </w:r>
    </w:p>
    <w:p>
      <w:pPr>
        <w:sectPr>
          <w:pgSz w:w="11900" w:h="16838" w:orient="portrait"/>
          <w:cols w:equalWidth="0" w:num="1">
            <w:col w:w="11220"/>
          </w:cols>
          <w:pgMar w:left="320" w:top="918" w:right="359" w:bottom="1440" w:gutter="0" w:footer="0" w:header="0"/>
          <w:type w:val="continuous"/>
        </w:sectPr>
      </w:pPr>
    </w:p>
    <w:p>
      <w:pPr>
        <w:spacing w:after="0" w:line="283" w:lineRule="exact"/>
        <w:rPr>
          <w:sz w:val="20"/>
          <w:szCs w:val="20"/>
          <w:color w:val="auto"/>
        </w:rPr>
      </w:pPr>
    </w:p>
    <w:p>
      <w:pPr>
        <w:ind w:left="20"/>
        <w:spacing w:after="0" w:line="263" w:lineRule="auto"/>
        <w:rPr>
          <w:sz w:val="20"/>
          <w:szCs w:val="20"/>
          <w:color w:val="auto"/>
        </w:rPr>
      </w:pPr>
      <w:r>
        <w:rPr>
          <w:rFonts w:ascii="Arial" w:cs="Arial" w:eastAsia="Arial" w:hAnsi="Arial"/>
          <w:sz w:val="16"/>
          <w:szCs w:val="16"/>
          <w:i w:val="1"/>
          <w:iCs w:val="1"/>
          <w:color w:val="333333"/>
        </w:rPr>
        <w:t>Description of the Matter</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described in Note 2 to the consolidated financial statements, the Company recognizes maintenance revenue for aircraft leases related to the portion of maintenance payments received from lessees that are not expected to be reimbursed for maintenance events. Revenue related to maintenance on leased aircraft is recorded as a component of Maintenance revenue which totaled $101.5 million for the year ended December 31, 2020, as disclosed in Note 12.</w:t>
      </w:r>
    </w:p>
    <w:p>
      <w:pPr>
        <w:spacing w:after="0" w:line="157" w:lineRule="exact"/>
        <w:rPr>
          <w:sz w:val="20"/>
          <w:szCs w:val="20"/>
          <w:color w:val="auto"/>
        </w:rPr>
      </w:pPr>
    </w:p>
    <w:p>
      <w:pPr>
        <w:sectPr>
          <w:pgSz w:w="11900" w:h="16838" w:orient="portrait"/>
          <w:cols w:equalWidth="0" w:num="2">
            <w:col w:w="1280" w:space="320"/>
            <w:col w:w="9620"/>
          </w:cols>
          <w:pgMar w:left="320" w:top="918" w:right="359" w:bottom="1440" w:gutter="0" w:footer="0" w:header="0"/>
          <w:type w:val="continuous"/>
        </w:sectPr>
      </w:pPr>
    </w:p>
    <w:p>
      <w:pPr>
        <w:jc w:val="both"/>
        <w:ind w:left="1600"/>
        <w:spacing w:after="0" w:line="233" w:lineRule="auto"/>
        <w:rPr>
          <w:sz w:val="20"/>
          <w:szCs w:val="20"/>
          <w:color w:val="auto"/>
        </w:rPr>
      </w:pPr>
      <w:r>
        <w:rPr>
          <w:rFonts w:ascii="Arial" w:cs="Arial" w:eastAsia="Arial" w:hAnsi="Arial"/>
          <w:sz w:val="16"/>
          <w:szCs w:val="16"/>
          <w:color w:val="auto"/>
        </w:rPr>
        <w:t>Auditing maintenance revenue related to aircraft leases was complex and highly judgmental due to the significant estimation involved in projecting the timing of future major maintenance events. In particular, such estimates are sensitive to significant assumptions such as the mean time between removal (MTBR) and forecasted utilization of the aircraft which are affected by historical usage patterns and overall industry, market and economic conditions. Changes to these significant assumptions could have a material effect on the amount of revenue recognized in the period.</w:t>
      </w:r>
    </w:p>
    <w:p>
      <w:pPr>
        <w:sectPr>
          <w:pgSz w:w="11900" w:h="16838" w:orient="portrait"/>
          <w:cols w:equalWidth="0" w:num="1">
            <w:col w:w="11220"/>
          </w:cols>
          <w:pgMar w:left="320" w:top="918" w:right="359" w:bottom="1440" w:gutter="0" w:footer="0" w:header="0"/>
          <w:type w:val="continuous"/>
        </w:sectPr>
      </w:pPr>
    </w:p>
    <w:p>
      <w:pPr>
        <w:spacing w:after="0" w:line="22" w:lineRule="exact"/>
        <w:rPr>
          <w:sz w:val="20"/>
          <w:szCs w:val="20"/>
          <w:color w:val="auto"/>
        </w:rPr>
      </w:pPr>
    </w:p>
    <w:p>
      <w:pPr>
        <w:ind w:left="20"/>
        <w:spacing w:after="0" w:line="246" w:lineRule="auto"/>
        <w:rPr>
          <w:sz w:val="20"/>
          <w:szCs w:val="20"/>
          <w:color w:val="auto"/>
        </w:rPr>
      </w:pPr>
      <w:r>
        <w:rPr>
          <w:rFonts w:ascii="Arial" w:cs="Arial" w:eastAsia="Arial" w:hAnsi="Arial"/>
          <w:sz w:val="16"/>
          <w:szCs w:val="16"/>
          <w:i w:val="1"/>
          <w:iCs w:val="1"/>
          <w:color w:val="333333"/>
        </w:rPr>
        <w:t>How We Addressed the Matter in Our Audit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maintenance revenue recognition process, including controls over management’s review of the significant assumptions used in determining the estimated timing of major maintenance events as described above.</w:t>
      </w:r>
    </w:p>
    <w:p>
      <w:pPr>
        <w:spacing w:after="0" w:line="156" w:lineRule="exact"/>
        <w:rPr>
          <w:sz w:val="20"/>
          <w:szCs w:val="20"/>
          <w:color w:val="auto"/>
        </w:rPr>
      </w:pPr>
    </w:p>
    <w:p>
      <w:pPr>
        <w:sectPr>
          <w:pgSz w:w="11900" w:h="16838" w:orient="portrait"/>
          <w:cols w:equalWidth="0" w:num="2">
            <w:col w:w="1460" w:space="140"/>
            <w:col w:w="9620"/>
          </w:cols>
          <w:pgMar w:left="320" w:top="918" w:right="359" w:bottom="1440" w:gutter="0" w:footer="0" w:header="0"/>
          <w:type w:val="continuous"/>
        </w:sectPr>
      </w:pPr>
    </w:p>
    <w:p>
      <w:pPr>
        <w:jc w:val="both"/>
        <w:ind w:left="1600"/>
        <w:spacing w:after="0" w:line="232" w:lineRule="auto"/>
        <w:rPr>
          <w:sz w:val="20"/>
          <w:szCs w:val="20"/>
          <w:color w:val="auto"/>
        </w:rPr>
      </w:pPr>
      <w:r>
        <w:rPr>
          <w:rFonts w:ascii="Arial" w:cs="Arial" w:eastAsia="Arial" w:hAnsi="Arial"/>
          <w:sz w:val="16"/>
          <w:szCs w:val="16"/>
          <w:color w:val="auto"/>
        </w:rPr>
        <w:t>To test maintenance revenue for aircraft leases, we performed audit procedures that included, among others, assessing the Company’s revenue recognition methodology and testing the significant assumptions described above and the completeness and accuracy of the underlying data used by the Company in its analyses. For example, we compared the significant assumptions used by management to the underlying customer lease agreements, historical utilization and third- party estimates for MTBR, when available. We tested management’s retrospective review of timing of estimated maintenance events to actual results to assess the historical accuracy of significant assumptions and contrary evidence, if any. We also performed a sensitivity analysis on utilization of the aircraft to evaluate the changes in the timing of the maintenance events from changes in utilization assumptions and the impact, if any, on maintenance revenue recognized in the period.</w:t>
      </w:r>
    </w:p>
    <w:p>
      <w:pPr>
        <w:sectPr>
          <w:pgSz w:w="11900" w:h="16838" w:orient="portrait"/>
          <w:cols w:equalWidth="0" w:num="1">
            <w:col w:w="11220"/>
          </w:cols>
          <w:pgMar w:left="320" w:top="918" w:right="359" w:bottom="1440" w:gutter="0" w:footer="0" w:header="0"/>
          <w:type w:val="continuous"/>
        </w:sect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380" w:type="dxa"/>
            <w:vAlign w:val="bottom"/>
          </w:tcPr>
          <w:p>
            <w:pPr>
              <w:spacing w:after="0"/>
              <w:rPr>
                <w:sz w:val="17"/>
                <w:szCs w:val="17"/>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121,703</w:t>
            </w:r>
          </w:p>
        </w:tc>
        <w:tc>
          <w:tcPr>
            <w:tcW w:w="1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226,512</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39,715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16,005</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91,691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49,470</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1,635,259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1,707,059</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72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62,355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37,466</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6,927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8,315</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72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964,363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732,109</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146,515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180,550</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2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18,786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27,692</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122,735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122,639</w:t>
            </w:r>
          </w:p>
        </w:tc>
        <w:tc>
          <w:tcPr>
            <w:tcW w:w="0" w:type="dxa"/>
            <w:vAlign w:val="bottom"/>
          </w:tcPr>
          <w:p>
            <w:pPr>
              <w:spacing w:after="0"/>
              <w:rPr>
                <w:sz w:val="1"/>
                <w:szCs w:val="1"/>
                <w:color w:val="auto"/>
              </w:rPr>
            </w:pPr>
          </w:p>
        </w:tc>
      </w:tr>
      <w:tr>
        <w:trPr>
          <w:trHeight w:val="18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177,928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129,105</w:t>
            </w:r>
          </w:p>
        </w:tc>
        <w:tc>
          <w:tcPr>
            <w:tcW w:w="0" w:type="dxa"/>
            <w:vAlign w:val="bottom"/>
          </w:tcPr>
          <w:p>
            <w:pPr>
              <w:spacing w:after="0"/>
              <w:rPr>
                <w:sz w:val="1"/>
                <w:szCs w:val="1"/>
                <w:color w:val="auto"/>
              </w:rPr>
            </w:pPr>
          </w:p>
        </w:tc>
      </w:tr>
      <w:tr>
        <w:trPr>
          <w:trHeight w:val="20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3,387,977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3,236,922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113,185</w:t>
            </w:r>
          </w:p>
        </w:tc>
        <w:tc>
          <w:tcPr>
            <w:tcW w:w="1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144,855</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1,904,762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1,420,928</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Maintenance deposits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148,293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208,944</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37,064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45,252</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72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62,001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36,968</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23,351</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8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2,288,656</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1,898,065</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20" w:type="dxa"/>
            <w:vAlign w:val="bottom"/>
          </w:tcPr>
          <w:p>
            <w:pPr>
              <w:jc w:val="center"/>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shares ($0.01 par value per share; 2,000,000,000 shares authorized; 85,617,146 and 84,917,448</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856</w:t>
            </w: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71"/>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and outstanding as of December 31, 2020 and 2019, respectively)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940" w:type="dxa"/>
            <w:vAlign w:val="bottom"/>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9,120,000 and 8,050,000</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71"/>
        </w:trPr>
        <w:tc>
          <w:tcPr>
            <w:tcW w:w="6940" w:type="dxa"/>
            <w:vAlign w:val="bottom"/>
          </w:tcPr>
          <w:p>
            <w:pPr>
              <w:ind w:left="20"/>
              <w:spacing w:after="0"/>
              <w:rPr>
                <w:sz w:val="20"/>
                <w:szCs w:val="20"/>
                <w:color w:val="auto"/>
              </w:rPr>
            </w:pPr>
            <w:r>
              <w:rPr>
                <w:rFonts w:ascii="Arial" w:cs="Arial" w:eastAsia="Arial" w:hAnsi="Arial"/>
                <w:sz w:val="14"/>
                <w:szCs w:val="14"/>
                <w:color w:val="auto"/>
              </w:rPr>
              <w:t>shares issued and outstanding as of December 31, 2020 and 2019, respectively)</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1,130,106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1,110,122</w:t>
            </w:r>
          </w:p>
        </w:tc>
        <w:tc>
          <w:tcPr>
            <w:tcW w:w="0" w:type="dxa"/>
            <w:vAlign w:val="bottom"/>
          </w:tcPr>
          <w:p>
            <w:pPr>
              <w:spacing w:after="0"/>
              <w:rPr>
                <w:sz w:val="1"/>
                <w:szCs w:val="1"/>
                <w:color w:val="auto"/>
              </w:rPr>
            </w:pPr>
          </w:p>
        </w:tc>
      </w:tr>
      <w:tr>
        <w:trPr>
          <w:trHeight w:val="189"/>
        </w:trPr>
        <w:tc>
          <w:tcPr>
            <w:tcW w:w="6940" w:type="dxa"/>
            <w:vAlign w:val="bottom"/>
          </w:tcPr>
          <w:p>
            <w:pPr>
              <w:ind w:left="20"/>
              <w:spacing w:after="0"/>
              <w:rPr>
                <w:sz w:val="20"/>
                <w:szCs w:val="20"/>
                <w:color w:val="auto"/>
              </w:rPr>
            </w:pPr>
            <w:r>
              <w:rPr>
                <w:rFonts w:ascii="Arial" w:cs="Arial" w:eastAsia="Arial" w:hAnsi="Arial"/>
                <w:sz w:val="14"/>
                <w:szCs w:val="14"/>
                <w:color w:val="auto"/>
              </w:rPr>
              <w:t>(Accumulated deficit) retained earnings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(28,158)</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190,453</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 income</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(26,237)</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82"/>
        </w:trPr>
        <w:tc>
          <w:tcPr>
            <w:tcW w:w="694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1,076,658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1,301,877</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22,663</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36,980</w:t>
            </w:r>
          </w:p>
        </w:tc>
        <w:tc>
          <w:tcPr>
            <w:tcW w:w="0" w:type="dxa"/>
            <w:vAlign w:val="bottom"/>
          </w:tcPr>
          <w:p>
            <w:pPr>
              <w:spacing w:after="0"/>
              <w:rPr>
                <w:sz w:val="1"/>
                <w:szCs w:val="1"/>
                <w:color w:val="auto"/>
              </w:rPr>
            </w:pPr>
          </w:p>
        </w:tc>
      </w:tr>
      <w:tr>
        <w:trPr>
          <w:trHeight w:val="18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1,099,321</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1,338,857</w:t>
            </w:r>
          </w:p>
        </w:tc>
        <w:tc>
          <w:tcPr>
            <w:tcW w:w="0" w:type="dxa"/>
            <w:vAlign w:val="bottom"/>
          </w:tcPr>
          <w:p>
            <w:pPr>
              <w:spacing w:after="0"/>
              <w:rPr>
                <w:sz w:val="1"/>
                <w:szCs w:val="1"/>
                <w:color w:val="auto"/>
              </w:rPr>
            </w:pPr>
          </w:p>
        </w:tc>
      </w:tr>
      <w:tr>
        <w:trPr>
          <w:trHeight w:val="20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3,387,977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3,236,922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3" w:name="page64"/>
    <w:bookmarkEnd w:id="63"/>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OPERATIONS </w:t>
      </w: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5620" w:type="dxa"/>
            <w:vAlign w:val="bottom"/>
          </w:tcPr>
          <w:p>
            <w:pPr>
              <w:spacing w:after="0"/>
              <w:rPr>
                <w:sz w:val="15"/>
                <w:szCs w:val="15"/>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Notes</w:t>
            </w: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6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297,934</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349,322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253,039</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68,562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229,452</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89,073</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366,496</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578,774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342,112</w:t>
            </w:r>
          </w:p>
        </w:tc>
      </w:tr>
      <w:tr>
        <w:trPr>
          <w:trHeight w:val="209"/>
        </w:trPr>
        <w:tc>
          <w:tcPr>
            <w:tcW w:w="5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109,512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291,572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138,406</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18,159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16,905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15,290</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9,868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17,623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6,968</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6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18,519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36,059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15,726</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172,400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169,023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133,908</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33,978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4,726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98,206</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95,585</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56,845</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460,642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631,493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367,143</w:t>
            </w:r>
          </w:p>
        </w:tc>
      </w:tr>
      <w:tr>
        <w:trPr>
          <w:trHeight w:val="210"/>
        </w:trPr>
        <w:tc>
          <w:tcPr>
            <w:tcW w:w="5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(5,039)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203,250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3,911</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(11,667)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488</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3,445</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3,983</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w:t>
            </w: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(16,782)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204,851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7,374</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from continuing operations before income taxes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(110,928)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152,132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(17,657)</w:t>
            </w:r>
          </w:p>
        </w:tc>
      </w:tr>
      <w:tr>
        <w:trPr>
          <w:trHeight w:val="18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(5,905)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17,810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w:t>
            </w:r>
          </w:p>
        </w:tc>
      </w:tr>
      <w:tr>
        <w:trPr>
          <w:trHeight w:val="183"/>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income from continuing operations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(105,023)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134,322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(20,106)</w:t>
            </w:r>
          </w:p>
        </w:tc>
      </w:tr>
      <w:tr>
        <w:trPr>
          <w:trHeight w:val="18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73,462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4,402</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(103,692)</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207,784</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(15,704)</w:t>
            </w:r>
          </w:p>
        </w:tc>
      </w:tr>
      <w:tr>
        <w:trPr>
          <w:trHeight w:val="133"/>
        </w:trPr>
        <w:tc>
          <w:tcPr>
            <w:tcW w:w="5620" w:type="dxa"/>
            <w:vAlign w:val="bottom"/>
          </w:tcPr>
          <w:p>
            <w:pPr>
              <w:ind w:left="20"/>
              <w:spacing w:after="0" w:line="133" w:lineRule="exact"/>
              <w:rPr>
                <w:sz w:val="20"/>
                <w:szCs w:val="20"/>
                <w:color w:val="auto"/>
              </w:rPr>
            </w:pPr>
            <w:r>
              <w:rPr>
                <w:rFonts w:ascii="Arial" w:cs="Arial" w:eastAsia="Arial" w:hAnsi="Arial"/>
                <w:sz w:val="14"/>
                <w:szCs w:val="14"/>
                <w:color w:val="auto"/>
              </w:rPr>
              <w:t>Less: Net (loss) income attributable to non-controlling interests in consolidated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1"/>
        </w:trPr>
        <w:tc>
          <w:tcPr>
            <w:tcW w:w="562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(16,522)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(21,925)</w:t>
            </w:r>
          </w:p>
        </w:tc>
      </w:tr>
      <w:tr>
        <w:trPr>
          <w:trHeight w:val="189"/>
        </w:trPr>
        <w:tc>
          <w:tcPr>
            <w:tcW w:w="562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66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339</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17,869</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1,838</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(105,039)</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223,270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5,882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562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189"/>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66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r>
        <w:trPr>
          <w:trHeight w:val="189"/>
        </w:trPr>
        <w:tc>
          <w:tcPr>
            <w:tcW w:w="562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0.05</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Basic</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86,015,702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85,992,019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83,654,068</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86,015,702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86,029,363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83,664,833</w:t>
            </w: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4" w:name="page65"/>
    <w:bookmarkEnd w:id="64"/>
    <w:p>
      <w:pPr>
        <w:ind w:right="49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COMPREHENSIVE (LOSS) INCOME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6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183"/>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(103,692)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207,784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(15,704)</w:t>
            </w:r>
          </w:p>
        </w:tc>
      </w:tr>
      <w:tr>
        <w:trPr>
          <w:trHeight w:val="189"/>
        </w:trPr>
        <w:tc>
          <w:tcPr>
            <w:tcW w:w="626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26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Other comprehensive (loss) income related to equity method investees, net </w:t>
            </w:r>
            <w:r>
              <w:rPr>
                <w:rFonts w:ascii="Arial" w:cs="Arial" w:eastAsia="Arial" w:hAnsi="Arial"/>
                <w:sz w:val="18"/>
                <w:szCs w:val="18"/>
                <w:color w:val="auto"/>
                <w:vertAlign w:val="superscript"/>
              </w:rPr>
              <w:t>(1)</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(26,609)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Comprehensive (loss) income</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(130,301)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208,156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(15,704)</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626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(16,522)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(17,571)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(21,925)</w:t>
            </w:r>
          </w:p>
        </w:tc>
      </w:tr>
      <w:tr>
        <w:trPr>
          <w:trHeight w:val="189"/>
        </w:trPr>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339</w:t>
            </w:r>
          </w:p>
        </w:tc>
      </w:tr>
      <w:tr>
        <w:trPr>
          <w:trHeight w:val="183"/>
        </w:trPr>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Comprehensive (loss) income attributable to shareholders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(113,779)</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225,480</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5,882</w:t>
            </w:r>
          </w:p>
        </w:tc>
      </w:tr>
      <w:tr>
        <w:trPr>
          <w:trHeight w:val="21"/>
        </w:trPr>
        <w:tc>
          <w:tcPr>
            <w:tcW w:w="6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59"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Net of deferred tax (benefit) expense of $(7,075) and $99 for the years ended December 31, 2020 and 2019.</w:t>
      </w:r>
    </w:p>
    <w:p>
      <w:pPr>
        <w:sectPr>
          <w:pgSz w:w="11900" w:h="16838" w:orient="portrait"/>
          <w:cols w:equalWidth="0" w:num="1">
            <w:col w:w="11220"/>
          </w:cols>
          <w:pgMar w:left="320" w:top="118"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20"/>
          </w:cols>
          <w:pgMar w:left="320" w:top="118" w:right="359" w:bottom="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66" w:name="page67"/>
    <w:bookmarkEnd w:id="6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5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4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Interest in Equity</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Deficit) Retained</w:t>
            </w:r>
          </w:p>
        </w:tc>
        <w:tc>
          <w:tcPr>
            <w:tcW w:w="140" w:type="dxa"/>
            <w:vAlign w:val="bottom"/>
          </w:tcPr>
          <w:p>
            <w:pPr>
              <w:spacing w:after="0"/>
              <w:rPr>
                <w:sz w:val="11"/>
                <w:szCs w:val="11"/>
                <w:color w:val="auto"/>
              </w:rPr>
            </w:pPr>
          </w:p>
        </w:tc>
        <w:tc>
          <w:tcPr>
            <w:tcW w:w="14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of Consolidated</w:t>
            </w:r>
          </w:p>
        </w:tc>
        <w:tc>
          <w:tcPr>
            <w:tcW w:w="120" w:type="dxa"/>
            <w:vAlign w:val="bottom"/>
          </w:tcPr>
          <w:p>
            <w:pPr>
              <w:spacing w:after="0"/>
              <w:rPr>
                <w:sz w:val="11"/>
                <w:szCs w:val="11"/>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985,009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(38,699)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88,007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1,035,075</w:t>
            </w:r>
          </w:p>
        </w:tc>
        <w:tc>
          <w:tcPr>
            <w:tcW w:w="0" w:type="dxa"/>
            <w:vAlign w:val="bottom"/>
          </w:tcPr>
          <w:p>
            <w:pPr>
              <w:spacing w:after="0"/>
              <w:rPr>
                <w:sz w:val="1"/>
                <w:szCs w:val="1"/>
                <w:color w:val="auto"/>
              </w:rPr>
            </w:pPr>
          </w:p>
        </w:tc>
      </w:tr>
      <w:tr>
        <w:trPr>
          <w:trHeight w:val="189"/>
        </w:trPr>
        <w:tc>
          <w:tcPr>
            <w:tcW w:w="242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(21,586)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(15,704)</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(21,586)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(15,704)</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147,717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147,799</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Dividends declared - common</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(110,584)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(110,584)</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1,029,376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56,383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1,053,782</w:t>
            </w:r>
          </w:p>
        </w:tc>
        <w:tc>
          <w:tcPr>
            <w:tcW w:w="0" w:type="dxa"/>
            <w:vAlign w:val="bottom"/>
          </w:tcPr>
          <w:p>
            <w:pPr>
              <w:spacing w:after="0"/>
              <w:rPr>
                <w:sz w:val="1"/>
                <w:szCs w:val="1"/>
                <w:color w:val="auto"/>
              </w:rPr>
            </w:pPr>
          </w:p>
        </w:tc>
      </w:tr>
      <w:tr>
        <w:trPr>
          <w:trHeight w:val="183"/>
        </w:trPr>
        <w:tc>
          <w:tcPr>
            <w:tcW w:w="242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225,108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(17,324)</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207,784</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225,108</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(17,324)</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208,156</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(10,483)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(10,483)</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participating securities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line="153" w:lineRule="exact"/>
              <w:rPr>
                <w:sz w:val="20"/>
                <w:szCs w:val="20"/>
                <w:color w:val="auto"/>
              </w:rPr>
            </w:pPr>
            <w:r>
              <w:rPr>
                <w:rFonts w:ascii="Arial" w:cs="Arial" w:eastAsia="Arial" w:hAnsi="Arial"/>
                <w:sz w:val="14"/>
                <w:szCs w:val="14"/>
                <w:color w:val="auto"/>
              </w:rPr>
              <w:t>Dividends declared - common</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(113,541)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(113,541)</w:t>
            </w:r>
          </w:p>
        </w:tc>
        <w:tc>
          <w:tcPr>
            <w:tcW w:w="0" w:type="dxa"/>
            <w:vAlign w:val="bottom"/>
          </w:tcPr>
          <w:p>
            <w:pPr>
              <w:spacing w:after="0"/>
              <w:rPr>
                <w:sz w:val="1"/>
                <w:szCs w:val="1"/>
                <w:color w:val="auto"/>
              </w:rPr>
            </w:pPr>
          </w:p>
        </w:tc>
      </w:tr>
      <w:tr>
        <w:trPr>
          <w:trHeight w:val="171"/>
        </w:trPr>
        <w:tc>
          <w:tcPr>
            <w:tcW w:w="2420" w:type="dxa"/>
            <w:vAlign w:val="bottom"/>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193,911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193,992</w:t>
            </w: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line="153" w:lineRule="exact"/>
              <w:rPr>
                <w:sz w:val="20"/>
                <w:szCs w:val="20"/>
                <w:color w:val="auto"/>
              </w:rPr>
            </w:pPr>
            <w:r>
              <w:rPr>
                <w:rFonts w:ascii="Arial" w:cs="Arial" w:eastAsia="Arial" w:hAnsi="Arial"/>
                <w:sz w:val="14"/>
                <w:szCs w:val="14"/>
                <w:color w:val="auto"/>
              </w:rPr>
              <w:t>Dividends declared - preferred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71"/>
        </w:trPr>
        <w:tc>
          <w:tcPr>
            <w:tcW w:w="2420" w:type="dxa"/>
            <w:vAlign w:val="bottom"/>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8,404</w:t>
            </w:r>
          </w:p>
        </w:tc>
        <w:tc>
          <w:tcPr>
            <w:tcW w:w="0" w:type="dxa"/>
            <w:vAlign w:val="bottom"/>
          </w:tcPr>
          <w:p>
            <w:pPr>
              <w:spacing w:after="0"/>
              <w:rPr>
                <w:sz w:val="1"/>
                <w:szCs w:val="1"/>
                <w:color w:val="auto"/>
              </w:rPr>
            </w:pPr>
          </w:p>
        </w:tc>
      </w:tr>
      <w:tr>
        <w:trPr>
          <w:trHeight w:val="18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Equity - December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1,110,122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190,453</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36,980</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1,338,857</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(87,170)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(103,692)</w:t>
            </w:r>
          </w:p>
        </w:tc>
        <w:tc>
          <w:tcPr>
            <w:tcW w:w="0" w:type="dxa"/>
            <w:vAlign w:val="bottom"/>
          </w:tcPr>
          <w:p>
            <w:pPr>
              <w:spacing w:after="0"/>
              <w:rPr>
                <w:sz w:val="1"/>
                <w:szCs w:val="1"/>
                <w:color w:val="auto"/>
              </w:rPr>
            </w:pPr>
          </w:p>
        </w:tc>
      </w:tr>
      <w:tr>
        <w:trPr>
          <w:trHeight w:val="189"/>
        </w:trPr>
        <w:tc>
          <w:tcPr>
            <w:tcW w:w="242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(26,609)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(26,609)</w:t>
            </w:r>
          </w:p>
        </w:tc>
        <w:tc>
          <w:tcPr>
            <w:tcW w:w="0" w:type="dxa"/>
            <w:vAlign w:val="bottom"/>
          </w:tcPr>
          <w:p>
            <w:pPr>
              <w:spacing w:after="0"/>
              <w:rPr>
                <w:sz w:val="1"/>
                <w:szCs w:val="1"/>
                <w:color w:val="auto"/>
              </w:rPr>
            </w:pPr>
          </w:p>
        </w:tc>
      </w:tr>
      <w:tr>
        <w:trPr>
          <w:trHeight w:val="183"/>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(87,170)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(26,609)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(16,522)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(130,301)</w:t>
            </w: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line="153" w:lineRule="exact"/>
              <w:rPr>
                <w:sz w:val="20"/>
                <w:szCs w:val="20"/>
                <w:color w:val="auto"/>
              </w:rPr>
            </w:pPr>
            <w:r>
              <w:rPr>
                <w:rFonts w:ascii="Arial" w:cs="Arial" w:eastAsia="Arial" w:hAnsi="Arial"/>
                <w:sz w:val="14"/>
                <w:szCs w:val="14"/>
                <w:color w:val="auto"/>
              </w:rPr>
              <w:t>Settlement of equity based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(120)</w:t>
            </w:r>
          </w:p>
        </w:tc>
        <w:tc>
          <w:tcPr>
            <w:tcW w:w="0" w:type="dxa"/>
            <w:vAlign w:val="bottom"/>
          </w:tcPr>
          <w:p>
            <w:pPr>
              <w:spacing w:after="0"/>
              <w:rPr>
                <w:sz w:val="1"/>
                <w:szCs w:val="1"/>
                <w:color w:val="auto"/>
              </w:rPr>
            </w:pPr>
          </w:p>
        </w:tc>
      </w:tr>
      <w:tr>
        <w:trPr>
          <w:trHeight w:val="171"/>
        </w:trPr>
        <w:tc>
          <w:tcPr>
            <w:tcW w:w="242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311</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Conversion of participating securities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Dividends declared - common</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(113,572)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(113,572)</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19,687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19,697</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Dividends declared - preferred</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(17,869)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(17,869)</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2,325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2,325</w:t>
            </w:r>
          </w:p>
        </w:tc>
        <w:tc>
          <w:tcPr>
            <w:tcW w:w="0" w:type="dxa"/>
            <w:vAlign w:val="bottom"/>
          </w:tcPr>
          <w:p>
            <w:pPr>
              <w:spacing w:after="0"/>
              <w:rPr>
                <w:sz w:val="1"/>
                <w:szCs w:val="1"/>
                <w:color w:val="auto"/>
              </w:rPr>
            </w:pPr>
          </w:p>
        </w:tc>
      </w:tr>
      <w:tr>
        <w:trPr>
          <w:trHeight w:val="208"/>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1,130,106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(26,237)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1,099,321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3"/>
        </w:trPr>
        <w:tc>
          <w:tcPr>
            <w:tcW w:w="7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16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(103,692)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207,784</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(15,704)</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income to cash provided by operating activities: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5,039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1,008</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subsidiaries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(81,954)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(3,911)</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(6,323)</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11,667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172,400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171,225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136,354</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33,978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Change in deferred income taxes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(5,851)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14,495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649</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(5,523)</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30,346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30,162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26,659</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5,430</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Bad debt expense</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3,595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3,986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1,771</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Change in:</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7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(59,734)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(23,340)</w:t>
            </w:r>
          </w:p>
        </w:tc>
      </w:tr>
      <w:tr>
        <w:trPr>
          <w:trHeight w:val="189"/>
        </w:trPr>
        <w:tc>
          <w:tcPr>
            <w:tcW w:w="716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3,660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(17,890)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(26,212)</w:t>
            </w:r>
          </w:p>
        </w:tc>
      </w:tr>
      <w:tr>
        <w:trPr>
          <w:trHeight w:val="189"/>
        </w:trPr>
        <w:tc>
          <w:tcPr>
            <w:tcW w:w="7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payable and accrued liabilities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30,471</w:t>
            </w:r>
          </w:p>
        </w:tc>
      </w:tr>
      <w:tr>
        <w:trPr>
          <w:trHeight w:val="189"/>
        </w:trPr>
        <w:tc>
          <w:tcPr>
            <w:tcW w:w="7160" w:type="dxa"/>
            <w:vAlign w:val="bottom"/>
          </w:tcPr>
          <w:p>
            <w:pPr>
              <w:ind w:left="180"/>
              <w:spacing w:after="0"/>
              <w:rPr>
                <w:sz w:val="20"/>
                <w:szCs w:val="20"/>
                <w:color w:val="auto"/>
              </w:rPr>
            </w:pPr>
            <w:r>
              <w:rPr>
                <w:rFonts w:ascii="Arial" w:cs="Arial" w:eastAsia="Arial" w:hAnsi="Arial"/>
                <w:sz w:val="14"/>
                <w:szCs w:val="14"/>
                <w:color w:val="auto"/>
              </w:rPr>
              <w:t>Management fees payable to affiliate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(20,622)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19,080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1,820</w:t>
            </w:r>
          </w:p>
        </w:tc>
      </w:tr>
      <w:tr>
        <w:trPr>
          <w:trHeight w:val="189"/>
        </w:trPr>
        <w:tc>
          <w:tcPr>
            <w:tcW w:w="7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(6,360)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(14,837)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w:t>
            </w:r>
          </w:p>
        </w:tc>
      </w:tr>
      <w:tr>
        <w:trPr>
          <w:trHeight w:val="18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63,106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151,043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133,697</w:t>
            </w:r>
          </w:p>
        </w:tc>
      </w:tr>
      <w:tr>
        <w:trPr>
          <w:trHeight w:val="196"/>
        </w:trPr>
        <w:tc>
          <w:tcPr>
            <w:tcW w:w="7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notes receivable</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(4,690)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(1,115)</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13,823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(321,606)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(568,569)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(497,988)</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(264,829)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(331,171)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(229,963)</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Acquisition of lease intangibles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1,997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(11,396)</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remaining interest in JV investment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(28,828)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Purchase deposit for aircraft and aircraft engines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(8,343)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(10,150)</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subsidiaries</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183,819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72,175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248,454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44,062</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deposit on sale of leasing equipment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deposit on sale of leasing equipment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Return of capital distributions from unconsolidated entities</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2,085</w:t>
            </w:r>
          </w:p>
        </w:tc>
      </w:tr>
      <w:tr>
        <w:trPr>
          <w:trHeight w:val="183"/>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(509,123)</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(495,236)</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(703,533)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8" w:name="page69"/>
    <w:bookmarkEnd w:id="68"/>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3"/>
        </w:trPr>
        <w:tc>
          <w:tcPr>
            <w:tcW w:w="7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16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1,340,981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788,829</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750,980</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(852,197)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(218,819)</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(28,243)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(34,218)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(3,055)</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3,242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9,264</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(4,655)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(1,775)</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33,369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65,279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53,645</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(15,712)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(26,940)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(25,582)</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148,318</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Common shares issuance costs</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(820)</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19,694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193,992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Settlement of equity-based compensation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 shares</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Cash dividends - common shares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(113,572)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(113,541)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(110,584)</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preferred shares</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(17,869)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364,918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465,873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597,867</w:t>
            </w:r>
          </w:p>
        </w:tc>
      </w:tr>
      <w:tr>
        <w:trPr>
          <w:trHeight w:val="196"/>
        </w:trPr>
        <w:tc>
          <w:tcPr>
            <w:tcW w:w="7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(81,099)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121,680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28,031</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242,517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120,837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92,806</w:t>
            </w:r>
          </w:p>
        </w:tc>
      </w:tr>
      <w:tr>
        <w:trPr>
          <w:trHeight w:val="183"/>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161,418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242,517</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120,837</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net of capitalized interest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71,637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43,636</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Cash paid for taxes</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721</w:t>
            </w:r>
          </w:p>
        </w:tc>
      </w:tr>
      <w:tr>
        <w:trPr>
          <w:trHeight w:val="216"/>
        </w:trPr>
        <w:tc>
          <w:tcPr>
            <w:tcW w:w="7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borrowings of debt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Repayment and settlement of debt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141,478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(24,530)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(14,263)</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(13,237)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(47,520)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(17,587)</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Long Ridge JV</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155,589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Settled and assumed security deposits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(5,825)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3,793</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 based compensation</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(58,906)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15,117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24,518</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financing costs</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Equity compensation to non-controlling interest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892</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cash flow hedge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(26,609)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of non-controlling interest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7,225</w:t>
            </w:r>
          </w:p>
        </w:tc>
      </w:tr>
      <w:tr>
        <w:trPr>
          <w:trHeight w:val="191"/>
        </w:trPr>
        <w:tc>
          <w:tcPr>
            <w:tcW w:w="716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9" w:name="page70"/>
    <w:bookmarkEnd w:id="6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owns and leases aviation equipment and also owns and operates (i) a multi-modal crude oil and refined products terminal in Beaumont, Texas (“Jefferson Terminal”), (ii) a deep-water port located along the Delaware River with an underground storage cavern and multiple industrial development opportunities (“Repauno”) and (iii) an equity method investment in a multi-modal terminal located along the Ohio River with multiple industrial development opportunities, including a power plant under construction (“Long Ridge”). Additionally, we own and lease offshore energy equipment and shipping containers. We have three reportable segments, (i) Aviation Leasing, (ii) Jefferson Terminal and (iii) Ports and Terminals, which operate in two primary businesses, Equipment Leasing and Infrastructure (see Note 17).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both our accounts and those of our subsidiaries.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The ownership interest of other investors in consolidated subsidiaries is recorded as non-controlling interest.</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are denominated in U.S. dollars.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Delaware River Partners LLC</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an approximately 98% economic interest, and a 100% voting interest in DRP. DRP is solely reliant on us to finance its activities and therefore is a VIE. We concluded that we are the primary beneficiary and, accordingly, DRP has been presented on a consolidated basis in the accompanying financial statements.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0000"/>
        </w:rPr>
        <w:t>—Restricted cash consists of prepaid interest and principal pursuant to the requirements of certain of our debt agreements (see Note 9)</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qualifying constructions projects at Jefferson Terminal.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0000"/>
        </w:rPr>
        <w:t>—We hold aircraft engine modules, spare parts and used material inventory for trading and to support operations within our Aviation Leasing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segment. Aviation inventory is carried at the lower of cost or net realizable value on our balance sheet. We had Aviation inventory of $58.2 million and $9.6 million as of December 31, 2020 and 2019, respectively, which is included in Other assets in the Consolidated Balance Sheets.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Commodities inventory is carried at the lower of cost or net realizable value on our balance sheet. Commodities are removed from inventory based on the average cost at the time of sale. We had commodities inventory of $0.1 million and $5.6 million as of December 31, 2020 and 2019, respectively, which is included in Other assets in the Consolidated Balance Sheets.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estimated useful lives, to estimated residual values which are summarized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Asset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Range of Estimated Useful Lives</w:t>
            </w:r>
          </w:p>
        </w:tc>
        <w:tc>
          <w:tcPr>
            <w:tcW w:w="140" w:type="dxa"/>
            <w:vAlign w:val="bottom"/>
            <w:tcBorders>
              <w:bottom w:val="single" w:sz="8" w:color="CCEEFF"/>
            </w:tcBorders>
          </w:tcPr>
          <w:p>
            <w:pPr>
              <w:spacing w:after="0"/>
              <w:rPr>
                <w:sz w:val="16"/>
                <w:szCs w:val="16"/>
                <w:color w:val="auto"/>
              </w:rPr>
            </w:pP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47"/>
        </w:trPr>
        <w:tc>
          <w:tcPr>
            <w:tcW w:w="42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Aircraft</w:t>
            </w:r>
          </w:p>
        </w:tc>
        <w:tc>
          <w:tcPr>
            <w:tcW w:w="3520" w:type="dxa"/>
            <w:vAlign w:val="bottom"/>
            <w:gridSpan w:val="4"/>
            <w:shd w:val="clear" w:color="auto" w:fill="CCEEFF"/>
          </w:tcPr>
          <w:p>
            <w:pPr>
              <w:ind w:left="20"/>
              <w:spacing w:after="0" w:line="147" w:lineRule="exact"/>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Generally not to exceed 15% of manufacturer’s list</w:t>
            </w:r>
          </w:p>
        </w:tc>
      </w:tr>
      <w:tr>
        <w:trPr>
          <w:trHeight w:val="171"/>
        </w:trPr>
        <w:tc>
          <w:tcPr>
            <w:tcW w:w="4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r>
        <w:trPr>
          <w:trHeight w:val="153"/>
        </w:trPr>
        <w:tc>
          <w:tcPr>
            <w:tcW w:w="42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Aircraft engines</w:t>
            </w:r>
          </w:p>
        </w:tc>
        <w:tc>
          <w:tcPr>
            <w:tcW w:w="120" w:type="dxa"/>
            <w:vAlign w:val="bottom"/>
          </w:tcPr>
          <w:p>
            <w:pPr>
              <w:ind w:left="20"/>
              <w:spacing w:after="0" w:line="153" w:lineRule="exact"/>
              <w:rPr>
                <w:sz w:val="20"/>
                <w:szCs w:val="20"/>
                <w:color w:val="auto"/>
              </w:rPr>
            </w:pPr>
            <w:r>
              <w:rPr>
                <w:rFonts w:ascii="Arial" w:cs="Arial" w:eastAsia="Arial" w:hAnsi="Arial"/>
                <w:sz w:val="14"/>
                <w:szCs w:val="14"/>
                <w:color w:val="auto"/>
              </w:rPr>
              <w:t>2</w:t>
            </w:r>
          </w:p>
        </w:tc>
        <w:tc>
          <w:tcPr>
            <w:tcW w:w="340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- 6 years, based on maintenance adjusted service</w:t>
            </w:r>
          </w:p>
        </w:tc>
        <w:tc>
          <w:tcPr>
            <w:tcW w:w="3460" w:type="dxa"/>
            <w:vAlign w:val="bottom"/>
          </w:tcPr>
          <w:p>
            <w:pPr>
              <w:ind w:left="20"/>
              <w:spacing w:after="0" w:line="153" w:lineRule="exact"/>
              <w:rPr>
                <w:sz w:val="20"/>
                <w:szCs w:val="20"/>
                <w:color w:val="auto"/>
              </w:rPr>
            </w:pPr>
            <w:r>
              <w:rPr>
                <w:rFonts w:ascii="Arial" w:cs="Arial" w:eastAsia="Arial" w:hAnsi="Arial"/>
                <w:sz w:val="14"/>
                <w:szCs w:val="14"/>
                <w:color w:val="auto"/>
              </w:rPr>
              <w:t>Sum of engine core salvage value plus the estimated</w:t>
            </w:r>
          </w:p>
        </w:tc>
      </w:tr>
      <w:tr>
        <w:trPr>
          <w:trHeight w:val="171"/>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4"/>
          </w:tcPr>
          <w:p>
            <w:pPr>
              <w:ind w:left="20"/>
              <w:spacing w:after="0"/>
              <w:rPr>
                <w:sz w:val="20"/>
                <w:szCs w:val="20"/>
                <w:color w:val="auto"/>
              </w:rPr>
            </w:pPr>
            <w:r>
              <w:rPr>
                <w:rFonts w:ascii="Arial" w:cs="Arial" w:eastAsia="Arial" w:hAnsi="Arial"/>
                <w:sz w:val="14"/>
                <w:szCs w:val="14"/>
                <w:color w:val="auto"/>
              </w:rPr>
              <w:t>life</w:t>
            </w:r>
          </w:p>
        </w:tc>
        <w:tc>
          <w:tcPr>
            <w:tcW w:w="3460" w:type="dxa"/>
            <w:vAlign w:val="bottom"/>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Offshore energy vessels</w:t>
            </w:r>
          </w:p>
        </w:tc>
        <w:tc>
          <w:tcPr>
            <w:tcW w:w="35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 of new build cost</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Railcars</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40</w:t>
            </w:r>
          </w:p>
        </w:tc>
        <w:tc>
          <w:tcPr>
            <w:tcW w:w="3320" w:type="dxa"/>
            <w:vAlign w:val="bottom"/>
            <w:gridSpan w:val="2"/>
          </w:tcPr>
          <w:p>
            <w:pPr>
              <w:ind w:left="20"/>
              <w:spacing w:after="0"/>
              <w:rPr>
                <w:sz w:val="20"/>
                <w:szCs w:val="20"/>
                <w:color w:val="auto"/>
              </w:rPr>
            </w:pPr>
            <w:r>
              <w:rPr>
                <w:rFonts w:ascii="Arial" w:cs="Arial" w:eastAsia="Arial" w:hAnsi="Arial"/>
                <w:sz w:val="14"/>
                <w:szCs w:val="14"/>
                <w:color w:val="auto"/>
              </w:rPr>
              <w:t>- 50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- 50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Buildings and site improvements</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20</w:t>
            </w:r>
          </w:p>
        </w:tc>
        <w:tc>
          <w:tcPr>
            <w:tcW w:w="3320" w:type="dxa"/>
            <w:vAlign w:val="bottom"/>
            <w:gridSpan w:val="2"/>
          </w:tcPr>
          <w:p>
            <w:pPr>
              <w:ind w:left="20"/>
              <w:spacing w:after="0"/>
              <w:rPr>
                <w:sz w:val="20"/>
                <w:szCs w:val="20"/>
                <w:color w:val="auto"/>
              </w:rPr>
            </w:pPr>
            <w:r>
              <w:rPr>
                <w:rFonts w:ascii="Arial" w:cs="Arial" w:eastAsia="Arial" w:hAnsi="Arial"/>
                <w:sz w:val="14"/>
                <w:szCs w:val="14"/>
                <w:color w:val="auto"/>
              </w:rPr>
              <w:t>- 30 years</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- 15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Terminal machinery and equipment</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15</w:t>
            </w:r>
          </w:p>
        </w:tc>
        <w:tc>
          <w:tcPr>
            <w:tcW w:w="3320" w:type="dxa"/>
            <w:vAlign w:val="bottom"/>
            <w:gridSpan w:val="2"/>
          </w:tcPr>
          <w:p>
            <w:pPr>
              <w:ind w:left="20"/>
              <w:spacing w:after="0"/>
              <w:rPr>
                <w:sz w:val="20"/>
                <w:szCs w:val="20"/>
                <w:color w:val="auto"/>
              </w:rPr>
            </w:pPr>
            <w:r>
              <w:rPr>
                <w:rFonts w:ascii="Arial" w:cs="Arial" w:eastAsia="Arial" w:hAnsi="Arial"/>
                <w:sz w:val="14"/>
                <w:szCs w:val="14"/>
                <w:color w:val="auto"/>
              </w:rPr>
              <w:t>- 25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3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- 7 years from date of manufacture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3"/>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tcPr>
          <w:p>
            <w:pPr>
              <w:ind w:left="20"/>
              <w:spacing w:after="0"/>
              <w:rPr>
                <w:sz w:val="20"/>
                <w:szCs w:val="20"/>
                <w:color w:val="auto"/>
              </w:rPr>
            </w:pPr>
            <w:r>
              <w:rPr>
                <w:rFonts w:ascii="Arial" w:cs="Arial" w:eastAsia="Arial" w:hAnsi="Arial"/>
                <w:sz w:val="14"/>
                <w:szCs w:val="14"/>
                <w:color w:val="auto"/>
              </w:rPr>
              <w:t>None</w:t>
            </w: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- 5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bl>
    <w:p>
      <w:pPr>
        <w:spacing w:after="0" w:line="200" w:lineRule="exact"/>
        <w:rPr>
          <w:sz w:val="20"/>
          <w:szCs w:val="20"/>
          <w:color w:val="auto"/>
        </w:rPr>
      </w:pPr>
    </w:p>
    <w:p>
      <w:pPr>
        <w:spacing w:after="0" w:line="26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Project costs of major additions and betterments, including pre-construction costs and other costs directly related to the development or construction of project, are capitalized and depreciation commences once it is placed into service. Interest costs directly related to and incurred during the construction period of property, plant and equipment are capitalized. Significant spare parts are depreciated in conjunction with the underlying property, plant and equipment asset when placed in service.</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review our depreciation policies on a regular basis to determine whether changes have taken place that would suggest that a change in our depreciation policies, useful lives of our equipment or the assigned residual values is warranted.</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offshore energy vessels are required to be drydocked periodically for recertifications or major repairs and maintenance that cannot be performed while the vessels are operating. Normal repairs and maintenance are expensed as incurred. We capitalize the costs associated with the drydockings and amortize them on a straight-line basis over the period between drydockings, usually between 30 and 60 months.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accounting for leasing equipment, we make estimates about the expected useful lives, residual values and the fair value of acquired in-place leases and acquired maintenance liabilities (for aviation equipment). In making these estimates, we rely upon observable market data for the same or similar types of equipment and, in the case of aviation equipment, our own estimates with respect to a lessee’s anticipated utilization of the aircraft or engine. During the fourth quarter of 2020, we changed the estimated useful lives and residual values of certain aircraft engines based on observable market data. This change in estimate resulted in additional depreciation expense of $3.8 million during the quarter and will increase annual depreciation expense by approximately $1.6 million. When we acquire leasing equipment subject to an in-place lease, determining the fair value of the in-place lease requires us to make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lease income over the remaining term of the lease.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We, through our equity method investment in Long Ridge, have a working interest in various natural gas reserves located in southeastern Ohio. Our interest in this natural gas joint venture is consolidated on a proportionate basis in accordance with Accounting Standards Codification (“ASC”) Topic 932 </w:t>
      </w:r>
      <w:r>
        <w:rPr>
          <w:rFonts w:ascii="Arial" w:cs="Arial" w:eastAsia="Arial" w:hAnsi="Arial"/>
          <w:sz w:val="16"/>
          <w:szCs w:val="16"/>
          <w:i w:val="1"/>
          <w:iCs w:val="1"/>
          <w:color w:val="auto"/>
        </w:rPr>
        <w:t>Extractive</w:t>
      </w:r>
      <w:r>
        <w:rPr>
          <w:rFonts w:ascii="Arial" w:cs="Arial" w:eastAsia="Arial" w:hAnsi="Arial"/>
          <w:sz w:val="16"/>
          <w:szCs w:val="16"/>
          <w:color w:val="auto"/>
        </w:rPr>
        <w:t xml:space="preserve"> </w:t>
      </w:r>
      <w:r>
        <w:rPr>
          <w:rFonts w:ascii="Arial" w:cs="Arial" w:eastAsia="Arial" w:hAnsi="Arial"/>
          <w:sz w:val="16"/>
          <w:szCs w:val="16"/>
          <w:i w:val="1"/>
          <w:iCs w:val="1"/>
          <w:color w:val="auto"/>
        </w:rPr>
        <w:t>Activities – Oil and Gas</w:t>
      </w:r>
      <w:r>
        <w:rPr>
          <w:rFonts w:ascii="Arial" w:cs="Arial" w:eastAsia="Arial" w:hAnsi="Arial"/>
          <w:sz w:val="16"/>
          <w:szCs w:val="16"/>
          <w:color w:val="auto"/>
        </w:rPr>
        <w:t>. We follow the successful efforts method of accounting for costs incurred in oil and gas producing activities. Capitalized costs are</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amortized using the unit-of-production method based on total proved reserves.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Capitalized Interest</w:t>
      </w:r>
      <w:r>
        <w:rPr>
          <w:rFonts w:ascii="Arial" w:cs="Arial" w:eastAsia="Arial" w:hAnsi="Arial"/>
          <w:sz w:val="16"/>
          <w:szCs w:val="16"/>
          <w:color w:val="000000"/>
        </w:rPr>
        <w:t>—The interest cost associated with major development, construction projects and tax exempt bonds is capitalized and included in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cost of the project. Interest capitalization ceases once a project is substantially complete or no longer undergoing construction activities to prepare it for its intended use. We capitalized interest of $20.9 million, $11.9 million and $10.7 million during the years ended December 31, 2020, 2019 and 2018, respectively.</w:t>
      </w:r>
    </w:p>
    <w:p>
      <w:pPr>
        <w:spacing w:after="0" w:line="2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Repairs and Maintenance</w:t>
      </w:r>
      <w:r>
        <w:rPr>
          <w:rFonts w:ascii="Arial" w:cs="Arial" w:eastAsia="Arial" w:hAnsi="Arial"/>
          <w:sz w:val="16"/>
          <w:szCs w:val="16"/>
          <w:color w:val="000000"/>
        </w:rPr>
        <w:t>—Repair and maintenance costs that do not extend the lives of the assets are expensed as incurred. Our repairs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maintenance expense was $4.1 million, $5.0 million and $8.3 million during the years ended December 31, 2020, 2019 and 2018, respectively, and are included in Operating expenses in the Consolidated Statements of Operations.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we measure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3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7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Security Deposits</w:t>
      </w:r>
      <w:r>
        <w:rPr>
          <w:rFonts w:ascii="Arial" w:cs="Arial" w:eastAsia="Arial" w:hAnsi="Arial"/>
          <w:sz w:val="16"/>
          <w:szCs w:val="16"/>
          <w:color w:val="000000"/>
        </w:rPr>
        <w:t>—Our operating leases generally require the lessee to pay a security deposit or provide a letter of credit. Security deposits are held until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specified return dates stipulated in the lease or lease expiration.</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to 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 liabilities in the Consolidated Balance Sheets. Reimbursements made to the lessee upon the receipt of evidence of qualifying maintenance work are recorded against the maintenance deposit liability.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for the estimated value of the end-of-life maintenance payment at acquisition. We recognize payments received as end-of-lease compensation adjustments, within lease revenue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Lease Incentives and Amortization</w:t>
      </w:r>
      <w:r>
        <w:rPr>
          <w:rFonts w:ascii="Arial" w:cs="Arial" w:eastAsia="Arial" w:hAnsi="Arial"/>
          <w:sz w:val="16"/>
          <w:szCs w:val="16"/>
          <w:color w:val="000000"/>
        </w:rPr>
        <w:t>—Lease incentives, which include lease acquisition costs related to reconfiguration of the aircraft cabin, other lessee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specific modifications and other direct costs, are capitalized and amortized as a reduction of lease income over the primary term of the lease, assuming no lease renewals.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The carrying amount of goodwill was approximately $122.7 million and $122.6 million as of December 31, 2020 and 2019, respectively.</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2020 or 2019.</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Beginning in 2020, we adopted new guidance regarding the testing and recognition of a goodwill impairment which prior to 2020 required two steps. 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of any goodwill recorded in the reporting unit.</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estimate the fair value of the reporting units using an income approach, specifically a discounted cash flow analysis. This analysis requires us to make significant assumptions and estimates about the extent and timing of future cash flows (including forecasted revenue growth rates and EBITDA margins), capital expenditures and discount rates. The estimates and assumptions used consider historical performance if indicative of future performance, and are consistent with the assumptions used in determining future profit plans for the reporting units.</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reporting unit or other key inputs are negatively revised in the future, the estimated fair value of the Jefferson Terminal reporting unit could be adversely impacted, potentially leading to an impairment in the future that could materially affect our operating results. The Jefferson Terminal segment forecasted revenue is dependent on the ramp up of volumes under current and expected future contracts for storage of heavy and light crude and refined products during 2021 and beyond subject to obtaining rail capacity for crude, expansion of refined product distribution to Mexico and movements in future oil spreads. Jefferson Terminal was designed to reach a storage capacity of 21.7 million barrels, and 4.4 million of storage, or approximately 20.3% of capacity, is currently operational.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Although we do not have significant direct exposure to volatility of crude oil prices, changes in crude oil pricing that effect long term refining planned output could impact Jefferson Terminal operations. Other assumptions utilized in our annual impairment analysis that are significant in determination of the fair value of the reporting unit include the discount rate utilized in our discounted cash flow analysis of 13.5% and our terminal growth rate of 2%.</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both inbound and outbound pipelines projects are becoming fully operational early in 2021 to and from the Jefferson Terminal and will affect our forecasted growth and therefore our estimated fair value. We expect the Jefferson Terminal segment to continue to generate positive Adjusted EBITDA during 2021. Although certain of our anticipated contracts or expected volumes from existing contracts for Jefferson Terminal have been delayed, we continue to believe our projected revenues are achievable. Further delays in executing these contracts or achieving our projections could adversely affect the fair value of the reporting unit. The impact of the COVID-19 global pandemic during 2020 certainly negatively affected refining volumes and therefore Jefferson Terminal crude throughput but we anticipate the impact to normalize over 2021 and ramp back to normal by 2022. Furthermore, we anticipate strengthening macroeconomic demand for storage and the increasing spread between Western Canadian Crude and Western Texas Intermediate as Canadian crude pipeline apportionment increases and our pipeline connections become fully operational during 2021, we remain positive for the outlook of Jefferson Terminal’s earnings potential.</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impairments of goodwill for the years ended December 31, 2020, 2019, and 2018.</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Intangibles and amortization</w:t>
      </w:r>
      <w:r>
        <w:rPr>
          <w:rFonts w:ascii="Arial" w:cs="Arial" w:eastAsia="Arial" w:hAnsi="Arial"/>
          <w:sz w:val="16"/>
          <w:szCs w:val="16"/>
          <w:color w:val="000000"/>
        </w:rPr>
        <w:t>—Intangibles include the value of acquired favorable and unfavorable leases and existing customer relationships acquired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connection with the acquisition of Jefferson Terminal.</w:t>
      </w:r>
    </w:p>
    <w:p>
      <w:pPr>
        <w:spacing w:after="0" w:line="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accounting for acquired leasing equipment, we make estimates about the fair value of the acquired leases. In determining the fair value of these leases, we make assumptions regarding the current fair values of leases for identical or similar equipment in order to determine if the acquired lease is within a fair value range of current lease rates. If a lease is below or above the range of current lease rates, the resulting lease discount or premium is recognized as a lease intangible and amortized into rental income over the remaining term of the lease. Acquired lease intangibles are amortized on a straight-line basis over the remaining lease terms, which collectively had a weighted-average remaining amortization period of approximately 20 months as of December 31, 2020, and are recorded as a component of equipment leasing revenues in the accompanying Consolidated Statements of Operations.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Customer relationship intangible assets are amortized on a straight-line basis over their useful lives as the pattern in which the asset’s economic benefits are consumed cannot reliably be determined. Customer relationship intangible assets have useful lives ranging from 5 to 10 years, no estimated residual value, and amortization is recorded as a component of Depreciation and amortization in the Consolidated Statements of Operations. The weighted-average remaining amortization period was approximately 43 months as of December 31, 2020.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$36.2 million and $18.1 million as of December 31, 2020 and 2019, respectively, are included in Debt, net in the Consolidated Balance Sheets.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$1.6 million and $1.7 million as of December 31, 2020 and 2019, respectively, which are included in Other assets in the Consolidated Balance Sheets.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Amortization expense was $7.3 million, $8.1 million and $5.1 million for the years ended December 31, 2020, 2019 and 2018, respectively, and is included in Interest expense in the Consolidated Statements of Operations.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Discontinued Operations</w:t>
      </w:r>
      <w:r>
        <w:rPr>
          <w:rFonts w:ascii="Arial" w:cs="Arial" w:eastAsia="Arial" w:hAnsi="Arial"/>
          <w:sz w:val="16"/>
          <w:szCs w:val="16"/>
          <w:i w:val="1"/>
          <w:iCs w:val="1"/>
          <w:color w:val="000000"/>
        </w:rPr>
        <w:t>—</w:t>
      </w:r>
      <w:r>
        <w:rPr>
          <w:rFonts w:ascii="Arial" w:cs="Arial" w:eastAsia="Arial" w:hAnsi="Arial"/>
          <w:sz w:val="16"/>
          <w:szCs w:val="16"/>
          <w:color w:val="000000"/>
        </w:rPr>
        <w:t>A disposal of an entity or component of an entity is reported in discontinued operations if the disposal represents a strategic</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shift that has or will have a material impact on our operations and financial results. See Note 3 for additional information related to our discontinued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i w:val="1"/>
          <w:iCs w:val="1"/>
          <w:color w:val="000000"/>
        </w:rPr>
        <w:t>—</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fair value of the aircraft and lease. The fair value of the lease may include a lease premium or discount.</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April 2020, the FASB Staff issued a question-and-answer document (the “Q&amp;A”) regarding accounting for lease concessions related to the effects of the COVID-19 pandemic. The Q&amp;A permits an entity to elect to forgo the evaluation of the enforceable rights and obligations of a lease contract required under ASC 842, </w:t>
      </w:r>
      <w:r>
        <w:rPr>
          <w:rFonts w:ascii="Arial" w:cs="Arial" w:eastAsia="Arial" w:hAnsi="Arial"/>
          <w:sz w:val="16"/>
          <w:szCs w:val="16"/>
          <w:i w:val="1"/>
          <w:iCs w:val="1"/>
          <w:color w:val="auto"/>
        </w:rPr>
        <w:t>Leases</w:t>
      </w:r>
      <w:r>
        <w:rPr>
          <w:rFonts w:ascii="Arial" w:cs="Arial" w:eastAsia="Arial" w:hAnsi="Arial"/>
          <w:sz w:val="16"/>
          <w:szCs w:val="16"/>
          <w:color w:val="auto"/>
        </w:rPr>
        <w:t>, as long as the total rent payments after the lease concessions are substantially the same, or less than, the total rent payments in the existing lease. The impact of the COVID-19 related lease concessions granted above did not have a material impact on our results of operations during the year ended December 31, 2020.</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relevant lease agreement.</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Crude Marketing Revenues</w:t>
      </w:r>
      <w:r>
        <w:rPr>
          <w:rFonts w:ascii="Arial" w:cs="Arial" w:eastAsia="Arial" w:hAnsi="Arial"/>
          <w:sz w:val="16"/>
          <w:szCs w:val="16"/>
          <w:color w:val="000000"/>
        </w:rPr>
        <w:t>—Crude marketing revenues consist of marketing revenue related to Canadian crude oil. The revenues are recognized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time, i.e., as the services are rendered and the customer simultaneously receives and consumes the benefit over time.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Other revenue consists of two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handling and storage of raw materials. The revenues are recognized over time, i.e., as the services are rendered and the customer simultaneously receives and consumes the benefit over time.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We earned approximately 11% of our revenue from one customer in the Aviation Leasing segment during the year ended December 31, 2020, and 19% and 16% of our revenue from one customer in the Jefferson Terminal segment during the years ended December 31, 2019, and 2018, respectively.</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2020, there were two customers in the Aviation segment that represented 40% and 15% of total accounts receivable, net. As of December 31, 2019, accounts receivable from one customer in the Jefferson Terminal segment represented 16% of total accounts receivable, net.</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allowance for doubtful accounts was $4.6 million and $1.3 million as of December 31, 2020 and 2019, respectively. Bad debt expense was $3.6 million, $3.8 million and $1.6 million for the years ended December 31, 2020, 2019 and 2018,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 Recognition</w:t>
      </w:r>
      <w:r>
        <w:rPr>
          <w:rFonts w:ascii="Arial" w:cs="Arial" w:eastAsia="Arial" w:hAnsi="Arial"/>
          <w:sz w:val="16"/>
          <w:szCs w:val="16"/>
          <w:color w:val="000000"/>
        </w:rPr>
        <w:t>—Expenses are recognized on an accrual basis as incurred.</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Acquisition and Transaction expenses</w:t>
      </w:r>
      <w:r>
        <w:rPr>
          <w:rFonts w:ascii="Arial" w:cs="Arial" w:eastAsia="Arial" w:hAnsi="Arial"/>
          <w:sz w:val="16"/>
          <w:szCs w:val="16"/>
          <w:color w:val="000000"/>
        </w:rPr>
        <w:t>—Acquisition and transaction expense is comprised of costs related to completed business combinations,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dispositions and terminated deal costs related to abandoned pursuits, including advisory, legal, accounting, valuation and other professional or consulting fees.</w:t>
      </w:r>
    </w:p>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related to other comprehensive income related to our equity method investees.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Electricity Derivatives</w:t>
      </w:r>
      <w:r>
        <w:rPr>
          <w:rFonts w:ascii="Arial" w:cs="Arial" w:eastAsia="Arial" w:hAnsi="Arial"/>
          <w:sz w:val="16"/>
          <w:szCs w:val="16"/>
          <w:b w:val="1"/>
          <w:bCs w:val="1"/>
          <w:i w:val="1"/>
          <w:iCs w:val="1"/>
          <w:color w:val="000000"/>
        </w:rPr>
        <w:t>—</w:t>
      </w:r>
      <w:r>
        <w:rPr>
          <w:rFonts w:ascii="Arial" w:cs="Arial" w:eastAsia="Arial" w:hAnsi="Arial"/>
          <w:sz w:val="16"/>
          <w:szCs w:val="16"/>
          <w:color w:val="000000"/>
        </w:rPr>
        <w:t>Through our equity method investment in Long Ridge, we enter into derivative contracts as part of a risk management program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mitigate price risk associated with certain electricity price exposures. We primarily use swap derivative contracts, which are agreements to buy or sell a quantity of electricity at a predetermined future date and at a predetermined price.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these derivative instruments are designated and qualify as cash flow hedges. Our share of the derivative's gain or loss is reported as Other comprehensive income related to equity method investees in our Consolidated Statements of Comprehensive (Loss) Income and recorded in Accumulated other comprehensive (loss) income in our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The change in fair value of these contracts is recognized in Equity in earnings (losses) in unconsolidated entities in the Consolidated Statements of Operations. The cash flow impact of derivative contracts that are not designated as hedging instruments is recognized in Equity in earnings (losses) in unconsolidated entities in our Consolidated Statements of Cash Flows.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Commodity Derivatives</w:t>
      </w:r>
      <w:r>
        <w:rPr>
          <w:rFonts w:ascii="Arial" w:cs="Arial" w:eastAsia="Arial" w:hAnsi="Arial"/>
          <w:sz w:val="16"/>
          <w:szCs w:val="16"/>
          <w:b w:val="1"/>
          <w:bCs w:val="1"/>
          <w:i w:val="1"/>
          <w:iCs w:val="1"/>
          <w:color w:val="000000"/>
        </w:rPr>
        <w:t>—</w:t>
      </w:r>
      <w:r>
        <w:rPr>
          <w:rFonts w:ascii="Arial" w:cs="Arial" w:eastAsia="Arial" w:hAnsi="Arial"/>
          <w:sz w:val="16"/>
          <w:szCs w:val="16"/>
          <w:color w:val="000000"/>
        </w:rPr>
        <w:t>We also enter into short-term and long-term crude forward contracts. Gains and losses related to our crude sales and purchase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derivatives are recorded on a gross basis and are included in Crude marketing revenues and Operating expenses, respectively, in our Consolidated Statements of Operations. See Note 11 for additional details. The cash flow impact of these derivatives is recognized in Change in fair value of non-hedge derivatives in our Consolidated Statements of Cash Flows.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the extent that we have outstanding derivatives, they are not used for speculative purposes. We record all derivative assets and liabilities on a gross basis at fair value and are included in Other assets and Other liabilities, respectively, in our Consolidated Balance Sheets.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Foreign Currency</w:t>
      </w:r>
      <w:r>
        <w:rPr>
          <w:rFonts w:ascii="Arial" w:cs="Arial" w:eastAsia="Arial" w:hAnsi="Arial"/>
          <w:sz w:val="16"/>
          <w:szCs w:val="16"/>
          <w:color w:val="000000"/>
        </w:rPr>
        <w:t>—Our functional and reporting currency is the U.S. dollar. Purchases and sales of assets and income and expense items denominated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foreign currencies are translated into U.S. dollar amounts on the respective dates of such transactions. Net realized foreign currency gains or losses relating to the differences between these recorded amounts and the U.S. dollar equivalent actually received or paid are reported as a component of operating expenses within the Consolidated Statement of Operations.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Income Taxes</w:t>
      </w:r>
      <w:r>
        <w:rPr>
          <w:rFonts w:ascii="Arial" w:cs="Arial" w:eastAsia="Arial" w:hAnsi="Arial"/>
          <w:sz w:val="16"/>
          <w:szCs w:val="16"/>
          <w:color w:val="000000"/>
        </w:rPr>
        <w:t>—A portion of our income earned by our corporate subsidiaries is subject to U.S. federal and state income taxation, taxed at prevailing rates.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remainder of our income is allocated directly to our partners and is not subject to a corporate level of taxation. Certain subsidiaries of ours are subject to income tax in the foreign countries in which they conduct business.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account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file income tax returns in the U.S. federal jurisdiction, various state jurisdictions and in certain foreign jurisdictions. The income tax returns filed by us and our subsidiaries are subject to examination by the U.S. federal, state and foreign tax authorities. We recognize tax benefits for uncertain tax positions only if it is more likely than not that the position is sustainable based on its technical merits. Interest and penalties on uncertain tax positions are included as a component of the provision for income taxes in the Consolidated Statements of Operations.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Other assets is primarily comprised of commodities inventory of $0.1 million and $5.6 million, purchase deposits for acquisitions of $6.1</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and $1.2 million, lease incentives of $55.1 million and $45.3 million, prepaid expenses of $10.1 million and $4.1 million, maintenance right assets of $6.4 million and $24.5 million and spare parts of $58.2 million and $9.6 million as of December 31, 2020 and 2019, respectively.</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b w:val="1"/>
          <w:bCs w:val="1"/>
          <w:i w:val="1"/>
          <w:iCs w:val="1"/>
          <w:color w:val="000000"/>
        </w:rPr>
        <w:t>—</w:t>
      </w:r>
      <w:r>
        <w:rPr>
          <w:rFonts w:ascii="Arial" w:cs="Arial" w:eastAsia="Arial" w:hAnsi="Arial"/>
          <w:sz w:val="16"/>
          <w:szCs w:val="16"/>
          <w:color w:val="000000"/>
        </w:rPr>
        <w:t>Dividends are recorded if and when declared by the Board of Directors. In both the quarters ended December 31, 2020 and 2019, the Board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Directors declared a cash dividend of $0.33 per common share, for a total of $1.32 per common share for each of the years ended December 31, 2020 and 2019.</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in the quarter ended December 31, 2020, the Board of Directors declared a cash dividend on the Series A Preferred Shares and Series B Preferred Shares of $0.52 and $0.50 per share, respectively, for a total of $2.06 and $2.10 per share, respectively, for the year ended December 31, 2020. In the quarter and year ended December 31, 2019, the Board of Directors declared a cash dividend on the Series A Preferred Shares of $0.53 per share.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0000"/>
        </w:rPr>
        <w:t>—In June 2016, the FASB issued ASU 2016-13,</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Financial Instruments—Credit Losses (Topic 326): Measurement of</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Credit Losses on Financial Instruments (“ASU 2016-13”)</w:t>
      </w:r>
      <w:r>
        <w:rPr>
          <w:rFonts w:ascii="Arial" w:cs="Arial" w:eastAsia="Arial" w:hAnsi="Arial"/>
          <w:sz w:val="16"/>
          <w:szCs w:val="16"/>
          <w:color w:val="000000"/>
        </w:rPr>
        <w:t>. For assets held at amortized cost basis, ASU 2016-13 eliminates the probable initial recognition</w:t>
      </w:r>
      <w:r>
        <w:rPr>
          <w:rFonts w:ascii="Arial" w:cs="Arial" w:eastAsia="Arial" w:hAnsi="Arial"/>
          <w:sz w:val="16"/>
          <w:szCs w:val="16"/>
          <w:i w:val="1"/>
          <w:iCs w:val="1"/>
          <w:color w:val="000000"/>
        </w:rPr>
        <w:t xml:space="preserve"> </w:t>
      </w:r>
      <w:r>
        <w:rPr>
          <w:rFonts w:ascii="Arial" w:cs="Arial" w:eastAsia="Arial" w:hAnsi="Arial"/>
          <w:sz w:val="16"/>
          <w:szCs w:val="16"/>
          <w:color w:val="000000"/>
        </w:rPr>
        <w:t>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We adopted this ASU in the first quarter of 2020 and adoption did not have a material impact on our consolidated financial statements.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 xml:space="preserve">Intangibles—Goodwill and Other (Topic 350): Simplifying the Test for Goodwill Impairment (“ASU 2017-04”). </w:t>
      </w:r>
      <w:r>
        <w:rPr>
          <w:rFonts w:ascii="Arial" w:cs="Arial" w:eastAsia="Arial" w:hAnsi="Arial"/>
          <w:sz w:val="16"/>
          <w:szCs w:val="16"/>
          <w:color w:val="auto"/>
        </w:rPr>
        <w:t>ASU 2017-04 addresses concerns over the cost and complexity of the two-step goodwill impairment test by removing the second step of the test.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We adopted this ASU in the first quarter of 2020 and adoption did not have a material impact on our consolidated financial statements.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This ASU eliminates, adds and modifies certain disclosure requirements for fair value measurements as part of its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project. We adopted this ASU in the first quarter of 2020 and adoption did not have a material impact on our consolidated financial statements.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 which temporarily simplifies the accounting for contract modifications, including hedging relationships, due to the transition from LIBOR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interbank offered rates to alternative reference interest rates. For example, entities can elect not to remeasure the contracts at the modification date or reassess a previous accounting determination if certain conditions are met. Additionally, entities can elect to continue applying hedge accounting for hedging relationships affected by reference rate reform if certain conditions are met. The new standard was effective upon issuance and generally can be applied to applicable contract modifications through December 31, 2022. Adoption did not have a material impact on our consolidated financial statements.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December 2019, the FASB issued ASU 2019-12,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Simplifying the Accounting for Income Taxes (Topic 740)</w:t>
      </w:r>
      <w:r>
        <w:rPr>
          <w:rFonts w:ascii="Arial" w:cs="Arial" w:eastAsia="Arial" w:hAnsi="Arial"/>
          <w:sz w:val="16"/>
          <w:szCs w:val="16"/>
          <w:color w:val="000000"/>
        </w:rPr>
        <w: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This standard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The standard is effective for public companies for fiscal years, and interim periods within those fiscal years, beginning after December 15, 2020 and early adoption is permitted. We are currently assessing the impact this guidance will have on our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2019, we completed the sale of substantially all of our railroad business (“CMQR”), which was previously reported as our Railroad segment. Under ASC 205-20, this disposition met the criteria to be reported as discontinued operations. Accordingly, the assets, liabilities and results of operations of CMQR have been reported as discontinued operations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components of net income from discontinued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6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16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r>
      <w:tr>
        <w:trPr>
          <w:trHeight w:val="183"/>
        </w:trPr>
        <w:tc>
          <w:tcPr>
            <w:tcW w:w="61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39,071</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37,766</w:t>
            </w:r>
          </w:p>
        </w:tc>
      </w:tr>
      <w:tr>
        <w:trPr>
          <w:trHeight w:val="169"/>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0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32,815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30,944</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2,446</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w:t>
            </w:r>
          </w:p>
        </w:tc>
      </w:tr>
      <w:tr>
        <w:trPr>
          <w:trHeight w:val="18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42,001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34,399</w:t>
            </w:r>
          </w:p>
        </w:tc>
      </w:tr>
      <w:tr>
        <w:trPr>
          <w:trHeight w:val="183"/>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77,468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08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77,468</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83"/>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74,538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3,325</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0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r>
      <w:tr>
        <w:trPr>
          <w:trHeight w:val="18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73,462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4,402</w:t>
            </w:r>
          </w:p>
        </w:tc>
      </w:tr>
      <w:tr>
        <w:trPr>
          <w:trHeight w:val="183"/>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 in consolidated subsidiaries</w:t>
            </w: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r>
      <w:tr>
        <w:trPr>
          <w:trHeight w:val="183"/>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1,331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73,215</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4,063</w:t>
            </w:r>
          </w:p>
        </w:tc>
      </w:tr>
      <w:tr>
        <w:trPr>
          <w:trHeight w:val="21"/>
        </w:trPr>
        <w:tc>
          <w:tcPr>
            <w:tcW w:w="6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non-cash items and capital expenditures from discontinued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6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16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2,202</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2,446</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1180" w:type="dxa"/>
            <w:vAlign w:val="bottom"/>
            <w:shd w:val="clear" w:color="auto" w:fill="CCEEFF"/>
          </w:tcPr>
          <w:p>
            <w:pPr>
              <w:spacing w:after="0"/>
              <w:rPr>
                <w:sz w:val="16"/>
                <w:szCs w:val="16"/>
                <w:color w:val="auto"/>
              </w:rPr>
            </w:pP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1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0"/>
        </w:trPr>
        <w:tc>
          <w:tcPr>
            <w:tcW w:w="614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(6,949)</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(8,461)</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LEASING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3"/>
        </w:trPr>
        <w:tc>
          <w:tcPr>
            <w:tcW w:w="78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2,042,404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2,019,773</w:t>
            </w:r>
          </w:p>
        </w:tc>
      </w:tr>
      <w:tr>
        <w:trPr>
          <w:trHeight w:val="18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(407,145)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(312,714)</w:t>
            </w:r>
          </w:p>
        </w:tc>
      </w:tr>
      <w:tr>
        <w:trPr>
          <w:trHeight w:val="20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1,635,259</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1,707,059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5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During the year ended December 31, 2020, we evaluated our leasing equipment portfolio and identified certain assets with indicators of impairment including, but not limited to, early lease terminations and a decline in market values due to the ongoing COVID-19 pandemic for leasing equipment we have decided to sell. For these assets, we performed a recoverability assessment at the individual asset level and determined that the carrying amounts exceeded the estimated future undiscounted net cash flows and these assets were impaired. To determine fair value, we used both a market approach, using quoted market prices for the same or similar assets, and an income approach, using discounted cash flows and an estimated discount rate. As a result, we adjusted the carrying value of these assets to fair value and recognized transactional impairment charges of $34.0 million, net of redelivery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acquisitions and dispositions of aviation leasing equipment: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640" w:type="dxa"/>
            <w:vAlign w:val="bottom"/>
            <w:tcBorders>
              <w:bottom w:val="single" w:sz="8" w:color="auto"/>
            </w:tcBorders>
          </w:tcPr>
          <w:p>
            <w:pPr>
              <w:spacing w:after="0"/>
              <w:rPr>
                <w:sz w:val="16"/>
                <w:szCs w:val="16"/>
                <w:color w:val="auto"/>
              </w:rPr>
            </w:pPr>
          </w:p>
        </w:tc>
      </w:tr>
      <w:tr>
        <w:trPr>
          <w:trHeight w:val="183"/>
        </w:trPr>
        <w:tc>
          <w:tcPr>
            <w:tcW w:w="60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16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89"/>
        </w:trPr>
        <w:tc>
          <w:tcPr>
            <w:tcW w:w="7280" w:type="dxa"/>
            <w:vAlign w:val="bottom"/>
            <w:gridSpan w:val="2"/>
          </w:tcPr>
          <w:p>
            <w:pPr>
              <w:ind w:left="140"/>
              <w:spacing w:after="0"/>
              <w:rPr>
                <w:sz w:val="20"/>
                <w:szCs w:val="20"/>
                <w:color w:val="auto"/>
              </w:rPr>
            </w:pPr>
            <w:r>
              <w:rPr>
                <w:rFonts w:ascii="Arial" w:cs="Arial" w:eastAsia="Arial" w:hAnsi="Arial"/>
                <w:sz w:val="14"/>
                <w:szCs w:val="14"/>
                <w:color w:val="auto"/>
              </w:rPr>
              <w:t>Aircraft</w:t>
            </w:r>
          </w:p>
        </w:tc>
        <w:tc>
          <w:tcPr>
            <w:tcW w:w="440" w:type="dxa"/>
            <w:vAlign w:val="bottom"/>
          </w:tcPr>
          <w:p>
            <w:pPr>
              <w:jc w:val="right"/>
              <w:spacing w:after="0"/>
              <w:rPr>
                <w:sz w:val="20"/>
                <w:szCs w:val="20"/>
                <w:color w:val="auto"/>
              </w:rPr>
            </w:pPr>
            <w:r>
              <w:rPr>
                <w:rFonts w:ascii="Arial" w:cs="Arial" w:eastAsia="Arial" w:hAnsi="Arial"/>
                <w:sz w:val="14"/>
                <w:szCs w:val="14"/>
                <w:color w:val="auto"/>
              </w:rPr>
              <w:t>20</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9"/>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Engines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89"/>
        </w:trPr>
        <w:tc>
          <w:tcPr>
            <w:tcW w:w="7280" w:type="dxa"/>
            <w:vAlign w:val="bottom"/>
            <w:gridSpan w:val="2"/>
          </w:tcPr>
          <w:p>
            <w:pPr>
              <w:ind w:left="20"/>
              <w:spacing w:after="0"/>
              <w:rPr>
                <w:sz w:val="20"/>
                <w:szCs w:val="20"/>
                <w:color w:val="auto"/>
              </w:rPr>
            </w:pPr>
            <w:r>
              <w:rPr>
                <w:rFonts w:ascii="Arial" w:cs="Arial" w:eastAsia="Arial" w:hAnsi="Arial"/>
                <w:sz w:val="14"/>
                <w:szCs w:val="14"/>
                <w:color w:val="auto"/>
              </w:rPr>
              <w:t>Dispositions: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Aircraft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0"/>
        </w:trPr>
        <w:tc>
          <w:tcPr>
            <w:tcW w:w="7280" w:type="dxa"/>
            <w:vAlign w:val="bottom"/>
            <w:gridSpan w:val="2"/>
          </w:tcPr>
          <w:p>
            <w:pPr>
              <w:ind w:left="140"/>
              <w:spacing w:after="0"/>
              <w:rPr>
                <w:sz w:val="20"/>
                <w:szCs w:val="20"/>
                <w:color w:val="auto"/>
              </w:rPr>
            </w:pPr>
            <w:r>
              <w:rPr>
                <w:rFonts w:ascii="Arial" w:cs="Arial" w:eastAsia="Arial" w:hAnsi="Arial"/>
                <w:sz w:val="14"/>
                <w:szCs w:val="14"/>
                <w:color w:val="auto"/>
              </w:rPr>
              <w:t>Engines</w:t>
            </w:r>
          </w:p>
        </w:tc>
        <w:tc>
          <w:tcPr>
            <w:tcW w:w="440" w:type="dxa"/>
            <w:vAlign w:val="bottom"/>
          </w:tcPr>
          <w:p>
            <w:pPr>
              <w:jc w:val="right"/>
              <w:spacing w:after="0"/>
              <w:rPr>
                <w:sz w:val="20"/>
                <w:szCs w:val="20"/>
                <w:color w:val="auto"/>
              </w:rPr>
            </w:pPr>
            <w:r>
              <w:rPr>
                <w:rFonts w:ascii="Arial" w:cs="Arial" w:eastAsia="Arial" w:hAnsi="Arial"/>
                <w:sz w:val="14"/>
                <w:szCs w:val="14"/>
                <w:color w:val="auto"/>
              </w:rPr>
              <w:t>25</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60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183"/>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142,266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137,004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110,012</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FINANCE LEASES,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3"/>
        </w:trPr>
        <w:tc>
          <w:tcPr>
            <w:tcW w:w="78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9,389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12,388</w:t>
            </w:r>
          </w:p>
        </w:tc>
      </w:tr>
      <w:tr>
        <w:trPr>
          <w:trHeight w:val="18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Unearned revenue</w:t>
            </w:r>
          </w:p>
        </w:tc>
        <w:tc>
          <w:tcPr>
            <w:tcW w:w="10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(4,073)</w:t>
            </w:r>
          </w:p>
        </w:tc>
      </w:tr>
      <w:tr>
        <w:trPr>
          <w:trHeight w:val="20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 net</w:t>
            </w: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6,927</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During the third quarter of 2020, we entered into a 15 month sales-type lease arrangement for three engines. During the fourth quarter of 2020, the lessee exercised its option to purchase the three engines for an amount equal to the remaining principal balance plus unpaid accrued interest per the terms of the arrangement.</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during 2019, we received insurance proceeds for a vessel which was on nonaccrual status due to a casualty event. The insurance proceeds were in excess of the book value of the finance lease, which was written down to zero, and we recognized a gain of approximately $1.0 million which is included in Other income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PROPERTY, PLANT AND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3"/>
        </w:trPr>
        <w:tc>
          <w:tcPr>
            <w:tcW w:w="78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52,047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51,901</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425,261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211,110</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4,491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3,783</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557,788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519,603</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2,349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5,560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4,823</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5,101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4,325</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2,449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2,322</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5,870</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w:t>
            </w:r>
          </w:p>
        </w:tc>
      </w:tr>
      <w:tr>
        <w:trPr>
          <w:trHeight w:val="183"/>
        </w:trPr>
        <w:tc>
          <w:tcPr>
            <w:tcW w:w="7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1,060,916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802,044</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(96,553)</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(69,935)</w:t>
            </w:r>
          </w:p>
        </w:tc>
      </w:tr>
      <w:tr>
        <w:trPr>
          <w:trHeight w:val="183"/>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964,363</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732,109</w:t>
            </w:r>
          </w:p>
        </w:tc>
      </w:tr>
      <w:tr>
        <w:trPr>
          <w:trHeight w:val="21"/>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added property, plant and equipment of $258.9 million and $85.4 million during the years ended December 31, 2020 and 2019, respectively, which primarily consists of terminal machinery and equipment placed in service or under development at Jefferson Terminal and Repauno.</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64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6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property, plant and equipment:</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646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26,581</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28,466</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20,343</w:t>
            </w:r>
          </w:p>
        </w:tc>
      </w:tr>
      <w:tr>
        <w:trPr>
          <w:trHeight w:val="189"/>
        </w:trPr>
        <w:tc>
          <w:tcPr>
            <w:tcW w:w="6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9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w:t>
            </w:r>
          </w:p>
        </w:tc>
      </w:tr>
      <w:tr>
        <w:trPr>
          <w:trHeight w:val="183"/>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26,581</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30,653</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22,744</w:t>
            </w:r>
          </w:p>
        </w:tc>
      </w:tr>
      <w:tr>
        <w:trPr>
          <w:trHeight w:val="20"/>
        </w:trPr>
        <w:tc>
          <w:tcPr>
            <w:tcW w:w="6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INVESTMENTS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4"/>
          </w:tcPr>
          <w:p>
            <w:pPr>
              <w:jc w:val="right"/>
              <w:ind w:right="1428"/>
              <w:spacing w:after="0"/>
              <w:rPr>
                <w:sz w:val="20"/>
                <w:szCs w:val="20"/>
                <w:color w:val="auto"/>
              </w:rPr>
            </w:pPr>
            <w:r>
              <w:rPr>
                <w:rFonts w:ascii="Arial" w:cs="Arial" w:eastAsia="Arial" w:hAnsi="Arial"/>
                <w:sz w:val="14"/>
                <w:szCs w:val="14"/>
                <w:b w:val="1"/>
                <w:bCs w:val="1"/>
                <w:color w:val="auto"/>
              </w:rPr>
              <w:t>Carrying Value</w:t>
            </w:r>
          </w:p>
        </w:tc>
      </w:tr>
      <w:tr>
        <w:trPr>
          <w:trHeight w:val="183"/>
        </w:trPr>
        <w:tc>
          <w:tcPr>
            <w:tcW w:w="268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22,721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24,652</w:t>
            </w:r>
          </w:p>
        </w:tc>
      </w:tr>
      <w:tr>
        <w:trPr>
          <w:trHeight w:val="189"/>
        </w:trPr>
        <w:tc>
          <w:tcPr>
            <w:tcW w:w="2680" w:type="dxa"/>
            <w:vAlign w:val="bottom"/>
          </w:tcPr>
          <w:p>
            <w:pPr>
              <w:ind w:left="20"/>
              <w:spacing w:after="0"/>
              <w:rPr>
                <w:sz w:val="20"/>
                <w:szCs w:val="20"/>
                <w:color w:val="auto"/>
              </w:rPr>
            </w:pPr>
            <w:r>
              <w:rPr>
                <w:rFonts w:ascii="Arial" w:cs="Arial" w:eastAsia="Arial" w:hAnsi="Arial"/>
                <w:sz w:val="14"/>
                <w:szCs w:val="14"/>
                <w:color w:val="auto"/>
              </w:rPr>
              <w:t>Intermodal Finance I, Ltd.</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501</w:t>
            </w:r>
          </w:p>
        </w:tc>
      </w:tr>
      <w:tr>
        <w:trPr>
          <w:trHeight w:val="18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Terminal LLC</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122,539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155,397</w:t>
            </w:r>
          </w:p>
        </w:tc>
      </w:tr>
      <w:tr>
        <w:trPr>
          <w:trHeight w:val="18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FYX Trust Holdco LLC</w:t>
            </w:r>
          </w:p>
        </w:tc>
        <w:tc>
          <w:tcPr>
            <w:tcW w:w="22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Equity</w:t>
            </w:r>
          </w:p>
        </w:tc>
        <w:tc>
          <w:tcPr>
            <w:tcW w:w="21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1,255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6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146,515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180,550</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(losses) earnings: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(1,931)</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JGP Energy Partners LLC</w:t>
            </w:r>
          </w:p>
        </w:tc>
        <w:tc>
          <w:tcPr>
            <w:tcW w:w="10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(574)</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 Ridge Terminal LLC</w:t>
            </w:r>
          </w:p>
        </w:tc>
        <w:tc>
          <w:tcPr>
            <w:tcW w:w="10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(5,039)</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Long Ridge Terminal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Ohio River Shareholder LLC (“ORP”) contributed its equity interests in Long Ridge into Long Ridge Terminal LLC and sold a 49.9% interest (the “Long Ridge Transaction”) for $150 million in cash, plus an earn out. We no longer have a controlling interest in Long Ridge but still maintain significant influence through our retained interest and, therefore, now account for this investment in accordance with the equity method. Following the sale we deconsolidated ORP, which held the assets of Long Ridge.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2016, we invested $15 million for a 25% interest in an advanced engine repair joint venture. We focus on developing new costs savings programs for engine repairs. We exercise significant influence over this investment and account for this investment as an equity method investment.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JGP Energy Partners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2016, we initiated activities in a 50% non-controlling interest in JGP, a joint venture. JGP was governed by a designated operating committee selected by the members in proportion to their equity interests. JGP was solely reliant on its members to finance its activities and therefore was a VIE. Initially, we concluded that we were not the primary beneficiary of JGP as the members shared equally in the risks and rewards and decision making authority of the entity and, therefore, we did not consolidate JGP and instead accounted for this investment in accordance with the equity method.</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2019, we purchased the remaining 50% interest in JGP from the joint venture partner for a purchase price of approximately $30 million, consolidated JGP and no longer account for this as an equity method investment.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Intermodal Finance I, Ltd.</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2012, we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and, therefore, we do not consolidate Intermodal but account for this investment in accordance with the equity method. We do not have a variable interest in this investment as none of the criteria of ASC 810-10-15-14 were met.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Intermodal owns a portfolio of approximately 1,400 shipping containers subject to multiple operating leases.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FYX Trust Holdco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2020, we invested $1.3 million for a 14% interest in an operating company that provides roadside assistance services for the intermodal and over-the-road trucking industries. FYX Trust Holdco LLC (“FYX”) has developed a mobile and web-based application that connects fleet managers, owner-operators, and drivers with repair vendors to efficiently and reliably quote, dispatch, monitor, and bill roadside repair services.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summarized financial information for our equity method 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Sheet</w:t>
            </w:r>
          </w:p>
        </w:tc>
        <w:tc>
          <w:tcPr>
            <w:tcW w:w="38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6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11,791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16,812</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30,917</w:t>
            </w: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5,803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12,219</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w:t>
            </w: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612,234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390,416</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90,820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123,638</w:t>
            </w: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89,390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89,294</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10,777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6,667</w:t>
            </w:r>
          </w:p>
        </w:tc>
      </w:tr>
      <w:tr>
        <w:trPr>
          <w:trHeight w:val="183"/>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848,893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672,509</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30,464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37,437</w:t>
            </w: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color w:val="auto"/>
              </w:rPr>
              <w:t>Debt, net</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456,448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186,953</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36,700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r>
      <w:tr>
        <w:trPr>
          <w:trHeight w:val="183"/>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523,612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224,920</w:t>
            </w:r>
          </w:p>
        </w:tc>
      </w:tr>
      <w:tr>
        <w:trPr>
          <w:trHeight w:val="203"/>
        </w:trPr>
        <w:tc>
          <w:tcPr>
            <w:tcW w:w="6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348,402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465,461</w:t>
            </w:r>
          </w:p>
        </w:tc>
      </w:tr>
      <w:tr>
        <w:trPr>
          <w:trHeight w:val="18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38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(23,121)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(17,872)</w:t>
            </w:r>
          </w:p>
        </w:tc>
      </w:tr>
      <w:tr>
        <w:trPr>
          <w:trHeight w:val="18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325,281</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447,589</w:t>
            </w:r>
          </w:p>
        </w:tc>
      </w:tr>
      <w:tr>
        <w:trPr>
          <w:trHeight w:val="183"/>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848,893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672,509</w:t>
            </w:r>
          </w:p>
        </w:tc>
      </w:tr>
      <w:tr>
        <w:trPr>
          <w:trHeight w:val="21"/>
        </w:trPr>
        <w:tc>
          <w:tcPr>
            <w:tcW w:w="6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668"/>
        </w:trPr>
        <w:tc>
          <w:tcPr>
            <w:tcW w:w="60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Statement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18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25,079</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9,435</w:t>
            </w:r>
          </w:p>
        </w:tc>
      </w:tr>
      <w:tr>
        <w:trPr>
          <w:trHeight w:val="18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w:t>
            </w: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25,079</w:t>
            </w:r>
          </w:p>
        </w:tc>
        <w:tc>
          <w:tcPr>
            <w:tcW w:w="14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9,435</w:t>
            </w:r>
          </w:p>
        </w:tc>
      </w:tr>
      <w:tr>
        <w:trPr>
          <w:trHeight w:val="16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color w:val="auto"/>
              </w:rPr>
              <w:t>Research and development cost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6,663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2,134</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16,987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8,435</w:t>
            </w: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1,191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1,437</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11,004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2,351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2,158</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2,267</w:t>
            </w:r>
          </w:p>
        </w:tc>
        <w:tc>
          <w:tcPr>
            <w:tcW w:w="1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w:t>
            </w:r>
          </w:p>
        </w:tc>
      </w:tr>
      <w:tr>
        <w:trPr>
          <w:trHeight w:val="18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38,204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15,501</w:t>
            </w:r>
          </w:p>
        </w:tc>
      </w:tr>
      <w:tr>
        <w:trPr>
          <w:trHeight w:val="18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(1,585)</w:t>
            </w:r>
          </w:p>
        </w:tc>
        <w:tc>
          <w:tcPr>
            <w:tcW w:w="1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2,070</w:t>
            </w:r>
          </w:p>
        </w:tc>
      </w:tr>
      <w:tr>
        <w:trPr>
          <w:trHeight w:val="183"/>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(14,710)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(8,699)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(3,996)</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(14,710)</w:t>
            </w:r>
          </w:p>
        </w:tc>
        <w:tc>
          <w:tcPr>
            <w:tcW w:w="5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(8,699)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(3,996)</w:t>
            </w:r>
          </w:p>
        </w:tc>
      </w:tr>
      <w:tr>
        <w:trPr>
          <w:trHeight w:val="20"/>
        </w:trPr>
        <w:tc>
          <w:tcPr>
            <w:tcW w:w="6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INTANGIBLE ASSETS AND LIABILITIES,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intangible assets and liabilities, net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Aviation Leasing</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Jefferson Terminal</w:t>
            </w:r>
          </w:p>
        </w:tc>
        <w:tc>
          <w:tcPr>
            <w:tcW w:w="320" w:type="dxa"/>
            <w:vAlign w:val="bottom"/>
          </w:tcPr>
          <w:p>
            <w:pPr>
              <w:spacing w:after="0"/>
              <w:rPr>
                <w:sz w:val="15"/>
                <w:szCs w:val="15"/>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169"/>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9"/>
        </w:trPr>
        <w:tc>
          <w:tcPr>
            <w:tcW w:w="700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35,349</w:t>
            </w:r>
          </w:p>
        </w:tc>
        <w:tc>
          <w:tcPr>
            <w:tcW w:w="8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35,349</w:t>
            </w: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(29,591)</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(29,591)</w:t>
            </w:r>
          </w:p>
        </w:tc>
      </w:tr>
      <w:tr>
        <w:trPr>
          <w:trHeight w:val="183"/>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0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5,758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5,758</w:t>
            </w: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35,513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35,513</w:t>
            </w:r>
          </w:p>
        </w:tc>
      </w:tr>
      <w:tr>
        <w:trPr>
          <w:trHeight w:val="18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(22,485)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(22,485)</w:t>
            </w:r>
          </w:p>
        </w:tc>
      </w:tr>
      <w:tr>
        <w:trPr>
          <w:trHeight w:val="183"/>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13,028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13,028</w:t>
            </w:r>
          </w:p>
        </w:tc>
      </w:tr>
      <w:tr>
        <w:trPr>
          <w:trHeight w:val="183"/>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5,758</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13,028</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18,786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7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9"/>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7,151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7,151</w:t>
            </w:r>
          </w:p>
        </w:tc>
      </w:tr>
      <w:tr>
        <w:trPr>
          <w:trHeight w:val="18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(4,604)</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(4,604)</w:t>
            </w:r>
          </w:p>
        </w:tc>
      </w:tr>
      <w:tr>
        <w:trPr>
          <w:trHeight w:val="203"/>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2,547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2,547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49"/>
        </w:trPr>
        <w:tc>
          <w:tcPr>
            <w:tcW w:w="7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3"/>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Aviation Leasing</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Jefferson Terminal</w:t>
            </w:r>
          </w:p>
        </w:tc>
        <w:tc>
          <w:tcPr>
            <w:tcW w:w="320" w:type="dxa"/>
            <w:vAlign w:val="bottom"/>
          </w:tcPr>
          <w:p>
            <w:pPr>
              <w:spacing w:after="0"/>
              <w:rPr>
                <w:sz w:val="15"/>
                <w:szCs w:val="15"/>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169"/>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9"/>
        </w:trPr>
        <w:tc>
          <w:tcPr>
            <w:tcW w:w="700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49,762</w:t>
            </w:r>
          </w:p>
        </w:tc>
        <w:tc>
          <w:tcPr>
            <w:tcW w:w="8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49,762</w:t>
            </w: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(38,652)</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(38,652)</w:t>
            </w:r>
          </w:p>
        </w:tc>
      </w:tr>
      <w:tr>
        <w:trPr>
          <w:trHeight w:val="183"/>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0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11,110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11,110</w:t>
            </w: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35,513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35,513</w:t>
            </w:r>
          </w:p>
        </w:tc>
      </w:tr>
      <w:tr>
        <w:trPr>
          <w:trHeight w:val="18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(18,931)</w:t>
            </w:r>
          </w:p>
        </w:tc>
      </w:tr>
      <w:tr>
        <w:trPr>
          <w:trHeight w:val="182"/>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16,582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16,582</w:t>
            </w:r>
          </w:p>
        </w:tc>
      </w:tr>
      <w:tr>
        <w:trPr>
          <w:trHeight w:val="183"/>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11,110</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16,582</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27,692</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7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9"/>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5,170</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5,170</w:t>
            </w:r>
          </w:p>
        </w:tc>
      </w:tr>
      <w:tr>
        <w:trPr>
          <w:trHeight w:val="18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(3,014)</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(3,014)</w:t>
            </w:r>
          </w:p>
        </w:tc>
      </w:tr>
      <w:tr>
        <w:trPr>
          <w:trHeight w:val="203"/>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recorded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3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Classification in Consolidated Statements of</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580" w:type="dxa"/>
            <w:vAlign w:val="bottom"/>
          </w:tcPr>
          <w:p>
            <w:pPr>
              <w:spacing w:after="0"/>
              <w:rPr>
                <w:sz w:val="6"/>
                <w:szCs w:val="6"/>
                <w:color w:val="auto"/>
              </w:rPr>
            </w:pPr>
          </w:p>
        </w:tc>
        <w:tc>
          <w:tcPr>
            <w:tcW w:w="34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6"/>
        </w:trPr>
        <w:tc>
          <w:tcPr>
            <w:tcW w:w="2580" w:type="dxa"/>
            <w:vAlign w:val="bottom"/>
            <w:tcBorders>
              <w:bottom w:val="single" w:sz="8" w:color="CCEEFF"/>
            </w:tcBorders>
          </w:tcPr>
          <w:p>
            <w:pPr>
              <w:spacing w:after="0"/>
              <w:rPr>
                <w:sz w:val="15"/>
                <w:szCs w:val="15"/>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3,747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7,181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8,588</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348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3,553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3,553</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Discontinued operations</w:t>
            </w:r>
          </w:p>
        </w:tc>
        <w:tc>
          <w:tcPr>
            <w:tcW w:w="3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7,300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estimated net annual amortization of intangibles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6,330</w:t>
            </w:r>
          </w:p>
        </w:tc>
      </w:tr>
      <w:tr>
        <w:trPr>
          <w:trHeight w:val="189"/>
        </w:trPr>
        <w:tc>
          <w:tcPr>
            <w:tcW w:w="9400" w:type="dxa"/>
            <w:vAlign w:val="bottom"/>
          </w:tcPr>
          <w:p>
            <w:pPr>
              <w:ind w:left="20"/>
              <w:spacing w:after="0"/>
              <w:rPr>
                <w:sz w:val="20"/>
                <w:szCs w:val="20"/>
                <w:color w:val="auto"/>
              </w:rPr>
            </w:pPr>
            <w:r>
              <w:rPr>
                <w:rFonts w:ascii="Arial" w:cs="Arial" w:eastAsia="Arial" w:hAnsi="Arial"/>
                <w:sz w:val="14"/>
                <w:szCs w:val="14"/>
                <w:color w:val="auto"/>
              </w:rPr>
              <w:t>2022</w:t>
            </w:r>
          </w:p>
        </w:tc>
        <w:tc>
          <w:tcPr>
            <w:tcW w:w="7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4,330</w:t>
            </w:r>
          </w:p>
        </w:tc>
      </w:tr>
      <w:tr>
        <w:trPr>
          <w:trHeight w:val="189"/>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w:t>
            </w:r>
          </w:p>
        </w:tc>
      </w:tr>
      <w:tr>
        <w:trPr>
          <w:trHeight w:val="189"/>
        </w:trPr>
        <w:tc>
          <w:tcPr>
            <w:tcW w:w="9400" w:type="dxa"/>
            <w:vAlign w:val="bottom"/>
          </w:tcPr>
          <w:p>
            <w:pPr>
              <w:ind w:left="20"/>
              <w:spacing w:after="0"/>
              <w:rPr>
                <w:sz w:val="20"/>
                <w:szCs w:val="20"/>
                <w:color w:val="auto"/>
              </w:rPr>
            </w:pPr>
            <w:r>
              <w:rPr>
                <w:rFonts w:ascii="Arial" w:cs="Arial" w:eastAsia="Arial" w:hAnsi="Arial"/>
                <w:sz w:val="14"/>
                <w:szCs w:val="14"/>
                <w:color w:val="auto"/>
              </w:rPr>
              <w:t>2024</w:t>
            </w:r>
          </w:p>
        </w:tc>
        <w:tc>
          <w:tcPr>
            <w:tcW w:w="7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2,236</w:t>
            </w:r>
          </w:p>
        </w:tc>
      </w:tr>
      <w:tr>
        <w:trPr>
          <w:trHeight w:val="189"/>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16,239</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DEBT, NET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2"/>
          </w:tcPr>
          <w:p>
            <w:pPr>
              <w:ind w:left="1240"/>
              <w:spacing w:after="0"/>
              <w:rPr>
                <w:sz w:val="20"/>
                <w:szCs w:val="20"/>
                <w:color w:val="auto"/>
              </w:rPr>
            </w:pPr>
            <w:r>
              <w:rPr>
                <w:rFonts w:ascii="Arial" w:cs="Arial" w:eastAsia="Arial" w:hAnsi="Arial"/>
                <w:sz w:val="14"/>
                <w:szCs w:val="14"/>
                <w:b w:val="1"/>
                <w:bCs w:val="1"/>
                <w:color w:val="auto"/>
              </w:rPr>
              <w:t>December 31, 2020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4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Stated Interest Rate</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5"/>
                <w:szCs w:val="15"/>
                <w:color w:val="auto"/>
              </w:rPr>
            </w:pPr>
          </w:p>
        </w:tc>
        <w:tc>
          <w:tcPr>
            <w:tcW w:w="42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2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80" w:type="dxa"/>
            <w:vAlign w:val="bottom"/>
          </w:tcPr>
          <w:p>
            <w:pPr>
              <w:ind w:left="20"/>
              <w:spacing w:after="0"/>
              <w:rPr>
                <w:sz w:val="20"/>
                <w:szCs w:val="20"/>
                <w:color w:val="auto"/>
              </w:rPr>
            </w:pPr>
            <w:r>
              <w:rPr>
                <w:rFonts w:ascii="Arial" w:cs="Arial" w:eastAsia="Arial" w:hAnsi="Arial"/>
                <w:sz w:val="14"/>
                <w:szCs w:val="14"/>
                <w:color w:val="auto"/>
              </w:rPr>
              <w:t>FTAI Pride Credit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80" w:type="dxa"/>
            <w:vAlign w:val="bottom"/>
          </w:tcPr>
          <w:p>
            <w:pPr>
              <w:ind w:left="20"/>
              <w:spacing w:after="0"/>
              <w:rPr>
                <w:sz w:val="20"/>
                <w:szCs w:val="20"/>
                <w:color w:val="auto"/>
              </w:rPr>
            </w:pPr>
            <w:r>
              <w:rPr>
                <w:rFonts w:ascii="Arial" w:cs="Arial" w:eastAsia="Arial" w:hAnsi="Arial"/>
                <w:sz w:val="14"/>
                <w:szCs w:val="14"/>
                <w:color w:val="auto"/>
              </w:rPr>
              <w:t>Agreement</w:t>
            </w:r>
          </w:p>
        </w:tc>
        <w:tc>
          <w:tcPr>
            <w:tcW w:w="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color w:val="auto"/>
              </w:rPr>
              <w:t>N/A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36,009</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Revolver</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3"/>
        </w:trPr>
        <w:tc>
          <w:tcPr>
            <w:tcW w:w="2380" w:type="dxa"/>
            <w:vAlign w:val="bottom"/>
            <w:vMerge w:val="restart"/>
          </w:tcPr>
          <w:p>
            <w:pPr>
              <w:ind w:left="2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(1)</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tcPr>
          <w:p>
            <w:pPr>
              <w:spacing w:after="0"/>
              <w:rPr>
                <w:sz w:val="13"/>
                <w:szCs w:val="13"/>
                <w:color w:val="auto"/>
              </w:rPr>
            </w:pPr>
          </w:p>
        </w:tc>
        <w:tc>
          <w:tcPr>
            <w:tcW w:w="428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(i) Base Rate + 1.50%; or</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11/5/2021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1"/>
        </w:trPr>
        <w:tc>
          <w:tcPr>
            <w:tcW w:w="2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gridSpan w:val="2"/>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4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 Base Rate + 2.00%; or</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1/31/2022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Facility </w:t>
            </w:r>
            <w:r>
              <w:rPr>
                <w:rFonts w:ascii="Arial" w:cs="Arial" w:eastAsia="Arial" w:hAnsi="Arial"/>
                <w:sz w:val="9"/>
                <w:szCs w:val="9"/>
                <w:color w:val="auto"/>
              </w:rPr>
              <w:t>(2)</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Adjusted Eurodollar Rate + 3.00%</w:t>
            </w: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Total loans payable</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111,009</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8"/>
                <w:szCs w:val="18"/>
                <w:color w:val="auto"/>
                <w:vertAlign w:val="superscript"/>
              </w:rPr>
              <w:t>(3)</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28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41,059</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2016 Bonds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Series 2020 Bonds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263,980</w:t>
            </w:r>
          </w:p>
        </w:tc>
        <w:tc>
          <w:tcPr>
            <w:tcW w:w="100" w:type="dxa"/>
            <w:vAlign w:val="bottom"/>
          </w:tcPr>
          <w:p>
            <w:pPr>
              <w:spacing w:after="0"/>
              <w:rPr>
                <w:sz w:val="16"/>
                <w:szCs w:val="16"/>
                <w:color w:val="auto"/>
              </w:rPr>
            </w:pPr>
          </w:p>
        </w:tc>
        <w:tc>
          <w:tcPr>
            <w:tcW w:w="4280" w:type="dxa"/>
            <w:vAlign w:val="bottom"/>
            <w:gridSpan w:val="2"/>
          </w:tcPr>
          <w:p>
            <w:pPr>
              <w:jc w:val="center"/>
              <w:ind w:right="100"/>
              <w:spacing w:after="0"/>
              <w:rPr>
                <w:sz w:val="20"/>
                <w:szCs w:val="20"/>
                <w:color w:val="auto"/>
              </w:rPr>
            </w:pPr>
            <w:r>
              <w:rPr>
                <w:rFonts w:ascii="Arial" w:cs="Arial" w:eastAsia="Arial" w:hAnsi="Arial"/>
                <w:sz w:val="14"/>
                <w:szCs w:val="14"/>
                <w:color w:val="auto"/>
              </w:rPr>
              <w:t>See below</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rPr>
              <w:t>See below</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Senior Notes due 2022 </w:t>
            </w:r>
            <w:r>
              <w:rPr>
                <w:rFonts w:ascii="Arial" w:cs="Arial" w:eastAsia="Arial" w:hAnsi="Arial"/>
                <w:sz w:val="18"/>
                <w:szCs w:val="18"/>
                <w:color w:val="auto"/>
                <w:vertAlign w:val="superscript"/>
              </w:rPr>
              <w:t>(4)</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406,307</w:t>
            </w:r>
          </w:p>
        </w:tc>
        <w:tc>
          <w:tcPr>
            <w:tcW w:w="4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3/15/2022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697,814</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Senior Notes due 2025 </w:t>
            </w:r>
            <w:r>
              <w:rPr>
                <w:rFonts w:ascii="Arial" w:cs="Arial" w:eastAsia="Arial" w:hAnsi="Arial"/>
                <w:sz w:val="18"/>
                <w:szCs w:val="18"/>
                <w:color w:val="auto"/>
                <w:vertAlign w:val="superscript"/>
              </w:rPr>
              <w:t>(5)</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845,697</w:t>
            </w:r>
          </w:p>
        </w:tc>
        <w:tc>
          <w:tcPr>
            <w:tcW w:w="4280" w:type="dxa"/>
            <w:vAlign w:val="bottom"/>
            <w:gridSpan w:val="2"/>
          </w:tcPr>
          <w:p>
            <w:pPr>
              <w:jc w:val="center"/>
              <w:ind w:left="2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10/1/2025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444,957</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400,000</w:t>
            </w:r>
          </w:p>
        </w:tc>
        <w:tc>
          <w:tcPr>
            <w:tcW w:w="4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8/1/2027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bonds payable</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1,915,984</w:t>
            </w:r>
          </w:p>
        </w:tc>
        <w:tc>
          <w:tcPr>
            <w:tcW w:w="100" w:type="dxa"/>
            <w:vAlign w:val="bottom"/>
            <w:tcBorders>
              <w:bottom w:val="single" w:sz="8" w:color="CCEEFF"/>
            </w:tcBorders>
          </w:tcPr>
          <w:p>
            <w:pPr>
              <w:spacing w:after="0"/>
              <w:rPr>
                <w:sz w:val="15"/>
                <w:szCs w:val="15"/>
                <w:color w:val="auto"/>
              </w:rPr>
            </w:pPr>
          </w:p>
        </w:tc>
        <w:tc>
          <w:tcPr>
            <w:tcW w:w="4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1,328,030</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1,940,984</w:t>
            </w:r>
          </w:p>
        </w:tc>
        <w:tc>
          <w:tcPr>
            <w:tcW w:w="1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1,439,039</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(36,222)</w:t>
            </w:r>
          </w:p>
        </w:tc>
        <w:tc>
          <w:tcPr>
            <w:tcW w:w="100" w:type="dxa"/>
            <w:vAlign w:val="bottom"/>
            <w:tcBorders>
              <w:bottom w:val="single" w:sz="8" w:color="CCEEFF"/>
            </w:tcBorders>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(18,111)</w:t>
            </w:r>
          </w:p>
        </w:tc>
        <w:tc>
          <w:tcPr>
            <w:tcW w:w="0" w:type="dxa"/>
            <w:vAlign w:val="bottom"/>
          </w:tcPr>
          <w:p>
            <w:pPr>
              <w:spacing w:after="0"/>
              <w:rPr>
                <w:sz w:val="1"/>
                <w:szCs w:val="1"/>
                <w:color w:val="auto"/>
              </w:rPr>
            </w:pPr>
          </w:p>
        </w:tc>
      </w:tr>
      <w:tr>
        <w:trPr>
          <w:trHeight w:val="20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1,904,762</w:t>
            </w:r>
          </w:p>
        </w:tc>
        <w:tc>
          <w:tcPr>
            <w:tcW w:w="100" w:type="dxa"/>
            <w:vAlign w:val="bottom"/>
            <w:tcBorders>
              <w:bottom w:val="single" w:sz="8" w:color="CCEEFF"/>
            </w:tcBorders>
            <w:shd w:val="clear" w:color="auto" w:fill="CCEEFF"/>
          </w:tcPr>
          <w:p>
            <w:pPr>
              <w:spacing w:after="0"/>
              <w:rPr>
                <w:sz w:val="17"/>
                <w:szCs w:val="17"/>
                <w:color w:val="auto"/>
              </w:rPr>
            </w:pPr>
          </w:p>
        </w:tc>
        <w:tc>
          <w:tcPr>
            <w:tcW w:w="4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1,420,928</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182,019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spacing w:after="0" w:line="53"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Requires a quarterly commitment fee at a rate of 0.875% on the average daily unused portion, as well as customary letter of credit fees and agency fees.</w:t>
      </w:r>
    </w:p>
    <w:p>
      <w:pPr>
        <w:ind w:left="140" w:hanging="132"/>
        <w:spacing w:after="0" w:line="211" w:lineRule="auto"/>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Requires a quarterly commitment fee at a rate of 0.50% on the average daily unused portion, as well as customary letter of credit fees and agency fees.</w:t>
      </w:r>
    </w:p>
    <w:p>
      <w:pPr>
        <w:ind w:left="140" w:hanging="132"/>
        <w:spacing w:after="0" w:line="211" w:lineRule="auto"/>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Includes unamortized premium of $1,509 as of December 31, 2019.</w:t>
      </w:r>
    </w:p>
    <w:p>
      <w:pPr>
        <w:ind w:left="140" w:hanging="132"/>
        <w:spacing w:after="0" w:line="211" w:lineRule="auto"/>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Includes unamortized discount of $2,230 and $5,429, respectively, and an unamortized premium of $8,537 and $3,243, respectively, as of December 31, 2020 and 2019.</w:t>
      </w:r>
    </w:p>
    <w:p>
      <w:pPr>
        <w:ind w:left="140" w:hanging="132"/>
        <w:spacing w:after="0" w:line="224" w:lineRule="auto"/>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Includes unamortized discount of $4,303 and $5,043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Series 2020 Bonds</w:t>
      </w:r>
      <w:r>
        <w:rPr>
          <w:rFonts w:ascii="Arial" w:cs="Arial" w:eastAsia="Arial" w:hAnsi="Arial"/>
          <w:sz w:val="16"/>
          <w:szCs w:val="16"/>
          <w:color w:val="00497F"/>
        </w:rPr>
        <w:t>—</w:t>
      </w:r>
      <w:r>
        <w:rPr>
          <w:rFonts w:ascii="Arial" w:cs="Arial" w:eastAsia="Arial" w:hAnsi="Arial"/>
          <w:sz w:val="16"/>
          <w:szCs w:val="16"/>
          <w:color w:val="000000"/>
        </w:rPr>
        <w:t>On February 11, 2020, our subsidiary (“Jefferson”) issued Series 2020 Bonds in an aggregate principal amount of $264.0 million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Refinancing”). The Series 2020 Bonds are designated as $184.9 million of Series 2020A Dock and Wharf Facility Revenue Bonds (the “Tax Exempt Series 2020A Bonds”), and $79.1 million of Series 2020B Taxable Facility Revenue Bonds (the “Taxable Series 2020B Bonds”).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2020A Bonds maturing on January 1, 2035 ($53.5 million aggregate principal amount) bear interest at a fixed rate of 3.625%.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2020A Bonds maturing on January 1, 2050 ($131.4 million aggregate principal amount) bear interest at a fixed rate of 4.00%.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Taxable Series 2020B Bonds will mature on January 1, 2025 and bear interest at a fixed rate of 6.00%.</w:t>
      </w:r>
    </w:p>
    <w:p>
      <w:pPr>
        <w:spacing w:after="0" w:line="11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Jefferson used a portion of the net proceeds from this offering to refund, redeem and defease the Series 2012 Bonds, Series 2016 Bonds and Jefferson Revolver, and intends to use a portion of the net proceeds to pay for or reimburse the cost of development, construction and acquisition of certain facilities, to fund certain reserve and funded interest accounts related to the Series 2020 Bonds, and to pay for or reimburse certain costs of issuance of the Series 2020 Bonds.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Jefferson recognized a loss on extinguishment of debt of $4.7 million as a result of this transaction.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497F"/>
        </w:rPr>
        <w:t>—</w:t>
      </w:r>
      <w:r>
        <w:rPr>
          <w:rFonts w:ascii="Arial" w:cs="Arial" w:eastAsia="Arial" w:hAnsi="Arial"/>
          <w:sz w:val="16"/>
          <w:szCs w:val="16"/>
          <w:color w:val="000000"/>
        </w:rPr>
        <w:t>During March 2020, we repaid the FTAI Pride Credit Agreement in full.</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497F"/>
        </w:rPr>
        <w:t>—</w:t>
      </w:r>
      <w:r>
        <w:rPr>
          <w:rFonts w:ascii="Arial" w:cs="Arial" w:eastAsia="Arial" w:hAnsi="Arial"/>
          <w:sz w:val="16"/>
          <w:szCs w:val="16"/>
          <w:color w:val="000000"/>
        </w:rPr>
        <w:t>On May 11, 2020, we entered into an amendment to the Revolving Credit Facility which, among other things, (i) permits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incurrence of additional secured indebtedness to finance the potential acquisition of certain aviation assets, subject to certain limitations, (ii) provides that, to the extent borrowings under the existing agreement exceed $150 million, we will pledge certain aviation assets as additional collateral and (iii) incorporates certain other updates, including procedures by which the parties will select a replacement benchmark interest rate in the event that LIBOR is no longer available or appropriate as a reference rate upon which to determine the interest rate under the existing agreement.</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Senior Notes due 2027</w:t>
      </w:r>
      <w:r>
        <w:rPr>
          <w:rFonts w:ascii="Arial" w:cs="Arial" w:eastAsia="Arial" w:hAnsi="Arial"/>
          <w:sz w:val="16"/>
          <w:szCs w:val="16"/>
          <w:color w:val="00497F"/>
        </w:rPr>
        <w:t>—</w:t>
      </w:r>
      <w:r>
        <w:rPr>
          <w:rFonts w:ascii="Arial" w:cs="Arial" w:eastAsia="Arial" w:hAnsi="Arial"/>
          <w:sz w:val="16"/>
          <w:szCs w:val="16"/>
          <w:color w:val="000000"/>
        </w:rPr>
        <w:t>On July 28, 2020, we issued $400 million aggregate principal amount of senior unsecured notes due 2027 (the “2027 Notes”).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2027 Notes bear interest at a rate of 9.75% per annum, payable semi-annually in arrears on February 1 and August 1 of each year, commencing on February 1, 2021.</w:t>
      </w:r>
    </w:p>
    <w:p>
      <w:pPr>
        <w:spacing w:after="0" w:line="8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used a portion of the proceeds to repay $220 million of outstanding borrowings under the Revolving Credit Facility, and intend to use the remaining proceeds for general corporate purposes, and the funding of future acquisitions and investments, including aviation investments.</w:t>
      </w:r>
    </w:p>
    <w:p>
      <w:pPr>
        <w:spacing w:after="0" w:line="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Senior Notes due 2025</w:t>
      </w:r>
      <w:r>
        <w:rPr>
          <w:rFonts w:ascii="Arial" w:cs="Arial" w:eastAsia="Arial" w:hAnsi="Arial"/>
          <w:sz w:val="16"/>
          <w:szCs w:val="16"/>
          <w:color w:val="00497F"/>
        </w:rPr>
        <w:t>—</w:t>
      </w:r>
      <w:r>
        <w:rPr>
          <w:rFonts w:ascii="Arial" w:cs="Arial" w:eastAsia="Arial" w:hAnsi="Arial"/>
          <w:sz w:val="16"/>
          <w:szCs w:val="16"/>
          <w:color w:val="000000"/>
        </w:rPr>
        <w:t>On December 23, 2020, we issued an additional $400 million of 2025 Notes at an offering price of 101.75% of the principal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amount plus accrued interest from and including October 1, 2020.</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used a portion of the proceeds to repay $300 million of outstanding 2022 Notes through the Tender Offer (as defined below), and to repay $50 million of borrowings under the Revolving Credit Facility.</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Tender Offer for Senior Notes due 2022</w:t>
      </w:r>
      <w:r>
        <w:rPr>
          <w:rFonts w:ascii="Arial" w:cs="Arial" w:eastAsia="Arial" w:hAnsi="Arial"/>
          <w:sz w:val="16"/>
          <w:szCs w:val="16"/>
          <w:color w:val="00497F"/>
        </w:rPr>
        <w:t>—</w:t>
      </w:r>
      <w:r>
        <w:rPr>
          <w:rFonts w:ascii="Arial" w:cs="Arial" w:eastAsia="Arial" w:hAnsi="Arial"/>
          <w:sz w:val="16"/>
          <w:szCs w:val="16"/>
          <w:color w:val="000000"/>
        </w:rPr>
        <w:t>On December 9, 2020, we commenced a cash tender offer (the “Tender Offer”) for up to $300 million aggregate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amount of the 2022 Notes.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December 23, 2020, we completed the Tender Offer for the entire $300 million aggregate principal amount of 2022 Notes validly tendered in connection with the Tender Offer. Holders whose notes were accepted for purchase received total consideration of $1,016.00 per $1,000 principal amount of 2022 Notes, including an early tender premium equal to $30.00 per $1,000 principal amount of 2022 Notes, plus accrued and unpaid interest on the 2022 Notes from September 15, 2020 (the most recent payment of semi-annual interest) to, but not including, December 23, 2020, subject to the terms and conditions of the Tender Offer. We recognized a loss on extinguishment of debt of $6.9 million in connection with this transaction.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scheduled principal repayments under our debt agreements for the next five years and thereafter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Revolver</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Revolving Credit Facility</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2020 Bonds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184,920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Senior Notes due 2022</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Senior Notes due 2027</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400,000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Total principal payments on loans and</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400,000</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b w:val="1"/>
                <w:bCs w:val="1"/>
                <w:color w:val="auto"/>
              </w:rPr>
              <w:t>—</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929,060</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584,920</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1,938,980</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bonds payable</w:t>
            </w:r>
          </w:p>
        </w:tc>
        <w:tc>
          <w:tcPr>
            <w:tcW w:w="26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FAIR VALUE MEASUREMENTS</w:t>
      </w:r>
    </w:p>
    <w:p>
      <w:pPr>
        <w:spacing w:after="0" w:line="14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7"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660" w:hanging="328"/>
        <w:spacing w:after="0" w:line="250"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294"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tables set forth our financial assets measured at fair value on a recurring basis by level within the fair value hierarchy. Assets measured at fair value are classified in their entirety based on the lowest level of input that is significant to their fair value measurement.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 as of</w:t>
            </w:r>
          </w:p>
        </w:tc>
        <w:tc>
          <w:tcPr>
            <w:tcW w:w="360" w:type="dxa"/>
            <w:vAlign w:val="bottom"/>
          </w:tcPr>
          <w:p>
            <w:pPr>
              <w:spacing w:after="0"/>
              <w:rPr>
                <w:sz w:val="16"/>
                <w:szCs w:val="16"/>
                <w:color w:val="auto"/>
              </w:rPr>
            </w:pPr>
          </w:p>
        </w:tc>
        <w:tc>
          <w:tcPr>
            <w:tcW w:w="4540" w:type="dxa"/>
            <w:vAlign w:val="bottom"/>
            <w:gridSpan w:val="6"/>
          </w:tcPr>
          <w:p>
            <w:pPr>
              <w:jc w:val="center"/>
              <w:ind w:left="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December 31, 2020</w:t>
            </w: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Technique</w:t>
            </w:r>
          </w:p>
        </w:tc>
        <w:tc>
          <w:tcPr>
            <w:tcW w:w="0" w:type="dxa"/>
            <w:vAlign w:val="bottom"/>
          </w:tcPr>
          <w:p>
            <w:pPr>
              <w:spacing w:after="0"/>
              <w:rPr>
                <w:sz w:val="1"/>
                <w:szCs w:val="1"/>
                <w:color w:val="auto"/>
              </w:rPr>
            </w:pPr>
          </w:p>
        </w:tc>
      </w:tr>
      <w:tr>
        <w:trPr>
          <w:trHeight w:val="169"/>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121,703</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121,703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ind w:left="134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8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39,715</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39,715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55"/>
        </w:trPr>
        <w:tc>
          <w:tcPr>
            <w:tcW w:w="254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161,418</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161,418</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ind w:left="1340"/>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60" w:type="dxa"/>
            <w:vAlign w:val="bottom"/>
            <w:tcBorders>
              <w:bottom w:val="single" w:sz="8" w:color="auto"/>
            </w:tcBorders>
          </w:tcPr>
          <w:p>
            <w:pPr>
              <w:jc w:val="right"/>
              <w:ind w:right="1088"/>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 as of</w:t>
            </w:r>
          </w:p>
        </w:tc>
        <w:tc>
          <w:tcPr>
            <w:tcW w:w="360" w:type="dxa"/>
            <w:vAlign w:val="bottom"/>
          </w:tcPr>
          <w:p>
            <w:pPr>
              <w:spacing w:after="0"/>
              <w:rPr>
                <w:sz w:val="24"/>
                <w:szCs w:val="24"/>
                <w:color w:val="auto"/>
              </w:rPr>
            </w:pPr>
          </w:p>
        </w:tc>
        <w:tc>
          <w:tcPr>
            <w:tcW w:w="4540" w:type="dxa"/>
            <w:vAlign w:val="bottom"/>
            <w:gridSpan w:val="6"/>
          </w:tcPr>
          <w:p>
            <w:pPr>
              <w:jc w:val="center"/>
              <w:ind w:left="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December 31, 2019</w:t>
            </w: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Technique</w:t>
            </w:r>
          </w:p>
        </w:tc>
        <w:tc>
          <w:tcPr>
            <w:tcW w:w="0" w:type="dxa"/>
            <w:vAlign w:val="bottom"/>
          </w:tcPr>
          <w:p>
            <w:pPr>
              <w:spacing w:after="0"/>
              <w:rPr>
                <w:sz w:val="1"/>
                <w:szCs w:val="1"/>
                <w:color w:val="auto"/>
              </w:rPr>
            </w:pPr>
          </w:p>
        </w:tc>
      </w:tr>
      <w:tr>
        <w:trPr>
          <w:trHeight w:val="169"/>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226,512</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226,512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Derivative assets</w:t>
            </w: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13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242,698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242,517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fair value of our commodity derivative assets and liabilities classified as Level 3 measurements are estimated by applying the income approach, which is based on discounted projected future cash flows. The valuation of our electricity derivatives within our equity method investment in Long Ridge is based on management’s best estimate of certain key assumptions, which include extrapolated power forward curves for periods with unobservable market pricing, credit valuation adjustments utilizing estimated cash flows, estimated price volatility and probability of default, and the discount rate. The valuation of our commodity derivatives is based on management’s best estimate of certain key assumptions, which include an estimated differential factor for varying quality of commodity and the discount rate.</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Except as discussed below, our financial instruments other than cash and cash equivalents,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3"/>
        </w:trPr>
        <w:tc>
          <w:tcPr>
            <w:tcW w:w="78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78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8"/>
                <w:szCs w:val="18"/>
                <w:color w:val="auto"/>
                <w:vertAlign w:val="superscript"/>
              </w:rPr>
              <w:t>(1)</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3"/>
            <w:shd w:val="clear" w:color="auto" w:fill="CCEEFF"/>
          </w:tcPr>
          <w:p>
            <w:pPr>
              <w:ind w:left="4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41,450</w:t>
            </w:r>
          </w:p>
        </w:tc>
      </w:tr>
      <w:tr>
        <w:trPr>
          <w:trHeight w:val="189"/>
        </w:trPr>
        <w:tc>
          <w:tcPr>
            <w:tcW w:w="78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8"/>
                <w:szCs w:val="18"/>
                <w:color w:val="auto"/>
                <w:vertAlign w:val="superscript"/>
              </w:rPr>
              <w:t>(1)</w:t>
            </w:r>
          </w:p>
        </w:tc>
        <w:tc>
          <w:tcPr>
            <w:tcW w:w="1040" w:type="dxa"/>
            <w:vAlign w:val="bottom"/>
          </w:tcPr>
          <w:p>
            <w:pPr>
              <w:spacing w:after="0"/>
              <w:rPr>
                <w:sz w:val="16"/>
                <w:szCs w:val="16"/>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145,143</w:t>
            </w:r>
          </w:p>
        </w:tc>
      </w:tr>
      <w:tr>
        <w:trPr>
          <w:trHeight w:val="189"/>
        </w:trPr>
        <w:tc>
          <w:tcPr>
            <w:tcW w:w="78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Series A 2020 Bonds </w:t>
            </w:r>
            <w:r>
              <w:rPr>
                <w:rFonts w:ascii="Arial" w:cs="Arial" w:eastAsia="Arial" w:hAnsi="Arial"/>
                <w:sz w:val="18"/>
                <w:szCs w:val="18"/>
                <w:color w:val="auto"/>
                <w:vertAlign w:val="superscript"/>
              </w:rPr>
              <w:t>(2)</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186,306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B 2020 Bonds </w:t>
            </w:r>
            <w:r>
              <w:rPr>
                <w:rFonts w:ascii="Arial" w:cs="Arial" w:eastAsia="Arial" w:hAnsi="Arial"/>
                <w:sz w:val="18"/>
                <w:szCs w:val="18"/>
                <w:color w:val="auto"/>
                <w:vertAlign w:val="superscript"/>
              </w:rPr>
              <w:t>(2)</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79,723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403,536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731,451</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888,701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475,884</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460,340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spacing w:after="0" w:line="53"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2"/>
          <w:szCs w:val="12"/>
          <w:color w:val="auto"/>
        </w:rPr>
        <w:t>These bonds were defeased as part of the Jefferson Refinancing. See Note 9 for additional details.</w:t>
      </w:r>
    </w:p>
    <w:p>
      <w:pPr>
        <w:ind w:left="140" w:hanging="132"/>
        <w:spacing w:after="0" w:line="224" w:lineRule="auto"/>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2"/>
          <w:szCs w:val="12"/>
          <w:color w:val="auto"/>
        </w:rPr>
        <w:t>Fair value is based upon market prices for similar municipal securities.</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Due to the COVID-19 pandemic, the fair values of our notes and bonds fluctuated significantly during 2020 and may continue to fluctuate based on market conditions and other factors.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DERIVATIVE FINANCIAL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Commodity Derivatives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Depending on market conditions, we source crude oil from producers in Canada, arranging logistics to Jefferson Terminal and marketing crude oil to third parties. These crude oil forward purchase and sales contracts are not designated in hedging relationships.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all Level 3 derivatives: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3"/>
        </w:trPr>
        <w:tc>
          <w:tcPr>
            <w:tcW w:w="7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183"/>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Net (losses) gains recognized in earnings</w:t>
            </w: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5,523</w:t>
            </w:r>
          </w:p>
        </w:tc>
      </w:tr>
      <w:tr>
        <w:trPr>
          <w:trHeight w:val="189"/>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8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8,473</w:t>
            </w: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Sales</w:t>
            </w:r>
          </w:p>
        </w:tc>
        <w:tc>
          <w:tcPr>
            <w:tcW w:w="8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189"/>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8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(8,295)</w:t>
            </w:r>
          </w:p>
        </w:tc>
      </w:tr>
      <w:tr>
        <w:trPr>
          <w:trHeight w:val="183"/>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Ending Balance</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6,545</w:t>
            </w:r>
          </w:p>
        </w:tc>
      </w:tr>
      <w:tr>
        <w:trPr>
          <w:trHeight w:val="20"/>
        </w:trPr>
        <w:tc>
          <w:tcPr>
            <w:tcW w:w="7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into or out of Level 3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REVENUES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840 prior to January 1, 2019 and ASC 842 after January 1, 2019, while revenues attributed to our Infrastructure business unit are within the scope of ASC 606, unless otherwise noted. Under the provisions of ASC 842, we have elected to exclude sales and other similar taxes from lease payments in arrangements where we are a lessor.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 Ended December 31, 2020</w:t>
            </w: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2"/>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114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4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 Terminal</w:t>
            </w:r>
          </w:p>
        </w:tc>
        <w:tc>
          <w:tcPr>
            <w:tcW w:w="12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5"/>
                <w:szCs w:val="15"/>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Corporate and Other</w:t>
            </w:r>
          </w:p>
        </w:tc>
        <w:tc>
          <w:tcPr>
            <w:tcW w:w="380" w:type="dxa"/>
            <w:vAlign w:val="bottom"/>
          </w:tcPr>
          <w:p>
            <w:pPr>
              <w:spacing w:after="0"/>
              <w:rPr>
                <w:sz w:val="15"/>
                <w:szCs w:val="15"/>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Total</w:t>
            </w: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166,331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11,145</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177,476</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101,462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101,462</w:t>
            </w: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2,260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2,260</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11,158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5,578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16,736</w:t>
            </w: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281,211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16,723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297,934</w:t>
            </w: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b w:val="1"/>
                <w:bCs w:val="1"/>
                <w:color w:val="auto"/>
              </w:rPr>
              <w:t>1,186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1,186</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50,887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50,887</w:t>
            </w: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b w:val="1"/>
                <w:bCs w:val="1"/>
                <w:color w:val="auto"/>
              </w:rPr>
              <w:t>8,210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8,210</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4,424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8,279</w:t>
            </w: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b w:val="1"/>
                <w:bCs w:val="1"/>
                <w:color w:val="auto"/>
              </w:rPr>
              <w:t>60,283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3,855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4,424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68,562</w:t>
            </w:r>
          </w:p>
        </w:tc>
      </w:tr>
      <w:tr>
        <w:trPr>
          <w:trHeight w:val="20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281,211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60,283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366,496</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649"/>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 Ended December 31, 2019</w:t>
            </w: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3"/>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114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4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 Terminal</w:t>
            </w:r>
          </w:p>
        </w:tc>
        <w:tc>
          <w:tcPr>
            <w:tcW w:w="12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5"/>
                <w:szCs w:val="15"/>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Corporate and Other</w:t>
            </w:r>
          </w:p>
        </w:tc>
        <w:tc>
          <w:tcPr>
            <w:tcW w:w="380" w:type="dxa"/>
            <w:vAlign w:val="bottom"/>
          </w:tcPr>
          <w:p>
            <w:pPr>
              <w:spacing w:after="0"/>
              <w:rPr>
                <w:sz w:val="15"/>
                <w:szCs w:val="15"/>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Total</w:t>
            </w: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197,305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9,796</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207,101</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134,914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134,914</w:t>
            </w: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2,648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2,648</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4,659</w:t>
            </w: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336,675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12,647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349,322</w:t>
            </w: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2,306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3,362</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42,965</w:t>
            </w: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166,134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166,134</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16,991</w:t>
            </w: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204,348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22,187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229,452</w:t>
            </w:r>
          </w:p>
        </w:tc>
      </w:tr>
      <w:tr>
        <w:trPr>
          <w:trHeight w:val="20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336,675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204,348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578,774</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 Ended December 31, 2018</w:t>
            </w: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114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4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 Terminal</w:t>
            </w:r>
          </w:p>
        </w:tc>
        <w:tc>
          <w:tcPr>
            <w:tcW w:w="12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Pr>
          <w:p>
            <w:pPr>
              <w:spacing w:after="0"/>
              <w:rPr>
                <w:sz w:val="15"/>
                <w:szCs w:val="15"/>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Corporate and Other</w:t>
            </w:r>
          </w:p>
        </w:tc>
        <w:tc>
          <w:tcPr>
            <w:tcW w:w="380" w:type="dxa"/>
            <w:vAlign w:val="bottom"/>
          </w:tcPr>
          <w:p>
            <w:pPr>
              <w:spacing w:after="0"/>
              <w:rPr>
                <w:sz w:val="15"/>
                <w:szCs w:val="15"/>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Total</w:t>
            </w: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151,531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5,659</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157,190</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89,870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89,870</w:t>
            </w: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1,895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3,349</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2,630</w:t>
            </w: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244,270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8,769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253,039</w:t>
            </w:r>
          </w:p>
        </w:tc>
      </w:tr>
      <w:tr>
        <w:trPr>
          <w:trHeight w:val="16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1,734</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10,108</w:t>
            </w: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60,518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60,518</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15,982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16,713</w:t>
            </w: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70,985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17,444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89,073</w:t>
            </w:r>
          </w:p>
        </w:tc>
      </w:tr>
      <w:tr>
        <w:trPr>
          <w:trHeight w:val="20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244,270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70,985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342,112</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 across several market sectors as of December 31,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60" w:type="dxa"/>
            <w:vAlign w:val="bottom"/>
          </w:tcPr>
          <w:p>
            <w:pPr>
              <w:spacing w:after="0"/>
              <w:rPr>
                <w:sz w:val="16"/>
                <w:szCs w:val="16"/>
                <w:color w:val="auto"/>
              </w:rPr>
            </w:pPr>
          </w:p>
        </w:tc>
        <w:tc>
          <w:tcPr>
            <w:tcW w:w="1600" w:type="dxa"/>
            <w:vAlign w:val="bottom"/>
          </w:tcPr>
          <w:p>
            <w:pPr>
              <w:jc w:val="right"/>
              <w:ind w:right="348"/>
              <w:spacing w:after="0"/>
              <w:rPr>
                <w:sz w:val="20"/>
                <w:szCs w:val="20"/>
                <w:color w:val="auto"/>
              </w:rPr>
            </w:pPr>
            <w:r>
              <w:rPr>
                <w:rFonts w:ascii="Arial" w:cs="Arial" w:eastAsia="Arial" w:hAnsi="Arial"/>
                <w:sz w:val="14"/>
                <w:szCs w:val="14"/>
                <w:b w:val="1"/>
                <w:bCs w:val="1"/>
                <w:color w:val="auto"/>
              </w:rPr>
              <w:t>Finance leases</w:t>
            </w:r>
          </w:p>
        </w:tc>
      </w:tr>
      <w:tr>
        <w:trPr>
          <w:trHeight w:val="18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160,039</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w:t>
            </w:r>
          </w:p>
        </w:tc>
      </w:tr>
      <w:tr>
        <w:trPr>
          <w:trHeight w:val="189"/>
        </w:trPr>
        <w:tc>
          <w:tcPr>
            <w:tcW w:w="7420" w:type="dxa"/>
            <w:vAlign w:val="bottom"/>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112,256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897</w:t>
            </w:r>
          </w:p>
        </w:tc>
      </w:tr>
      <w:tr>
        <w:trPr>
          <w:trHeight w:val="189"/>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189"/>
        </w:trPr>
        <w:tc>
          <w:tcPr>
            <w:tcW w:w="7420" w:type="dxa"/>
            <w:vAlign w:val="bottom"/>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53,367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22,532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457,448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2,462</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LEASES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commitments as lessees under lease agreements primarily for real estate, equipment and vehicles. Our leases have remaining lease terms ranging from approximately 4 months to 42 years.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 related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83"/>
        </w:trPr>
        <w:tc>
          <w:tcPr>
            <w:tcW w:w="76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r>
      <w:tr>
        <w:trPr>
          <w:trHeight w:val="18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5,857</w:t>
            </w:r>
          </w:p>
        </w:tc>
      </w:tr>
      <w:tr>
        <w:trPr>
          <w:trHeight w:val="189"/>
        </w:trPr>
        <w:tc>
          <w:tcPr>
            <w:tcW w:w="762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1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778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3,605</w:t>
            </w:r>
          </w:p>
        </w:tc>
      </w:tr>
      <w:tr>
        <w:trPr>
          <w:trHeight w:val="189"/>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1,379</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w:t>
            </w:r>
          </w:p>
        </w:tc>
      </w:tr>
      <w:tr>
        <w:trPr>
          <w:trHeight w:val="189"/>
        </w:trPr>
        <w:tc>
          <w:tcPr>
            <w:tcW w:w="7620" w:type="dxa"/>
            <w:vAlign w:val="bottom"/>
          </w:tcPr>
          <w:p>
            <w:pPr>
              <w:ind w:left="20"/>
              <w:spacing w:after="0"/>
              <w:rPr>
                <w:sz w:val="20"/>
                <w:szCs w:val="20"/>
                <w:color w:val="auto"/>
              </w:rPr>
            </w:pPr>
            <w:r>
              <w:rPr>
                <w:rFonts w:ascii="Arial" w:cs="Arial" w:eastAsia="Arial" w:hAnsi="Arial"/>
                <w:sz w:val="14"/>
                <w:szCs w:val="14"/>
                <w:color w:val="auto"/>
              </w:rPr>
              <w:t>Sublease income</w:t>
            </w:r>
          </w:p>
        </w:tc>
        <w:tc>
          <w:tcPr>
            <w:tcW w:w="11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(1,032)</w:t>
            </w:r>
          </w:p>
        </w:tc>
      </w:tr>
      <w:tr>
        <w:trPr>
          <w:trHeight w:val="18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Lease expense from continuing operations</w:t>
            </w:r>
          </w:p>
        </w:tc>
        <w:tc>
          <w:tcPr>
            <w:tcW w:w="11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6,876</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11,693</w:t>
            </w:r>
          </w:p>
        </w:tc>
      </w:tr>
      <w:tr>
        <w:trPr>
          <w:trHeight w:val="257"/>
        </w:trPr>
        <w:tc>
          <w:tcPr>
            <w:tcW w:w="76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89"/>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expense</w:t>
            </w:r>
          </w:p>
        </w:tc>
        <w:tc>
          <w:tcPr>
            <w:tcW w:w="1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r>
      <w:tr>
        <w:trPr>
          <w:trHeight w:val="18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expense</w:t>
            </w:r>
          </w:p>
        </w:tc>
        <w:tc>
          <w:tcPr>
            <w:tcW w:w="1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3,705</w:t>
            </w:r>
          </w:p>
        </w:tc>
      </w:tr>
      <w:tr>
        <w:trPr>
          <w:trHeight w:val="183"/>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Lease expense from discontinued operations</w:t>
            </w:r>
          </w:p>
        </w:tc>
        <w:tc>
          <w:tcPr>
            <w:tcW w:w="1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4,009</w:t>
            </w:r>
          </w:p>
        </w:tc>
      </w:tr>
      <w:tr>
        <w:trPr>
          <w:trHeight w:val="256"/>
        </w:trPr>
        <w:tc>
          <w:tcPr>
            <w:tcW w:w="76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0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expense</w:t>
            </w: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6,876</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ind w:right="4920"/>
        <w:spacing w:after="0" w:line="262" w:lineRule="auto"/>
        <w:rPr>
          <w:sz w:val="20"/>
          <w:szCs w:val="20"/>
          <w:color w:val="auto"/>
        </w:rPr>
      </w:pPr>
      <w:r>
        <w:rPr>
          <w:rFonts w:ascii="Arial" w:cs="Arial" w:eastAsia="Arial" w:hAnsi="Arial"/>
          <w:sz w:val="18"/>
          <w:szCs w:val="18"/>
          <w:b w:val="1"/>
          <w:bCs w:val="1"/>
          <w:color w:val="00497F"/>
        </w:rPr>
        <w:t>FORTRESS TRANSPORTATION AND INFRASTRUCTURE INVESTORS LLC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year ended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net</w:t>
            </w:r>
          </w:p>
        </w:tc>
        <w:tc>
          <w:tcPr>
            <w:tcW w:w="2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62,355</w:t>
            </w:r>
          </w:p>
        </w:tc>
      </w:tr>
      <w:tr>
        <w:trPr>
          <w:trHeight w:val="189"/>
        </w:trPr>
        <w:tc>
          <w:tcPr>
            <w:tcW w:w="726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2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62,001</w:t>
            </w:r>
          </w:p>
        </w:tc>
      </w:tr>
      <w:tr>
        <w:trPr>
          <w:trHeight w:val="257"/>
        </w:trPr>
        <w:tc>
          <w:tcPr>
            <w:tcW w:w="7260" w:type="dxa"/>
            <w:vAlign w:val="bottom"/>
            <w:shd w:val="clear" w:color="auto" w:fill="CCEEFF"/>
          </w:tcPr>
          <w:p>
            <w:pPr>
              <w:spacing w:after="0"/>
              <w:rPr>
                <w:sz w:val="22"/>
                <w:szCs w:val="22"/>
                <w:color w:val="auto"/>
              </w:rPr>
            </w:pPr>
          </w:p>
        </w:tc>
        <w:tc>
          <w:tcPr>
            <w:tcW w:w="27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189"/>
        </w:trPr>
        <w:tc>
          <w:tcPr>
            <w:tcW w:w="7260" w:type="dxa"/>
            <w:vAlign w:val="bottom"/>
          </w:tcPr>
          <w:p>
            <w:pPr>
              <w:ind w:left="20"/>
              <w:spacing w:after="0"/>
              <w:rPr>
                <w:sz w:val="20"/>
                <w:szCs w:val="20"/>
                <w:color w:val="auto"/>
              </w:rPr>
            </w:pPr>
            <w:r>
              <w:rPr>
                <w:rFonts w:ascii="Arial" w:cs="Arial" w:eastAsia="Arial" w:hAnsi="Arial"/>
                <w:sz w:val="14"/>
                <w:szCs w:val="14"/>
                <w:color w:val="auto"/>
              </w:rPr>
              <w:t>Weighted average remaining lease term</w:t>
            </w:r>
          </w:p>
        </w:tc>
        <w:tc>
          <w:tcPr>
            <w:tcW w:w="27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40.0 years</w:t>
            </w:r>
          </w:p>
        </w:tc>
      </w:tr>
      <w:tr>
        <w:trPr>
          <w:trHeight w:val="189"/>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incremental borrowing rate</w:t>
            </w:r>
          </w:p>
        </w:tc>
        <w:tc>
          <w:tcPr>
            <w:tcW w:w="27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r>
      <w:tr>
        <w:trPr>
          <w:trHeight w:val="257"/>
        </w:trPr>
        <w:tc>
          <w:tcPr>
            <w:tcW w:w="72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89"/>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27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9"/>
        </w:trPr>
        <w:tc>
          <w:tcPr>
            <w:tcW w:w="726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2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4,723</w:t>
            </w:r>
          </w:p>
        </w:tc>
      </w:tr>
      <w:tr>
        <w:trPr>
          <w:trHeight w:val="189"/>
        </w:trPr>
        <w:tc>
          <w:tcPr>
            <w:tcW w:w="7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2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4,759</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2022</w:t>
            </w:r>
          </w:p>
        </w:tc>
        <w:tc>
          <w:tcPr>
            <w:tcW w:w="6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4,632</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6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4,585</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2024</w:t>
            </w:r>
          </w:p>
        </w:tc>
        <w:tc>
          <w:tcPr>
            <w:tcW w:w="6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4,354</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6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4,224</w:t>
            </w:r>
          </w:p>
        </w:tc>
      </w:tr>
      <w:tr>
        <w:trPr>
          <w:trHeight w:val="18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145,769</w:t>
            </w:r>
          </w:p>
        </w:tc>
      </w:tr>
      <w:tr>
        <w:trPr>
          <w:trHeight w:val="183"/>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lease payments</w:t>
            </w: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168,323</w:t>
            </w:r>
          </w:p>
        </w:tc>
      </w:tr>
      <w:tr>
        <w:trPr>
          <w:trHeight w:val="18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106,322</w:t>
            </w:r>
          </w:p>
        </w:tc>
      </w:tr>
      <w:tr>
        <w:trPr>
          <w:trHeight w:val="20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62,001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year ended December 31, 2020, we amended a lease agreement for real estate in connection with the Jefferson Refinancing. The amended lease had a ROU asset value of $59.8 million and a lease term of approximately 43 years at commencement.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EQUITY-BASED COMPENSATION</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As of December 31, 2020, the Incentive Plan provides for the issuance of up to 29.9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stock-based compensation expense: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tcPr>
          <w:p>
            <w:pPr>
              <w:jc w:val="right"/>
              <w:ind w:right="328"/>
              <w:spacing w:after="0"/>
              <w:rPr>
                <w:sz w:val="20"/>
                <w:szCs w:val="20"/>
                <w:color w:val="auto"/>
              </w:rPr>
            </w:pPr>
            <w:r>
              <w:rPr>
                <w:rFonts w:ascii="Arial" w:cs="Arial" w:eastAsia="Arial" w:hAnsi="Arial"/>
                <w:sz w:val="14"/>
                <w:szCs w:val="14"/>
                <w:b w:val="1"/>
                <w:bCs w:val="1"/>
                <w:color w:val="auto"/>
              </w:rPr>
              <w:t>Remaining Expense To Be</w:t>
            </w:r>
          </w:p>
        </w:tc>
        <w:tc>
          <w:tcPr>
            <w:tcW w:w="0" w:type="dxa"/>
            <w:vAlign w:val="bottom"/>
          </w:tcPr>
          <w:p>
            <w:pPr>
              <w:spacing w:after="0"/>
              <w:rPr>
                <w:sz w:val="1"/>
                <w:szCs w:val="1"/>
                <w:color w:val="auto"/>
              </w:rPr>
            </w:pPr>
          </w:p>
        </w:tc>
      </w:tr>
      <w:tr>
        <w:trPr>
          <w:trHeight w:val="40"/>
        </w:trPr>
        <w:tc>
          <w:tcPr>
            <w:tcW w:w="46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Recognized, If All Vesting Conditions</w:t>
            </w:r>
          </w:p>
        </w:tc>
        <w:tc>
          <w:tcPr>
            <w:tcW w:w="0" w:type="dxa"/>
            <w:vAlign w:val="bottom"/>
          </w:tcPr>
          <w:p>
            <w:pPr>
              <w:spacing w:after="0"/>
              <w:rPr>
                <w:sz w:val="1"/>
                <w:szCs w:val="1"/>
                <w:color w:val="auto"/>
              </w:rPr>
            </w:pPr>
          </w:p>
        </w:tc>
      </w:tr>
      <w:tr>
        <w:trPr>
          <w:trHeight w:val="61"/>
        </w:trPr>
        <w:tc>
          <w:tcPr>
            <w:tcW w:w="464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2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6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Are Met</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40" w:type="dxa"/>
            <w:vAlign w:val="bottom"/>
          </w:tcPr>
          <w:p>
            <w:pPr>
              <w:ind w:left="20"/>
              <w:spacing w:after="0"/>
              <w:rPr>
                <w:sz w:val="20"/>
                <w:szCs w:val="20"/>
                <w:color w:val="auto"/>
              </w:rPr>
            </w:pPr>
            <w:r>
              <w:rPr>
                <w:rFonts w:ascii="Arial" w:cs="Arial" w:eastAsia="Arial" w:hAnsi="Arial"/>
                <w:sz w:val="14"/>
                <w:szCs w:val="14"/>
                <w:color w:val="auto"/>
              </w:rPr>
              <w:t>Restricted shares</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1,676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18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units</w:t>
            </w:r>
          </w:p>
        </w:tc>
        <w:tc>
          <w:tcPr>
            <w:tcW w:w="7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0" w:type="dxa"/>
            <w:vAlign w:val="bottom"/>
          </w:tcPr>
          <w:p>
            <w:pPr>
              <w:spacing w:after="0"/>
              <w:rPr>
                <w:sz w:val="1"/>
                <w:szCs w:val="1"/>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4"/>
                <w:szCs w:val="14"/>
                <w:color w:val="auto"/>
              </w:rPr>
              <w:t>Total - continuing operations</w:t>
            </w:r>
          </w:p>
        </w:tc>
        <w:tc>
          <w:tcPr>
            <w:tcW w:w="780" w:type="dxa"/>
            <w:vAlign w:val="bottom"/>
          </w:tcPr>
          <w:p>
            <w:pPr>
              <w:jc w:val="right"/>
              <w:ind w:right="60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2,325</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1,509</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717</w:t>
            </w: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360" w:type="dxa"/>
            <w:vAlign w:val="bottom"/>
          </w:tcPr>
          <w:p>
            <w:pPr>
              <w:jc w:val="right"/>
              <w:spacing w:after="0"/>
              <w:rPr>
                <w:sz w:val="20"/>
                <w:szCs w:val="20"/>
                <w:color w:val="auto"/>
              </w:rPr>
            </w:pPr>
            <w:r>
              <w:rPr>
                <w:rFonts w:ascii="Arial" w:cs="Arial" w:eastAsia="Arial" w:hAnsi="Arial"/>
                <w:sz w:val="14"/>
                <w:szCs w:val="14"/>
                <w:color w:val="auto"/>
              </w:rPr>
              <w:t>5,525</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20"/>
              <w:spacing w:after="0"/>
              <w:rPr>
                <w:sz w:val="20"/>
                <w:szCs w:val="20"/>
                <w:color w:val="auto"/>
              </w:rPr>
            </w:pPr>
            <w:r>
              <w:rPr>
                <w:rFonts w:ascii="Arial" w:cs="Arial" w:eastAsia="Arial" w:hAnsi="Arial"/>
                <w:sz w:val="14"/>
                <w:szCs w:val="14"/>
                <w:color w:val="auto"/>
              </w:rPr>
              <w:t>Common units - discontinued operations</w:t>
            </w:r>
          </w:p>
        </w:tc>
        <w:tc>
          <w:tcPr>
            <w:tcW w:w="780" w:type="dxa"/>
            <w:vAlign w:val="bottom"/>
          </w:tcPr>
          <w:p>
            <w:pPr>
              <w:jc w:val="right"/>
              <w:ind w:right="60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3,114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7"/>
        </w:trPr>
        <w:tc>
          <w:tcPr>
            <w:tcW w:w="4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6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information for our stock options, restricted shares and common units: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6"/>
                <w:szCs w:val="16"/>
                <w:color w:val="auto"/>
              </w:rPr>
            </w:pPr>
          </w:p>
        </w:tc>
        <w:tc>
          <w:tcPr>
            <w:tcW w:w="238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rPr>
              <w:t>Restricted Shares</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6"/>
          </w:tcPr>
          <w:p>
            <w:pPr>
              <w:jc w:val="right"/>
              <w:ind w:right="828"/>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Weighted Average</w:t>
            </w:r>
          </w:p>
        </w:tc>
        <w:tc>
          <w:tcPr>
            <w:tcW w:w="122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Weighted Average</w:t>
            </w: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26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Issuance Price</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Issuance Price</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Outstanding as of</w:t>
            </w:r>
          </w:p>
        </w:tc>
        <w:tc>
          <w:tcPr>
            <w:tcW w:w="1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2,113,704</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1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104,225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14.23</w:t>
            </w:r>
          </w:p>
        </w:tc>
        <w:tc>
          <w:tcPr>
            <w:tcW w:w="1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956,668</w:t>
            </w:r>
          </w:p>
        </w:tc>
        <w:tc>
          <w:tcPr>
            <w:tcW w:w="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7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104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220" w:type="dxa"/>
            <w:vAlign w:val="bottom"/>
            <w:gridSpan w:val="3"/>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0" w:type="dxa"/>
            <w:vAlign w:val="bottom"/>
            <w:gridSpan w:val="2"/>
          </w:tcPr>
          <w:p>
            <w:pPr>
              <w:ind w:left="140"/>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rPr>
                <w:sz w:val="20"/>
                <w:szCs w:val="20"/>
                <w:color w:val="auto"/>
              </w:rPr>
            </w:pPr>
            <w:r>
              <w:rPr>
                <w:rFonts w:ascii="Arial" w:cs="Arial" w:eastAsia="Arial" w:hAnsi="Arial"/>
                <w:sz w:val="14"/>
                <w:szCs w:val="14"/>
                <w:color w:val="auto"/>
              </w:rPr>
              <w:t>129,988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16.09</w:t>
            </w:r>
          </w:p>
        </w:tc>
        <w:tc>
          <w:tcPr>
            <w:tcW w:w="10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545,806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1,883,772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9"/>
        </w:trPr>
        <w:tc>
          <w:tcPr>
            <w:tcW w:w="2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Less: exercised / 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71,229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14.40</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393,332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2800" w:type="dxa"/>
            <w:vAlign w:val="bottom"/>
            <w:gridSpan w:val="2"/>
          </w:tcPr>
          <w:p>
            <w:pPr>
              <w:ind w:left="140"/>
              <w:spacing w:after="0"/>
              <w:rPr>
                <w:sz w:val="20"/>
                <w:szCs w:val="20"/>
                <w:color w:val="auto"/>
              </w:rPr>
            </w:pPr>
            <w:r>
              <w:rPr>
                <w:rFonts w:ascii="Arial" w:cs="Arial" w:eastAsia="Arial" w:hAnsi="Arial"/>
                <w:sz w:val="14"/>
                <w:szCs w:val="14"/>
                <w:color w:val="auto"/>
              </w:rPr>
              <w:t>Less: forfeited and canceled</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6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Outstanding as of</w:t>
            </w:r>
          </w:p>
        </w:tc>
        <w:tc>
          <w:tcPr>
            <w:tcW w:w="1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2,243,692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578,802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2,447,108</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Stock Options</w:t>
            </w:r>
          </w:p>
        </w:tc>
        <w:tc>
          <w:tcPr>
            <w:tcW w:w="80" w:type="dxa"/>
            <w:vAlign w:val="bottom"/>
          </w:tcPr>
          <w:p>
            <w:pPr>
              <w:spacing w:after="0"/>
              <w:rPr>
                <w:sz w:val="24"/>
                <w:szCs w:val="24"/>
                <w:color w:val="auto"/>
              </w:rPr>
            </w:pPr>
          </w:p>
        </w:tc>
        <w:tc>
          <w:tcPr>
            <w:tcW w:w="16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Restricted Shares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69"/>
        </w:trPr>
        <w:tc>
          <w:tcPr>
            <w:tcW w:w="2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0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40" w:type="dxa"/>
            <w:vAlign w:val="bottom"/>
            <w:gridSpan w:val="3"/>
          </w:tcPr>
          <w:p>
            <w:pPr>
              <w:ind w:left="140"/>
              <w:spacing w:after="0"/>
              <w:rPr>
                <w:sz w:val="20"/>
                <w:szCs w:val="20"/>
                <w:color w:val="auto"/>
              </w:rPr>
            </w:pPr>
            <w:r>
              <w:rPr>
                <w:rFonts w:ascii="Arial" w:cs="Arial" w:eastAsia="Arial" w:hAnsi="Arial"/>
                <w:sz w:val="14"/>
                <w:szCs w:val="14"/>
                <w:color w:val="auto"/>
              </w:rPr>
              <w:t>Weighted average exercise / issuance price (per 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16.81</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7.64</w:t>
            </w:r>
          </w:p>
        </w:tc>
        <w:tc>
          <w:tcPr>
            <w:tcW w:w="80" w:type="dxa"/>
            <w:vAlign w:val="bottom"/>
          </w:tcPr>
          <w:p>
            <w:pPr>
              <w:spacing w:after="0"/>
              <w:rPr>
                <w:sz w:val="16"/>
                <w:szCs w:val="16"/>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189"/>
        </w:trPr>
        <w:tc>
          <w:tcPr>
            <w:tcW w:w="2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Aggregate intrinsic value (in thousands)</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13,534</w:t>
            </w: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4,420</w:t>
            </w:r>
          </w:p>
        </w:tc>
        <w:tc>
          <w:tcPr>
            <w:tcW w:w="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2,758</w:t>
            </w:r>
          </w:p>
        </w:tc>
        <w:tc>
          <w:tcPr>
            <w:tcW w:w="0" w:type="dxa"/>
            <w:vAlign w:val="bottom"/>
          </w:tcPr>
          <w:p>
            <w:pPr>
              <w:spacing w:after="0"/>
              <w:rPr>
                <w:sz w:val="1"/>
                <w:szCs w:val="1"/>
                <w:color w:val="auto"/>
              </w:rPr>
            </w:pPr>
          </w:p>
        </w:tc>
      </w:tr>
      <w:tr>
        <w:trPr>
          <w:trHeight w:val="191"/>
        </w:trPr>
        <w:tc>
          <w:tcPr>
            <w:tcW w:w="3840" w:type="dxa"/>
            <w:vAlign w:val="bottom"/>
            <w:gridSpan w:val="3"/>
          </w:tcPr>
          <w:p>
            <w:pPr>
              <w:ind w:left="140"/>
              <w:spacing w:after="0"/>
              <w:rPr>
                <w:sz w:val="20"/>
                <w:szCs w:val="20"/>
                <w:color w:val="auto"/>
              </w:rPr>
            </w:pPr>
            <w:r>
              <w:rPr>
                <w:rFonts w:ascii="Arial" w:cs="Arial" w:eastAsia="Arial" w:hAnsi="Arial"/>
                <w:sz w:val="14"/>
                <w:szCs w:val="14"/>
                <w:color w:val="auto"/>
              </w:rPr>
              <w:t>Weighted average remaining contractual term (in years)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2020, the Manager transferred 252,472 of its options to certain of the Manager’s employees.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Stock Options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our equity offerings in 2020, 2019 and 2018 (see Note 18 for details), we granted options to the Manager related to common shares. The fair value of these options was recorded as an increase in equity with an offsetting reduction of capital proceeds received. The following table presents information related to the options related to our shares: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34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Number of options</w:t>
            </w:r>
          </w:p>
        </w:tc>
        <w:tc>
          <w:tcPr>
            <w:tcW w:w="3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129,988</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1,262,362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826,342</w:t>
            </w: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Arial" w:cs="Arial" w:eastAsia="Arial" w:hAnsi="Arial"/>
                <w:sz w:val="14"/>
                <w:szCs w:val="14"/>
                <w:color w:val="auto"/>
              </w:rPr>
              <w:t>Fair value ($ millions)</w:t>
            </w:r>
          </w:p>
        </w:tc>
        <w:tc>
          <w:tcPr>
            <w:tcW w:w="3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$0.7</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$1.8</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$2.1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Ranges</w:t>
            </w:r>
          </w:p>
        </w:tc>
        <w:tc>
          <w:tcPr>
            <w:tcW w:w="3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c>
          <w:tcPr>
            <w:tcW w:w="3440" w:type="dxa"/>
            <w:vAlign w:val="bottom"/>
            <w:tcBorders>
              <w:top w:val="single" w:sz="8" w:color="CCEEFF"/>
            </w:tcBorders>
          </w:tcPr>
          <w:p>
            <w:pPr>
              <w:ind w:left="220"/>
              <w:spacing w:after="0" w:line="153" w:lineRule="exact"/>
              <w:rPr>
                <w:sz w:val="20"/>
                <w:szCs w:val="20"/>
                <w:color w:val="auto"/>
              </w:rPr>
            </w:pPr>
            <w:r>
              <w:rPr>
                <w:rFonts w:ascii="Arial" w:cs="Arial" w:eastAsia="Arial" w:hAnsi="Arial"/>
                <w:sz w:val="14"/>
                <w:szCs w:val="14"/>
                <w:color w:val="auto"/>
              </w:rPr>
              <w:t>The expected stock volatility is based on an</w:t>
            </w:r>
          </w:p>
        </w:tc>
        <w:tc>
          <w:tcPr>
            <w:tcW w:w="68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gridSpan w:val="2"/>
            <w:vMerge w:val="restart"/>
          </w:tcPr>
          <w:p>
            <w:pPr>
              <w:spacing w:after="0"/>
              <w:rPr>
                <w:sz w:val="20"/>
                <w:szCs w:val="20"/>
                <w:color w:val="auto"/>
              </w:rPr>
            </w:pPr>
            <w:r>
              <w:rPr>
                <w:rFonts w:ascii="Arial" w:cs="Arial" w:eastAsia="Arial" w:hAnsi="Arial"/>
                <w:sz w:val="14"/>
                <w:szCs w:val="14"/>
                <w:color w:val="auto"/>
              </w:rPr>
              <w:t>Expected volatility</w:t>
            </w:r>
          </w:p>
        </w:tc>
        <w:tc>
          <w:tcPr>
            <w:tcW w:w="3440" w:type="dxa"/>
            <w:vAlign w:val="bottom"/>
          </w:tcPr>
          <w:p>
            <w:pPr>
              <w:ind w:left="220"/>
              <w:spacing w:after="0" w:line="135" w:lineRule="exact"/>
              <w:rPr>
                <w:sz w:val="20"/>
                <w:szCs w:val="20"/>
                <w:color w:val="auto"/>
              </w:rPr>
            </w:pPr>
            <w:r>
              <w:rPr>
                <w:rFonts w:ascii="Arial" w:cs="Arial" w:eastAsia="Arial" w:hAnsi="Arial"/>
                <w:sz w:val="14"/>
                <w:szCs w:val="14"/>
                <w:color w:val="auto"/>
              </w:rPr>
              <w:t>assessment of the volatility of our publicly traded</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61.27%</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w:t>
            </w:r>
          </w:p>
        </w:tc>
        <w:tc>
          <w:tcPr>
            <w:tcW w:w="7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62.12%</w:t>
            </w:r>
          </w:p>
        </w:tc>
        <w:tc>
          <w:tcPr>
            <w:tcW w:w="100" w:type="dxa"/>
            <w:vAlign w:val="bottom"/>
          </w:tcPr>
          <w:p>
            <w:pPr>
              <w:spacing w:after="0"/>
              <w:rPr>
                <w:sz w:val="11"/>
                <w:szCs w:val="11"/>
                <w:color w:val="auto"/>
              </w:rPr>
            </w:pPr>
          </w:p>
        </w:tc>
        <w:tc>
          <w:tcPr>
            <w:tcW w:w="680" w:type="dxa"/>
            <w:vAlign w:val="bottom"/>
            <w:vMerge w:val="restart"/>
          </w:tcPr>
          <w:p>
            <w:pPr>
              <w:jc w:val="center"/>
              <w:ind w:left="108"/>
              <w:spacing w:after="0"/>
              <w:rPr>
                <w:sz w:val="20"/>
                <w:szCs w:val="20"/>
                <w:color w:val="auto"/>
              </w:rPr>
            </w:pPr>
            <w:r>
              <w:rPr>
                <w:rFonts w:ascii="Arial" w:cs="Arial" w:eastAsia="Arial" w:hAnsi="Arial"/>
                <w:sz w:val="14"/>
                <w:szCs w:val="14"/>
                <w:color w:val="auto"/>
              </w:rPr>
              <w:t>21.89%</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center"/>
              <w:ind w:right="108"/>
              <w:spacing w:after="0"/>
              <w:rPr>
                <w:sz w:val="20"/>
                <w:szCs w:val="20"/>
                <w:color w:val="auto"/>
              </w:rPr>
            </w:pPr>
            <w:r>
              <w:rPr>
                <w:rFonts w:ascii="Arial" w:cs="Arial" w:eastAsia="Arial" w:hAnsi="Arial"/>
                <w:sz w:val="14"/>
                <w:szCs w:val="14"/>
                <w:color w:val="auto"/>
              </w:rPr>
              <w:t>21.45%</w:t>
            </w:r>
          </w:p>
        </w:tc>
        <w:tc>
          <w:tcPr>
            <w:tcW w:w="100" w:type="dxa"/>
            <w:vAlign w:val="bottom"/>
          </w:tcPr>
          <w:p>
            <w:pPr>
              <w:spacing w:after="0"/>
              <w:rPr>
                <w:sz w:val="11"/>
                <w:szCs w:val="11"/>
                <w:color w:val="auto"/>
              </w:rPr>
            </w:pPr>
          </w:p>
        </w:tc>
        <w:tc>
          <w:tcPr>
            <w:tcW w:w="700" w:type="dxa"/>
            <w:vAlign w:val="bottom"/>
            <w:vMerge w:val="restart"/>
          </w:tcPr>
          <w:p>
            <w:pPr>
              <w:jc w:val="center"/>
              <w:ind w:left="108"/>
              <w:spacing w:after="0"/>
              <w:rPr>
                <w:sz w:val="20"/>
                <w:szCs w:val="20"/>
                <w:color w:val="auto"/>
              </w:rPr>
            </w:pPr>
            <w:r>
              <w:rPr>
                <w:rFonts w:ascii="Arial" w:cs="Arial" w:eastAsia="Arial" w:hAnsi="Arial"/>
                <w:sz w:val="14"/>
                <w:szCs w:val="14"/>
                <w:color w:val="auto"/>
              </w:rPr>
              <w:t>18.71%</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700" w:type="dxa"/>
            <w:vAlign w:val="bottom"/>
            <w:vMerge w:val="restart"/>
          </w:tcPr>
          <w:p>
            <w:pPr>
              <w:jc w:val="center"/>
              <w:ind w:right="108"/>
              <w:spacing w:after="0"/>
              <w:rPr>
                <w:sz w:val="20"/>
                <w:szCs w:val="20"/>
                <w:color w:val="auto"/>
              </w:rPr>
            </w:pPr>
            <w:r>
              <w:rPr>
                <w:rFonts w:ascii="Arial" w:cs="Arial" w:eastAsia="Arial" w:hAnsi="Arial"/>
                <w:sz w:val="14"/>
                <w:szCs w:val="14"/>
                <w:color w:val="auto"/>
              </w:rPr>
              <w:t>27.73%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440" w:type="dxa"/>
            <w:vAlign w:val="bottom"/>
          </w:tcPr>
          <w:p>
            <w:pPr>
              <w:ind w:left="220"/>
              <w:spacing w:after="0"/>
              <w:rPr>
                <w:sz w:val="20"/>
                <w:szCs w:val="20"/>
                <w:color w:val="auto"/>
              </w:rPr>
            </w:pPr>
            <w:r>
              <w:rPr>
                <w:rFonts w:ascii="Arial" w:cs="Arial" w:eastAsia="Arial" w:hAnsi="Arial"/>
                <w:sz w:val="14"/>
                <w:szCs w:val="14"/>
                <w:color w:val="auto"/>
              </w:rPr>
              <w:t>common shares</w:t>
            </w: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4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The risk-free rate is determined using the implied</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4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yield currently available on U.S. government</w:t>
            </w: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Risk free interest rate</w:t>
            </w:r>
          </w:p>
        </w:tc>
        <w:tc>
          <w:tcPr>
            <w:tcW w:w="34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bonds with a term consistent with the expected</w:t>
            </w:r>
          </w:p>
        </w:tc>
        <w:tc>
          <w:tcPr>
            <w:tcW w:w="680" w:type="dxa"/>
            <w:vAlign w:val="bottom"/>
            <w:vMerge w:val="restart"/>
            <w:shd w:val="clear" w:color="auto" w:fill="CCEEFF"/>
          </w:tcPr>
          <w:p>
            <w:pPr>
              <w:jc w:val="center"/>
              <w:ind w:left="128"/>
              <w:spacing w:after="0"/>
              <w:rPr>
                <w:sz w:val="20"/>
                <w:szCs w:val="20"/>
                <w:color w:val="auto"/>
              </w:rPr>
            </w:pPr>
            <w:r>
              <w:rPr>
                <w:rFonts w:ascii="Arial" w:cs="Arial" w:eastAsia="Arial" w:hAnsi="Arial"/>
                <w:sz w:val="14"/>
                <w:szCs w:val="14"/>
                <w:b w:val="1"/>
                <w:bCs w:val="1"/>
                <w:color w:val="auto"/>
              </w:rPr>
              <w:t>0.51%</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4"/>
              </w:rPr>
              <w:t>-</w:t>
            </w:r>
          </w:p>
        </w:tc>
        <w:tc>
          <w:tcPr>
            <w:tcW w:w="700" w:type="dxa"/>
            <w:vAlign w:val="bottom"/>
            <w:vMerge w:val="restart"/>
            <w:shd w:val="clear" w:color="auto" w:fill="CCEEFF"/>
          </w:tcPr>
          <w:p>
            <w:pPr>
              <w:jc w:val="center"/>
              <w:ind w:right="108"/>
              <w:spacing w:after="0"/>
              <w:rPr>
                <w:sz w:val="20"/>
                <w:szCs w:val="20"/>
                <w:color w:val="auto"/>
              </w:rPr>
            </w:pPr>
            <w:r>
              <w:rPr>
                <w:rFonts w:ascii="Arial" w:cs="Arial" w:eastAsia="Arial" w:hAnsi="Arial"/>
                <w:sz w:val="14"/>
                <w:szCs w:val="14"/>
                <w:b w:val="1"/>
                <w:bCs w:val="1"/>
                <w:color w:val="auto"/>
              </w:rPr>
              <w:t>0.76%</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center"/>
              <w:ind w:left="108"/>
              <w:spacing w:after="0"/>
              <w:rPr>
                <w:sz w:val="20"/>
                <w:szCs w:val="20"/>
                <w:color w:val="auto"/>
              </w:rPr>
            </w:pPr>
            <w:r>
              <w:rPr>
                <w:rFonts w:ascii="Arial" w:cs="Arial" w:eastAsia="Arial" w:hAnsi="Arial"/>
                <w:sz w:val="14"/>
                <w:szCs w:val="14"/>
                <w:color w:val="auto"/>
              </w:rPr>
              <w:t>1.67%</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center"/>
              <w:ind w:right="10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center"/>
              <w:ind w:left="108"/>
              <w:spacing w:after="0"/>
              <w:rPr>
                <w:sz w:val="20"/>
                <w:szCs w:val="20"/>
                <w:color w:val="auto"/>
              </w:rPr>
            </w:pPr>
            <w:r>
              <w:rPr>
                <w:rFonts w:ascii="Arial" w:cs="Arial" w:eastAsia="Arial" w:hAnsi="Arial"/>
                <w:sz w:val="14"/>
                <w:szCs w:val="14"/>
                <w:color w:val="auto"/>
              </w:rPr>
              <w:t>2.98%</w:t>
            </w: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700" w:type="dxa"/>
            <w:vAlign w:val="bottom"/>
            <w:vMerge w:val="restart"/>
            <w:shd w:val="clear" w:color="auto" w:fill="CCEEFF"/>
          </w:tcPr>
          <w:p>
            <w:pPr>
              <w:jc w:val="center"/>
              <w:ind w:right="108"/>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720" w:type="dxa"/>
            <w:vAlign w:val="bottom"/>
            <w:gridSpan w:val="2"/>
            <w:vMerge w:val="continue"/>
            <w:shd w:val="clear" w:color="auto" w:fill="CCEEFF"/>
          </w:tcPr>
          <w:p>
            <w:pPr>
              <w:spacing w:after="0"/>
              <w:rPr>
                <w:sz w:val="14"/>
                <w:szCs w:val="14"/>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term on the date of grant.</w:t>
            </w:r>
          </w:p>
        </w:tc>
        <w:tc>
          <w:tcPr>
            <w:tcW w:w="6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20" w:type="dxa"/>
            <w:vAlign w:val="bottom"/>
            <w:gridSpan w:val="2"/>
            <w:vMerge w:val="restart"/>
          </w:tcPr>
          <w:p>
            <w:pPr>
              <w:spacing w:after="0"/>
              <w:rPr>
                <w:sz w:val="20"/>
                <w:szCs w:val="20"/>
                <w:color w:val="auto"/>
              </w:rPr>
            </w:pPr>
            <w:r>
              <w:rPr>
                <w:rFonts w:ascii="Arial" w:cs="Arial" w:eastAsia="Arial" w:hAnsi="Arial"/>
                <w:sz w:val="14"/>
                <w:szCs w:val="14"/>
                <w:color w:val="auto"/>
              </w:rPr>
              <w:t>Expected dividend yield</w:t>
            </w:r>
          </w:p>
        </w:tc>
        <w:tc>
          <w:tcPr>
            <w:tcW w:w="3440" w:type="dxa"/>
            <w:vAlign w:val="bottom"/>
          </w:tcPr>
          <w:p>
            <w:pPr>
              <w:ind w:left="220"/>
              <w:spacing w:after="0" w:line="153" w:lineRule="exact"/>
              <w:rPr>
                <w:sz w:val="20"/>
                <w:szCs w:val="20"/>
                <w:color w:val="auto"/>
              </w:rPr>
            </w:pPr>
            <w:r>
              <w:rPr>
                <w:rFonts w:ascii="Arial" w:cs="Arial" w:eastAsia="Arial" w:hAnsi="Arial"/>
                <w:sz w:val="14"/>
                <w:szCs w:val="14"/>
                <w:color w:val="auto"/>
              </w:rPr>
              <w:t>The expected dividend yield is based on</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6.23%</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w:t>
            </w:r>
          </w:p>
        </w:tc>
        <w:tc>
          <w:tcPr>
            <w:tcW w:w="7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11.79%</w:t>
            </w:r>
          </w:p>
        </w:tc>
        <w:tc>
          <w:tcPr>
            <w:tcW w:w="100" w:type="dxa"/>
            <w:vAlign w:val="bottom"/>
          </w:tcPr>
          <w:p>
            <w:pPr>
              <w:spacing w:after="0"/>
              <w:rPr>
                <w:sz w:val="13"/>
                <w:szCs w:val="13"/>
                <w:color w:val="auto"/>
              </w:rPr>
            </w:pPr>
          </w:p>
        </w:tc>
        <w:tc>
          <w:tcPr>
            <w:tcW w:w="680" w:type="dxa"/>
            <w:vAlign w:val="bottom"/>
            <w:vMerge w:val="restart"/>
          </w:tcPr>
          <w:p>
            <w:pPr>
              <w:jc w:val="center"/>
              <w:ind w:left="108"/>
              <w:spacing w:after="0"/>
              <w:rPr>
                <w:sz w:val="20"/>
                <w:szCs w:val="20"/>
                <w:color w:val="auto"/>
              </w:rPr>
            </w:pPr>
            <w:r>
              <w:rPr>
                <w:rFonts w:ascii="Arial" w:cs="Arial" w:eastAsia="Arial" w:hAnsi="Arial"/>
                <w:sz w:val="14"/>
                <w:szCs w:val="14"/>
                <w:color w:val="auto"/>
              </w:rPr>
              <w:t>6.58%</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center"/>
              <w:ind w:right="10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13"/>
                <w:szCs w:val="13"/>
                <w:color w:val="auto"/>
              </w:rPr>
            </w:pPr>
          </w:p>
        </w:tc>
        <w:tc>
          <w:tcPr>
            <w:tcW w:w="700" w:type="dxa"/>
            <w:vAlign w:val="bottom"/>
            <w:vMerge w:val="restart"/>
          </w:tcPr>
          <w:p>
            <w:pPr>
              <w:jc w:val="center"/>
              <w:ind w:left="108"/>
              <w:spacing w:after="0"/>
              <w:rPr>
                <w:sz w:val="20"/>
                <w:szCs w:val="20"/>
                <w:color w:val="auto"/>
              </w:rPr>
            </w:pPr>
            <w:r>
              <w:rPr>
                <w:rFonts w:ascii="Arial" w:cs="Arial" w:eastAsia="Arial" w:hAnsi="Arial"/>
                <w:sz w:val="14"/>
                <w:szCs w:val="14"/>
                <w:color w:val="auto"/>
              </w:rPr>
              <w:t>6.81%</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700" w:type="dxa"/>
            <w:vAlign w:val="bottom"/>
            <w:vMerge w:val="restart"/>
          </w:tcPr>
          <w:p>
            <w:pPr>
              <w:jc w:val="center"/>
              <w:ind w:right="108"/>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440" w:type="dxa"/>
            <w:vAlign w:val="bottom"/>
          </w:tcPr>
          <w:p>
            <w:pPr>
              <w:ind w:left="220"/>
              <w:spacing w:after="0"/>
              <w:rPr>
                <w:sz w:val="20"/>
                <w:szCs w:val="20"/>
                <w:color w:val="auto"/>
              </w:rPr>
            </w:pPr>
            <w:r>
              <w:rPr>
                <w:rFonts w:ascii="Arial" w:cs="Arial" w:eastAsia="Arial" w:hAnsi="Arial"/>
                <w:sz w:val="14"/>
                <w:szCs w:val="14"/>
                <w:color w:val="auto"/>
              </w:rPr>
              <w:t>management’s current expected dividend rate.</w:t>
            </w: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4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Expected term used represents the period of time</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Expected term</w:t>
            </w:r>
          </w:p>
        </w:tc>
        <w:tc>
          <w:tcPr>
            <w:tcW w:w="34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the options granted are expected to be</w:t>
            </w:r>
          </w:p>
        </w:tc>
        <w:tc>
          <w:tcPr>
            <w:tcW w:w="6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99"/>
              </w:rPr>
              <w:t>10 years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10 years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10 years</w:t>
            </w: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1720" w:type="dxa"/>
            <w:vAlign w:val="bottom"/>
            <w:gridSpan w:val="2"/>
            <w:vMerge w:val="continue"/>
            <w:shd w:val="clear" w:color="auto" w:fill="CCEEFF"/>
          </w:tcPr>
          <w:p>
            <w:pPr>
              <w:spacing w:after="0"/>
              <w:rPr>
                <w:sz w:val="14"/>
                <w:szCs w:val="14"/>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outstanding.</w:t>
            </w:r>
          </w:p>
        </w:tc>
        <w:tc>
          <w:tcPr>
            <w:tcW w:w="6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Shares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issued 545,806 and 113,121 restricted shares of our subsidiary during the years ended December 31, 2020 and 2019, respectively, that had grant date fair values of $4.0 million and $1.5 million, respectively, and generally vest over three years. These awards are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Common Units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issued 1,883,772, 1,110,000 and 670,000 common units of our subsidiary during the years ended December 31, 2020, 2019 and 2018, respectively, that had grant date fair values of $2.1 million, $3.4 million and $0.7 million, respectively, and vest over three years. These awards are subject to continued employment and compensation expense is recognized ratably over the vesting periods. The fair value was based on the fair value of the operating subsidiary on the grant date, which is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INCOME TAXES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provision included in the Consolidated Statements of Operations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169"/>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6240" w:type="dxa"/>
            <w:vAlign w:val="bottom"/>
          </w:tcPr>
          <w:p>
            <w:pPr>
              <w:ind w:left="14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189"/>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r>
      <w:tr>
        <w:trPr>
          <w:trHeight w:val="18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r>
      <w:tr>
        <w:trPr>
          <w:trHeight w:val="189"/>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Deferred:</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r>
      <w:tr>
        <w:trPr>
          <w:trHeight w:val="189"/>
        </w:trPr>
        <w:tc>
          <w:tcPr>
            <w:tcW w:w="6240" w:type="dxa"/>
            <w:vAlign w:val="bottom"/>
          </w:tcPr>
          <w:p>
            <w:pPr>
              <w:ind w:left="140"/>
              <w:spacing w:after="0"/>
              <w:rPr>
                <w:sz w:val="20"/>
                <w:szCs w:val="20"/>
                <w:color w:val="auto"/>
              </w:rPr>
            </w:pPr>
            <w:r>
              <w:rPr>
                <w:rFonts w:ascii="Arial" w:cs="Arial" w:eastAsia="Arial" w:hAnsi="Arial"/>
                <w:sz w:val="14"/>
                <w:szCs w:val="14"/>
                <w:color w:val="auto"/>
              </w:rPr>
              <w:t>State and local</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621</w:t>
            </w: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3"/>
        </w:trPr>
        <w:tc>
          <w:tcPr>
            <w:tcW w:w="6240" w:type="dxa"/>
            <w:vAlign w:val="bottom"/>
          </w:tcPr>
          <w:p>
            <w:pPr>
              <w:ind w:left="20"/>
              <w:spacing w:after="0"/>
              <w:rPr>
                <w:sz w:val="20"/>
                <w:szCs w:val="20"/>
                <w:color w:val="auto"/>
              </w:rPr>
            </w:pPr>
            <w:r>
              <w:rPr>
                <w:rFonts w:ascii="Arial" w:cs="Arial" w:eastAsia="Arial" w:hAnsi="Arial"/>
                <w:sz w:val="14"/>
                <w:szCs w:val="14"/>
                <w:color w:val="auto"/>
              </w:rPr>
              <w:t>Total deferred (benefit) provision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(6,619)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17,144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2,061</w:t>
            </w:r>
          </w:p>
        </w:tc>
      </w:tr>
      <w:tr>
        <w:trPr>
          <w:trHeight w:val="189"/>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(Benefit from) provision for income taxes:</w:t>
            </w: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r>
      <w:tr>
        <w:trPr>
          <w:trHeight w:val="183"/>
        </w:trPr>
        <w:tc>
          <w:tcPr>
            <w:tcW w:w="62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(5,905)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17,810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2,449</w:t>
            </w: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r>
      <w:tr>
        <w:trPr>
          <w:trHeight w:val="183"/>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(5,905)</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18,886</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1,372</w:t>
            </w:r>
          </w:p>
        </w:tc>
      </w:tr>
      <w:tr>
        <w:trPr>
          <w:trHeight w:val="21"/>
        </w:trPr>
        <w:tc>
          <w:tcPr>
            <w:tcW w:w="6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difference between our reported total provision for income taxes and the U.S. federal statutory rate of 21% is as follows:</w:t>
      </w:r>
    </w:p>
    <w:p>
      <w:pPr>
        <w:spacing w:after="0" w:line="138"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18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federal tax at statutory rate</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Income not subject to tax at statutory rate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121.9 %</w:t>
            </w:r>
          </w:p>
        </w:tc>
      </w:tr>
      <w:tr>
        <w:trPr>
          <w:trHeight w:val="18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State and local taxes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8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Foreign taxes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4.0 %</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7.7 %</w:t>
            </w:r>
          </w:p>
        </w:tc>
      </w:tr>
      <w:tr>
        <w:trPr>
          <w:trHeight w:val="18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Branch profit tax</w:t>
            </w:r>
          </w:p>
        </w:tc>
        <w:tc>
          <w:tcPr>
            <w:tcW w:w="1780" w:type="dxa"/>
            <w:vAlign w:val="bottom"/>
            <w:gridSpan w:val="3"/>
            <w:shd w:val="clear" w:color="auto" w:fill="CCEEFF"/>
          </w:tcPr>
          <w:p>
            <w:pPr>
              <w:jc w:val="right"/>
              <w:ind w:right="1128"/>
              <w:spacing w:after="0"/>
              <w:rPr>
                <w:sz w:val="20"/>
                <w:szCs w:val="20"/>
                <w:color w:val="auto"/>
              </w:rPr>
            </w:pPr>
            <w:r>
              <w:rPr>
                <w:rFonts w:ascii="Arial" w:cs="Arial" w:eastAsia="Arial" w:hAnsi="Arial"/>
                <w:sz w:val="14"/>
                <w:szCs w:val="14"/>
                <w:b w:val="1"/>
                <w:bCs w:val="1"/>
                <w:color w:val="auto"/>
              </w:rPr>
              <w:t>— %</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Change in tax rates</w:t>
            </w:r>
          </w:p>
        </w:tc>
        <w:tc>
          <w:tcPr>
            <w:tcW w:w="1780" w:type="dxa"/>
            <w:vAlign w:val="bottom"/>
            <w:gridSpan w:val="3"/>
          </w:tcPr>
          <w:p>
            <w:pPr>
              <w:jc w:val="right"/>
              <w:ind w:right="1128"/>
              <w:spacing w:after="0"/>
              <w:rPr>
                <w:sz w:val="20"/>
                <w:szCs w:val="20"/>
                <w:color w:val="auto"/>
              </w:rPr>
            </w:pPr>
            <w:r>
              <w:rPr>
                <w:rFonts w:ascii="Arial" w:cs="Arial" w:eastAsia="Arial" w:hAnsi="Arial"/>
                <w:sz w:val="14"/>
                <w:szCs w:val="14"/>
                <w:b w:val="1"/>
                <w:bCs w:val="1"/>
                <w:color w:val="auto"/>
              </w:rPr>
              <w:t>— %</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6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valuation allowance</w:t>
            </w: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w:t>
            </w:r>
          </w:p>
        </w:tc>
      </w:tr>
      <w:tr>
        <w:trPr>
          <w:trHeight w:val="20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5.4 %</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our deferred tax assets and liabilities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7840" w:type="dxa"/>
            <w:vAlign w:val="bottom"/>
          </w:tcPr>
          <w:p>
            <w:pPr>
              <w:ind w:left="140"/>
              <w:spacing w:after="0"/>
              <w:rPr>
                <w:sz w:val="20"/>
                <w:szCs w:val="20"/>
                <w:color w:val="auto"/>
              </w:rPr>
            </w:pPr>
            <w:r>
              <w:rPr>
                <w:rFonts w:ascii="Arial" w:cs="Arial" w:eastAsia="Arial" w:hAnsi="Arial"/>
                <w:sz w:val="14"/>
                <w:szCs w:val="14"/>
                <w:color w:val="auto"/>
              </w:rPr>
              <w:t>Net operating loss carryforwards</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105,184</w:t>
            </w:r>
          </w:p>
        </w:tc>
        <w:tc>
          <w:tcPr>
            <w:tcW w:w="12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74,555</w:t>
            </w: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468</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r>
      <w:tr>
        <w:trPr>
          <w:trHeight w:val="189"/>
        </w:trPr>
        <w:tc>
          <w:tcPr>
            <w:tcW w:w="784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26,531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25,306</w:t>
            </w: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10,119</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6,104</w:t>
            </w:r>
          </w:p>
        </w:tc>
      </w:tr>
      <w:tr>
        <w:trPr>
          <w:trHeight w:val="189"/>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2,895</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2,041</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assets</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145,197</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109,258</w:t>
            </w:r>
          </w:p>
        </w:tc>
      </w:tr>
      <w:tr>
        <w:trPr>
          <w:trHeight w:val="189"/>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valuation allowance</w:t>
            </w: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(98,091)</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(79,176)</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47,106</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30,082</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in partnerships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(13,759)</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(22,250)</w:t>
            </w:r>
          </w:p>
        </w:tc>
      </w:tr>
      <w:tr>
        <w:trPr>
          <w:trHeight w:val="189"/>
        </w:trPr>
        <w:tc>
          <w:tcPr>
            <w:tcW w:w="7840" w:type="dxa"/>
            <w:vAlign w:val="bottom"/>
          </w:tcPr>
          <w:p>
            <w:pPr>
              <w:ind w:left="140"/>
              <w:spacing w:after="0"/>
              <w:rPr>
                <w:sz w:val="20"/>
                <w:szCs w:val="20"/>
                <w:color w:val="auto"/>
              </w:rPr>
            </w:pPr>
            <w:r>
              <w:rPr>
                <w:rFonts w:ascii="Arial" w:cs="Arial" w:eastAsia="Arial" w:hAnsi="Arial"/>
                <w:sz w:val="14"/>
                <w:szCs w:val="14"/>
                <w:color w:val="auto"/>
              </w:rPr>
              <w:t>Fixed assets and goodwill</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(29,448)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(21,592)</w:t>
            </w: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right-of-use assets</w:t>
            </w:r>
          </w:p>
        </w:tc>
        <w:tc>
          <w:tcPr>
            <w:tcW w:w="10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(10,062)</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(6,032)</w:t>
            </w:r>
          </w:p>
        </w:tc>
      </w:tr>
      <w:tr>
        <w:trPr>
          <w:trHeight w:val="182"/>
        </w:trPr>
        <w:tc>
          <w:tcPr>
            <w:tcW w:w="7840" w:type="dxa"/>
            <w:vAlign w:val="bottom"/>
          </w:tcPr>
          <w:p>
            <w:pPr>
              <w:ind w:left="20"/>
              <w:spacing w:after="0"/>
              <w:rPr>
                <w:sz w:val="20"/>
                <w:szCs w:val="20"/>
                <w:color w:val="auto"/>
              </w:rPr>
            </w:pPr>
            <w:r>
              <w:rPr>
                <w:rFonts w:ascii="Arial" w:cs="Arial" w:eastAsia="Arial" w:hAnsi="Arial"/>
                <w:sz w:val="14"/>
                <w:szCs w:val="14"/>
                <w:color w:val="auto"/>
              </w:rPr>
              <w:t>Net deferred tax liabilities</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(6,163)</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(19,792)</w:t>
            </w:r>
          </w:p>
        </w:tc>
      </w:tr>
      <w:tr>
        <w:trPr>
          <w:trHeight w:val="21"/>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Current and deferred tax assets and liabilities are reported net in Other assets or Other liabilities in the Consolidated Balance Sheets.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We have analyzed our deferred tax assets and have determined, based on the weight of available evidence, that it is more likely than not that a significant portion will not be realized. Accordingly, valuation allowances have been recognized as of December 31, 2020 and 2019 of $98.1 million and $79.2 million, respectively, related to certain deductible temporary differences and net operating loss carryforwards.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the valuation allowance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beginning of period</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79,176</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68,294</w:t>
            </w:r>
          </w:p>
        </w:tc>
      </w:tr>
      <w:tr>
        <w:trPr>
          <w:trHeight w:val="189"/>
        </w:trPr>
        <w:tc>
          <w:tcPr>
            <w:tcW w:w="7840" w:type="dxa"/>
            <w:vAlign w:val="bottom"/>
          </w:tcPr>
          <w:p>
            <w:pPr>
              <w:ind w:left="140"/>
              <w:spacing w:after="0"/>
              <w:rPr>
                <w:sz w:val="20"/>
                <w:szCs w:val="20"/>
                <w:color w:val="auto"/>
              </w:rPr>
            </w:pPr>
            <w:r>
              <w:rPr>
                <w:rFonts w:ascii="Arial" w:cs="Arial" w:eastAsia="Arial" w:hAnsi="Arial"/>
                <w:sz w:val="14"/>
                <w:szCs w:val="14"/>
                <w:color w:val="auto"/>
              </w:rPr>
              <w:t>Change due to current year losses</w:t>
            </w:r>
          </w:p>
        </w:tc>
        <w:tc>
          <w:tcPr>
            <w:tcW w:w="10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18,915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19,330</w:t>
            </w: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due to current year releases</w:t>
            </w:r>
          </w:p>
        </w:tc>
        <w:tc>
          <w:tcPr>
            <w:tcW w:w="10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(8,448)</w:t>
            </w:r>
          </w:p>
        </w:tc>
      </w:tr>
      <w:tr>
        <w:trPr>
          <w:trHeight w:val="183"/>
        </w:trPr>
        <w:tc>
          <w:tcPr>
            <w:tcW w:w="7840" w:type="dxa"/>
            <w:vAlign w:val="bottom"/>
          </w:tcPr>
          <w:p>
            <w:pPr>
              <w:ind w:left="20"/>
              <w:spacing w:after="0"/>
              <w:rPr>
                <w:sz w:val="20"/>
                <w:szCs w:val="20"/>
                <w:color w:val="auto"/>
              </w:rPr>
            </w:pPr>
            <w:r>
              <w:rPr>
                <w:rFonts w:ascii="Arial" w:cs="Arial" w:eastAsia="Arial" w:hAnsi="Arial"/>
                <w:sz w:val="14"/>
                <w:szCs w:val="14"/>
                <w:color w:val="auto"/>
              </w:rPr>
              <w:t>Valuation allowance at end of period</w:t>
            </w:r>
          </w:p>
        </w:tc>
        <w:tc>
          <w:tcPr>
            <w:tcW w:w="10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98,091</w:t>
            </w:r>
          </w:p>
        </w:tc>
        <w:tc>
          <w:tcPr>
            <w:tcW w:w="12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79,176</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December 31, 2020, certain of our corporate subsidiaries had U.S. federal net operating loss carryforwards of approximately $357.8 million that are available to offset future taxable income. If not utilized, $169.0 million of these carryforwards will begin to expire in the year 2034, with $188.8 million of these carryforwards having no expiration date. As of December 31, 2020, we also had net operating loss carryforwards for Irish income tax purposes of $210.2 million, which can be carried forward indefinitely against future business income, and $3.2 million of net operating loss carryforwards for Malaysian income tax purposes, which will begin to expire in the year 2025. The utilization of the net operating loss carryforwards to reduce future income taxes will depend on the relevant corporate subsidiary's ability to generate sufficient taxable income prior to the expiration of the carryforward period, if any. In addition, the maximum annual use of net operating loss carryforwards may be limited after certain changes in stock ownership.</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and for the period ended December 31, 2020,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2017. We do not believe that it is reasonably possible that the total amount of unrecognized tax benefits will significantly change within 12 months of the reporting date.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MANAGEMENT AGREEMENT AND AFFILIATE TRANSACTIONS</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In May 2015, in connection with our IPO, we entered into the Management Agreement. Additionally, we have entered into certain incentive allocation arrangements with Master GP, which owns approximately 0.05% of the Partnership and is the general partner of the Partnership.</w:t>
      </w:r>
    </w:p>
    <w:p>
      <w:pPr>
        <w:spacing w:after="0" w:line="2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One of our subsidiaries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64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18,519</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15,319</w:t>
            </w: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9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21,231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r>
      <w:tr>
        <w:trPr>
          <w:trHeight w:val="183"/>
        </w:trPr>
        <w:tc>
          <w:tcPr>
            <w:tcW w:w="6460" w:type="dxa"/>
            <w:vAlign w:val="bottom"/>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18,519</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36,059</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15,726</w:t>
            </w:r>
          </w:p>
        </w:tc>
      </w:tr>
      <w:tr>
        <w:trPr>
          <w:trHeight w:val="21"/>
        </w:trPr>
        <w:tc>
          <w:tcPr>
            <w:tcW w:w="6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by us, costs to obtain liability insurance to indemnify our directors and officers and the compensation and expenses of our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6"/>
                <w:szCs w:val="16"/>
                <w:color w:val="auto"/>
              </w:rPr>
            </w:pPr>
          </w:p>
        </w:tc>
      </w:tr>
      <w:tr>
        <w:trPr>
          <w:trHeight w:val="183"/>
        </w:trPr>
        <w:tc>
          <w:tcPr>
            <w:tcW w:w="64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8"/>
              <w:spacing w:after="0" w:line="182"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8"/>
              <w:spacing w:after="0" w:line="182"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8"/>
                <w:szCs w:val="18"/>
                <w:b w:val="1"/>
                <w:bCs w:val="1"/>
                <w:color w:val="auto"/>
                <w:vertAlign w:val="superscript"/>
              </w:rPr>
              <w:t>(1)</w:t>
            </w:r>
          </w:p>
        </w:tc>
      </w:tr>
      <w:tr>
        <w:trPr>
          <w:trHeight w:val="16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6460" w:type="dxa"/>
            <w:vAlign w:val="bottom"/>
          </w:tcPr>
          <w:p>
            <w:pPr>
              <w:ind w:left="140"/>
              <w:spacing w:after="0"/>
              <w:rPr>
                <w:sz w:val="20"/>
                <w:szCs w:val="20"/>
                <w:color w:val="auto"/>
              </w:rPr>
            </w:pPr>
            <w:r>
              <w:rPr>
                <w:rFonts w:ascii="Arial" w:cs="Arial" w:eastAsia="Arial" w:hAnsi="Arial"/>
                <w:sz w:val="14"/>
                <w:szCs w:val="14"/>
                <w:color w:val="auto"/>
              </w:rPr>
              <w:t>General and administrative expenses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9,552</w:t>
            </w:r>
          </w:p>
        </w:tc>
        <w:tc>
          <w:tcPr>
            <w:tcW w:w="4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11,017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9,910</w:t>
            </w:r>
          </w:p>
        </w:tc>
      </w:tr>
      <w:tr>
        <w:trPr>
          <w:trHeight w:val="189"/>
        </w:trPr>
        <w:tc>
          <w:tcPr>
            <w:tcW w:w="6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9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2,081</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6,653</w:t>
            </w:r>
          </w:p>
        </w:tc>
      </w:tr>
      <w:tr>
        <w:trPr>
          <w:trHeight w:val="183"/>
        </w:trPr>
        <w:tc>
          <w:tcPr>
            <w:tcW w:w="6460" w:type="dxa"/>
            <w:vAlign w:val="bottom"/>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11,633</w:t>
            </w:r>
          </w:p>
        </w:tc>
        <w:tc>
          <w:tcPr>
            <w:tcW w:w="4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14,416</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16,563</w:t>
            </w:r>
          </w:p>
        </w:tc>
      </w:tr>
      <w:tr>
        <w:trPr>
          <w:trHeight w:val="20"/>
        </w:trPr>
        <w:tc>
          <w:tcPr>
            <w:tcW w:w="6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5" w:lineRule="auto"/>
        <w:tabs>
          <w:tab w:leader="none" w:pos="158"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Due to the Aviation Restructuring (as defined in Note 17), during the years ended December 31, 2019 and 2018, $11,659 and $5,551, respectively, was restated from the Corporate and Other segment to the Aviation Leasing segment, of which $3,536 and $1,836, respectively, was reclassified from General and administrative to Operating expenses and $8,123 and $3,715, respectively, remained in Acquisition and transaction expenses. See Note 17 for additional details.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the Manager.</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183"/>
        </w:trPr>
        <w:tc>
          <w:tcPr>
            <w:tcW w:w="78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1,461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w:t>
            </w:r>
          </w:p>
        </w:tc>
      </w:tr>
      <w:tr>
        <w:trPr>
          <w:trHeight w:val="249"/>
        </w:trPr>
        <w:tc>
          <w:tcPr>
            <w:tcW w:w="7860" w:type="dxa"/>
            <w:vAlign w:val="bottom"/>
          </w:tcPr>
          <w:p>
            <w:pPr>
              <w:ind w:left="20"/>
              <w:spacing w:after="0"/>
              <w:rPr>
                <w:sz w:val="20"/>
                <w:szCs w:val="20"/>
                <w:color w:val="auto"/>
              </w:rPr>
            </w:pPr>
            <w:r>
              <w:rPr>
                <w:rFonts w:ascii="Arial" w:cs="Arial" w:eastAsia="Arial" w:hAnsi="Arial"/>
                <w:sz w:val="14"/>
                <w:szCs w:val="14"/>
                <w:color w:val="auto"/>
              </w:rPr>
              <w:t xml:space="preserve">Other payables </w:t>
            </w:r>
            <w:r>
              <w:rPr>
                <w:rFonts w:ascii="Arial" w:cs="Arial" w:eastAsia="Arial" w:hAnsi="Arial"/>
                <w:sz w:val="18"/>
                <w:szCs w:val="18"/>
                <w:color w:val="auto"/>
                <w:vertAlign w:val="superscript"/>
              </w:rPr>
              <w:t>(1)</w:t>
            </w:r>
          </w:p>
        </w:tc>
        <w:tc>
          <w:tcPr>
            <w:tcW w:w="110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Arial" w:cs="Arial" w:eastAsia="Arial" w:hAnsi="Arial"/>
                <w:sz w:val="14"/>
                <w:szCs w:val="14"/>
                <w:b w:val="1"/>
                <w:bCs w:val="1"/>
                <w:color w:val="auto"/>
              </w:rPr>
              <w:t>1,317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21,992</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4"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2"/>
          <w:szCs w:val="12"/>
          <w:color w:val="auto"/>
        </w:rPr>
        <w:t>Includes $21.2 million related to incentive fees, as of December 31, 2019, which we paid in 2020.</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and 2019, no amounts were recorded as a receivable from the Manager.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2020 and 2019, an affiliate of our Manager owns an approximately 20% interest in Jefferson Terminal which has been accounted for as a component of non-controlling interest in consolidated subsidiaries in the accompanying consolidated financial statements. The carrying amount of this non-controlling interest at December 31, 2020 and 2019 was $17.2 million and $33.7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right="20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408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share of net loss</w:t>
            </w:r>
          </w:p>
        </w:tc>
        <w:tc>
          <w:tcPr>
            <w:tcW w:w="3360" w:type="dxa"/>
            <w:vAlign w:val="bottom"/>
            <w:gridSpan w:val="2"/>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16,483</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13,436</w:t>
            </w:r>
          </w:p>
        </w:tc>
      </w:tr>
      <w:tr>
        <w:trPr>
          <w:trHeight w:val="825"/>
        </w:trPr>
        <w:tc>
          <w:tcPr>
            <w:tcW w:w="4080" w:type="dxa"/>
            <w:vAlign w:val="bottom"/>
          </w:tcPr>
          <w:p>
            <w:pPr>
              <w:spacing w:after="0"/>
              <w:rPr>
                <w:sz w:val="24"/>
                <w:szCs w:val="24"/>
                <w:color w:val="auto"/>
              </w:rPr>
            </w:pPr>
          </w:p>
        </w:tc>
        <w:tc>
          <w:tcPr>
            <w:tcW w:w="2380" w:type="dxa"/>
            <w:vAlign w:val="bottom"/>
          </w:tcPr>
          <w:p>
            <w:pPr>
              <w:jc w:val="right"/>
              <w:ind w:right="688"/>
              <w:spacing w:after="0"/>
              <w:rPr>
                <w:sz w:val="20"/>
                <w:szCs w:val="20"/>
                <w:color w:val="auto"/>
              </w:rPr>
            </w:pPr>
            <w:r>
              <w:rPr>
                <w:rFonts w:ascii="Arial" w:cs="Arial" w:eastAsia="Arial" w:hAnsi="Arial"/>
                <w:sz w:val="14"/>
                <w:szCs w:val="14"/>
                <w:color w:val="auto"/>
              </w:rPr>
              <w:t>94</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0"/>
        </w:trPr>
        <w:tc>
          <w:tcPr>
            <w:tcW w:w="408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July 2020, we purchased a 14% interest in FYX from an affiliate of our Manager, which retained a non-controlling interest in FYX subsequent to the transaction. Additionally, other investors in FYX are also affiliates of our Manager. See Note 7 for additional information related to FYX.</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year ended December 31, 2020, we granted options to the Manager in connection with preferred shares sold under the ATM Program (as defined in Note 18). See Note 18 for additional information.</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we entered into a Fee and Support Agreement with an affiliate of our Manager. The Fee and Support Agreement provides that the affiliate of the Manager is compensated for its guarantee of a portion of the obligations under the Standby Bond Purchase Agreement. This affiliate of the Manager received fees of $1.7 million, which will be amortized as interest expense to the earlier of the redemption date or February 13, 2020.</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amendment to the Jefferson Revolver, on December 20, 2018, our subsidiary and an affiliate of our Manager entered into an amended and restated Fee and Support Agreement, and our subsidiary issued a $0.3 million promissory note to the affiliate of our Manager, as consideration for the fee payable pursuant to the amended and restated Fee and Support Agreement.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2020, the Fee and Support Agreement was terminated in connection with the Jefferson Refinancing.</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 See Note 18 for details related to conversions during the period.</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second quarter of 2018, we purchased all shares held by the non-controlling interest holder in our Aviation Leasing segment for a purchase price of $3.7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SEGMENT INFORMATION</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three reportable segments which operate in the Equipment Leasing and Infrastructure businesses across several market sectors. Our reportable segments are (i) Aviation Leasing, (ii) Jefferson Terminal and (iii) Ports and Terminals. The Aviation Leasing segment consists of aircraft and aircraft engines held for lease and are typically held long-term. The Jefferson Terminal segment consists of a multi-modal crude oil and refined products terminal and other related assets. The Ports and Terminals segment consists of Repauno, which is a 1,630 acre deep-water port located along the Delaware River with an underground storage cavern and multiple industrial development opportunities, and an equity method investment in Long Ridge, which is a 1,660 acre multi-modal port located along the Ohio River with rail, dock, and multiple industrial development opportunities, including a power plant under construction.</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December 2019, we completed the sale of substantially all of our railroad business, which was formerly reported as our Railroad segment. Under ASC 205-20, this disposition met the criteria to be reported as discontinued operations and the assets, liabilities and results of operations have been presented as discontinued operations for all periods presented. Additionally, in accordance with ASC 280, we assessed our reportable segments. We determined that our retained investment of the railroad business no longer met the requirement as a reportable segment. Accordingly, we have presented this operating segment, along with Corporate results, within Corporate and Other effective in 2019. All prior periods have been restated for historical comparison across segments.</w:t>
      </w:r>
    </w:p>
    <w:p>
      <w:pPr>
        <w:spacing w:after="0" w:line="2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long-term operating leases, (ii) an investment in an unconsolidated entity engaged in the leasing of shipping containers and (iii) railroad assets retained after the December 2019 sale, which consist of equipment that support a railcar cleaning business.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Organizational Restructuring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early 2020, we completed an organizational restructuring of the Aviation Leasing segment. Previously, Aviation Leasing’s employees were employed by the Manager and compensation and related costs associated with these employees were reimbursed to the Manager, per the Management Agreement (see Note 16). These costs were reported within Corporate and Other.</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Effective in the first quarter of 2020, Aviation Leasing’s employees are employed by one of our subsidiaries. Compensation and related costs incurred by this subsidiary are reported within the Aviation Leasing segment. Prior periods have been restated for historical comparison.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adjustments for the year ended December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As Previously Reported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Reported</w:t>
            </w:r>
          </w:p>
        </w:tc>
        <w:tc>
          <w:tcPr>
            <w:tcW w:w="780" w:type="dxa"/>
            <w:vAlign w:val="bottom"/>
            <w:tcBorders>
              <w:bottom w:val="single" w:sz="8" w:color="auto"/>
            </w:tcBorders>
          </w:tcPr>
          <w:p>
            <w:pPr>
              <w:spacing w:after="0"/>
              <w:rPr>
                <w:sz w:val="16"/>
                <w:szCs w:val="16"/>
                <w:color w:val="auto"/>
              </w:rPr>
            </w:pPr>
          </w:p>
        </w:tc>
      </w:tr>
      <w:tr>
        <w:trPr>
          <w:trHeight w:val="142"/>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2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2"/>
                <w:szCs w:val="12"/>
                <w:color w:val="auto"/>
              </w:rPr>
            </w:pP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46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Corporate and</w:t>
            </w: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16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Corporate and</w:t>
            </w:r>
          </w:p>
        </w:tc>
      </w:tr>
      <w:tr>
        <w:trPr>
          <w:trHeight w:val="176"/>
        </w:trPr>
        <w:tc>
          <w:tcPr>
            <w:tcW w:w="3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Leasing</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r>
      <w:tr>
        <w:trPr>
          <w:trHeight w:val="18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14,132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3"/>
            <w:shd w:val="clear" w:color="auto" w:fill="CCEEFF"/>
          </w:tcPr>
          <w:p>
            <w:pPr>
              <w:ind w:left="700"/>
              <w:spacing w:after="0"/>
              <w:rPr>
                <w:sz w:val="20"/>
                <w:szCs w:val="20"/>
                <w:color w:val="auto"/>
              </w:rPr>
            </w:pPr>
            <w:r>
              <w:rPr>
                <w:rFonts w:ascii="Arial" w:cs="Arial" w:eastAsia="Arial" w:hAnsi="Arial"/>
                <w:sz w:val="14"/>
                <w:szCs w:val="14"/>
                <w:b w:val="1"/>
                <w:bCs w:val="1"/>
                <w:color w:val="auto"/>
              </w:rPr>
              <w:t>—   $</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17,668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17,544</w:t>
            </w: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20,441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(3,536)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16,905</w:t>
            </w: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8,641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3,974</w:t>
            </w: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adjustments for the year ended December 31,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As Previously Reported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Reported</w:t>
            </w:r>
          </w:p>
        </w:tc>
        <w:tc>
          <w:tcPr>
            <w:tcW w:w="780" w:type="dxa"/>
            <w:vAlign w:val="bottom"/>
            <w:tcBorders>
              <w:bottom w:val="single" w:sz="8" w:color="auto"/>
            </w:tcBorders>
          </w:tcPr>
          <w:p>
            <w:pPr>
              <w:spacing w:after="0"/>
              <w:rPr>
                <w:sz w:val="16"/>
                <w:szCs w:val="16"/>
                <w:color w:val="auto"/>
              </w:rPr>
            </w:pPr>
          </w:p>
        </w:tc>
      </w:tr>
      <w:tr>
        <w:trPr>
          <w:trHeight w:val="142"/>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2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2"/>
                <w:szCs w:val="12"/>
                <w:color w:val="auto"/>
              </w:rPr>
            </w:pP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46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Corporate and</w:t>
            </w: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16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Corporate and</w:t>
            </w:r>
          </w:p>
        </w:tc>
      </w:tr>
      <w:tr>
        <w:trPr>
          <w:trHeight w:val="175"/>
        </w:trPr>
        <w:tc>
          <w:tcPr>
            <w:tcW w:w="3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Leasing</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r>
      <w:tr>
        <w:trPr>
          <w:trHeight w:val="18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9,149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14,487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3"/>
            <w:shd w:val="clear" w:color="auto" w:fill="CCEEFF"/>
          </w:tcPr>
          <w:p>
            <w:pPr>
              <w:ind w:left="700"/>
              <w:spacing w:after="0"/>
              <w:rPr>
                <w:sz w:val="20"/>
                <w:szCs w:val="20"/>
                <w:color w:val="auto"/>
              </w:rPr>
            </w:pPr>
            <w:r>
              <w:rPr>
                <w:rFonts w:ascii="Arial" w:cs="Arial" w:eastAsia="Arial" w:hAnsi="Arial"/>
                <w:sz w:val="14"/>
                <w:szCs w:val="14"/>
                <w:b w:val="1"/>
                <w:bCs w:val="1"/>
                <w:color w:val="auto"/>
              </w:rPr>
              <w:t>—   $</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10,985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14,487</w:t>
            </w: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15,290</w:t>
            </w: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4,030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2,938</w:t>
            </w:r>
          </w:p>
        </w:tc>
      </w:tr>
    </w:tbl>
    <w:p>
      <w:pPr>
        <w:spacing w:after="0" w:line="200" w:lineRule="exact"/>
        <w:rPr>
          <w:sz w:val="20"/>
          <w:szCs w:val="20"/>
          <w:color w:val="auto"/>
        </w:rPr>
      </w:pPr>
    </w:p>
    <w:p>
      <w:pPr>
        <w:spacing w:after="0" w:line="3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EBITDA.</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Year Ended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6"/>
          </w:tcPr>
          <w:p>
            <w:pPr>
              <w:jc w:val="right"/>
              <w:ind w:right="388"/>
              <w:spacing w:after="0"/>
              <w:rPr>
                <w:sz w:val="20"/>
                <w:szCs w:val="20"/>
                <w:color w:val="auto"/>
              </w:rPr>
            </w:pPr>
            <w:r>
              <w:rPr>
                <w:rFonts w:ascii="Arial" w:cs="Arial" w:eastAsia="Arial" w:hAnsi="Arial"/>
                <w:sz w:val="14"/>
                <w:szCs w:val="14"/>
                <w:b w:val="1"/>
                <w:bCs w:val="1"/>
                <w:color w:val="auto"/>
              </w:rPr>
              <w:t>Year Ended December 31, 2020</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Infrastructure</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281,211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16,723</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297,934</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60,283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68,562</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281,211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60,283</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3,855</w:t>
            </w:r>
          </w:p>
        </w:tc>
        <w:tc>
          <w:tcPr>
            <w:tcW w:w="12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21,147</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366,496</w:t>
            </w:r>
          </w:p>
        </w:tc>
        <w:tc>
          <w:tcPr>
            <w:tcW w:w="0" w:type="dxa"/>
            <w:vAlign w:val="bottom"/>
          </w:tcPr>
          <w:p>
            <w:pPr>
              <w:spacing w:after="0"/>
              <w:rPr>
                <w:sz w:val="1"/>
                <w:szCs w:val="1"/>
                <w:color w:val="auto"/>
              </w:rPr>
            </w:pPr>
          </w:p>
        </w:tc>
      </w:tr>
      <w:tr>
        <w:trPr>
          <w:trHeight w:val="236"/>
        </w:trPr>
        <w:tc>
          <w:tcPr>
            <w:tcW w:w="2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20,667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53,072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10,327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25,446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109,512</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18,159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18,159</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2,274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9,868</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3"/>
                <w:szCs w:val="13"/>
                <w:color w:val="auto"/>
              </w:rPr>
            </w:pPr>
          </w:p>
        </w:tc>
        <w:tc>
          <w:tcPr>
            <w:tcW w:w="1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18,519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18,519</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133,904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29,034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7,965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172,400</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33,978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33,978</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9,426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87,445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98,206</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195,236</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91,532</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14,066</w:t>
            </w:r>
          </w:p>
        </w:tc>
        <w:tc>
          <w:tcPr>
            <w:tcW w:w="12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159,808</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460,642</w:t>
            </w:r>
          </w:p>
        </w:tc>
        <w:tc>
          <w:tcPr>
            <w:tcW w:w="0" w:type="dxa"/>
            <w:vAlign w:val="bottom"/>
          </w:tcPr>
          <w:p>
            <w:pPr>
              <w:spacing w:after="0"/>
              <w:rPr>
                <w:sz w:val="1"/>
                <w:szCs w:val="1"/>
                <w:color w:val="auto"/>
              </w:rPr>
            </w:pPr>
          </w:p>
        </w:tc>
      </w:tr>
      <w:tr>
        <w:trPr>
          <w:trHeight w:val="236"/>
        </w:trPr>
        <w:tc>
          <w:tcPr>
            <w:tcW w:w="2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8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(1,932)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(3,222)</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(5,039)</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shd w:val="clear" w:color="auto" w:fill="CCEEFF"/>
          </w:tcPr>
          <w:p>
            <w:pPr>
              <w:spacing w:after="0"/>
              <w:rPr>
                <w:sz w:val="14"/>
                <w:szCs w:val="14"/>
                <w:color w:val="auto"/>
              </w:rPr>
            </w:pPr>
          </w:p>
        </w:tc>
        <w:tc>
          <w:tcPr>
            <w:tcW w:w="1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Loss on sale of assets, net</w:t>
            </w: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(308)</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(6,943)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(11,667)</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w:t>
            </w:r>
          </w:p>
        </w:tc>
        <w:tc>
          <w:tcPr>
            <w:tcW w:w="1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(2,138)</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(4,640)</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(3,222)</w:t>
            </w:r>
          </w:p>
        </w:tc>
        <w:tc>
          <w:tcPr>
            <w:tcW w:w="12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(6,782)</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(16,782)</w:t>
            </w:r>
          </w:p>
        </w:tc>
        <w:tc>
          <w:tcPr>
            <w:tcW w:w="0" w:type="dxa"/>
            <w:vAlign w:val="bottom"/>
          </w:tcPr>
          <w:p>
            <w:pPr>
              <w:spacing w:after="0"/>
              <w:rPr>
                <w:sz w:val="1"/>
                <w:szCs w:val="1"/>
                <w:color w:val="auto"/>
              </w:rPr>
            </w:pPr>
          </w:p>
        </w:tc>
      </w:tr>
      <w:tr>
        <w:trPr>
          <w:trHeight w:val="129"/>
        </w:trPr>
        <w:tc>
          <w:tcPr>
            <w:tcW w:w="2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8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83,837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(35,889)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(13,433)</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(145,443)</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(110,928)</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80" w:type="dxa"/>
            <w:vAlign w:val="bottom"/>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(4,812)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(5,905)</w:t>
            </w:r>
          </w:p>
        </w:tc>
        <w:tc>
          <w:tcPr>
            <w:tcW w:w="0" w:type="dxa"/>
            <w:vAlign w:val="bottom"/>
          </w:tcPr>
          <w:p>
            <w:pPr>
              <w:spacing w:after="0"/>
              <w:rPr>
                <w:sz w:val="1"/>
                <w:szCs w:val="1"/>
                <w:color w:val="auto"/>
              </w:rPr>
            </w:pPr>
          </w:p>
        </w:tc>
      </w:tr>
      <w:tr>
        <w:trPr>
          <w:trHeight w:val="129"/>
        </w:trPr>
        <w:tc>
          <w:tcPr>
            <w:tcW w:w="2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w:t>
            </w:r>
          </w:p>
        </w:tc>
        <w:tc>
          <w:tcPr>
            <w:tcW w:w="18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88,649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(36,167)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(11,642)</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(145,863)</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(105,023)</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40" w:type="dxa"/>
            <w:vAlign w:val="bottom"/>
          </w:tcPr>
          <w:p>
            <w:pPr>
              <w:ind w:left="20"/>
              <w:spacing w:after="0" w:line="133" w:lineRule="exact"/>
              <w:rPr>
                <w:sz w:val="20"/>
                <w:szCs w:val="20"/>
                <w:color w:val="auto"/>
              </w:rPr>
            </w:pPr>
            <w:r>
              <w:rPr>
                <w:rFonts w:ascii="Arial" w:cs="Arial" w:eastAsia="Arial" w:hAnsi="Arial"/>
                <w:sz w:val="14"/>
                <w:szCs w:val="14"/>
                <w:color w:val="auto"/>
              </w:rPr>
              <w:t>Less: Net loss from continuing operations</w:t>
            </w: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Arial" w:cs="Arial" w:eastAsia="Arial" w:hAnsi="Arial"/>
                <w:sz w:val="14"/>
                <w:szCs w:val="14"/>
                <w:color w:val="auto"/>
              </w:rPr>
              <w:t>attributable to non-controlling interests in</w:t>
            </w:r>
          </w:p>
        </w:tc>
        <w:tc>
          <w:tcPr>
            <w:tcW w:w="180" w:type="dxa"/>
            <w:vAlign w:val="bottom"/>
          </w:tcPr>
          <w:p>
            <w:pPr>
              <w:spacing w:after="0"/>
              <w:rPr>
                <w:sz w:val="11"/>
                <w:szCs w:val="11"/>
                <w:color w:val="auto"/>
              </w:rPr>
            </w:pPr>
          </w:p>
        </w:tc>
        <w:tc>
          <w:tcPr>
            <w:tcW w:w="1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(16,483)</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(16,522)</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17,869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17,869</w:t>
            </w:r>
          </w:p>
        </w:tc>
        <w:tc>
          <w:tcPr>
            <w:tcW w:w="0" w:type="dxa"/>
            <w:vAlign w:val="bottom"/>
          </w:tcPr>
          <w:p>
            <w:pPr>
              <w:spacing w:after="0"/>
              <w:rPr>
                <w:sz w:val="1"/>
                <w:szCs w:val="1"/>
                <w:color w:val="auto"/>
              </w:rPr>
            </w:pPr>
          </w:p>
        </w:tc>
      </w:tr>
      <w:tr>
        <w:trPr>
          <w:trHeight w:val="128"/>
        </w:trPr>
        <w:tc>
          <w:tcPr>
            <w:tcW w:w="29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88,649</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(19,684)</w:t>
            </w:r>
          </w:p>
        </w:tc>
        <w:tc>
          <w:tcPr>
            <w:tcW w:w="100" w:type="dxa"/>
            <w:vAlign w:val="bottom"/>
          </w:tcPr>
          <w:p>
            <w:pPr>
              <w:spacing w:after="0"/>
              <w:rPr>
                <w:sz w:val="11"/>
                <w:szCs w:val="11"/>
                <w:color w:val="auto"/>
              </w:rPr>
            </w:pPr>
          </w:p>
        </w:tc>
        <w:tc>
          <w:tcPr>
            <w:tcW w:w="680" w:type="dxa"/>
            <w:vAlign w:val="bottom"/>
            <w:tcBorders>
              <w:top w:val="single" w:sz="8" w:color="auto"/>
            </w:tcBorders>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(11,603)</w:t>
            </w:r>
          </w:p>
        </w:tc>
        <w:tc>
          <w:tcPr>
            <w:tcW w:w="120" w:type="dxa"/>
            <w:vAlign w:val="bottom"/>
          </w:tcPr>
          <w:p>
            <w:pPr>
              <w:spacing w:after="0"/>
              <w:rPr>
                <w:sz w:val="11"/>
                <w:szCs w:val="11"/>
                <w:color w:val="auto"/>
              </w:rPr>
            </w:pPr>
          </w:p>
        </w:tc>
        <w:tc>
          <w:tcPr>
            <w:tcW w:w="48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(163,732)</w:t>
            </w:r>
          </w:p>
        </w:tc>
        <w:tc>
          <w:tcPr>
            <w:tcW w:w="100" w:type="dxa"/>
            <w:vAlign w:val="bottom"/>
          </w:tcPr>
          <w:p>
            <w:pPr>
              <w:spacing w:after="0"/>
              <w:rPr>
                <w:sz w:val="11"/>
                <w:szCs w:val="11"/>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(106,370)</w:t>
            </w:r>
          </w:p>
        </w:tc>
        <w:tc>
          <w:tcPr>
            <w:tcW w:w="0" w:type="dxa"/>
            <w:vAlign w:val="bottom"/>
          </w:tcPr>
          <w:p>
            <w:pPr>
              <w:spacing w:after="0"/>
              <w:rPr>
                <w:sz w:val="1"/>
                <w:szCs w:val="1"/>
                <w:color w:val="auto"/>
              </w:rPr>
            </w:pPr>
          </w:p>
        </w:tc>
      </w:tr>
      <w:tr>
        <w:trPr>
          <w:trHeight w:val="154"/>
        </w:trPr>
        <w:tc>
          <w:tcPr>
            <w:tcW w:w="29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shareholders from continuing operations</w:t>
            </w:r>
          </w:p>
        </w:tc>
        <w:tc>
          <w:tcPr>
            <w:tcW w:w="180" w:type="dxa"/>
            <w:vAlign w:val="bottom"/>
            <w:tcBorders>
              <w:bottom w:val="single" w:sz="8" w:color="auto"/>
            </w:tcBorders>
            <w:vMerge w:val="continue"/>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14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8" w:name="page99"/>
    <w:bookmarkEnd w:id="98"/>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428"/>
              <w:spacing w:after="0"/>
              <w:rPr>
                <w:sz w:val="20"/>
                <w:szCs w:val="20"/>
                <w:color w:val="auto"/>
              </w:rPr>
            </w:pPr>
            <w:r>
              <w:rPr>
                <w:rFonts w:ascii="Arial" w:cs="Arial" w:eastAsia="Arial" w:hAnsi="Arial"/>
                <w:sz w:val="14"/>
                <w:szCs w:val="14"/>
                <w:b w:val="1"/>
                <w:bCs w:val="1"/>
                <w:color w:val="auto"/>
              </w:rPr>
              <w:t>Year Ended December 31, 2020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Infrastructure</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288,752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16,118</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(2,600)</w:t>
            </w: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(58,964)</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243,306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20" w:top="118" w:right="379" w:bottom="1440" w:gutter="0" w:footer="0" w:header="0"/>
        </w:sectPr>
      </w:pPr>
    </w:p>
    <w:p>
      <w:pPr>
        <w:ind w:left="20"/>
        <w:spacing w:after="0" w:line="208" w:lineRule="auto"/>
        <w:rPr>
          <w:sz w:val="20"/>
          <w:szCs w:val="20"/>
          <w:color w:val="auto"/>
        </w:rPr>
      </w:pPr>
      <w:r>
        <w:rPr>
          <w:rFonts w:ascii="Arial" w:cs="Arial" w:eastAsia="Arial" w:hAnsi="Arial"/>
          <w:sz w:val="14"/>
          <w:szCs w:val="14"/>
          <w:color w:val="auto"/>
        </w:rPr>
        <w:t>Add: Non-controlling share of Adjusted</w:t>
      </w:r>
    </w:p>
    <w:p>
      <w:pPr>
        <w:ind w:left="20"/>
        <w:spacing w:after="0"/>
        <w:rPr>
          <w:sz w:val="20"/>
          <w:szCs w:val="20"/>
          <w:color w:val="auto"/>
        </w:rPr>
      </w:pPr>
      <w:r>
        <w:rPr>
          <w:rFonts w:ascii="Arial" w:cs="Arial" w:eastAsia="Arial" w:hAnsi="Arial"/>
          <w:sz w:val="14"/>
          <w:szCs w:val="14"/>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205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Add: Equity in losses of unconsolidated</w:t>
      </w:r>
    </w:p>
    <w:p>
      <w:pPr>
        <w:ind w:left="20"/>
        <w:spacing w:after="0"/>
        <w:rPr>
          <w:sz w:val="20"/>
          <w:szCs w:val="20"/>
          <w:color w:val="auto"/>
        </w:rPr>
      </w:pPr>
      <w:r>
        <w:rPr>
          <w:rFonts w:ascii="Arial" w:cs="Arial" w:eastAsia="Arial" w:hAnsi="Arial"/>
          <w:sz w:val="14"/>
          <w:szCs w:val="14"/>
          <w:color w:val="auto"/>
        </w:rPr>
        <w:t>entities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Pro-rata share of Adjusted EBITDA</w:t>
      </w:r>
    </w:p>
    <w:p>
      <w:pPr>
        <w:ind w:left="20"/>
        <w:spacing w:after="0"/>
        <w:rPr>
          <w:sz w:val="20"/>
          <w:szCs w:val="20"/>
          <w:color w:val="auto"/>
        </w:rPr>
      </w:pPr>
      <w:r>
        <w:rPr>
          <w:rFonts w:ascii="Arial" w:cs="Arial" w:eastAsia="Arial" w:hAnsi="Arial"/>
          <w:sz w:val="14"/>
          <w:szCs w:val="14"/>
          <w:color w:val="auto"/>
        </w:rPr>
        <w:t>from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Interest expense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Incentive allocations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6285" cy="205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Less: Changes in fair value of non-hedge</w:t>
      </w:r>
    </w:p>
    <w:p>
      <w:pPr>
        <w:ind w:left="20"/>
        <w:spacing w:after="0"/>
        <w:rPr>
          <w:sz w:val="20"/>
          <w:szCs w:val="20"/>
          <w:color w:val="auto"/>
        </w:rPr>
      </w:pPr>
      <w:r>
        <w:rPr>
          <w:rFonts w:ascii="Arial" w:cs="Arial" w:eastAsia="Arial" w:hAnsi="Arial"/>
          <w:sz w:val="14"/>
          <w:szCs w:val="14"/>
          <w:color w:val="auto"/>
        </w:rPr>
        <w:t>derivative instruments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Losses on the modification or</w:t>
      </w:r>
    </w:p>
    <w:p>
      <w:pPr>
        <w:ind w:left="20"/>
        <w:spacing w:after="0" w:line="201" w:lineRule="auto"/>
        <w:rPr>
          <w:sz w:val="20"/>
          <w:szCs w:val="20"/>
          <w:color w:val="auto"/>
        </w:rPr>
      </w:pPr>
      <w:r>
        <w:rPr>
          <w:rFonts w:ascii="Arial" w:cs="Arial" w:eastAsia="Arial" w:hAnsi="Arial"/>
          <w:sz w:val="14"/>
          <w:szCs w:val="14"/>
          <w:color w:val="auto"/>
        </w:rPr>
        <w:t>extinguishment of debt and capital lease</w:t>
      </w:r>
    </w:p>
    <w:p>
      <w:pPr>
        <w:ind w:left="20"/>
        <w:spacing w:after="0"/>
        <w:rPr>
          <w:sz w:val="20"/>
          <w:szCs w:val="20"/>
          <w:color w:val="auto"/>
        </w:rPr>
      </w:pPr>
      <w:r>
        <w:rPr>
          <w:rFonts w:ascii="Arial" w:cs="Arial" w:eastAsia="Arial" w:hAnsi="Arial"/>
          <w:sz w:val="14"/>
          <w:szCs w:val="14"/>
          <w:color w:val="auto"/>
        </w:rPr>
        <w:t>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Acquisition and transaction expenses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Benefit from income taxes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loss attributable to shareholders from</w:t>
      </w:r>
    </w:p>
    <w:p>
      <w:pPr>
        <w:ind w:left="20"/>
        <w:spacing w:after="0"/>
        <w:rPr>
          <w:sz w:val="20"/>
          <w:szCs w:val="20"/>
          <w:color w:val="auto"/>
        </w:rPr>
      </w:pPr>
      <w:r>
        <w:rPr>
          <w:rFonts w:ascii="Arial" w:cs="Arial" w:eastAsia="Arial" w:hAnsi="Arial"/>
          <w:sz w:val="14"/>
          <w:szCs w:val="14"/>
          <w:b w:val="1"/>
          <w:bCs w:val="1"/>
          <w:color w:val="auto"/>
        </w:rPr>
        <w:t>continuing operations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061"/>
        <w:spacing w:after="0"/>
        <w:rPr>
          <w:sz w:val="20"/>
          <w:szCs w:val="20"/>
          <w:color w:val="auto"/>
        </w:rPr>
      </w:pPr>
      <w:r>
        <w:rPr>
          <w:rFonts w:ascii="Arial" w:cs="Arial" w:eastAsia="Arial" w:hAnsi="Arial"/>
          <w:sz w:val="14"/>
          <w:szCs w:val="14"/>
          <w:b w:val="1"/>
          <w:bCs w:val="1"/>
          <w:color w:val="auto"/>
        </w:rPr>
        <w:t>9,637</w:t>
      </w:r>
    </w:p>
    <w:p>
      <w:pPr>
        <w:spacing w:after="0" w:line="16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(5,039)</w:t>
      </w:r>
    </w:p>
    <w:p>
      <w:pPr>
        <w:spacing w:after="0" w:line="16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(1,208)</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(98,206)</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(202,746)</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(33,978)</w:t>
      </w:r>
    </w:p>
    <w:p>
      <w:pPr>
        <w:spacing w:after="0" w:line="162"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(181)</w:t>
      </w:r>
    </w:p>
    <w:p>
      <w:pPr>
        <w:spacing w:after="0" w:line="29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(11,667)</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(9,868)</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(2,325)</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5,905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512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5" w:lineRule="exact"/>
        <w:rPr>
          <w:sz w:val="20"/>
          <w:szCs w:val="20"/>
          <w:color w:val="auto"/>
        </w:rPr>
      </w:pPr>
    </w:p>
    <w:p>
      <w:pPr>
        <w:ind w:left="841" w:hanging="841"/>
        <w:spacing w:after="0"/>
        <w:tabs>
          <w:tab w:leader="none" w:pos="841"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(106,370)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9512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512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8999" w:space="720"/>
            <w:col w:w="1481"/>
          </w:cols>
          <w:pgMar w:left="320" w:top="118" w:right="379" w:bottom="1440" w:gutter="0" w:footer="0" w:header="0"/>
          <w:type w:val="continuous"/>
        </w:sect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448"/>
              <w:spacing w:after="0"/>
              <w:rPr>
                <w:sz w:val="20"/>
                <w:szCs w:val="20"/>
                <w:color w:val="auto"/>
              </w:rPr>
            </w:pPr>
            <w:r>
              <w:rPr>
                <w:rFonts w:ascii="Arial" w:cs="Arial" w:eastAsia="Arial" w:hAnsi="Arial"/>
                <w:sz w:val="14"/>
                <w:szCs w:val="14"/>
                <w:b w:val="1"/>
                <w:bCs w:val="1"/>
                <w:color w:val="auto"/>
              </w:rPr>
              <w:t>Year Ended December 31, 2020</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Infrastructure</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10,259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588"/>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10,259</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110,057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16,637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126,694</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124,670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124,670</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32,961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60,283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3,855</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4,510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101,609</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3,264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3,264</w:t>
            </w:r>
          </w:p>
        </w:tc>
        <w:tc>
          <w:tcPr>
            <w:tcW w:w="0" w:type="dxa"/>
            <w:vAlign w:val="bottom"/>
          </w:tcPr>
          <w:p>
            <w:pPr>
              <w:spacing w:after="0"/>
              <w:rPr>
                <w:sz w:val="1"/>
                <w:szCs w:val="1"/>
                <w:color w:val="auto"/>
              </w:rPr>
            </w:pPr>
          </w:p>
        </w:tc>
      </w:tr>
      <w:tr>
        <w:trPr>
          <w:trHeight w:val="208"/>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281,211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60,283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21,147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366,496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99" w:name="page100"/>
    <w:bookmarkEnd w:id="99"/>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Year Ended December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6"/>
          </w:tcPr>
          <w:p>
            <w:pPr>
              <w:jc w:val="right"/>
              <w:ind w:right="388"/>
              <w:spacing w:after="0"/>
              <w:rPr>
                <w:sz w:val="20"/>
                <w:szCs w:val="20"/>
                <w:color w:val="auto"/>
              </w:rPr>
            </w:pPr>
            <w:r>
              <w:rPr>
                <w:rFonts w:ascii="Arial" w:cs="Arial" w:eastAsia="Arial" w:hAnsi="Arial"/>
                <w:sz w:val="14"/>
                <w:szCs w:val="14"/>
                <w:b w:val="1"/>
                <w:bCs w:val="1"/>
                <w:color w:val="auto"/>
              </w:rPr>
              <w:t>Year Ended December 31, 2019</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Infrastructure</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336,675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12,647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349,322</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204,348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229,452</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336,675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204,348</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22,187</w:t>
            </w:r>
          </w:p>
        </w:tc>
        <w:tc>
          <w:tcPr>
            <w:tcW w:w="12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15,564</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578,774</w:t>
            </w:r>
          </w:p>
        </w:tc>
        <w:tc>
          <w:tcPr>
            <w:tcW w:w="0" w:type="dxa"/>
            <w:vAlign w:val="bottom"/>
          </w:tcPr>
          <w:p>
            <w:pPr>
              <w:spacing w:after="0"/>
              <w:rPr>
                <w:sz w:val="1"/>
                <w:szCs w:val="1"/>
                <w:color w:val="auto"/>
              </w:rPr>
            </w:pPr>
          </w:p>
        </w:tc>
      </w:tr>
      <w:tr>
        <w:trPr>
          <w:trHeight w:val="237"/>
        </w:trPr>
        <w:tc>
          <w:tcPr>
            <w:tcW w:w="2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231,506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17,544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291,572</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16,905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16,905</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17,623</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3"/>
                <w:szCs w:val="13"/>
                <w:color w:val="auto"/>
              </w:rPr>
            </w:pPr>
          </w:p>
        </w:tc>
        <w:tc>
          <w:tcPr>
            <w:tcW w:w="1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36,059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36,059</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128,990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169,023</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4,726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77,684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95,585</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155,299</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270,568</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46,149</w:t>
            </w:r>
          </w:p>
        </w:tc>
        <w:tc>
          <w:tcPr>
            <w:tcW w:w="12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159,477</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631,493</w:t>
            </w:r>
          </w:p>
        </w:tc>
        <w:tc>
          <w:tcPr>
            <w:tcW w:w="0" w:type="dxa"/>
            <w:vAlign w:val="bottom"/>
          </w:tcPr>
          <w:p>
            <w:pPr>
              <w:spacing w:after="0"/>
              <w:rPr>
                <w:sz w:val="1"/>
                <w:szCs w:val="1"/>
                <w:color w:val="auto"/>
              </w:rPr>
            </w:pPr>
          </w:p>
        </w:tc>
      </w:tr>
      <w:tr>
        <w:trPr>
          <w:trHeight w:val="237"/>
        </w:trPr>
        <w:tc>
          <w:tcPr>
            <w:tcW w:w="2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81,954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4,636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116,660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203,250</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3,445</w:t>
            </w:r>
          </w:p>
        </w:tc>
        <w:tc>
          <w:tcPr>
            <w:tcW w:w="0" w:type="dxa"/>
            <w:vAlign w:val="bottom"/>
          </w:tcPr>
          <w:p>
            <w:pPr>
              <w:spacing w:after="0"/>
              <w:rPr>
                <w:sz w:val="1"/>
                <w:szCs w:val="1"/>
                <w:color w:val="auto"/>
              </w:rPr>
            </w:pPr>
          </w:p>
        </w:tc>
      </w:tr>
      <w:tr>
        <w:trPr>
          <w:trHeight w:val="18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80,229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5,096</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118,566</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960</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204,851</w:t>
            </w:r>
          </w:p>
        </w:tc>
        <w:tc>
          <w:tcPr>
            <w:tcW w:w="0" w:type="dxa"/>
            <w:vAlign w:val="bottom"/>
          </w:tcPr>
          <w:p>
            <w:pPr>
              <w:spacing w:after="0"/>
              <w:rPr>
                <w:sz w:val="1"/>
                <w:szCs w:val="1"/>
                <w:color w:val="auto"/>
              </w:rPr>
            </w:pPr>
          </w:p>
        </w:tc>
      </w:tr>
      <w:tr>
        <w:trPr>
          <w:trHeight w:val="128"/>
        </w:trPr>
        <w:tc>
          <w:tcPr>
            <w:tcW w:w="29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80" w:type="dxa"/>
            <w:vAlign w:val="bottom"/>
          </w:tcPr>
          <w:p>
            <w:pPr>
              <w:spacing w:after="0"/>
              <w:rPr>
                <w:sz w:val="11"/>
                <w:szCs w:val="11"/>
                <w:color w:val="auto"/>
              </w:rPr>
            </w:pPr>
          </w:p>
        </w:tc>
        <w:tc>
          <w:tcPr>
            <w:tcW w:w="1660" w:type="dxa"/>
            <w:vAlign w:val="bottom"/>
            <w:vMerge w:val="restart"/>
          </w:tcPr>
          <w:p>
            <w:pPr>
              <w:jc w:val="right"/>
              <w:ind w:right="8"/>
              <w:spacing w:after="0"/>
              <w:rPr>
                <w:sz w:val="20"/>
                <w:szCs w:val="20"/>
                <w:color w:val="auto"/>
              </w:rPr>
            </w:pPr>
            <w:r>
              <w:rPr>
                <w:rFonts w:ascii="Arial" w:cs="Arial" w:eastAsia="Arial" w:hAnsi="Arial"/>
                <w:sz w:val="14"/>
                <w:szCs w:val="14"/>
                <w:color w:val="auto"/>
              </w:rPr>
              <w:t>261,605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(61,124)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94,604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(142,953)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152,132</w:t>
            </w:r>
          </w:p>
        </w:tc>
        <w:tc>
          <w:tcPr>
            <w:tcW w:w="0" w:type="dxa"/>
            <w:vAlign w:val="bottom"/>
          </w:tcPr>
          <w:p>
            <w:pPr>
              <w:spacing w:after="0"/>
              <w:rPr>
                <w:sz w:val="1"/>
                <w:szCs w:val="1"/>
                <w:color w:val="auto"/>
              </w:rPr>
            </w:pPr>
          </w:p>
        </w:tc>
      </w:tr>
      <w:tr>
        <w:trPr>
          <w:trHeight w:val="176"/>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17,810</w:t>
            </w:r>
          </w:p>
        </w:tc>
        <w:tc>
          <w:tcPr>
            <w:tcW w:w="0" w:type="dxa"/>
            <w:vAlign w:val="bottom"/>
          </w:tcPr>
          <w:p>
            <w:pPr>
              <w:spacing w:after="0"/>
              <w:rPr>
                <w:sz w:val="1"/>
                <w:szCs w:val="1"/>
                <w:color w:val="auto"/>
              </w:rPr>
            </w:pPr>
          </w:p>
        </w:tc>
      </w:tr>
      <w:tr>
        <w:trPr>
          <w:trHeight w:val="128"/>
        </w:trPr>
        <w:tc>
          <w:tcPr>
            <w:tcW w:w="29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w:t>
            </w:r>
          </w:p>
        </w:tc>
        <w:tc>
          <w:tcPr>
            <w:tcW w:w="18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258,779</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(61,408)</w:t>
            </w: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79,904</w:t>
            </w: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(142,953)</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134,322</w:t>
            </w:r>
          </w:p>
        </w:tc>
        <w:tc>
          <w:tcPr>
            <w:tcW w:w="0" w:type="dxa"/>
            <w:vAlign w:val="bottom"/>
          </w:tcPr>
          <w:p>
            <w:pPr>
              <w:spacing w:after="0"/>
              <w:rPr>
                <w:sz w:val="1"/>
                <w:szCs w:val="1"/>
                <w:color w:val="auto"/>
              </w:rPr>
            </w:pPr>
          </w:p>
        </w:tc>
      </w:tr>
      <w:tr>
        <w:trPr>
          <w:trHeight w:val="176"/>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from continuing operations</w:t>
            </w: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attributable to non-controlling interests in</w:t>
            </w:r>
          </w:p>
        </w:tc>
        <w:tc>
          <w:tcPr>
            <w:tcW w:w="180" w:type="dxa"/>
            <w:vAlign w:val="bottom"/>
            <w:shd w:val="clear" w:color="auto" w:fill="CCEEFF"/>
          </w:tcPr>
          <w:p>
            <w:pPr>
              <w:spacing w:after="0"/>
              <w:rPr>
                <w:sz w:val="11"/>
                <w:szCs w:val="11"/>
                <w:color w:val="auto"/>
              </w:rPr>
            </w:pPr>
          </w:p>
        </w:tc>
        <w:tc>
          <w:tcPr>
            <w:tcW w:w="1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(17,356)</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(17,571)</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shd w:val="clear" w:color="auto" w:fill="CCEEFF"/>
          </w:tcPr>
          <w:p>
            <w:pPr>
              <w:spacing w:after="0"/>
              <w:rPr>
                <w:sz w:val="14"/>
                <w:szCs w:val="14"/>
                <w:color w:val="auto"/>
              </w:rPr>
            </w:pPr>
          </w:p>
        </w:tc>
        <w:tc>
          <w:tcPr>
            <w:tcW w:w="1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28"/>
        </w:trPr>
        <w:tc>
          <w:tcPr>
            <w:tcW w:w="29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258,779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(44,052)</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80,119</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(144,791)</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150,055</w:t>
            </w:r>
          </w:p>
        </w:tc>
        <w:tc>
          <w:tcPr>
            <w:tcW w:w="0" w:type="dxa"/>
            <w:vAlign w:val="bottom"/>
          </w:tcPr>
          <w:p>
            <w:pPr>
              <w:spacing w:after="0"/>
              <w:rPr>
                <w:sz w:val="1"/>
                <w:szCs w:val="1"/>
                <w:color w:val="auto"/>
              </w:rPr>
            </w:pPr>
          </w:p>
        </w:tc>
      </w:tr>
      <w:tr>
        <w:trPr>
          <w:trHeight w:val="168"/>
        </w:trPr>
        <w:tc>
          <w:tcPr>
            <w:tcW w:w="294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shareholders from continuing operations</w:t>
            </w: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4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0" w:name="page101"/>
    <w:bookmarkEnd w:id="100"/>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428"/>
              <w:spacing w:after="0"/>
              <w:rPr>
                <w:sz w:val="20"/>
                <w:szCs w:val="20"/>
                <w:color w:val="auto"/>
              </w:rPr>
            </w:pPr>
            <w:r>
              <w:rPr>
                <w:rFonts w:ascii="Arial" w:cs="Arial" w:eastAsia="Arial" w:hAnsi="Arial"/>
                <w:sz w:val="14"/>
                <w:szCs w:val="14"/>
                <w:b w:val="1"/>
                <w:bCs w:val="1"/>
                <w:color w:val="auto"/>
              </w:rPr>
              <w:t>Year Ended December 31, 2019</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Infrastructure</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Ports and Terminals</w:t>
            </w:r>
          </w:p>
        </w:tc>
        <w:tc>
          <w:tcPr>
            <w:tcW w:w="16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429,398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(6,160)</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114,760</w:t>
            </w: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(34,590)</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503,408</w:t>
            </w:r>
          </w:p>
        </w:tc>
        <w:tc>
          <w:tcPr>
            <w:tcW w:w="0" w:type="dxa"/>
            <w:vAlign w:val="bottom"/>
          </w:tcPr>
          <w:p>
            <w:pPr>
              <w:spacing w:after="0"/>
              <w:rPr>
                <w:sz w:val="1"/>
                <w:szCs w:val="1"/>
                <w:color w:val="auto"/>
              </w:rPr>
            </w:pPr>
          </w:p>
        </w:tc>
      </w:tr>
      <w:tr>
        <w:trPr>
          <w:trHeight w:val="133"/>
        </w:trPr>
        <w:tc>
          <w:tcPr>
            <w:tcW w:w="2940" w:type="dxa"/>
            <w:vAlign w:val="bottom"/>
          </w:tcPr>
          <w:p>
            <w:pPr>
              <w:ind w:left="20"/>
              <w:spacing w:after="0" w:line="133" w:lineRule="exact"/>
              <w:rPr>
                <w:sz w:val="20"/>
                <w:szCs w:val="20"/>
                <w:color w:val="auto"/>
              </w:rPr>
            </w:pPr>
            <w:r>
              <w:rPr>
                <w:rFonts w:ascii="Arial" w:cs="Arial" w:eastAsia="Arial" w:hAnsi="Arial"/>
                <w:sz w:val="14"/>
                <w:szCs w:val="14"/>
                <w:color w:val="auto"/>
              </w:rPr>
              <w:t>Add: Non-controlling share of Adjusted</w:t>
            </w: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9,859</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EBITDA</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Equity in losses of unconsolidated</w:t>
            </w:r>
          </w:p>
        </w:tc>
        <w:tc>
          <w:tcPr>
            <w:tcW w:w="1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w:t>
            </w: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1,387</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from unconsolidated entities</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(95,585)</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(199,185)</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(21,231)</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(4,555)</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w:t>
            </w: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Arial" w:cs="Arial" w:eastAsia="Arial" w:hAnsi="Arial"/>
                <w:sz w:val="14"/>
                <w:szCs w:val="14"/>
                <w:color w:val="auto"/>
              </w:rPr>
              <w:t>extinguishment of debt and capital lease</w:t>
            </w: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(17,623)</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(17,810)</w:t>
            </w:r>
          </w:p>
        </w:tc>
        <w:tc>
          <w:tcPr>
            <w:tcW w:w="0" w:type="dxa"/>
            <w:vAlign w:val="bottom"/>
          </w:tcPr>
          <w:p>
            <w:pPr>
              <w:spacing w:after="0"/>
              <w:rPr>
                <w:sz w:val="1"/>
                <w:szCs w:val="1"/>
                <w:color w:val="auto"/>
              </w:rPr>
            </w:pPr>
          </w:p>
        </w:tc>
      </w:tr>
      <w:tr>
        <w:trPr>
          <w:trHeight w:val="129"/>
        </w:trPr>
        <w:tc>
          <w:tcPr>
            <w:tcW w:w="29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attributable to shareholders</w:t>
            </w: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150,055</w:t>
            </w:r>
          </w:p>
        </w:tc>
        <w:tc>
          <w:tcPr>
            <w:tcW w:w="0" w:type="dxa"/>
            <w:vAlign w:val="bottom"/>
          </w:tcPr>
          <w:p>
            <w:pPr>
              <w:spacing w:after="0"/>
              <w:rPr>
                <w:sz w:val="1"/>
                <w:szCs w:val="1"/>
                <w:color w:val="auto"/>
              </w:rPr>
            </w:pPr>
          </w:p>
        </w:tc>
      </w:tr>
      <w:tr>
        <w:trPr>
          <w:trHeight w:val="180"/>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from continuing operations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448"/>
              <w:spacing w:after="0"/>
              <w:rPr>
                <w:sz w:val="20"/>
                <w:szCs w:val="20"/>
                <w:color w:val="auto"/>
              </w:rPr>
            </w:pPr>
            <w:r>
              <w:rPr>
                <w:rFonts w:ascii="Arial" w:cs="Arial" w:eastAsia="Arial" w:hAnsi="Arial"/>
                <w:sz w:val="14"/>
                <w:szCs w:val="14"/>
                <w:b w:val="1"/>
                <w:bCs w:val="1"/>
                <w:color w:val="auto"/>
              </w:rPr>
              <w:t>Year Ended December 31, 2019</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Infrastructure</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14,542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14,542</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119,289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12,647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131,936</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157,942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157,942</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36,391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204,348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22,187</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265,843</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8,511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8,511</w:t>
            </w:r>
          </w:p>
        </w:tc>
        <w:tc>
          <w:tcPr>
            <w:tcW w:w="0" w:type="dxa"/>
            <w:vAlign w:val="bottom"/>
          </w:tcPr>
          <w:p>
            <w:pPr>
              <w:spacing w:after="0"/>
              <w:rPr>
                <w:sz w:val="1"/>
                <w:szCs w:val="1"/>
                <w:color w:val="auto"/>
              </w:rPr>
            </w:pPr>
          </w:p>
        </w:tc>
      </w:tr>
      <w:tr>
        <w:trPr>
          <w:trHeight w:val="207"/>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336,675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204,348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578,774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1" w:name="page102"/>
    <w:bookmarkEnd w:id="101"/>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Year Ended December 31,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428"/>
              <w:spacing w:after="0"/>
              <w:rPr>
                <w:sz w:val="20"/>
                <w:szCs w:val="20"/>
                <w:color w:val="auto"/>
              </w:rPr>
            </w:pPr>
            <w:r>
              <w:rPr>
                <w:rFonts w:ascii="Arial" w:cs="Arial" w:eastAsia="Arial" w:hAnsi="Arial"/>
                <w:sz w:val="14"/>
                <w:szCs w:val="14"/>
                <w:b w:val="1"/>
                <w:bCs w:val="1"/>
                <w:color w:val="auto"/>
              </w:rPr>
              <w:t>Year Ended December 31, 2018</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Infrastructure</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244,270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8,769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253,039</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70,985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89,073</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244,270</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70,985</w:t>
            </w:r>
          </w:p>
        </w:tc>
        <w:tc>
          <w:tcPr>
            <w:tcW w:w="1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17,444</w:t>
            </w:r>
          </w:p>
        </w:tc>
        <w:tc>
          <w:tcPr>
            <w:tcW w:w="12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9,413</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342,112</w:t>
            </w:r>
          </w:p>
        </w:tc>
        <w:tc>
          <w:tcPr>
            <w:tcW w:w="0" w:type="dxa"/>
            <w:vAlign w:val="bottom"/>
          </w:tcPr>
          <w:p>
            <w:pPr>
              <w:spacing w:after="0"/>
              <w:rPr>
                <w:sz w:val="1"/>
                <w:szCs w:val="1"/>
                <w:color w:val="auto"/>
              </w:rPr>
            </w:pPr>
          </w:p>
        </w:tc>
      </w:tr>
      <w:tr>
        <w:trPr>
          <w:trHeight w:val="399"/>
        </w:trPr>
        <w:tc>
          <w:tcPr>
            <w:tcW w:w="2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94,622</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14,487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138,406</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15,290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15,290</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6,968</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3"/>
                <w:szCs w:val="13"/>
                <w:color w:val="auto"/>
              </w:rPr>
            </w:pPr>
          </w:p>
        </w:tc>
        <w:tc>
          <w:tcPr>
            <w:tcW w:w="1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15,726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15,726</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102,419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6,605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133,908</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15,513</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40,683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56,845</w:t>
            </w:r>
          </w:p>
        </w:tc>
        <w:tc>
          <w:tcPr>
            <w:tcW w:w="0" w:type="dxa"/>
            <w:vAlign w:val="bottom"/>
          </w:tcPr>
          <w:p>
            <w:pPr>
              <w:spacing w:after="0"/>
              <w:rPr>
                <w:sz w:val="1"/>
                <w:szCs w:val="1"/>
                <w:color w:val="auto"/>
              </w:rPr>
            </w:pPr>
          </w:p>
        </w:tc>
      </w:tr>
      <w:tr>
        <w:trPr>
          <w:trHeight w:val="18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117,434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129,880</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24,100</w:t>
            </w: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95,729</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367,143</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3,911</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0" w:type="dxa"/>
            <w:vAlign w:val="bottom"/>
          </w:tcPr>
          <w:p>
            <w:pPr>
              <w:spacing w:after="0"/>
              <w:rPr>
                <w:sz w:val="1"/>
                <w:szCs w:val="1"/>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4"/>
                <w:szCs w:val="14"/>
                <w:color w:val="auto"/>
              </w:rPr>
              <w:t>Total other income</w:t>
            </w:r>
          </w:p>
        </w:tc>
        <w:tc>
          <w:tcPr>
            <w:tcW w:w="180" w:type="dxa"/>
            <w:vAlign w:val="bottom"/>
          </w:tcPr>
          <w:p>
            <w:pPr>
              <w:spacing w:after="0"/>
              <w:rPr>
                <w:sz w:val="15"/>
                <w:szCs w:val="15"/>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3,370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3,679</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7,374</w:t>
            </w:r>
          </w:p>
        </w:tc>
        <w:tc>
          <w:tcPr>
            <w:tcW w:w="0" w:type="dxa"/>
            <w:vAlign w:val="bottom"/>
          </w:tcPr>
          <w:p>
            <w:pPr>
              <w:spacing w:after="0"/>
              <w:rPr>
                <w:sz w:val="1"/>
                <w:szCs w:val="1"/>
                <w:color w:val="auto"/>
              </w:rPr>
            </w:pPr>
          </w:p>
        </w:tc>
      </w:tr>
      <w:tr>
        <w:trPr>
          <w:trHeight w:val="128"/>
        </w:trPr>
        <w:tc>
          <w:tcPr>
            <w:tcW w:w="29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80" w:type="dxa"/>
            <w:vAlign w:val="bottom"/>
            <w:tcBorders>
              <w:top w:val="single" w:sz="8" w:color="auto"/>
            </w:tcBorders>
            <w:shd w:val="clear" w:color="auto" w:fill="CCEEFF"/>
          </w:tcPr>
          <w:p>
            <w:pPr>
              <w:spacing w:after="0"/>
              <w:rPr>
                <w:sz w:val="11"/>
                <w:szCs w:val="11"/>
                <w:color w:val="auto"/>
              </w:rPr>
            </w:pPr>
          </w:p>
        </w:tc>
        <w:tc>
          <w:tcPr>
            <w:tcW w:w="16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130,206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(55,216)</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(6,656)</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(85,991)</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(17,657)</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80" w:type="dxa"/>
            <w:vAlign w:val="bottom"/>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128"/>
        </w:trPr>
        <w:tc>
          <w:tcPr>
            <w:tcW w:w="2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w:t>
            </w:r>
          </w:p>
        </w:tc>
        <w:tc>
          <w:tcPr>
            <w:tcW w:w="18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127,926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(55,477)</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(6,657)</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(85,898)</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(20,106)</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40" w:type="dxa"/>
            <w:vAlign w:val="bottom"/>
          </w:tcPr>
          <w:p>
            <w:pPr>
              <w:ind w:left="20"/>
              <w:spacing w:after="0" w:line="133" w:lineRule="exact"/>
              <w:rPr>
                <w:sz w:val="20"/>
                <w:szCs w:val="20"/>
                <w:color w:val="auto"/>
              </w:rPr>
            </w:pPr>
            <w:r>
              <w:rPr>
                <w:rFonts w:ascii="Arial" w:cs="Arial" w:eastAsia="Arial" w:hAnsi="Arial"/>
                <w:sz w:val="14"/>
                <w:szCs w:val="14"/>
                <w:color w:val="auto"/>
              </w:rPr>
              <w:t>Less: Net loss from continuing operations</w:t>
            </w: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Arial" w:cs="Arial" w:eastAsia="Arial" w:hAnsi="Arial"/>
                <w:sz w:val="14"/>
                <w:szCs w:val="14"/>
                <w:color w:val="auto"/>
              </w:rPr>
              <w:t>attributable to non-controlling interests in</w:t>
            </w:r>
          </w:p>
        </w:tc>
        <w:tc>
          <w:tcPr>
            <w:tcW w:w="18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(21,801)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(21,925)</w:t>
            </w:r>
          </w:p>
        </w:tc>
        <w:tc>
          <w:tcPr>
            <w:tcW w:w="0" w:type="dxa"/>
            <w:vAlign w:val="bottom"/>
          </w:tcPr>
          <w:p>
            <w:pPr>
              <w:spacing w:after="0"/>
              <w:rPr>
                <w:sz w:val="1"/>
                <w:szCs w:val="1"/>
                <w:color w:val="auto"/>
              </w:rPr>
            </w:pPr>
          </w:p>
        </w:tc>
      </w:tr>
      <w:tr>
        <w:trPr>
          <w:trHeight w:val="171"/>
        </w:trPr>
        <w:tc>
          <w:tcPr>
            <w:tcW w:w="294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127,950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(33,676)</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(6,557)</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(85,898)</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169"/>
        </w:trPr>
        <w:tc>
          <w:tcPr>
            <w:tcW w:w="294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shareholders from continuing operations</w:t>
            </w: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4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2" w:name="page103"/>
    <w:bookmarkEnd w:id="102"/>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428"/>
              <w:spacing w:after="0"/>
              <w:rPr>
                <w:sz w:val="20"/>
                <w:szCs w:val="20"/>
                <w:color w:val="auto"/>
              </w:rPr>
            </w:pPr>
            <w:r>
              <w:rPr>
                <w:rFonts w:ascii="Arial" w:cs="Arial" w:eastAsia="Arial" w:hAnsi="Arial"/>
                <w:sz w:val="14"/>
                <w:szCs w:val="14"/>
                <w:b w:val="1"/>
                <w:bCs w:val="1"/>
                <w:color w:val="auto"/>
              </w:rPr>
              <w:t>Year Ended December 31, 2018</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Infrastructure</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263,166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(11,645)</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(35,034)</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215,872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20" w:top="118" w:right="379" w:bottom="1440" w:gutter="0" w:footer="0" w:header="0"/>
        </w:sectPr>
      </w:pPr>
    </w:p>
    <w:p>
      <w:pPr>
        <w:ind w:left="20"/>
        <w:spacing w:after="0" w:line="208" w:lineRule="auto"/>
        <w:rPr>
          <w:sz w:val="20"/>
          <w:szCs w:val="20"/>
          <w:color w:val="auto"/>
        </w:rPr>
      </w:pPr>
      <w:r>
        <w:rPr>
          <w:rFonts w:ascii="Arial" w:cs="Arial" w:eastAsia="Arial" w:hAnsi="Arial"/>
          <w:sz w:val="14"/>
          <w:szCs w:val="14"/>
          <w:color w:val="auto"/>
        </w:rPr>
        <w:t>Add: Non-controlling share of Adjusted</w:t>
      </w:r>
    </w:p>
    <w:p>
      <w:pPr>
        <w:ind w:left="20"/>
        <w:spacing w:after="0"/>
        <w:rPr>
          <w:sz w:val="20"/>
          <w:szCs w:val="20"/>
          <w:color w:val="auto"/>
        </w:rPr>
      </w:pPr>
      <w:r>
        <w:rPr>
          <w:rFonts w:ascii="Arial" w:cs="Arial" w:eastAsia="Arial" w:hAnsi="Arial"/>
          <w:sz w:val="14"/>
          <w:szCs w:val="14"/>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6285" cy="205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Add: Equity in losses of unconsolidated</w:t>
      </w:r>
    </w:p>
    <w:p>
      <w:pPr>
        <w:ind w:left="20"/>
        <w:spacing w:after="0"/>
        <w:rPr>
          <w:sz w:val="20"/>
          <w:szCs w:val="20"/>
          <w:color w:val="auto"/>
        </w:rPr>
      </w:pPr>
      <w:r>
        <w:rPr>
          <w:rFonts w:ascii="Arial" w:cs="Arial" w:eastAsia="Arial" w:hAnsi="Arial"/>
          <w:sz w:val="14"/>
          <w:szCs w:val="14"/>
          <w:color w:val="auto"/>
        </w:rPr>
        <w:t>entities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Pro-rata share of Adjusted EBITDA</w:t>
      </w:r>
    </w:p>
    <w:p>
      <w:pPr>
        <w:ind w:left="20"/>
        <w:spacing w:after="0"/>
        <w:rPr>
          <w:sz w:val="20"/>
          <w:szCs w:val="20"/>
          <w:color w:val="auto"/>
        </w:rPr>
      </w:pPr>
      <w:r>
        <w:rPr>
          <w:rFonts w:ascii="Arial" w:cs="Arial" w:eastAsia="Arial" w:hAnsi="Arial"/>
          <w:sz w:val="14"/>
          <w:szCs w:val="14"/>
          <w:color w:val="auto"/>
        </w:rPr>
        <w:t>from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Interest expense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Incentive allocations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6285" cy="205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Less: Changes in fair value of non-hedge</w:t>
      </w:r>
    </w:p>
    <w:p>
      <w:pPr>
        <w:ind w:left="20"/>
        <w:spacing w:after="0"/>
        <w:rPr>
          <w:sz w:val="20"/>
          <w:szCs w:val="20"/>
          <w:color w:val="auto"/>
        </w:rPr>
      </w:pPr>
      <w:r>
        <w:rPr>
          <w:rFonts w:ascii="Arial" w:cs="Arial" w:eastAsia="Arial" w:hAnsi="Arial"/>
          <w:sz w:val="14"/>
          <w:szCs w:val="14"/>
          <w:color w:val="auto"/>
        </w:rPr>
        <w:t>derivative instruments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Losses on the modification or</w:t>
      </w:r>
    </w:p>
    <w:p>
      <w:pPr>
        <w:ind w:left="20"/>
        <w:spacing w:after="0" w:line="201" w:lineRule="auto"/>
        <w:rPr>
          <w:sz w:val="20"/>
          <w:szCs w:val="20"/>
          <w:color w:val="auto"/>
        </w:rPr>
      </w:pPr>
      <w:r>
        <w:rPr>
          <w:rFonts w:ascii="Arial" w:cs="Arial" w:eastAsia="Arial" w:hAnsi="Arial"/>
          <w:sz w:val="14"/>
          <w:szCs w:val="14"/>
          <w:color w:val="auto"/>
        </w:rPr>
        <w:t>extinguishment of debt and capital lease</w:t>
      </w:r>
    </w:p>
    <w:p>
      <w:pPr>
        <w:ind w:left="20"/>
        <w:spacing w:after="0"/>
        <w:rPr>
          <w:sz w:val="20"/>
          <w:szCs w:val="20"/>
          <w:color w:val="auto"/>
        </w:rPr>
      </w:pPr>
      <w:r>
        <w:rPr>
          <w:rFonts w:ascii="Arial" w:cs="Arial" w:eastAsia="Arial" w:hAnsi="Arial"/>
          <w:sz w:val="14"/>
          <w:szCs w:val="14"/>
          <w:color w:val="auto"/>
        </w:rPr>
        <w:t>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Acquisition and transaction expenses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Provision for income taxes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 attributable to shareholders</w:t>
      </w:r>
    </w:p>
    <w:p>
      <w:pPr>
        <w:ind w:left="20"/>
        <w:spacing w:after="0"/>
        <w:rPr>
          <w:sz w:val="20"/>
          <w:szCs w:val="20"/>
          <w:color w:val="auto"/>
        </w:rPr>
      </w:pPr>
      <w:r>
        <w:rPr>
          <w:rFonts w:ascii="Arial" w:cs="Arial" w:eastAsia="Arial" w:hAnsi="Arial"/>
          <w:sz w:val="14"/>
          <w:szCs w:val="14"/>
          <w:b w:val="1"/>
          <w:bCs w:val="1"/>
          <w:color w:val="auto"/>
        </w:rPr>
        <w:t>from continuing operations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061"/>
        <w:spacing w:after="0"/>
        <w:rPr>
          <w:sz w:val="20"/>
          <w:szCs w:val="20"/>
          <w:color w:val="auto"/>
        </w:rPr>
      </w:pPr>
      <w:r>
        <w:rPr>
          <w:rFonts w:ascii="Arial" w:cs="Arial" w:eastAsia="Arial" w:hAnsi="Arial"/>
          <w:sz w:val="14"/>
          <w:szCs w:val="14"/>
          <w:color w:val="auto"/>
        </w:rPr>
        <w:t>9,744</w:t>
      </w:r>
    </w:p>
    <w:p>
      <w:pPr>
        <w:spacing w:after="0" w:line="16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(1,008)</w:t>
      </w:r>
    </w:p>
    <w:p>
      <w:pPr>
        <w:spacing w:after="0" w:line="16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(359)</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(56,845)</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(160,567)</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(407)</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163"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5,523</w:t>
      </w:r>
    </w:p>
    <w:p>
      <w:pPr>
        <w:spacing w:after="0" w:line="29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(6,968)</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(717)</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9512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16" w:lineRule="exact"/>
        <w:rPr>
          <w:sz w:val="20"/>
          <w:szCs w:val="20"/>
          <w:color w:val="auto"/>
        </w:rPr>
      </w:pPr>
    </w:p>
    <w:p>
      <w:pPr>
        <w:ind w:left="1061" w:hanging="1061"/>
        <w:spacing w:after="0"/>
        <w:tabs>
          <w:tab w:leader="none" w:pos="1061" w:val="left"/>
        </w:tabs>
        <w:numPr>
          <w:ilvl w:val="0"/>
          <w:numId w:val="44"/>
        </w:numPr>
        <w:rPr>
          <w:rFonts w:ascii="Arial" w:cs="Arial" w:eastAsia="Arial" w:hAnsi="Arial"/>
          <w:sz w:val="14"/>
          <w:szCs w:val="14"/>
          <w:color w:val="auto"/>
        </w:rPr>
      </w:pPr>
      <w:r>
        <w:rPr>
          <w:rFonts w:ascii="Arial" w:cs="Arial" w:eastAsia="Arial" w:hAnsi="Arial"/>
          <w:sz w:val="14"/>
          <w:szCs w:val="14"/>
          <w:color w:val="auto"/>
        </w:rPr>
        <w:t>1,819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9512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31750</wp:posOffset>
            </wp:positionV>
            <wp:extent cx="9512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99" w:space="720"/>
            <w:col w:w="1481"/>
          </w:cols>
          <w:pgMar w:left="320" w:top="118" w:right="379" w:bottom="1440" w:gutter="0" w:footer="0" w:header="0"/>
          <w:type w:val="continuous"/>
        </w:sect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6"/>
          </w:tcPr>
          <w:p>
            <w:pPr>
              <w:jc w:val="right"/>
              <w:ind w:right="488"/>
              <w:spacing w:after="0"/>
              <w:rPr>
                <w:sz w:val="20"/>
                <w:szCs w:val="20"/>
                <w:color w:val="auto"/>
              </w:rPr>
            </w:pPr>
            <w:r>
              <w:rPr>
                <w:rFonts w:ascii="Arial" w:cs="Arial" w:eastAsia="Arial" w:hAnsi="Arial"/>
                <w:sz w:val="14"/>
                <w:szCs w:val="14"/>
                <w:b w:val="1"/>
                <w:bCs w:val="1"/>
                <w:color w:val="auto"/>
              </w:rPr>
              <w:t>Year Ended December 31, 2018</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Infrastructure</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 Terminal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10,053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10,053</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78,374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85,689</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121,546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121,546</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70,985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17,444</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121,228</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3,596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208"/>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244,270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342,112</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03" w:name="page104"/>
    <w:bookmarkEnd w:id="10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Balance Sheet and location of long-lived assets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Infrastructure</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Corporate and Other</w:t>
            </w:r>
          </w:p>
        </w:tc>
        <w:tc>
          <w:tcPr>
            <w:tcW w:w="10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Jefferson Terminal</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1,704,205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989,928</w:t>
            </w:r>
          </w:p>
        </w:tc>
        <w:tc>
          <w:tcPr>
            <w:tcW w:w="780" w:type="dxa"/>
            <w:vAlign w:val="bottom"/>
            <w:gridSpan w:val="2"/>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400,217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293,627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3,387,977</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253,473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25,000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1,626,289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1,904,762</w:t>
            </w:r>
          </w:p>
        </w:tc>
        <w:tc>
          <w:tcPr>
            <w:tcW w:w="0" w:type="dxa"/>
            <w:vAlign w:val="bottom"/>
          </w:tcPr>
          <w:p>
            <w:pPr>
              <w:spacing w:after="0"/>
              <w:rPr>
                <w:sz w:val="1"/>
                <w:szCs w:val="1"/>
                <w:color w:val="auto"/>
              </w:rPr>
            </w:pPr>
          </w:p>
        </w:tc>
      </w:tr>
      <w:tr>
        <w:trPr>
          <w:trHeight w:val="270"/>
        </w:trPr>
        <w:tc>
          <w:tcPr>
            <w:tcW w:w="29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219,692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365,629</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38,242</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1,665,093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2,288,656</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w:t>
            </w:r>
          </w:p>
        </w:tc>
        <w:tc>
          <w:tcPr>
            <w:tcW w:w="180" w:type="dxa"/>
            <w:vAlign w:val="bottom"/>
            <w:shd w:val="clear" w:color="auto" w:fill="CCEEFF"/>
          </w:tcPr>
          <w:p>
            <w:pPr>
              <w:spacing w:after="0"/>
              <w:rPr>
                <w:sz w:val="13"/>
                <w:szCs w:val="13"/>
                <w:color w:val="auto"/>
              </w:rPr>
            </w:pPr>
          </w:p>
        </w:tc>
        <w:tc>
          <w:tcPr>
            <w:tcW w:w="1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20,785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1,354</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22,663</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shd w:val="clear" w:color="auto" w:fill="CCEEFF"/>
          </w:tcPr>
          <w:p>
            <w:pPr>
              <w:spacing w:after="0"/>
              <w:rPr>
                <w:sz w:val="14"/>
                <w:szCs w:val="14"/>
                <w:color w:val="auto"/>
              </w:rPr>
            </w:pPr>
          </w:p>
        </w:tc>
        <w:tc>
          <w:tcPr>
            <w:tcW w:w="1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1,484,513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624,299</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361,975</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(1,371,466)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1,099,321</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1,704,205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989,928</w:t>
            </w:r>
          </w:p>
        </w:tc>
        <w:tc>
          <w:tcPr>
            <w:tcW w:w="780" w:type="dxa"/>
            <w:vAlign w:val="bottom"/>
            <w:gridSpan w:val="2"/>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400,217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293,627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3,387,977</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Infrastructure</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Jefferson Terminal</w:t>
            </w:r>
          </w:p>
        </w:tc>
        <w:tc>
          <w:tcPr>
            <w:tcW w:w="100" w:type="dxa"/>
            <w:vAlign w:val="bottom"/>
          </w:tcPr>
          <w:p>
            <w:pPr>
              <w:spacing w:after="0"/>
              <w:rPr>
                <w:sz w:val="15"/>
                <w:szCs w:val="15"/>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Ports and Terminals</w:t>
            </w:r>
          </w:p>
        </w:tc>
        <w:tc>
          <w:tcPr>
            <w:tcW w:w="16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9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w:t>
            </w:r>
          </w:p>
        </w:tc>
        <w:tc>
          <w:tcPr>
            <w:tcW w:w="180" w:type="dxa"/>
            <w:vAlign w:val="bottom"/>
            <w:tcBorders>
              <w:top w:val="single" w:sz="8" w:color="auto"/>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445,566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56,702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502,268</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774,300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774,300</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208,190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702,393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269,680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117,782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1,298,045</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25,009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25,009</w:t>
            </w:r>
          </w:p>
        </w:tc>
        <w:tc>
          <w:tcPr>
            <w:tcW w:w="0" w:type="dxa"/>
            <w:vAlign w:val="bottom"/>
          </w:tcPr>
          <w:p>
            <w:pPr>
              <w:spacing w:after="0"/>
              <w:rPr>
                <w:sz w:val="1"/>
                <w:szCs w:val="1"/>
                <w:color w:val="auto"/>
              </w:rPr>
            </w:pPr>
          </w:p>
        </w:tc>
      </w:tr>
      <w:tr>
        <w:trPr>
          <w:trHeight w:val="129"/>
        </w:trPr>
        <w:tc>
          <w:tcPr>
            <w:tcW w:w="2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Total property, plant and equipment and</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1,453,065</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702,393</w:t>
            </w:r>
          </w:p>
        </w:tc>
        <w:tc>
          <w:tcPr>
            <w:tcW w:w="780" w:type="dxa"/>
            <w:vAlign w:val="bottom"/>
            <w:gridSpan w:val="2"/>
            <w:vMerge w:val="restart"/>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269,680</w:t>
            </w: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174,484</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2,599,622</w:t>
            </w:r>
          </w:p>
        </w:tc>
        <w:tc>
          <w:tcPr>
            <w:tcW w:w="0" w:type="dxa"/>
            <w:vAlign w:val="bottom"/>
          </w:tcPr>
          <w:p>
            <w:pPr>
              <w:spacing w:after="0"/>
              <w:rPr>
                <w:sz w:val="1"/>
                <w:szCs w:val="1"/>
                <w:color w:val="auto"/>
              </w:rPr>
            </w:pPr>
          </w:p>
        </w:tc>
      </w:tr>
      <w:tr>
        <w:trPr>
          <w:trHeight w:val="168"/>
        </w:trPr>
        <w:tc>
          <w:tcPr>
            <w:tcW w:w="2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leasing equipment, net</w:t>
            </w:r>
          </w:p>
        </w:tc>
        <w:tc>
          <w:tcPr>
            <w:tcW w:w="180" w:type="dxa"/>
            <w:vAlign w:val="bottom"/>
            <w:vMerge w:val="continue"/>
            <w:shd w:val="clear" w:color="auto" w:fill="CCEEFF"/>
          </w:tcPr>
          <w:p>
            <w:pPr>
              <w:spacing w:after="0"/>
              <w:rPr>
                <w:sz w:val="14"/>
                <w:szCs w:val="14"/>
                <w:color w:val="auto"/>
              </w:rPr>
            </w:pPr>
          </w:p>
        </w:tc>
        <w:tc>
          <w:tcPr>
            <w:tcW w:w="1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Infrastructure</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Corporate and Other</w:t>
            </w:r>
          </w:p>
        </w:tc>
        <w:tc>
          <w:tcPr>
            <w:tcW w:w="10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Jefferson Terminal</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Ports and Terminals</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1,694,837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781,422</w:t>
            </w:r>
          </w:p>
        </w:tc>
        <w:tc>
          <w:tcPr>
            <w:tcW w:w="780" w:type="dxa"/>
            <w:vAlign w:val="bottom"/>
            <w:gridSpan w:val="2"/>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366,402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394,261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3,236,922</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233,077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1,162,851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1,420,928</w:t>
            </w:r>
          </w:p>
        </w:tc>
        <w:tc>
          <w:tcPr>
            <w:tcW w:w="0" w:type="dxa"/>
            <w:vAlign w:val="bottom"/>
          </w:tcPr>
          <w:p>
            <w:pPr>
              <w:spacing w:after="0"/>
              <w:rPr>
                <w:sz w:val="1"/>
                <w:szCs w:val="1"/>
                <w:color w:val="auto"/>
              </w:rPr>
            </w:pPr>
          </w:p>
        </w:tc>
      </w:tr>
      <w:tr>
        <w:trPr>
          <w:trHeight w:val="270"/>
        </w:trPr>
        <w:tc>
          <w:tcPr>
            <w:tcW w:w="29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285,099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324,509</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63,930</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1,224,527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1,898,065</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w:t>
            </w:r>
          </w:p>
        </w:tc>
        <w:tc>
          <w:tcPr>
            <w:tcW w:w="180" w:type="dxa"/>
            <w:vAlign w:val="bottom"/>
            <w:shd w:val="clear" w:color="auto" w:fill="CCEEFF"/>
          </w:tcPr>
          <w:p>
            <w:pPr>
              <w:spacing w:after="0"/>
              <w:rPr>
                <w:sz w:val="13"/>
                <w:szCs w:val="13"/>
                <w:color w:val="auto"/>
              </w:rPr>
            </w:pPr>
          </w:p>
        </w:tc>
        <w:tc>
          <w:tcPr>
            <w:tcW w:w="1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35,671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36,980</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shd w:val="clear" w:color="auto" w:fill="CCEEFF"/>
          </w:tcPr>
          <w:p>
            <w:pPr>
              <w:spacing w:after="0"/>
              <w:rPr>
                <w:sz w:val="14"/>
                <w:szCs w:val="14"/>
                <w:color w:val="auto"/>
              </w:rPr>
            </w:pPr>
          </w:p>
        </w:tc>
        <w:tc>
          <w:tcPr>
            <w:tcW w:w="1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1,409,738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456,913</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302,472</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(830,266)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1,338,857</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1,694,837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781,422</w:t>
            </w:r>
          </w:p>
        </w:tc>
        <w:tc>
          <w:tcPr>
            <w:tcW w:w="780" w:type="dxa"/>
            <w:vAlign w:val="bottom"/>
            <w:gridSpan w:val="2"/>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366,402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394,261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3,236,922</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Infrastructure</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5"/>
                <w:szCs w:val="15"/>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Jefferson Terminal</w:t>
            </w:r>
          </w:p>
        </w:tc>
        <w:tc>
          <w:tcPr>
            <w:tcW w:w="100" w:type="dxa"/>
            <w:vAlign w:val="bottom"/>
          </w:tcPr>
          <w:p>
            <w:pPr>
              <w:spacing w:after="0"/>
              <w:rPr>
                <w:sz w:val="15"/>
                <w:szCs w:val="15"/>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Ports and Terminals</w:t>
            </w:r>
          </w:p>
        </w:tc>
        <w:tc>
          <w:tcPr>
            <w:tcW w:w="16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9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w:t>
            </w:r>
          </w:p>
        </w:tc>
        <w:tc>
          <w:tcPr>
            <w:tcW w:w="180" w:type="dxa"/>
            <w:vAlign w:val="bottom"/>
            <w:tcBorders>
              <w:top w:val="single" w:sz="8" w:color="auto"/>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43,348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43,348</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487,913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37,548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525,461</w:t>
            </w:r>
          </w:p>
        </w:tc>
        <w:tc>
          <w:tcPr>
            <w:tcW w:w="0" w:type="dxa"/>
            <w:vAlign w:val="bottom"/>
          </w:tcPr>
          <w:p>
            <w:pPr>
              <w:spacing w:after="0"/>
              <w:rPr>
                <w:sz w:val="1"/>
                <w:szCs w:val="1"/>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647,029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647,029</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311,185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560,059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200,319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123,067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1,194,630</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28,700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28,700</w:t>
            </w:r>
          </w:p>
        </w:tc>
        <w:tc>
          <w:tcPr>
            <w:tcW w:w="0" w:type="dxa"/>
            <w:vAlign w:val="bottom"/>
          </w:tcPr>
          <w:p>
            <w:pPr>
              <w:spacing w:after="0"/>
              <w:rPr>
                <w:sz w:val="1"/>
                <w:szCs w:val="1"/>
                <w:color w:val="auto"/>
              </w:rPr>
            </w:pPr>
          </w:p>
        </w:tc>
      </w:tr>
      <w:tr>
        <w:trPr>
          <w:trHeight w:val="129"/>
        </w:trPr>
        <w:tc>
          <w:tcPr>
            <w:tcW w:w="2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Total property, plant and equipment and</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1,518,175</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560,059</w:t>
            </w:r>
          </w:p>
        </w:tc>
        <w:tc>
          <w:tcPr>
            <w:tcW w:w="780" w:type="dxa"/>
            <w:vAlign w:val="bottom"/>
            <w:gridSpan w:val="2"/>
            <w:vMerge w:val="restart"/>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200,319</w:t>
            </w: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160,615</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2,439,168</w:t>
            </w:r>
          </w:p>
        </w:tc>
        <w:tc>
          <w:tcPr>
            <w:tcW w:w="0" w:type="dxa"/>
            <w:vAlign w:val="bottom"/>
          </w:tcPr>
          <w:p>
            <w:pPr>
              <w:spacing w:after="0"/>
              <w:rPr>
                <w:sz w:val="1"/>
                <w:szCs w:val="1"/>
                <w:color w:val="auto"/>
              </w:rPr>
            </w:pPr>
          </w:p>
        </w:tc>
      </w:tr>
      <w:tr>
        <w:trPr>
          <w:trHeight w:val="168"/>
        </w:trPr>
        <w:tc>
          <w:tcPr>
            <w:tcW w:w="2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leasing equipment, net</w:t>
            </w:r>
          </w:p>
        </w:tc>
        <w:tc>
          <w:tcPr>
            <w:tcW w:w="180" w:type="dxa"/>
            <w:vAlign w:val="bottom"/>
            <w:vMerge w:val="continue"/>
            <w:shd w:val="clear" w:color="auto" w:fill="CCEEFF"/>
          </w:tcPr>
          <w:p>
            <w:pPr>
              <w:spacing w:after="0"/>
              <w:rPr>
                <w:sz w:val="14"/>
                <w:szCs w:val="14"/>
                <w:color w:val="auto"/>
              </w:rPr>
            </w:pPr>
          </w:p>
        </w:tc>
        <w:tc>
          <w:tcPr>
            <w:tcW w:w="1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18. EARNINGS PER SHARE AND EQUITY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common share (“EPS”) is calculated by dividing net income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18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income from continuing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(105,023)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134,322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(20,106)</w:t>
            </w:r>
          </w:p>
        </w:tc>
      </w:tr>
      <w:tr>
        <w:trPr>
          <w:trHeight w:val="189"/>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73,462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4,402</w:t>
            </w:r>
          </w:p>
        </w:tc>
      </w:tr>
      <w:tr>
        <w:trPr>
          <w:trHeight w:val="18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(103,692)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207,784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(15,704)</w:t>
            </w:r>
          </w:p>
        </w:tc>
      </w:tr>
      <w:tr>
        <w:trPr>
          <w:trHeight w:val="169"/>
        </w:trPr>
        <w:tc>
          <w:tcPr>
            <w:tcW w:w="6240" w:type="dxa"/>
            <w:vAlign w:val="bottom"/>
          </w:tcPr>
          <w:p>
            <w:pPr>
              <w:ind w:left="20"/>
              <w:spacing w:after="0"/>
              <w:rPr>
                <w:sz w:val="20"/>
                <w:szCs w:val="20"/>
                <w:color w:val="auto"/>
              </w:rPr>
            </w:pPr>
            <w:r>
              <w:rPr>
                <w:rFonts w:ascii="Arial" w:cs="Arial" w:eastAsia="Arial" w:hAnsi="Arial"/>
                <w:sz w:val="14"/>
                <w:szCs w:val="14"/>
                <w:color w:val="auto"/>
              </w:rPr>
              <w:t>Less: Net (loss) income attributable to non-controlling interests in consolidated subsidiaries: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(16,522)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(21,925)</w:t>
            </w:r>
          </w:p>
        </w:tc>
      </w:tr>
      <w:tr>
        <w:trPr>
          <w:trHeight w:val="189"/>
        </w:trPr>
        <w:tc>
          <w:tcPr>
            <w:tcW w:w="62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339</w:t>
            </w:r>
          </w:p>
        </w:tc>
      </w:tr>
      <w:tr>
        <w:trPr>
          <w:trHeight w:val="189"/>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17,869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(105,039)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223,270</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5,882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Weighted average shares outstanding:</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89"/>
        </w:trPr>
        <w:tc>
          <w:tcPr>
            <w:tcW w:w="6240" w:type="dxa"/>
            <w:vAlign w:val="bottom"/>
          </w:tcPr>
          <w:p>
            <w:pPr>
              <w:ind w:left="20"/>
              <w:spacing w:after="0"/>
              <w:rPr>
                <w:sz w:val="20"/>
                <w:szCs w:val="20"/>
                <w:color w:val="auto"/>
              </w:rPr>
            </w:pPr>
            <w:r>
              <w:rPr>
                <w:rFonts w:ascii="Arial" w:cs="Arial" w:eastAsia="Arial" w:hAnsi="Arial"/>
                <w:sz w:val="14"/>
                <w:szCs w:val="14"/>
                <w:color w:val="auto"/>
              </w:rPr>
              <w:t>Basic</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86,015,702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85,992,019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83,654,068</w:t>
            </w:r>
          </w:p>
        </w:tc>
      </w:tr>
      <w:tr>
        <w:trPr>
          <w:trHeight w:val="189"/>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86,015,702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86,029,363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83,664,833</w:t>
            </w:r>
          </w:p>
        </w:tc>
      </w:tr>
      <w:tr>
        <w:trPr>
          <w:trHeight w:val="189"/>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Basic EPS: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r>
        <w:trPr>
          <w:trHeight w:val="189"/>
        </w:trPr>
        <w:tc>
          <w:tcPr>
            <w:tcW w:w="62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0.05</w:t>
            </w:r>
          </w:p>
        </w:tc>
      </w:tr>
      <w:tr>
        <w:trPr>
          <w:trHeight w:val="189"/>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EPS: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62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189"/>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r>
    </w:tbl>
    <w:p>
      <w:pPr>
        <w:spacing w:after="0" w:line="200" w:lineRule="exact"/>
        <w:rPr>
          <w:sz w:val="20"/>
          <w:szCs w:val="20"/>
          <w:color w:val="auto"/>
        </w:rPr>
      </w:pP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calculation of Diluted EPS excludes 24,652, 150,981 and 57,069 shares for the years ended December 31, 2020, 2019 and 2018, respectively, because the impact would be anti-dilutive.</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Certain holders of Class B Units (see Note 16) converted 911,448 and 1,134,806 Class B Units, respectively, in exchange for 675,015 and 840,434 common shares, respectively, during the years ended December 31, 2020 and 2019.</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We issued 24,683 common shares to certain directors as compensation during the year December 31,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At the Market Program</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June 30, 2020, we entered into an At Market Issuance Sales Agreement with a third party to sell shares of our Series A Preferred Shares and Series B Preferred Shares (collectively, the “ATM Shares”), having an aggregate offering price of up to $100 million, from time to time, through an “at-the market” equity offering program (the “ATM Program”).</w:t>
      </w:r>
    </w:p>
    <w:p>
      <w:pPr>
        <w:spacing w:after="0" w:line="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sold 1,070,000 ATM Shares at a weighted average price of $19.54 per share for net proceeds of $20.6 million during the year December 31, 2020. In connection with the shares sold under the ATM Program, we granted options to the Manager relating to 129,988 common shares, which had a grant date fair value of $0.7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Preferred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September 2019, in a public offering, we issued 3,450,000 shares of 8.25% Fixed-to-Floating Rate Series A Cumulative Perpetual Redeemable Preferred Shares (“Series A Preferred Shares”), par value $0.01 per share, with a liquidation preference of $25.00 per share for net proceeds of approximately $82.9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November 2019, in a public offering, we issued 4,600,000 shares of 8.00% Fixed-to-Floating Rate Series B Cumulative Perpetual Redeemable Preferred Shares (“Series B Preferred Shares”), par value $0.01 per share, with a liquidation preference of $25.00 per share for net proceeds of approximately $111.1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See Note 14 for information related to options issued to the Manager in connection with these offerings.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19. COMMITMENTS AND CONTINGENCIES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our offshore energy business, a lessee did not fulfill their obligation under their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also entered into an arrangement with our non-controlling interest holder of Repauno, whereby the non-controlling interest holder may receive additional payments contingent upon the achievement of certain service conditions, not to exceed $15.0 million. We recorded $1.0 million of related expense during the year ended December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20. QUARTERLY FINANCIAL INFORMATION (UNAUDITED)</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unaudited summary information for our quarterly operations: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6"/>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2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
                <w:szCs w:val="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
                <w:szCs w:val="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112,840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94,309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83,709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75,638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366,496</w:t>
            </w: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111,125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111,367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107,847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130,303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460,642</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(6,204)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(2,420)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(16,782)</w:t>
            </w:r>
          </w:p>
        </w:tc>
        <w:tc>
          <w:tcPr>
            <w:tcW w:w="0" w:type="dxa"/>
            <w:vAlign w:val="bottom"/>
          </w:tcPr>
          <w:p>
            <w:pPr>
              <w:spacing w:after="0"/>
              <w:rPr>
                <w:sz w:val="1"/>
                <w:szCs w:val="1"/>
                <w:color w:val="auto"/>
              </w:rPr>
            </w:pPr>
          </w:p>
        </w:tc>
      </w:tr>
      <w:tr>
        <w:trPr>
          <w:trHeight w:val="183"/>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Loss from continuing operations before income taxes</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(4,489)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(19,478)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(27,695)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(59,266)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(110,928)</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(2,486)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(5,905)</w:t>
            </w:r>
          </w:p>
        </w:tc>
        <w:tc>
          <w:tcPr>
            <w:tcW w:w="0" w:type="dxa"/>
            <w:vAlign w:val="bottom"/>
          </w:tcPr>
          <w:p>
            <w:pPr>
              <w:spacing w:after="0"/>
              <w:rPr>
                <w:sz w:val="1"/>
                <w:szCs w:val="1"/>
                <w:color w:val="auto"/>
              </w:rPr>
            </w:pPr>
          </w:p>
        </w:tc>
      </w:tr>
      <w:tr>
        <w:trPr>
          <w:trHeight w:val="183"/>
        </w:trPr>
        <w:tc>
          <w:tcPr>
            <w:tcW w:w="4000" w:type="dxa"/>
            <w:vAlign w:val="bottom"/>
          </w:tcPr>
          <w:p>
            <w:pPr>
              <w:ind w:left="140"/>
              <w:spacing w:after="0"/>
              <w:rPr>
                <w:sz w:val="20"/>
                <w:szCs w:val="20"/>
                <w:color w:val="auto"/>
              </w:rPr>
            </w:pPr>
            <w:r>
              <w:rPr>
                <w:rFonts w:ascii="Arial" w:cs="Arial" w:eastAsia="Arial" w:hAnsi="Arial"/>
                <w:sz w:val="14"/>
                <w:szCs w:val="14"/>
                <w:color w:val="auto"/>
              </w:rPr>
              <w:t>Net loss from continuing operations</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(4,391)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(15,728)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(25,209)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(59,695)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(105,023)</w:t>
            </w:r>
          </w:p>
        </w:tc>
        <w:tc>
          <w:tcPr>
            <w:tcW w:w="0" w:type="dxa"/>
            <w:vAlign w:val="bottom"/>
          </w:tcPr>
          <w:p>
            <w:pPr>
              <w:spacing w:after="0"/>
              <w:rPr>
                <w:sz w:val="1"/>
                <w:szCs w:val="1"/>
                <w:color w:val="auto"/>
              </w:rPr>
            </w:pPr>
          </w:p>
        </w:tc>
      </w:tr>
      <w:tr>
        <w:trPr>
          <w:trHeight w:val="153"/>
        </w:trPr>
        <w:tc>
          <w:tcPr>
            <w:tcW w:w="40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Net income from discontinued operations, net of income</w:t>
            </w:r>
          </w:p>
        </w:tc>
        <w:tc>
          <w:tcPr>
            <w:tcW w:w="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1,331</w:t>
            </w:r>
          </w:p>
        </w:tc>
        <w:tc>
          <w:tcPr>
            <w:tcW w:w="0" w:type="dxa"/>
            <w:vAlign w:val="bottom"/>
          </w:tcPr>
          <w:p>
            <w:pPr>
              <w:spacing w:after="0"/>
              <w:rPr>
                <w:sz w:val="1"/>
                <w:szCs w:val="1"/>
                <w:color w:val="auto"/>
              </w:rPr>
            </w:pPr>
          </w:p>
        </w:tc>
      </w:tr>
      <w:tr>
        <w:trPr>
          <w:trHeight w:val="171"/>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w:t>
            </w:r>
          </w:p>
        </w:tc>
        <w:tc>
          <w:tcPr>
            <w:tcW w:w="2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(15,728)</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(25,209)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(59,695)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(103,692)</w:t>
            </w:r>
          </w:p>
        </w:tc>
        <w:tc>
          <w:tcPr>
            <w:tcW w:w="0" w:type="dxa"/>
            <w:vAlign w:val="bottom"/>
          </w:tcPr>
          <w:p>
            <w:pPr>
              <w:spacing w:after="0"/>
              <w:rPr>
                <w:sz w:val="1"/>
                <w:szCs w:val="1"/>
                <w:color w:val="auto"/>
              </w:rPr>
            </w:pPr>
          </w:p>
        </w:tc>
      </w:tr>
      <w:tr>
        <w:trPr>
          <w:trHeight w:val="133"/>
        </w:trPr>
        <w:tc>
          <w:tcPr>
            <w:tcW w:w="40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interests in</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(4,736)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(4,112)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(3,876)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(3,798)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(16,522)</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4,539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4,079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17,869</w:t>
            </w:r>
          </w:p>
        </w:tc>
        <w:tc>
          <w:tcPr>
            <w:tcW w:w="0" w:type="dxa"/>
            <w:vAlign w:val="bottom"/>
          </w:tcPr>
          <w:p>
            <w:pPr>
              <w:spacing w:after="0"/>
              <w:rPr>
                <w:sz w:val="1"/>
                <w:szCs w:val="1"/>
                <w:color w:val="auto"/>
              </w:rPr>
            </w:pPr>
          </w:p>
        </w:tc>
      </w:tr>
      <w:tr>
        <w:trPr>
          <w:trHeight w:val="20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(15,695)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(25,958)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(60,523)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(105,039)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0" w:type="dxa"/>
            <w:vAlign w:val="bottom"/>
          </w:tcPr>
          <w:p>
            <w:pPr>
              <w:spacing w:after="0"/>
              <w:rPr>
                <w:sz w:val="1"/>
                <w:szCs w:val="1"/>
                <w:color w:val="auto"/>
              </w:rPr>
            </w:pPr>
          </w:p>
        </w:tc>
      </w:tr>
      <w:tr>
        <w:trPr>
          <w:trHeight w:val="189"/>
        </w:trPr>
        <w:tc>
          <w:tcPr>
            <w:tcW w:w="400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0.02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(0.05)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(0.18)</w:t>
            </w:r>
          </w:p>
        </w:tc>
        <w:tc>
          <w:tcPr>
            <w:tcW w:w="100" w:type="dxa"/>
            <w:vAlign w:val="bottom"/>
          </w:tcPr>
          <w:p>
            <w:pPr>
              <w:spacing w:after="0"/>
              <w:rPr>
                <w:sz w:val="16"/>
                <w:szCs w:val="16"/>
                <w:color w:val="auto"/>
              </w:rPr>
            </w:pPr>
          </w:p>
        </w:tc>
        <w:tc>
          <w:tcPr>
            <w:tcW w:w="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(0.30)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(0.70)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0.02</w:t>
            </w: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4"/>
                <w:szCs w:val="14"/>
                <w:color w:val="auto"/>
              </w:rPr>
              <w:t>Weighted Average Shares Outstanding:</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86,008,099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86,009,959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86,022,302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86,022,302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86,015,702</w:t>
            </w:r>
          </w:p>
        </w:tc>
        <w:tc>
          <w:tcPr>
            <w:tcW w:w="0" w:type="dxa"/>
            <w:vAlign w:val="bottom"/>
          </w:tcPr>
          <w:p>
            <w:pPr>
              <w:spacing w:after="0"/>
              <w:rPr>
                <w:sz w:val="1"/>
                <w:szCs w:val="1"/>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86,008,099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86,009,959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86,022,302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86,022,302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86,015,702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6"/>
        </w:trPr>
        <w:tc>
          <w:tcPr>
            <w:tcW w:w="4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2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
                <w:szCs w:val="2"/>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
                <w:szCs w:val="2"/>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
                <w:szCs w:val="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114,894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149,848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152,700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161,332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578,774</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123,403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164,798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169,430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173,862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631,493</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 income</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27,630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37,338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141,061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204,851</w:t>
            </w:r>
          </w:p>
        </w:tc>
        <w:tc>
          <w:tcPr>
            <w:tcW w:w="0" w:type="dxa"/>
            <w:vAlign w:val="bottom"/>
          </w:tcPr>
          <w:p>
            <w:pPr>
              <w:spacing w:after="0"/>
              <w:rPr>
                <w:sz w:val="1"/>
                <w:szCs w:val="1"/>
                <w:color w:val="auto"/>
              </w:rPr>
            </w:pPr>
          </w:p>
        </w:tc>
      </w:tr>
      <w:tr>
        <w:trPr>
          <w:trHeight w:val="128"/>
        </w:trPr>
        <w:tc>
          <w:tcPr>
            <w:tcW w:w="40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(Loss) income from continuing operations before income</w:t>
            </w:r>
          </w:p>
        </w:tc>
        <w:tc>
          <w:tcPr>
            <w:tcW w:w="2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(9,687)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12,680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20,608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128,531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152,132</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18,999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17,810</w:t>
            </w:r>
          </w:p>
        </w:tc>
        <w:tc>
          <w:tcPr>
            <w:tcW w:w="0" w:type="dxa"/>
            <w:vAlign w:val="bottom"/>
          </w:tcPr>
          <w:p>
            <w:pPr>
              <w:spacing w:after="0"/>
              <w:rPr>
                <w:sz w:val="1"/>
                <w:szCs w:val="1"/>
                <w:color w:val="auto"/>
              </w:rPr>
            </w:pPr>
          </w:p>
        </w:tc>
      </w:tr>
      <w:tr>
        <w:trPr>
          <w:trHeight w:val="183"/>
        </w:trPr>
        <w:tc>
          <w:tcPr>
            <w:tcW w:w="4020" w:type="dxa"/>
            <w:vAlign w:val="bottom"/>
          </w:tcPr>
          <w:p>
            <w:pPr>
              <w:ind w:left="140"/>
              <w:spacing w:after="0"/>
              <w:rPr>
                <w:sz w:val="20"/>
                <w:szCs w:val="20"/>
                <w:color w:val="auto"/>
              </w:rPr>
            </w:pPr>
            <w:r>
              <w:rPr>
                <w:rFonts w:ascii="Arial" w:cs="Arial" w:eastAsia="Arial" w:hAnsi="Arial"/>
                <w:sz w:val="14"/>
                <w:szCs w:val="14"/>
                <w:color w:val="auto"/>
              </w:rPr>
              <w:t>Net (loss) income from continuing operations</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109,532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134,322</w:t>
            </w:r>
          </w:p>
        </w:tc>
        <w:tc>
          <w:tcPr>
            <w:tcW w:w="0" w:type="dxa"/>
            <w:vAlign w:val="bottom"/>
          </w:tcPr>
          <w:p>
            <w:pPr>
              <w:spacing w:after="0"/>
              <w:rPr>
                <w:sz w:val="1"/>
                <w:szCs w:val="1"/>
                <w:color w:val="auto"/>
              </w:rPr>
            </w:pPr>
          </w:p>
        </w:tc>
      </w:tr>
      <w:tr>
        <w:trPr>
          <w:trHeight w:val="153"/>
        </w:trPr>
        <w:tc>
          <w:tcPr>
            <w:tcW w:w="40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Net income from discontinued operations, net of income</w:t>
            </w:r>
          </w:p>
        </w:tc>
        <w:tc>
          <w:tcPr>
            <w:tcW w:w="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71,579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73,462</w:t>
            </w: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income</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15,793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181,111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207,784</w:t>
            </w:r>
          </w:p>
        </w:tc>
        <w:tc>
          <w:tcPr>
            <w:tcW w:w="0" w:type="dxa"/>
            <w:vAlign w:val="bottom"/>
          </w:tcPr>
          <w:p>
            <w:pPr>
              <w:spacing w:after="0"/>
              <w:rPr>
                <w:sz w:val="1"/>
                <w:szCs w:val="1"/>
                <w:color w:val="auto"/>
              </w:rPr>
            </w:pPr>
          </w:p>
        </w:tc>
      </w:tr>
      <w:tr>
        <w:trPr>
          <w:trHeight w:val="133"/>
        </w:trPr>
        <w:tc>
          <w:tcPr>
            <w:tcW w:w="40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income attributable to non-controlling</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 subsidiaries: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(17,571)</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20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183,647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223,270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9"/>
        </w:trPr>
        <w:tc>
          <w:tcPr>
            <w:tcW w:w="402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Weighted Average Shares Outstanding:</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85,986,453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85,987,769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85,996,067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85,997,619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85,992,019</w:t>
            </w:r>
          </w:p>
        </w:tc>
        <w:tc>
          <w:tcPr>
            <w:tcW w:w="0" w:type="dxa"/>
            <w:vAlign w:val="bottom"/>
          </w:tcPr>
          <w:p>
            <w:pPr>
              <w:spacing w:after="0"/>
              <w:rPr>
                <w:sz w:val="1"/>
                <w:szCs w:val="1"/>
                <w:color w:val="auto"/>
              </w:rPr>
            </w:pPr>
          </w:p>
        </w:tc>
      </w:tr>
      <w:tr>
        <w:trPr>
          <w:trHeight w:val="190"/>
        </w:trPr>
        <w:tc>
          <w:tcPr>
            <w:tcW w:w="4020" w:type="dxa"/>
            <w:vAlign w:val="bottom"/>
          </w:tcPr>
          <w:p>
            <w:pPr>
              <w:ind w:left="2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85,986,453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85,989,029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86,005,604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86,090,207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86,029,363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21. SUBSEQUENT EVENTS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January 2021, we issued 6,594 common shares to certain directors as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25, 2021, our Board of Directors declared a cash dividend on our common shares and eligible participating securities of $0.33 per share for the quarter ended December 31, 2020, payable on March 23, 2021 to the holders of record on March 12, 2021.</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on February 25, 2021, our Board of Directors declared cash dividends on the Series A Preferred Shares and Series B Preferred Shares of $0.52 and $0.50 per share, respectively, for the quarter ended December 31, 2020, payable on March 15, 2021 to the holders of record on March 8,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00497F"/>
        </w:rPr>
        <w:t>Item 9. Changes in and Disagreements with Accountants on Accounting and Financial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9A.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effective as of and for the period covered by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Management's Annual Report on Internal Control over Financial Reporting</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pertain to the maintenance of records that, in reasonable detail, accurately and fairly reflect our transactions and our dispositions of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and use or disposition of our assets that could have a material effect on the financial statements.</w:t>
      </w:r>
    </w:p>
    <w:p>
      <w:pPr>
        <w:spacing w:after="0" w:line="9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2020. In making this assessment, management used the criteria set forth by the Committee of Sponsoring Organizations of the Treadway Commission in Internal Control - Integrated Framework (2013). Based on management’s assessment using this framework, management concluded that, as of December 31, 2020, our internal control over financial reporting was effective.</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effectiveness of the Company’s internal control over financial reporting as of December 31, 2020 has been audited by Ernst &amp; Young LLP, an independent registered public accounting firm, as stated in their report included herein.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Changes in Internal Control over Financial Reporting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was no change in the Company’s internal control over financial reporting (as defined in Rule 13a-15(f) under the Exchange Act) during its most recent fiscal quarter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9" w:name="page110"/>
    <w:bookmarkEnd w:id="109"/>
    <w:p>
      <w:pPr>
        <w:ind w:right="3380" w:firstLine="3379"/>
        <w:spacing w:after="0" w:line="396"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Fortress Transportation and Infrastructure Investors LLC </w:t>
      </w:r>
      <w:r>
        <w:rPr>
          <w:rFonts w:ascii="Arial" w:cs="Arial" w:eastAsia="Arial" w:hAnsi="Arial"/>
          <w:sz w:val="16"/>
          <w:szCs w:val="16"/>
          <w:b w:val="1"/>
          <w:bCs w:val="1"/>
          <w:color w:val="auto"/>
        </w:rPr>
        <w:t>Opinion on Internal Control Over Financial Reporting</w:t>
      </w:r>
    </w:p>
    <w:p>
      <w:pPr>
        <w:jc w:val="both"/>
        <w:spacing w:after="0" w:line="251" w:lineRule="auto"/>
        <w:rPr>
          <w:sz w:val="20"/>
          <w:szCs w:val="20"/>
          <w:color w:val="auto"/>
        </w:rPr>
      </w:pPr>
      <w:r>
        <w:rPr>
          <w:rFonts w:ascii="Arial" w:cs="Arial" w:eastAsia="Arial" w:hAnsi="Arial"/>
          <w:sz w:val="16"/>
          <w:szCs w:val="16"/>
          <w:color w:val="auto"/>
        </w:rPr>
        <w:t>We have audited Fortress Transportation and Infrastructure Investors LLC’s internal control over financial reporting as of December 31, 2020, based on criteria established in Internal Control—Integrated Framework issued by the Committee of Sponsoring Organizations of the Treadway Commission (2013 framework) (the COSO criteria). In our opinion, Fortress Transportation and Infrastructure Investors LLC (the “Company”) maintained, in all material respects, effective internal control over financial reporting as of December 31, 2020, based on the COSO criteria.</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(loss), changes in equity, and cash flows for each of the three years in the period ended December 31, 2020, and the related notes and our report dated February 26, 2021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8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00497F"/>
        </w:rPr>
        <w:t>Item 9B.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0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00497F"/>
        </w:rPr>
        <w:t>PART III—OTHER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10. Directors, Executive Officers and Corporate Governance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Any information required by this Item 10 is incorporated by reference to our definitive proxy statement for the 2021 annual meeting of shareholders to be filed with the SEC pursuant to Regulation 14A (our “Definitive Proxy Statement”) within 120 days after the fiscal year ended December 31, 2020 (our “Definitive Proxy Statement”) under the headings “Proposal No. 1 Election of Directors” and “Executive Officers.”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11. Executive Compensation</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by this Item 11 is incorporated by reference to our Definitive Proxy Statement under the headings “Executive and Manager Compensation” and “Compensation Committee Report.”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12. Security Ownership of Certain Beneficial Owners and Management and Related Stockholder Matters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information required by this Item 12 is incorporated by reference to our Definitive Proxy Statement under the heading “Security Ownership of Management and Certain Beneficial Owners.” See also “Nonqualified Stock Option and Incentive Award Plan” in Part II, Item 5, “Market for Registrant’s Common Equity, Related Stockholder Matters, and Issuer Purchases of Equity Securities” which is incorporated herein by reference.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13. Certain Relationships and Related Transactions, and Director Independence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information required by this Item 13 is incorporated by reference to our Definitive Proxy Statement under the headings “Proposal No. 1 Election of Directors—Determination of Director Independence” and “Certain Relationships and Related Transactions.”</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14.</w:t>
        <w:tab/>
        <w:t>Principal Accountant Fees and Services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by this Item 14 is incorporated by reference to our Definitive Proxy Statement under the heading “Proposal No. 2 Approval of Appointment of Ernst &amp; Young LLP as Independent Registered Public Accounting Firm—Principal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1" w:name="page112"/>
    <w:bookmarkEnd w:id="111"/>
    <w:p>
      <w:pPr>
        <w:jc w:val="center"/>
        <w:ind w:right="-79"/>
        <w:spacing w:after="0"/>
        <w:rPr>
          <w:sz w:val="20"/>
          <w:szCs w:val="20"/>
          <w:color w:val="auto"/>
        </w:rPr>
      </w:pPr>
      <w:r>
        <w:rPr>
          <w:rFonts w:ascii="Arial" w:cs="Arial" w:eastAsia="Arial" w:hAnsi="Arial"/>
          <w:sz w:val="16"/>
          <w:szCs w:val="16"/>
          <w:b w:val="1"/>
          <w:bCs w:val="1"/>
          <w:color w:val="00497F"/>
        </w:rPr>
        <w:t>PART IV</w:t>
      </w:r>
    </w:p>
    <w:p>
      <w:pPr>
        <w:spacing w:after="0" w:line="113"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15.</w:t>
      </w:r>
      <w:r>
        <w:rPr>
          <w:sz w:val="20"/>
          <w:szCs w:val="20"/>
          <w:color w:val="auto"/>
        </w:rPr>
        <w:tab/>
      </w:r>
      <w:r>
        <w:rPr>
          <w:rFonts w:ascii="Arial" w:cs="Arial" w:eastAsia="Arial" w:hAnsi="Arial"/>
          <w:sz w:val="15"/>
          <w:szCs w:val="15"/>
          <w:b w:val="1"/>
          <w:bCs w:val="1"/>
          <w:color w:val="00497F"/>
        </w:rPr>
        <w:t>Exhibits</w:t>
      </w:r>
    </w:p>
    <w:p>
      <w:pPr>
        <w:spacing w:after="0" w:line="158" w:lineRule="exact"/>
        <w:rPr>
          <w:sz w:val="20"/>
          <w:szCs w:val="20"/>
          <w:color w:val="auto"/>
        </w:rPr>
      </w:pPr>
    </w:p>
    <w:p>
      <w:pPr>
        <w:ind w:left="300"/>
        <w:spacing w:after="0"/>
        <w:tabs>
          <w:tab w:leader="none" w:pos="5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7071995" cy="3003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71995" cy="300355"/>
                    </a:xfrm>
                    <a:prstGeom prst="rect">
                      <a:avLst/>
                    </a:prstGeom>
                    <a:noFill/>
                  </pic:spPr>
                </pic:pic>
              </a:graphicData>
            </a:graphic>
          </wp:anchor>
        </w:drawing>
      </w:r>
    </w:p>
    <w:p>
      <w:pPr>
        <w:spacing w:after="0" w:line="40" w:lineRule="exact"/>
        <w:rPr>
          <w:sz w:val="20"/>
          <w:szCs w:val="20"/>
          <w:color w:val="auto"/>
        </w:rPr>
      </w:pPr>
    </w:p>
    <w:p>
      <w:pPr>
        <w:jc w:val="both"/>
        <w:ind w:left="1540" w:hanging="343"/>
        <w:spacing w:after="0" w:line="219" w:lineRule="auto"/>
        <w:tabs>
          <w:tab w:leader="none" w:pos="1520" w:val="left"/>
        </w:tabs>
        <w:rPr>
          <w:rFonts w:ascii="Arial" w:cs="Arial" w:eastAsia="Arial" w:hAnsi="Arial"/>
          <w:sz w:val="14"/>
          <w:szCs w:val="14"/>
          <w:color w:val="0000FF"/>
        </w:rPr>
      </w:pPr>
      <w:hyperlink r:id="rId144">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November 19, 2019, by and among Soo Line Corporation, Black Bear Acquisition LLC, Railroad Acquisition Holdings LLC and Fortress Worldwide Transportation and Infrastructure General Partnership (incorporated by reference to Exhibit 2.1 of the Company’s Current Report on Form 8-K, filed January 6, 2020).</w:t>
      </w:r>
    </w:p>
    <w:p>
      <w:pPr>
        <w:spacing w:after="0" w:line="18" w:lineRule="exact"/>
        <w:rPr>
          <w:sz w:val="20"/>
          <w:szCs w:val="20"/>
          <w:color w:val="auto"/>
        </w:rPr>
      </w:pPr>
    </w:p>
    <w:p>
      <w:pPr>
        <w:ind w:left="1540" w:right="160" w:hanging="343"/>
        <w:spacing w:after="0" w:line="229" w:lineRule="auto"/>
        <w:tabs>
          <w:tab w:leader="none" w:pos="1520" w:val="left"/>
        </w:tabs>
        <w:rPr>
          <w:rFonts w:ascii="Arial" w:cs="Arial" w:eastAsia="Arial" w:hAnsi="Arial"/>
          <w:sz w:val="14"/>
          <w:szCs w:val="14"/>
          <w:color w:val="0000FF"/>
        </w:rPr>
      </w:pPr>
      <w:hyperlink r:id="rId145">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80"/>
        <w:spacing w:after="0" w:line="226" w:lineRule="auto"/>
        <w:tabs>
          <w:tab w:leader="none" w:pos="1520" w:val="left"/>
        </w:tabs>
        <w:rPr>
          <w:rFonts w:ascii="Arial" w:cs="Arial" w:eastAsia="Arial" w:hAnsi="Arial"/>
          <w:sz w:val="14"/>
          <w:szCs w:val="14"/>
          <w:color w:val="0000FF"/>
        </w:rPr>
      </w:pPr>
      <w:hyperlink r:id="rId147">
        <w:r>
          <w:rPr>
            <w:rFonts w:ascii="Arial" w:cs="Arial" w:eastAsia="Arial" w:hAnsi="Arial"/>
            <w:sz w:val="14"/>
            <w:szCs w:val="14"/>
            <w:u w:val="single" w:color="auto"/>
            <w:color w:val="0000FF"/>
          </w:rPr>
          <w:t>3.2</w:t>
        </w:r>
      </w:hyperlink>
      <w:r>
        <w:rPr>
          <w:rFonts w:ascii="Arial" w:cs="Arial" w:eastAsia="Arial" w:hAnsi="Arial"/>
          <w:sz w:val="14"/>
          <w:szCs w:val="14"/>
          <w:color w:val="0000FF"/>
        </w:rPr>
        <w:tab/>
        <w:t>Third Amended and Restated Limited Liability Company Agreement of Fortress Transportation and Infrastructure Investors LLC, dated as of November</w:t>
      </w:r>
    </w:p>
    <w:p>
      <w:pPr>
        <w:ind w:left="1540"/>
        <w:spacing w:after="0"/>
        <w:rPr>
          <w:sz w:val="20"/>
          <w:szCs w:val="20"/>
          <w:color w:val="auto"/>
        </w:rPr>
      </w:pPr>
      <w:r>
        <w:rPr>
          <w:rFonts w:ascii="Arial" w:cs="Arial" w:eastAsia="Arial" w:hAnsi="Arial"/>
          <w:sz w:val="14"/>
          <w:szCs w:val="14"/>
          <w:color w:val="auto"/>
        </w:rPr>
        <w:t>27, 2019 (incorporated by reference to Exhibit 3.2 of the Company’s Form 8-A, filed November 27, 2019).</w:t>
      </w:r>
    </w:p>
    <w:p>
      <w:pPr>
        <w:spacing w:after="0" w:line="2" w:lineRule="exact"/>
        <w:rPr>
          <w:sz w:val="20"/>
          <w:szCs w:val="20"/>
          <w:color w:val="auto"/>
        </w:rPr>
      </w:pPr>
    </w:p>
    <w:p>
      <w:pPr>
        <w:ind w:left="1180"/>
        <w:spacing w:after="0"/>
        <w:tabs>
          <w:tab w:leader="none" w:pos="1520" w:val="left"/>
        </w:tabs>
        <w:rPr>
          <w:rFonts w:ascii="Arial" w:cs="Arial" w:eastAsia="Arial" w:hAnsi="Arial"/>
          <w:sz w:val="14"/>
          <w:szCs w:val="14"/>
          <w:color w:val="0000FF"/>
        </w:rPr>
      </w:pPr>
      <w:hyperlink r:id="rId148">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8.25% Fixed-to-Floating Series A Cumulative Perpetual Redeemable Preferred Shares, dated as of September</w:t>
      </w:r>
    </w:p>
    <w:p>
      <w:pPr>
        <w:ind w:left="1540"/>
        <w:spacing w:after="0"/>
        <w:rPr>
          <w:sz w:val="20"/>
          <w:szCs w:val="20"/>
          <w:color w:val="auto"/>
        </w:rPr>
      </w:pPr>
      <w:r>
        <w:rPr>
          <w:rFonts w:ascii="Arial" w:cs="Arial" w:eastAsia="Arial" w:hAnsi="Arial"/>
          <w:sz w:val="14"/>
          <w:szCs w:val="14"/>
          <w:color w:val="auto"/>
        </w:rPr>
        <w:t>12, 2019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71995"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80"/>
        <w:spacing w:after="0"/>
        <w:tabs>
          <w:tab w:leader="none" w:pos="1520" w:val="left"/>
        </w:tabs>
        <w:rPr>
          <w:rFonts w:ascii="Arial" w:cs="Arial" w:eastAsia="Arial" w:hAnsi="Arial"/>
          <w:sz w:val="14"/>
          <w:szCs w:val="14"/>
          <w:color w:val="0000FF"/>
        </w:rPr>
      </w:pPr>
      <w:hyperlink r:id="rId147">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8.00% Fixed-to-Floating Series B Cumulative Perpetual Redeemable Preferred Shares, dated as of November</w:t>
      </w:r>
    </w:p>
    <w:p>
      <w:pPr>
        <w:ind w:left="1540"/>
        <w:spacing w:after="0"/>
        <w:rPr>
          <w:sz w:val="20"/>
          <w:szCs w:val="20"/>
          <w:color w:val="auto"/>
        </w:rPr>
      </w:pPr>
      <w:r>
        <w:rPr>
          <w:rFonts w:ascii="Arial" w:cs="Arial" w:eastAsia="Arial" w:hAnsi="Arial"/>
          <w:sz w:val="14"/>
          <w:szCs w:val="14"/>
          <w:color w:val="auto"/>
        </w:rPr>
        <w:t>27, 2019 (included as part of Exhibit 3.2).</w:t>
      </w:r>
    </w:p>
    <w:p>
      <w:pPr>
        <w:spacing w:after="0" w:line="28" w:lineRule="exact"/>
        <w:rPr>
          <w:sz w:val="20"/>
          <w:szCs w:val="20"/>
          <w:color w:val="auto"/>
        </w:rPr>
      </w:pPr>
    </w:p>
    <w:p>
      <w:pPr>
        <w:ind w:left="1540" w:right="80" w:hanging="343"/>
        <w:spacing w:after="0" w:line="219" w:lineRule="auto"/>
        <w:tabs>
          <w:tab w:leader="none" w:pos="1520" w:val="left"/>
        </w:tabs>
        <w:rPr>
          <w:rFonts w:ascii="Arial" w:cs="Arial" w:eastAsia="Arial" w:hAnsi="Arial"/>
          <w:sz w:val="14"/>
          <w:szCs w:val="14"/>
          <w:color w:val="0000FF"/>
        </w:rPr>
      </w:pPr>
      <w:hyperlink r:id="rId150">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March 15, 2017, between Fortress Transportation and Infrastructure Investors LLC and U.S. Bank National Association, as trustee, relating to the Company’s 6.75% senior unsecured notes due 2022 (incorporated by reference to Exhibit 4.1 of the Company’s Current Report on Form 8-K, filed on March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180"/>
        <w:spacing w:after="0"/>
        <w:tabs>
          <w:tab w:leader="none" w:pos="1520" w:val="left"/>
        </w:tabs>
        <w:rPr>
          <w:rFonts w:ascii="Arial" w:cs="Arial" w:eastAsia="Arial" w:hAnsi="Arial"/>
          <w:sz w:val="14"/>
          <w:szCs w:val="14"/>
          <w:color w:val="0000FF"/>
        </w:rPr>
      </w:pPr>
      <w:hyperlink r:id="rId150">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6.75% senior unsecured notes due 2022 (included in Exhibit 4.1).</w:t>
      </w:r>
    </w:p>
    <w:p>
      <w:pPr>
        <w:spacing w:after="0" w:line="28" w:lineRule="exact"/>
        <w:rPr>
          <w:sz w:val="20"/>
          <w:szCs w:val="20"/>
          <w:color w:val="auto"/>
        </w:rPr>
      </w:pPr>
    </w:p>
    <w:p>
      <w:pPr>
        <w:ind w:left="1540" w:right="120" w:hanging="343"/>
        <w:spacing w:after="0" w:line="219" w:lineRule="auto"/>
        <w:tabs>
          <w:tab w:leader="none" w:pos="1520" w:val="left"/>
        </w:tabs>
        <w:rPr>
          <w:rFonts w:ascii="Arial" w:cs="Arial" w:eastAsia="Arial" w:hAnsi="Arial"/>
          <w:sz w:val="14"/>
          <w:szCs w:val="14"/>
          <w:color w:val="0000FF"/>
        </w:rPr>
      </w:pPr>
      <w:hyperlink r:id="rId152">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540" w:right="120" w:hanging="343"/>
        <w:spacing w:after="0" w:line="219" w:lineRule="auto"/>
        <w:tabs>
          <w:tab w:leader="none" w:pos="1520" w:val="left"/>
        </w:tabs>
        <w:rPr>
          <w:rFonts w:ascii="Arial" w:cs="Arial" w:eastAsia="Arial" w:hAnsi="Arial"/>
          <w:sz w:val="14"/>
          <w:szCs w:val="14"/>
          <w:color w:val="0000FF"/>
        </w:rPr>
      </w:pPr>
      <w:hyperlink r:id="rId154">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18" w:lineRule="exact"/>
        <w:rPr>
          <w:sz w:val="20"/>
          <w:szCs w:val="20"/>
          <w:color w:val="auto"/>
        </w:rPr>
      </w:pPr>
    </w:p>
    <w:p>
      <w:pPr>
        <w:ind w:left="1540" w:right="40" w:hanging="343"/>
        <w:spacing w:after="0" w:line="219" w:lineRule="auto"/>
        <w:tabs>
          <w:tab w:leader="none" w:pos="1520" w:val="left"/>
        </w:tabs>
        <w:rPr>
          <w:rFonts w:ascii="Arial" w:cs="Arial" w:eastAsia="Arial" w:hAnsi="Arial"/>
          <w:sz w:val="14"/>
          <w:szCs w:val="14"/>
          <w:color w:val="0000FF"/>
        </w:rPr>
      </w:pPr>
      <w:hyperlink r:id="rId155">
        <w:r>
          <w:rPr>
            <w:rFonts w:ascii="Arial" w:cs="Arial" w:eastAsia="Arial" w:hAnsi="Arial"/>
            <w:sz w:val="14"/>
            <w:szCs w:val="14"/>
            <w:u w:val="single" w:color="auto"/>
            <w:color w:val="0000FF"/>
          </w:rPr>
          <w:t>4.5</w:t>
        </w:r>
      </w:hyperlink>
      <w:r>
        <w:rPr>
          <w:rFonts w:ascii="Arial" w:cs="Arial" w:eastAsia="Arial" w:hAnsi="Arial"/>
          <w:sz w:val="14"/>
          <w:szCs w:val="14"/>
          <w:color w:val="0000FF"/>
        </w:rPr>
        <w:tab/>
        <w:t>Third Supplemental Indenture, dated December 20, 2017, between Fortress Transportation and Infrastructure LLC and U.S. Bank National Association, as trustee, relating to the Company’s 6.75% senior unsecured notes due 2022 (incorporated by reference to Exhibit 4.1 of the Company’s Current Report on Form 8-K filed on 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91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540" w:right="120" w:hanging="343"/>
        <w:spacing w:after="0" w:line="219" w:lineRule="auto"/>
        <w:tabs>
          <w:tab w:leader="none" w:pos="1520" w:val="left"/>
        </w:tabs>
        <w:rPr>
          <w:rFonts w:ascii="Arial" w:cs="Arial" w:eastAsia="Arial" w:hAnsi="Arial"/>
          <w:sz w:val="14"/>
          <w:szCs w:val="14"/>
          <w:color w:val="0000FF"/>
        </w:rPr>
      </w:pPr>
      <w:hyperlink r:id="rId157">
        <w:r>
          <w:rPr>
            <w:rFonts w:ascii="Arial" w:cs="Arial" w:eastAsia="Arial" w:hAnsi="Arial"/>
            <w:sz w:val="14"/>
            <w:szCs w:val="14"/>
            <w:u w:val="single" w:color="auto"/>
            <w:color w:val="0000FF"/>
          </w:rPr>
          <w:t>4.6</w:t>
        </w:r>
      </w:hyperlink>
      <w:r>
        <w:rPr>
          <w:rFonts w:ascii="Arial" w:cs="Arial" w:eastAsia="Arial" w:hAnsi="Arial"/>
          <w:sz w:val="14"/>
          <w:szCs w:val="14"/>
          <w:color w:val="0000FF"/>
        </w:rPr>
        <w:tab/>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18" w:lineRule="exact"/>
        <w:rPr>
          <w:sz w:val="20"/>
          <w:szCs w:val="20"/>
          <w:color w:val="auto"/>
        </w:rPr>
      </w:pPr>
    </w:p>
    <w:p>
      <w:pPr>
        <w:ind w:left="1540" w:right="120" w:hanging="343"/>
        <w:spacing w:after="0" w:line="219" w:lineRule="auto"/>
        <w:tabs>
          <w:tab w:leader="none" w:pos="1520" w:val="left"/>
        </w:tabs>
        <w:rPr>
          <w:rFonts w:ascii="Arial" w:cs="Arial" w:eastAsia="Arial" w:hAnsi="Arial"/>
          <w:sz w:val="14"/>
          <w:szCs w:val="14"/>
          <w:color w:val="0000FF"/>
        </w:rPr>
      </w:pPr>
      <w:hyperlink r:id="rId158">
        <w:r>
          <w:rPr>
            <w:rFonts w:ascii="Arial" w:cs="Arial" w:eastAsia="Arial" w:hAnsi="Arial"/>
            <w:sz w:val="14"/>
            <w:szCs w:val="14"/>
            <w:u w:val="single" w:color="auto"/>
            <w:color w:val="0000FF"/>
          </w:rPr>
          <w:t>4.7</w:t>
        </w:r>
      </w:hyperlink>
      <w:r>
        <w:rPr>
          <w:rFonts w:ascii="Arial" w:cs="Arial" w:eastAsia="Arial" w:hAnsi="Arial"/>
          <w:sz w:val="14"/>
          <w:szCs w:val="14"/>
          <w:color w:val="0000FF"/>
        </w:rPr>
        <w:tab/>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91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540" w:right="120" w:hanging="343"/>
        <w:spacing w:after="0" w:line="219" w:lineRule="auto"/>
        <w:tabs>
          <w:tab w:leader="none" w:pos="1520" w:val="left"/>
        </w:tabs>
        <w:rPr>
          <w:rFonts w:ascii="Arial" w:cs="Arial" w:eastAsia="Arial" w:hAnsi="Arial"/>
          <w:sz w:val="14"/>
          <w:szCs w:val="14"/>
          <w:color w:val="0000FF"/>
        </w:rPr>
      </w:pPr>
      <w:hyperlink r:id="rId160">
        <w:r>
          <w:rPr>
            <w:rFonts w:ascii="Arial" w:cs="Arial" w:eastAsia="Arial" w:hAnsi="Arial"/>
            <w:sz w:val="14"/>
            <w:szCs w:val="14"/>
            <w:u w:val="single" w:color="auto"/>
            <w:color w:val="0000FF"/>
          </w:rPr>
          <w:t>4.8</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18" w:lineRule="exact"/>
        <w:rPr>
          <w:sz w:val="20"/>
          <w:szCs w:val="20"/>
          <w:color w:val="auto"/>
        </w:rPr>
      </w:pPr>
    </w:p>
    <w:p>
      <w:pPr>
        <w:ind w:left="1180"/>
        <w:spacing w:after="0"/>
        <w:tabs>
          <w:tab w:leader="none" w:pos="1520" w:val="left"/>
        </w:tabs>
        <w:rPr>
          <w:rFonts w:ascii="Arial" w:cs="Arial" w:eastAsia="Arial" w:hAnsi="Arial"/>
          <w:sz w:val="14"/>
          <w:szCs w:val="14"/>
          <w:color w:val="0000FF"/>
        </w:rPr>
      </w:pPr>
      <w:hyperlink r:id="rId160">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global note representing the Company’s 6.50% senior unsecured notes due 2025 (included in 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71995" cy="291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540" w:right="120" w:hanging="423"/>
        <w:spacing w:after="0" w:line="219" w:lineRule="auto"/>
        <w:tabs>
          <w:tab w:leader="none" w:pos="1520" w:val="left"/>
        </w:tabs>
        <w:rPr>
          <w:rFonts w:ascii="Arial" w:cs="Arial" w:eastAsia="Arial" w:hAnsi="Arial"/>
          <w:sz w:val="14"/>
          <w:szCs w:val="14"/>
          <w:color w:val="0000FF"/>
        </w:rPr>
      </w:pPr>
      <w:hyperlink r:id="rId162">
        <w:r>
          <w:rPr>
            <w:rFonts w:ascii="Arial" w:cs="Arial" w:eastAsia="Arial" w:hAnsi="Arial"/>
            <w:sz w:val="14"/>
            <w:szCs w:val="14"/>
            <w:u w:val="single" w:color="auto"/>
            <w:color w:val="0000FF"/>
          </w:rPr>
          <w:t>4.10</w:t>
        </w:r>
      </w:hyperlink>
      <w:r>
        <w:rPr>
          <w:rFonts w:ascii="Arial" w:cs="Arial" w:eastAsia="Arial" w:hAnsi="Arial"/>
          <w:sz w:val="14"/>
          <w:szCs w:val="14"/>
          <w:color w:val="0000FF"/>
        </w:rPr>
        <w:tab/>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18" w:lineRule="exact"/>
        <w:rPr>
          <w:sz w:val="20"/>
          <w:szCs w:val="20"/>
          <w:color w:val="auto"/>
        </w:rPr>
      </w:pPr>
    </w:p>
    <w:p>
      <w:pPr>
        <w:jc w:val="both"/>
        <w:ind w:left="1540" w:right="60" w:hanging="423"/>
        <w:spacing w:after="0" w:line="249" w:lineRule="auto"/>
        <w:tabs>
          <w:tab w:leader="none" w:pos="1520" w:val="left"/>
        </w:tabs>
        <w:rPr>
          <w:rFonts w:ascii="Arial" w:cs="Arial" w:eastAsia="Arial" w:hAnsi="Arial"/>
          <w:sz w:val="14"/>
          <w:szCs w:val="14"/>
          <w:color w:val="0000FF"/>
        </w:rPr>
      </w:pPr>
      <w:hyperlink r:id="rId163">
        <w:r>
          <w:rPr>
            <w:rFonts w:ascii="Arial" w:cs="Arial" w:eastAsia="Arial" w:hAnsi="Arial"/>
            <w:sz w:val="14"/>
            <w:szCs w:val="14"/>
            <w:u w:val="single" w:color="auto"/>
            <w:color w:val="0000FF"/>
          </w:rPr>
          <w:t>4.11</w:t>
        </w:r>
      </w:hyperlink>
      <w:r>
        <w:rPr>
          <w:rFonts w:ascii="Arial" w:cs="Arial" w:eastAsia="Arial" w:hAnsi="Arial"/>
          <w:sz w:val="14"/>
          <w:szCs w:val="14"/>
          <w:color w:val="0000FF"/>
        </w:rPr>
        <w:tab/>
        <w:t>Second Supplemental Indenture, dated December 23, 2020, between Fortress Transportation and Infrastructure Investors LLC and U.S. Bank National Association, as trustee, relating to the Company’s 6.50% senior unsecured notes due 2025 (incorporated by reference to Exhibit 4.1 of the Company’s Current Report on Form 8-K, filed on December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13335</wp:posOffset>
            </wp:positionV>
            <wp:extent cx="7071995"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spacing w:after="0" w:line="19" w:lineRule="exact"/>
        <w:rPr>
          <w:sz w:val="20"/>
          <w:szCs w:val="20"/>
          <w:color w:val="auto"/>
        </w:rPr>
      </w:pPr>
    </w:p>
    <w:p>
      <w:pPr>
        <w:ind w:left="1540" w:right="460" w:hanging="423"/>
        <w:spacing w:after="0" w:line="229" w:lineRule="auto"/>
        <w:tabs>
          <w:tab w:leader="none" w:pos="1520" w:val="left"/>
        </w:tabs>
        <w:rPr>
          <w:rFonts w:ascii="Arial" w:cs="Arial" w:eastAsia="Arial" w:hAnsi="Arial"/>
          <w:sz w:val="14"/>
          <w:szCs w:val="14"/>
          <w:color w:val="0000FF"/>
        </w:rPr>
      </w:pPr>
      <w:hyperlink r:id="rId165">
        <w:r>
          <w:rPr>
            <w:rFonts w:ascii="Arial" w:cs="Arial" w:eastAsia="Arial" w:hAnsi="Arial"/>
            <w:sz w:val="14"/>
            <w:szCs w:val="14"/>
            <w:u w:val="single" w:color="auto"/>
            <w:color w:val="0000FF"/>
          </w:rPr>
          <w:t>4.12</w:t>
        </w:r>
      </w:hyperlink>
      <w:r>
        <w:rPr>
          <w:rFonts w:ascii="Arial" w:cs="Arial" w:eastAsia="Arial" w:hAnsi="Arial"/>
          <w:sz w:val="14"/>
          <w:szCs w:val="14"/>
          <w:color w:val="0000FF"/>
        </w:rPr>
        <w:tab/>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17" w:lineRule="exact"/>
        <w:rPr>
          <w:sz w:val="20"/>
          <w:szCs w:val="20"/>
          <w:color w:val="auto"/>
        </w:rPr>
      </w:pPr>
    </w:p>
    <w:p>
      <w:pPr>
        <w:ind w:left="1540" w:right="500" w:hanging="423"/>
        <w:spacing w:after="0" w:line="258" w:lineRule="auto"/>
        <w:tabs>
          <w:tab w:leader="none" w:pos="1520" w:val="left"/>
        </w:tabs>
        <w:rPr>
          <w:rFonts w:ascii="Arial" w:cs="Arial" w:eastAsia="Arial" w:hAnsi="Arial"/>
          <w:sz w:val="14"/>
          <w:szCs w:val="14"/>
          <w:color w:val="0000FF"/>
        </w:rPr>
      </w:pPr>
      <w:hyperlink r:id="rId147">
        <w:r>
          <w:rPr>
            <w:rFonts w:ascii="Arial" w:cs="Arial" w:eastAsia="Arial" w:hAnsi="Arial"/>
            <w:sz w:val="14"/>
            <w:szCs w:val="14"/>
            <w:u w:val="single" w:color="auto"/>
            <w:color w:val="0000FF"/>
          </w:rPr>
          <w:t>4.13</w:t>
        </w:r>
      </w:hyperlink>
      <w:r>
        <w:rPr>
          <w:rFonts w:ascii="Arial" w:cs="Arial" w:eastAsia="Arial" w:hAnsi="Arial"/>
          <w:sz w:val="14"/>
          <w:szCs w:val="14"/>
          <w:color w:val="0000FF"/>
        </w:rPr>
        <w:tab/>
        <w:t>Form of certificate representing the 8.00% Fixed-to-Floating Rate Series B Cumulative Perpetual Redeemable Preferred Shares of Fortress Transportation and Infrastructure Investors LLC (incorporated by reference to Exhibit 4.1 to the Company’s Form 8-A, filed November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7071995" cy="240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12" w:lineRule="exact"/>
        <w:rPr>
          <w:sz w:val="20"/>
          <w:szCs w:val="20"/>
          <w:color w:val="auto"/>
        </w:rPr>
      </w:pPr>
    </w:p>
    <w:p>
      <w:pPr>
        <w:ind w:left="1540" w:hanging="423"/>
        <w:spacing w:after="0" w:line="258" w:lineRule="auto"/>
        <w:tabs>
          <w:tab w:leader="none" w:pos="1520" w:val="left"/>
        </w:tabs>
        <w:rPr>
          <w:rFonts w:ascii="Arial" w:cs="Arial" w:eastAsia="Arial" w:hAnsi="Arial"/>
          <w:sz w:val="14"/>
          <w:szCs w:val="14"/>
          <w:color w:val="0000FF"/>
        </w:rPr>
      </w:pPr>
      <w:hyperlink r:id="rId167">
        <w:r>
          <w:rPr>
            <w:rFonts w:ascii="Arial" w:cs="Arial" w:eastAsia="Arial" w:hAnsi="Arial"/>
            <w:sz w:val="14"/>
            <w:szCs w:val="14"/>
            <w:u w:val="single" w:color="auto"/>
            <w:color w:val="0000FF"/>
          </w:rPr>
          <w:t>4.14</w:t>
        </w:r>
      </w:hyperlink>
      <w:r>
        <w:rPr>
          <w:rFonts w:ascii="Arial" w:cs="Arial" w:eastAsia="Arial" w:hAnsi="Arial"/>
          <w:sz w:val="14"/>
          <w:szCs w:val="14"/>
          <w:color w:val="0000FF"/>
        </w:rPr>
        <w:tab/>
        <w:t>Description of Securities Registered under Section 12 of the Exchange Act (incorporated by reference to Exhibit 4.13 to the Company’s Form 10-K, filed February 28, 2020).</w:t>
      </w:r>
    </w:p>
    <w:p>
      <w:pPr>
        <w:spacing w:after="0" w:line="32" w:lineRule="exact"/>
        <w:rPr>
          <w:sz w:val="20"/>
          <w:szCs w:val="20"/>
          <w:color w:val="auto"/>
        </w:rPr>
      </w:pPr>
    </w:p>
    <w:p>
      <w:pPr>
        <w:ind w:left="1540" w:right="180" w:hanging="423"/>
        <w:spacing w:after="0" w:line="229" w:lineRule="auto"/>
        <w:tabs>
          <w:tab w:leader="none" w:pos="1520" w:val="left"/>
        </w:tabs>
        <w:rPr>
          <w:rFonts w:ascii="Arial" w:cs="Arial" w:eastAsia="Arial" w:hAnsi="Arial"/>
          <w:sz w:val="14"/>
          <w:szCs w:val="14"/>
          <w:color w:val="0000FF"/>
        </w:rPr>
      </w:pPr>
      <w:hyperlink r:id="rId168">
        <w:r>
          <w:rPr>
            <w:rFonts w:ascii="Arial" w:cs="Arial" w:eastAsia="Arial" w:hAnsi="Arial"/>
            <w:sz w:val="14"/>
            <w:szCs w:val="14"/>
            <w:u w:val="single" w:color="auto"/>
            <w:color w:val="0000FF"/>
          </w:rPr>
          <w:t>10.1</w:t>
        </w:r>
      </w:hyperlink>
      <w:r>
        <w:rPr>
          <w:rFonts w:ascii="Arial" w:cs="Arial" w:eastAsia="Arial" w:hAnsi="Arial"/>
          <w:sz w:val="14"/>
          <w:szCs w:val="14"/>
          <w:color w:val="0000FF"/>
        </w:rPr>
        <w:tab/>
        <w:t>Fourth Amended and Restated Partnership Agreement of Fortress Worldwide Transportation and Infrastructure General Partnership (incorporated by reference to Exhibit 10.1 of the Company's Current Report on Form 8-K, filed on 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540" w:right="380" w:hanging="1467"/>
        <w:spacing w:after="0" w:line="229" w:lineRule="auto"/>
        <w:tabs>
          <w:tab w:leader="none" w:pos="1116" w:val="left"/>
        </w:tabs>
        <w:numPr>
          <w:ilvl w:val="0"/>
          <w:numId w:val="45"/>
        </w:numPr>
        <w:rPr>
          <w:rFonts w:ascii="Arial" w:cs="Arial" w:eastAsia="Arial" w:hAnsi="Arial"/>
          <w:sz w:val="14"/>
          <w:szCs w:val="14"/>
          <w:color w:val="0000FF"/>
        </w:rPr>
      </w:pPr>
      <w:hyperlink r:id="rId170">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16" w:lineRule="exact"/>
        <w:rPr>
          <w:rFonts w:ascii="Arial" w:cs="Arial" w:eastAsia="Arial" w:hAnsi="Arial"/>
          <w:sz w:val="14"/>
          <w:szCs w:val="14"/>
          <w:color w:val="0000FF"/>
        </w:rPr>
      </w:pPr>
    </w:p>
    <w:p>
      <w:pPr>
        <w:ind w:left="1540" w:hanging="1467"/>
        <w:spacing w:after="0" w:line="219" w:lineRule="auto"/>
        <w:tabs>
          <w:tab w:leader="none" w:pos="1116" w:val="left"/>
        </w:tabs>
        <w:numPr>
          <w:ilvl w:val="0"/>
          <w:numId w:val="45"/>
        </w:numPr>
        <w:rPr>
          <w:rFonts w:ascii="Arial" w:cs="Arial" w:eastAsia="Arial" w:hAnsi="Arial"/>
          <w:sz w:val="14"/>
          <w:szCs w:val="14"/>
          <w:color w:val="0000FF"/>
        </w:rPr>
      </w:pPr>
      <w:hyperlink r:id="rId171">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18" w:lineRule="exact"/>
        <w:rPr>
          <w:rFonts w:ascii="Arial" w:cs="Arial" w:eastAsia="Arial" w:hAnsi="Arial"/>
          <w:sz w:val="14"/>
          <w:szCs w:val="14"/>
          <w:color w:val="0000FF"/>
        </w:rPr>
      </w:pPr>
    </w:p>
    <w:p>
      <w:pPr>
        <w:ind w:left="1540" w:right="20" w:hanging="1467"/>
        <w:spacing w:after="0" w:line="229" w:lineRule="auto"/>
        <w:tabs>
          <w:tab w:leader="none" w:pos="1116" w:val="left"/>
        </w:tabs>
        <w:numPr>
          <w:ilvl w:val="0"/>
          <w:numId w:val="45"/>
        </w:numPr>
        <w:rPr>
          <w:rFonts w:ascii="Arial" w:cs="Arial" w:eastAsia="Arial" w:hAnsi="Arial"/>
          <w:sz w:val="14"/>
          <w:szCs w:val="14"/>
          <w:color w:val="0000FF"/>
        </w:rPr>
      </w:pPr>
      <w:hyperlink r:id="rId172">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w:t>
      </w:r>
      <w:r>
        <w:rPr>
          <w:rFonts w:ascii="Arial" w:cs="Arial" w:eastAsia="Arial" w:hAnsi="Arial"/>
          <w:sz w:val="14"/>
          <w:szCs w:val="14"/>
          <w:color w:val="0000FF"/>
        </w:rPr>
        <w:t xml:space="preserve"> </w:t>
      </w:r>
      <w:r>
        <w:rPr>
          <w:rFonts w:ascii="Arial" w:cs="Arial" w:eastAsia="Arial" w:hAnsi="Arial"/>
          <w:sz w:val="14"/>
          <w:szCs w:val="14"/>
          <w:color w:val="000000"/>
        </w:rPr>
        <w:t>of 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39370</wp:posOffset>
            </wp:positionH>
            <wp:positionV relativeFrom="paragraph">
              <wp:posOffset>-205740</wp:posOffset>
            </wp:positionV>
            <wp:extent cx="7071995"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00"/>
        <w:spacing w:after="0" w:line="226" w:lineRule="auto"/>
        <w:tabs>
          <w:tab w:leader="none" w:pos="1520" w:val="left"/>
        </w:tabs>
        <w:rPr>
          <w:rFonts w:ascii="Arial" w:cs="Arial" w:eastAsia="Arial" w:hAnsi="Arial"/>
          <w:sz w:val="14"/>
          <w:szCs w:val="14"/>
          <w:color w:val="0000FF"/>
        </w:rPr>
      </w:pPr>
      <w:hyperlink r:id="rId174">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ind w:left="154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71" w:lineRule="exact"/>
        <w:rPr>
          <w:rFonts w:ascii="Arial" w:cs="Arial" w:eastAsia="Arial" w:hAnsi="Arial"/>
          <w:sz w:val="14"/>
          <w:szCs w:val="14"/>
          <w:color w:val="auto"/>
        </w:rPr>
      </w:pPr>
    </w:p>
    <w:p>
      <w:pPr>
        <w:jc w:val="center"/>
        <w:ind w:right="-79"/>
        <w:spacing w:after="0"/>
        <w:rPr>
          <w:sz w:val="20"/>
          <w:szCs w:val="20"/>
          <w:color w:val="auto"/>
        </w:rPr>
      </w:pPr>
      <w:r>
        <w:rPr>
          <w:rFonts w:ascii="Arial" w:cs="Arial" w:eastAsia="Arial" w:hAnsi="Arial"/>
          <w:sz w:val="14"/>
          <w:szCs w:val="14"/>
          <w:color w:val="auto"/>
        </w:rPr>
        <w:t>111</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112" w:name="page113"/>
    <w:bookmarkEnd w:id="112"/>
    <w:p>
      <w:pPr>
        <w:ind w:left="227"/>
        <w:spacing w:after="0"/>
        <w:tabs>
          <w:tab w:leader="none" w:pos="5866"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071995" cy="300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071995" cy="300355"/>
                    </a:xfrm>
                    <a:prstGeom prst="rect">
                      <a:avLst/>
                    </a:prstGeom>
                    <a:noFill/>
                  </pic:spPr>
                </pic:pic>
              </a:graphicData>
            </a:graphic>
          </wp:anchor>
        </w:drawing>
      </w:r>
    </w:p>
    <w:p>
      <w:pPr>
        <w:spacing w:after="0" w:line="40" w:lineRule="exact"/>
        <w:rPr>
          <w:sz w:val="20"/>
          <w:szCs w:val="20"/>
          <w:color w:val="auto"/>
        </w:rPr>
      </w:pPr>
    </w:p>
    <w:p>
      <w:pPr>
        <w:jc w:val="both"/>
        <w:ind w:left="1467" w:right="100" w:hanging="423"/>
        <w:spacing w:after="0" w:line="219" w:lineRule="auto"/>
        <w:tabs>
          <w:tab w:leader="none" w:pos="1446" w:val="left"/>
        </w:tabs>
        <w:rPr>
          <w:rFonts w:ascii="Arial" w:cs="Arial" w:eastAsia="Arial" w:hAnsi="Arial"/>
          <w:sz w:val="14"/>
          <w:szCs w:val="14"/>
          <w:color w:val="0000FF"/>
        </w:rPr>
      </w:pPr>
      <w:hyperlink r:id="rId177">
        <w:r>
          <w:rPr>
            <w:rFonts w:ascii="Arial" w:cs="Arial" w:eastAsia="Arial" w:hAnsi="Arial"/>
            <w:sz w:val="14"/>
            <w:szCs w:val="14"/>
            <w:u w:val="single" w:color="auto"/>
            <w:color w:val="0000FF"/>
          </w:rPr>
          <w:t>10.6</w:t>
        </w:r>
      </w:hyperlink>
      <w:r>
        <w:rPr>
          <w:rFonts w:ascii="Arial" w:cs="Arial" w:eastAsia="Arial" w:hAnsi="Arial"/>
          <w:sz w:val="14"/>
          <w:szCs w:val="14"/>
          <w:color w:val="0000FF"/>
        </w:rPr>
        <w:tab/>
        <w:t>Credit Agreement, dated June 16, 2017, among Fortress Transportation and Infrastructure Investors LLC, as Borrower, the lenders and issuing banks from time to time party thereto and JPMorgan Chase Bank, N.A., as Administrative Agent (incorporated by reference to Exhibit 10.1 of the Company’s Current Report on Form 8-K, filed on June 22, 2017).</w:t>
      </w:r>
    </w:p>
    <w:p>
      <w:pPr>
        <w:spacing w:after="0" w:line="18" w:lineRule="exact"/>
        <w:rPr>
          <w:sz w:val="20"/>
          <w:szCs w:val="20"/>
          <w:color w:val="auto"/>
        </w:rPr>
      </w:pPr>
    </w:p>
    <w:p>
      <w:pPr>
        <w:ind w:left="1467" w:hanging="423"/>
        <w:spacing w:after="0"/>
        <w:tabs>
          <w:tab w:leader="none" w:pos="1446" w:val="left"/>
        </w:tabs>
        <w:rPr>
          <w:rFonts w:ascii="Arial" w:cs="Arial" w:eastAsia="Arial" w:hAnsi="Arial"/>
          <w:sz w:val="14"/>
          <w:szCs w:val="14"/>
          <w:color w:val="0000FF"/>
        </w:rPr>
      </w:pPr>
      <w:hyperlink r:id="rId178">
        <w:r>
          <w:rPr>
            <w:rFonts w:ascii="Arial" w:cs="Arial" w:eastAsia="Arial" w:hAnsi="Arial"/>
            <w:sz w:val="14"/>
            <w:szCs w:val="14"/>
            <w:u w:val="single" w:color="auto"/>
            <w:color w:val="0000FF"/>
          </w:rPr>
          <w:t>10.7</w:t>
        </w:r>
      </w:hyperlink>
      <w:r>
        <w:rPr>
          <w:rFonts w:ascii="Arial" w:cs="Arial" w:eastAsia="Arial" w:hAnsi="Arial"/>
          <w:sz w:val="14"/>
          <w:szCs w:val="14"/>
          <w:color w:val="0000FF"/>
        </w:rPr>
        <w:tab/>
        <w:t>Credit Agreement Amendment No. 1, dated as of August 2, 2018, among Fortress Transportation and Infrastructure Investors LLC, as borrower, Fortress Worldwide Transportation and Infrastructure General Partnership, the lenders and issuing banks from time to time party thereto and JPMorgan Chase Bank, N.A., as administrative agent (incorporated by reference to Exhibit 10.15 of the Company’s Quarterly Report on Form 10-Q, filed on 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7071995" cy="3771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071995" cy="377190"/>
                    </a:xfrm>
                    <a:prstGeom prst="rect">
                      <a:avLst/>
                    </a:prstGeom>
                    <a:noFill/>
                  </pic:spPr>
                </pic:pic>
              </a:graphicData>
            </a:graphic>
          </wp:anchor>
        </w:drawing>
      </w:r>
    </w:p>
    <w:p>
      <w:pPr>
        <w:spacing w:after="0" w:line="91" w:lineRule="exact"/>
        <w:rPr>
          <w:sz w:val="20"/>
          <w:szCs w:val="20"/>
          <w:color w:val="auto"/>
        </w:rPr>
      </w:pPr>
    </w:p>
    <w:p>
      <w:pPr>
        <w:ind w:left="1467" w:right="140" w:hanging="423"/>
        <w:spacing w:after="0" w:line="215" w:lineRule="auto"/>
        <w:tabs>
          <w:tab w:leader="none" w:pos="1446" w:val="left"/>
        </w:tabs>
        <w:rPr>
          <w:rFonts w:ascii="Arial" w:cs="Arial" w:eastAsia="Arial" w:hAnsi="Arial"/>
          <w:sz w:val="14"/>
          <w:szCs w:val="14"/>
          <w:color w:val="0000FF"/>
        </w:rPr>
      </w:pPr>
      <w:hyperlink r:id="rId180">
        <w:r>
          <w:rPr>
            <w:rFonts w:ascii="Arial" w:cs="Arial" w:eastAsia="Arial" w:hAnsi="Arial"/>
            <w:sz w:val="14"/>
            <w:szCs w:val="14"/>
            <w:u w:val="single" w:color="auto"/>
            <w:color w:val="0000FF"/>
          </w:rPr>
          <w:t>10.8</w:t>
        </w:r>
      </w:hyperlink>
      <w:r>
        <w:rPr>
          <w:rFonts w:ascii="Arial" w:cs="Arial" w:eastAsia="Arial" w:hAnsi="Arial"/>
          <w:sz w:val="14"/>
          <w:szCs w:val="14"/>
          <w:color w:val="0000FF"/>
        </w:rPr>
        <w:tab/>
        <w:t>Credit Agreement Amendment No. 2 dated as of February 8,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February 11, 2019).</w:t>
      </w:r>
    </w:p>
    <w:p>
      <w:pPr>
        <w:spacing w:after="0" w:line="17" w:lineRule="exact"/>
        <w:rPr>
          <w:sz w:val="20"/>
          <w:szCs w:val="20"/>
          <w:color w:val="auto"/>
        </w:rPr>
      </w:pPr>
    </w:p>
    <w:p>
      <w:pPr>
        <w:ind w:left="1467" w:right="140" w:hanging="423"/>
        <w:spacing w:after="0" w:line="215" w:lineRule="auto"/>
        <w:tabs>
          <w:tab w:leader="none" w:pos="1446" w:val="left"/>
        </w:tabs>
        <w:rPr>
          <w:rFonts w:ascii="Arial" w:cs="Arial" w:eastAsia="Arial" w:hAnsi="Arial"/>
          <w:sz w:val="14"/>
          <w:szCs w:val="14"/>
          <w:color w:val="0000FF"/>
        </w:rPr>
      </w:pPr>
      <w:hyperlink r:id="rId181">
        <w:r>
          <w:rPr>
            <w:rFonts w:ascii="Arial" w:cs="Arial" w:eastAsia="Arial" w:hAnsi="Arial"/>
            <w:sz w:val="14"/>
            <w:szCs w:val="14"/>
            <w:u w:val="single" w:color="auto"/>
            <w:color w:val="0000FF"/>
          </w:rPr>
          <w:t>10.9</w:t>
        </w:r>
      </w:hyperlink>
      <w:r>
        <w:rPr>
          <w:rFonts w:ascii="Arial" w:cs="Arial" w:eastAsia="Arial" w:hAnsi="Arial"/>
          <w:sz w:val="14"/>
          <w:szCs w:val="14"/>
          <w:color w:val="0000FF"/>
        </w:rPr>
        <w:tab/>
        <w:t>Credit Agreement Amendment No. 3 dated as of August 6,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August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071995" cy="4457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071995" cy="445770"/>
                    </a:xfrm>
                    <a:prstGeom prst="rect">
                      <a:avLst/>
                    </a:prstGeom>
                    <a:noFill/>
                  </pic:spPr>
                </pic:pic>
              </a:graphicData>
            </a:graphic>
          </wp:anchor>
        </w:drawing>
      </w:r>
    </w:p>
    <w:p>
      <w:pPr>
        <w:ind w:left="1467" w:right="40" w:hanging="503"/>
        <w:spacing w:after="0" w:line="247" w:lineRule="auto"/>
        <w:tabs>
          <w:tab w:leader="none" w:pos="1446" w:val="left"/>
        </w:tabs>
        <w:rPr>
          <w:rFonts w:ascii="Arial" w:cs="Arial" w:eastAsia="Arial" w:hAnsi="Arial"/>
          <w:sz w:val="14"/>
          <w:szCs w:val="14"/>
          <w:color w:val="0000FF"/>
        </w:rPr>
      </w:pPr>
      <w:hyperlink r:id="rId183">
        <w:r>
          <w:rPr>
            <w:rFonts w:ascii="Arial" w:cs="Arial" w:eastAsia="Arial" w:hAnsi="Arial"/>
            <w:sz w:val="14"/>
            <w:szCs w:val="14"/>
            <w:u w:val="single" w:color="auto"/>
            <w:color w:val="0000FF"/>
          </w:rPr>
          <w:t>10.10</w:t>
        </w:r>
      </w:hyperlink>
      <w:r>
        <w:rPr>
          <w:rFonts w:ascii="Arial" w:cs="Arial" w:eastAsia="Arial" w:hAnsi="Arial"/>
          <w:sz w:val="14"/>
          <w:szCs w:val="14"/>
          <w:color w:val="0000FF"/>
        </w:rPr>
        <w:tab/>
        <w:t>Credit Agreement Amendment No. 4 dated as of May 11, 2020,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10.10 of the Company’s Quarterly Report on Form 10-Q, filed on July 31, 2020).</w:t>
      </w:r>
    </w:p>
    <w:p>
      <w:pPr>
        <w:spacing w:after="0" w:line="39" w:lineRule="exact"/>
        <w:rPr>
          <w:sz w:val="20"/>
          <w:szCs w:val="20"/>
          <w:color w:val="auto"/>
        </w:rPr>
      </w:pPr>
    </w:p>
    <w:p>
      <w:pPr>
        <w:ind w:left="1467" w:right="200" w:hanging="1467"/>
        <w:spacing w:after="0" w:line="229" w:lineRule="auto"/>
        <w:tabs>
          <w:tab w:leader="none" w:pos="963" w:val="left"/>
        </w:tabs>
        <w:numPr>
          <w:ilvl w:val="0"/>
          <w:numId w:val="46"/>
        </w:numPr>
        <w:rPr>
          <w:rFonts w:ascii="Arial" w:cs="Arial" w:eastAsia="Arial" w:hAnsi="Arial"/>
          <w:sz w:val="14"/>
          <w:szCs w:val="14"/>
          <w:color w:val="0000FF"/>
        </w:rPr>
      </w:pPr>
      <w:hyperlink r:id="rId184">
        <w:r>
          <w:rPr>
            <w:rFonts w:ascii="Arial" w:cs="Arial" w:eastAsia="Arial" w:hAnsi="Arial"/>
            <w:sz w:val="14"/>
            <w:szCs w:val="14"/>
            <w:u w:val="single" w:color="auto"/>
            <w:color w:val="0000FF"/>
          </w:rPr>
          <w:t>10.11</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16" w:lineRule="exact"/>
        <w:rPr>
          <w:rFonts w:ascii="Arial" w:cs="Arial" w:eastAsia="Arial" w:hAnsi="Arial"/>
          <w:sz w:val="14"/>
          <w:szCs w:val="14"/>
          <w:color w:val="0000FF"/>
        </w:rPr>
      </w:pPr>
    </w:p>
    <w:p>
      <w:pPr>
        <w:ind w:left="1467" w:right="100" w:hanging="1467"/>
        <w:spacing w:after="0" w:line="219" w:lineRule="auto"/>
        <w:tabs>
          <w:tab w:leader="none" w:pos="963" w:val="left"/>
        </w:tabs>
        <w:numPr>
          <w:ilvl w:val="0"/>
          <w:numId w:val="46"/>
        </w:numPr>
        <w:rPr>
          <w:rFonts w:ascii="Arial" w:cs="Arial" w:eastAsia="Arial" w:hAnsi="Arial"/>
          <w:sz w:val="14"/>
          <w:szCs w:val="14"/>
          <w:color w:val="0000FF"/>
        </w:rPr>
      </w:pPr>
      <w:hyperlink r:id="rId185">
        <w:r>
          <w:rPr>
            <w:rFonts w:ascii="Arial" w:cs="Arial" w:eastAsia="Arial" w:hAnsi="Arial"/>
            <w:sz w:val="14"/>
            <w:szCs w:val="14"/>
            <w:u w:val="single" w:color="auto"/>
            <w:color w:val="0000FF"/>
          </w:rPr>
          <w:t>10.12</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7071995" cy="291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67" w:right="60" w:hanging="503"/>
        <w:spacing w:after="0" w:line="219" w:lineRule="auto"/>
        <w:tabs>
          <w:tab w:leader="none" w:pos="1446" w:val="left"/>
        </w:tabs>
        <w:rPr>
          <w:rFonts w:ascii="Arial" w:cs="Arial" w:eastAsia="Arial" w:hAnsi="Arial"/>
          <w:sz w:val="14"/>
          <w:szCs w:val="14"/>
          <w:color w:val="0000FF"/>
        </w:rPr>
      </w:pPr>
      <w:hyperlink r:id="rId187">
        <w:r>
          <w:rPr>
            <w:rFonts w:ascii="Arial" w:cs="Arial" w:eastAsia="Arial" w:hAnsi="Arial"/>
            <w:sz w:val="14"/>
            <w:szCs w:val="14"/>
            <w:u w:val="single" w:color="auto"/>
            <w:color w:val="0000FF"/>
          </w:rPr>
          <w:t>10.13</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071995" cy="291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67" w:right="200" w:hanging="503"/>
        <w:spacing w:after="0" w:line="219" w:lineRule="auto"/>
        <w:tabs>
          <w:tab w:leader="none" w:pos="1446" w:val="left"/>
        </w:tabs>
        <w:rPr>
          <w:rFonts w:ascii="Arial" w:cs="Arial" w:eastAsia="Arial" w:hAnsi="Arial"/>
          <w:sz w:val="14"/>
          <w:szCs w:val="14"/>
          <w:color w:val="0000FF"/>
        </w:rPr>
      </w:pPr>
      <w:hyperlink r:id="rId189">
        <w:r>
          <w:rPr>
            <w:rFonts w:ascii="Arial" w:cs="Arial" w:eastAsia="Arial" w:hAnsi="Arial"/>
            <w:sz w:val="14"/>
            <w:szCs w:val="14"/>
            <w:u w:val="single" w:color="auto"/>
            <w:color w:val="0000FF"/>
          </w:rPr>
          <w:t>10.14</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18" w:lineRule="exact"/>
        <w:rPr>
          <w:rFonts w:ascii="Arial" w:cs="Arial" w:eastAsia="Arial" w:hAnsi="Arial"/>
          <w:sz w:val="14"/>
          <w:szCs w:val="14"/>
          <w:color w:val="auto"/>
        </w:rPr>
      </w:pPr>
    </w:p>
    <w:p>
      <w:pPr>
        <w:ind w:left="1467" w:right="580" w:hanging="1467"/>
        <w:spacing w:after="0" w:line="229" w:lineRule="auto"/>
        <w:tabs>
          <w:tab w:leader="none" w:pos="963" w:val="left"/>
        </w:tabs>
        <w:numPr>
          <w:ilvl w:val="0"/>
          <w:numId w:val="47"/>
        </w:numPr>
        <w:rPr>
          <w:rFonts w:ascii="Arial" w:cs="Arial" w:eastAsia="Arial" w:hAnsi="Arial"/>
          <w:sz w:val="14"/>
          <w:szCs w:val="14"/>
          <w:color w:val="0000FF"/>
        </w:rPr>
      </w:pPr>
      <w:hyperlink r:id="rId190">
        <w:r>
          <w:rPr>
            <w:rFonts w:ascii="Arial" w:cs="Arial" w:eastAsia="Arial" w:hAnsi="Arial"/>
            <w:sz w:val="14"/>
            <w:szCs w:val="14"/>
            <w:u w:val="single" w:color="auto"/>
            <w:color w:val="0000FF"/>
          </w:rPr>
          <w:t>10.15</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071995" cy="3429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ind w:left="1467" w:hanging="503"/>
        <w:spacing w:after="0" w:line="249" w:lineRule="auto"/>
        <w:tabs>
          <w:tab w:leader="none" w:pos="1446" w:val="left"/>
        </w:tabs>
        <w:rPr>
          <w:rFonts w:ascii="Arial" w:cs="Arial" w:eastAsia="Arial" w:hAnsi="Arial"/>
          <w:sz w:val="14"/>
          <w:szCs w:val="14"/>
          <w:color w:val="0000FF"/>
        </w:rPr>
      </w:pPr>
      <w:hyperlink r:id="rId192">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dated as of February 11, 2020, among Jefferson 2020 Bond Borrower LLC, as the borrower and Fortress Transportation and Infrastructure Investors LLC, acting through one or more affiliates, as the lender (incorporated by reference to Exhibit 10.15 of the Company’s Quarterly Report on Form 10-Q, filed on May 1, 2020).</w:t>
      </w:r>
    </w:p>
    <w:p>
      <w:pPr>
        <w:spacing w:after="0" w:line="39" w:lineRule="exact"/>
        <w:rPr>
          <w:rFonts w:ascii="Arial" w:cs="Arial" w:eastAsia="Arial" w:hAnsi="Arial"/>
          <w:sz w:val="14"/>
          <w:szCs w:val="14"/>
          <w:color w:val="auto"/>
        </w:rPr>
      </w:pPr>
    </w:p>
    <w:p>
      <w:pPr>
        <w:ind w:left="1467" w:right="20" w:hanging="503"/>
        <w:spacing w:after="0" w:line="249" w:lineRule="auto"/>
        <w:tabs>
          <w:tab w:leader="none" w:pos="1446" w:val="left"/>
        </w:tabs>
        <w:rPr>
          <w:rFonts w:ascii="Arial" w:cs="Arial" w:eastAsia="Arial" w:hAnsi="Arial"/>
          <w:sz w:val="14"/>
          <w:szCs w:val="14"/>
          <w:color w:val="0000FF"/>
        </w:rPr>
      </w:pPr>
      <w:hyperlink r:id="rId193">
        <w:r>
          <w:rPr>
            <w:rFonts w:ascii="Arial" w:cs="Arial" w:eastAsia="Arial" w:hAnsi="Arial"/>
            <w:sz w:val="14"/>
            <w:szCs w:val="14"/>
            <w:u w:val="single" w:color="auto"/>
            <w:color w:val="0000FF"/>
          </w:rPr>
          <w:t>10.17</w:t>
        </w:r>
      </w:hyperlink>
      <w:r>
        <w:rPr>
          <w:rFonts w:ascii="Arial" w:cs="Arial" w:eastAsia="Arial" w:hAnsi="Arial"/>
          <w:sz w:val="14"/>
          <w:szCs w:val="14"/>
          <w:color w:val="0000FF"/>
        </w:rPr>
        <w:tab/>
        <w:t>Senior Loan Agreement, dated as of February 1, 2020, between Port of Beaumont Navigation District of Jefferson County, Texas, as issuer and Jefferson 2020 Bond Borrower LLC, as borrower (incorporated by reference to Exhibit 10.16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3429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67" w:right="40" w:hanging="503"/>
        <w:spacing w:after="0" w:line="249" w:lineRule="auto"/>
        <w:tabs>
          <w:tab w:leader="none" w:pos="1446" w:val="left"/>
        </w:tabs>
        <w:rPr>
          <w:rFonts w:ascii="Arial" w:cs="Arial" w:eastAsia="Arial" w:hAnsi="Arial"/>
          <w:sz w:val="14"/>
          <w:szCs w:val="14"/>
          <w:color w:val="0000FF"/>
        </w:rPr>
      </w:pPr>
      <w:hyperlink r:id="rId195">
        <w:r>
          <w:rPr>
            <w:rFonts w:ascii="Arial" w:cs="Arial" w:eastAsia="Arial" w:hAnsi="Arial"/>
            <w:sz w:val="14"/>
            <w:szCs w:val="14"/>
            <w:u w:val="single" w:color="auto"/>
            <w:color w:val="0000FF"/>
          </w:rPr>
          <w:t>10.18</w:t>
        </w:r>
      </w:hyperlink>
      <w:r>
        <w:rPr>
          <w:rFonts w:ascii="Arial" w:cs="Arial" w:eastAsia="Arial" w:hAnsi="Arial"/>
          <w:sz w:val="14"/>
          <w:szCs w:val="14"/>
          <w:color w:val="0000FF"/>
        </w:rPr>
        <w:tab/>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the Company’s Quarterly Report on Form 10-Q, filed on May 1, 2020).</w:t>
      </w:r>
    </w:p>
    <w:p>
      <w:pPr>
        <w:spacing w:after="0" w:line="39" w:lineRule="exact"/>
        <w:rPr>
          <w:rFonts w:ascii="Arial" w:cs="Arial" w:eastAsia="Arial" w:hAnsi="Arial"/>
          <w:sz w:val="14"/>
          <w:szCs w:val="14"/>
          <w:color w:val="auto"/>
        </w:rPr>
      </w:pPr>
    </w:p>
    <w:p>
      <w:pPr>
        <w:ind w:left="1467" w:right="100" w:hanging="503"/>
        <w:spacing w:after="0" w:line="249" w:lineRule="auto"/>
        <w:tabs>
          <w:tab w:leader="none" w:pos="1446" w:val="left"/>
        </w:tabs>
        <w:rPr>
          <w:rFonts w:ascii="Arial" w:cs="Arial" w:eastAsia="Arial" w:hAnsi="Arial"/>
          <w:sz w:val="14"/>
          <w:szCs w:val="14"/>
          <w:color w:val="0000FF"/>
        </w:rPr>
      </w:pPr>
      <w:hyperlink r:id="rId196">
        <w:r>
          <w:rPr>
            <w:rFonts w:ascii="Arial" w:cs="Arial" w:eastAsia="Arial" w:hAnsi="Arial"/>
            <w:sz w:val="14"/>
            <w:szCs w:val="14"/>
            <w:u w:val="single" w:color="auto"/>
            <w:color w:val="0000FF"/>
          </w:rPr>
          <w:t>10.19</w:t>
        </w:r>
      </w:hyperlink>
      <w:r>
        <w:rPr>
          <w:rFonts w:ascii="Arial" w:cs="Arial" w:eastAsia="Arial" w:hAnsi="Arial"/>
          <w:sz w:val="14"/>
          <w:szCs w:val="14"/>
          <w:color w:val="0000FF"/>
        </w:rPr>
        <w:tab/>
        <w:t>Amended and Restated Lease and Development Agreement, effective as of January 1, 2020, by and between Port of Beaumont Navigation District of Jefferson County, Texas, as lessor, and Jefferson 2020 Bond Lessee LLC, as lessee (incorporated by reference to Exhibit 10.18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120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027"/>
        <w:spacing w:after="0"/>
        <w:tabs>
          <w:tab w:leader="none" w:pos="1446" w:val="left"/>
        </w:tabs>
        <w:rPr>
          <w:rFonts w:ascii="Arial" w:cs="Arial" w:eastAsia="Arial" w:hAnsi="Arial"/>
          <w:sz w:val="14"/>
          <w:szCs w:val="14"/>
          <w:color w:val="0000FF"/>
        </w:rPr>
      </w:pPr>
      <w:hyperlink w:anchor="page116">
        <w:r>
          <w:rPr>
            <w:rFonts w:ascii="Arial" w:cs="Arial" w:eastAsia="Arial" w:hAnsi="Arial"/>
            <w:sz w:val="14"/>
            <w:szCs w:val="14"/>
            <w:u w:val="single" w:color="auto"/>
            <w:color w:val="0000FF"/>
          </w:rPr>
          <w:t>21.1</w:t>
        </w:r>
      </w:hyperlink>
      <w:r>
        <w:rPr>
          <w:rFonts w:ascii="Arial" w:cs="Arial" w:eastAsia="Arial" w:hAnsi="Arial"/>
          <w:sz w:val="14"/>
          <w:szCs w:val="14"/>
          <w:color w:val="0000FF"/>
        </w:rPr>
        <w:tab/>
        <w:t>Subsidiaries of Fortress Transportation and Infrastructure Investors LLC.</w:t>
      </w:r>
    </w:p>
    <w:p>
      <w:pPr>
        <w:spacing w:after="0" w:line="28" w:lineRule="exact"/>
        <w:rPr>
          <w:rFonts w:ascii="Arial" w:cs="Arial" w:eastAsia="Arial" w:hAnsi="Arial"/>
          <w:sz w:val="14"/>
          <w:szCs w:val="14"/>
          <w:color w:val="auto"/>
        </w:rPr>
      </w:pPr>
    </w:p>
    <w:p>
      <w:pPr>
        <w:ind w:left="1027"/>
        <w:spacing w:after="0"/>
        <w:tabs>
          <w:tab w:leader="none" w:pos="1446" w:val="left"/>
        </w:tabs>
        <w:rPr>
          <w:rFonts w:ascii="Arial" w:cs="Arial" w:eastAsia="Arial" w:hAnsi="Arial"/>
          <w:sz w:val="14"/>
          <w:szCs w:val="14"/>
          <w:color w:val="0000FF"/>
        </w:rPr>
      </w:pPr>
      <w:hyperlink w:anchor="page119">
        <w:r>
          <w:rPr>
            <w:rFonts w:ascii="Arial" w:cs="Arial" w:eastAsia="Arial" w:hAnsi="Arial"/>
            <w:sz w:val="14"/>
            <w:szCs w:val="14"/>
            <w:u w:val="single" w:color="auto"/>
            <w:color w:val="0000FF"/>
          </w:rPr>
          <w:t>23.1</w:t>
        </w:r>
      </w:hyperlink>
      <w:r>
        <w:rPr>
          <w:rFonts w:ascii="Arial" w:cs="Arial" w:eastAsia="Arial" w:hAnsi="Arial"/>
          <w:sz w:val="14"/>
          <w:szCs w:val="14"/>
          <w:color w:val="0000FF"/>
        </w:rPr>
        <w:tab/>
        <w:t>Consent of Independent Registered Public Accounting Firm.</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7071995"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ind w:left="1027"/>
        <w:spacing w:after="0"/>
        <w:tabs>
          <w:tab w:leader="none" w:pos="1446" w:val="left"/>
        </w:tabs>
        <w:rPr>
          <w:rFonts w:ascii="Arial" w:cs="Arial" w:eastAsia="Arial" w:hAnsi="Arial"/>
          <w:sz w:val="14"/>
          <w:szCs w:val="14"/>
          <w:color w:val="0000FF"/>
        </w:rPr>
      </w:pPr>
      <w:hyperlink w:anchor="page120">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28" w:lineRule="exact"/>
        <w:rPr>
          <w:rFonts w:ascii="Arial" w:cs="Arial" w:eastAsia="Arial" w:hAnsi="Arial"/>
          <w:sz w:val="14"/>
          <w:szCs w:val="14"/>
          <w:color w:val="auto"/>
        </w:rPr>
      </w:pPr>
    </w:p>
    <w:p>
      <w:pPr>
        <w:ind w:left="1027"/>
        <w:spacing w:after="0"/>
        <w:tabs>
          <w:tab w:leader="none" w:pos="1446" w:val="left"/>
        </w:tabs>
        <w:rPr>
          <w:rFonts w:ascii="Arial" w:cs="Arial" w:eastAsia="Arial" w:hAnsi="Arial"/>
          <w:sz w:val="14"/>
          <w:szCs w:val="14"/>
          <w:color w:val="0000FF"/>
        </w:rPr>
      </w:pPr>
      <w:hyperlink w:anchor="page121">
        <w:r>
          <w:rPr>
            <w:rFonts w:ascii="Arial" w:cs="Arial" w:eastAsia="Arial" w:hAnsi="Arial"/>
            <w:sz w:val="14"/>
            <w:szCs w:val="14"/>
            <w:u w:val="single" w:color="auto"/>
            <w:color w:val="0000FF"/>
          </w:rPr>
          <w:t>31.2</w:t>
        </w:r>
      </w:hyperlink>
      <w:r>
        <w:rPr>
          <w:rFonts w:ascii="Arial" w:cs="Arial" w:eastAsia="Arial" w:hAnsi="Arial"/>
          <w:sz w:val="14"/>
          <w:szCs w:val="14"/>
          <w:color w:val="0000FF"/>
        </w:rPr>
        <w:tab/>
        <w:t>Certification of Chief Financial Officer pursuant to Rule 13a-14(a)/15d-14(a), as adopted pursuant to Section 302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7071995"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ind w:left="1027"/>
        <w:spacing w:after="0"/>
        <w:tabs>
          <w:tab w:leader="none" w:pos="1446" w:val="left"/>
        </w:tabs>
        <w:rPr>
          <w:rFonts w:ascii="Arial" w:cs="Arial" w:eastAsia="Arial" w:hAnsi="Arial"/>
          <w:sz w:val="14"/>
          <w:szCs w:val="14"/>
          <w:color w:val="0000FF"/>
        </w:rPr>
      </w:pPr>
      <w:hyperlink w:anchor="page122">
        <w:r>
          <w:rPr>
            <w:rFonts w:ascii="Arial" w:cs="Arial" w:eastAsia="Arial" w:hAnsi="Arial"/>
            <w:sz w:val="14"/>
            <w:szCs w:val="14"/>
            <w:u w:val="single" w:color="auto"/>
            <w:color w:val="0000FF"/>
          </w:rPr>
          <w:t>32.1</w:t>
        </w:r>
      </w:hyperlink>
      <w:r>
        <w:rPr>
          <w:rFonts w:ascii="Arial" w:cs="Arial" w:eastAsia="Arial" w:hAnsi="Arial"/>
          <w:sz w:val="14"/>
          <w:szCs w:val="14"/>
          <w:color w:val="0000FF"/>
        </w:rPr>
        <w:tab/>
        <w:t>Certification of Chief Executive Officer pursuant to 18 U.S.C. Section 1350, as adopted pursuant to Section 906 of the Sarbanes-Oxley Act of 2002.</w:t>
      </w:r>
    </w:p>
    <w:p>
      <w:pPr>
        <w:spacing w:after="0" w:line="28" w:lineRule="exact"/>
        <w:rPr>
          <w:rFonts w:ascii="Arial" w:cs="Arial" w:eastAsia="Arial" w:hAnsi="Arial"/>
          <w:sz w:val="14"/>
          <w:szCs w:val="14"/>
          <w:color w:val="auto"/>
        </w:rPr>
      </w:pPr>
    </w:p>
    <w:p>
      <w:pPr>
        <w:ind w:left="1027"/>
        <w:spacing w:after="0"/>
        <w:tabs>
          <w:tab w:leader="none" w:pos="1446" w:val="left"/>
        </w:tabs>
        <w:rPr>
          <w:rFonts w:ascii="Arial" w:cs="Arial" w:eastAsia="Arial" w:hAnsi="Arial"/>
          <w:sz w:val="14"/>
          <w:szCs w:val="14"/>
          <w:color w:val="0000FF"/>
        </w:rPr>
      </w:pPr>
      <w:hyperlink w:anchor="page123">
        <w:r>
          <w:rPr>
            <w:rFonts w:ascii="Arial" w:cs="Arial" w:eastAsia="Arial" w:hAnsi="Arial"/>
            <w:sz w:val="14"/>
            <w:szCs w:val="14"/>
            <w:u w:val="single" w:color="auto"/>
            <w:color w:val="0000FF"/>
          </w:rPr>
          <w:t>32.2</w:t>
        </w:r>
      </w:hyperlink>
      <w:r>
        <w:rPr>
          <w:rFonts w:ascii="Arial" w:cs="Arial" w:eastAsia="Arial" w:hAnsi="Arial"/>
          <w:sz w:val="14"/>
          <w:szCs w:val="14"/>
          <w:color w:val="0000FF"/>
        </w:rPr>
        <w:tab/>
        <w:t>Certification of Chief Financial Officer pursuant to 18 U.S.C. Section 1350, as adopted pursuant to Section 906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7071995" cy="3771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071995" cy="377190"/>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ind w:left="1467" w:hanging="442"/>
        <w:spacing w:after="0" w:line="215" w:lineRule="auto"/>
        <w:tabs>
          <w:tab w:leader="none" w:pos="1467"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Annual Report on Form 10-K for the year ended December 31, 2020, formatted in iXBRL (Inline Extensible Business Reporting Language): (i) Consolidated Balance Sheets; (ii) Consolidated Statements of Operations; (iii) Consolidated Statements of Comprehensive (Loss) Income; (iv) Consolidated Statements of Changes in Equity; (v) Consolidated Statements of Cash Flows; and (vi) Notes to Consolidated Financial Statements.</w:t>
      </w:r>
    </w:p>
    <w:p>
      <w:pPr>
        <w:spacing w:after="0" w:line="17" w:lineRule="exact"/>
        <w:rPr>
          <w:rFonts w:ascii="Arial" w:cs="Arial" w:eastAsia="Arial" w:hAnsi="Arial"/>
          <w:sz w:val="14"/>
          <w:szCs w:val="14"/>
          <w:color w:val="auto"/>
        </w:rPr>
      </w:pPr>
    </w:p>
    <w:p>
      <w:pPr>
        <w:ind w:left="1467" w:hanging="442"/>
        <w:spacing w:after="0"/>
        <w:tabs>
          <w:tab w:leader="none" w:pos="1467" w:val="left"/>
        </w:tabs>
        <w:numPr>
          <w:ilvl w:val="1"/>
          <w:numId w:val="49"/>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14" w:lineRule="exact"/>
        <w:rPr>
          <w:rFonts w:ascii="Arial" w:cs="Arial" w:eastAsia="Arial" w:hAnsi="Arial"/>
          <w:sz w:val="14"/>
          <w:szCs w:val="14"/>
          <w:color w:val="auto"/>
        </w:rPr>
      </w:pPr>
    </w:p>
    <w:p>
      <w:pPr>
        <w:ind w:left="227" w:hanging="227"/>
        <w:spacing w:after="0"/>
        <w:tabs>
          <w:tab w:leader="none" w:pos="227"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-104140</wp:posOffset>
            </wp:positionV>
            <wp:extent cx="7071995"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5" w:lineRule="exact"/>
        <w:rPr>
          <w:rFonts w:ascii="Arial" w:cs="Arial" w:eastAsia="Arial" w:hAnsi="Arial"/>
          <w:sz w:val="14"/>
          <w:szCs w:val="14"/>
          <w:color w:val="auto"/>
        </w:rPr>
      </w:pPr>
    </w:p>
    <w:p>
      <w:pPr>
        <w:jc w:val="center"/>
        <w:ind w:right="-26"/>
        <w:spacing w:after="0"/>
        <w:rPr>
          <w:sz w:val="20"/>
          <w:szCs w:val="20"/>
          <w:color w:val="auto"/>
        </w:rPr>
      </w:pPr>
      <w:r>
        <w:rPr>
          <w:rFonts w:ascii="Arial" w:cs="Arial" w:eastAsia="Arial" w:hAnsi="Arial"/>
          <w:sz w:val="14"/>
          <w:szCs w:val="14"/>
          <w:color w:val="auto"/>
        </w:rPr>
        <w:t>112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-40640</wp:posOffset>
            </wp:positionH>
            <wp:positionV relativeFrom="paragraph">
              <wp:posOffset>66040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7"/>
          </w:cols>
          <w:pgMar w:left="393" w:top="1085" w:right="439" w:bottom="1440" w:gutter="0" w:footer="0" w:header="0"/>
        </w:sectPr>
      </w:pPr>
    </w:p>
    <w:bookmarkStart w:id="113" w:name="page114"/>
    <w:bookmarkEnd w:id="113"/>
    <w:p>
      <w:pPr>
        <w:ind w:left="300"/>
        <w:spacing w:after="0"/>
        <w:tabs>
          <w:tab w:leader="none" w:pos="5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707199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6" w:lineRule="exact"/>
        <w:rPr>
          <w:sz w:val="20"/>
          <w:szCs w:val="20"/>
          <w:color w:val="auto"/>
        </w:rPr>
      </w:pPr>
    </w:p>
    <w:p>
      <w:pPr>
        <w:ind w:left="300" w:hanging="227"/>
        <w:spacing w:after="0"/>
        <w:tabs>
          <w:tab w:leader="none" w:pos="30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16. Form 10-K Summary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5"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48" w:lineRule="exact"/>
        <w:rPr>
          <w:sz w:val="20"/>
          <w:szCs w:val="20"/>
          <w:color w:val="auto"/>
        </w:rPr>
      </w:pPr>
    </w:p>
    <w:p>
      <w:pPr>
        <w:ind w:left="20"/>
        <w:spacing w:after="0"/>
        <w:tabs>
          <w:tab w:leader="none" w:pos="540" w:val="left"/>
          <w:tab w:leader="none" w:pos="8100" w:val="left"/>
          <w:tab w:leader="none" w:pos="100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Joseph P. Adams, Jr.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6350</wp:posOffset>
            </wp:positionV>
            <wp:extent cx="31800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Joseph P. Adams, Jr.</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Chairman and Chief Executive Officer</w:t>
      </w:r>
    </w:p>
    <w:p>
      <w:pPr>
        <w:spacing w:after="0" w:line="200" w:lineRule="exact"/>
        <w:rPr>
          <w:sz w:val="20"/>
          <w:szCs w:val="20"/>
          <w:color w:val="auto"/>
        </w:rPr>
      </w:pPr>
    </w:p>
    <w:p>
      <w:pPr>
        <w:spacing w:after="0" w:line="3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P. Adams, Jr.</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2021</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Joseph P. Adams, Jr.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Scott Christopher</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2021</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Scott Christopher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Eun Nam</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2021</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Eun Nam</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Chief Accounting Officer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Paul R. Goodwin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2021</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Paul R. Goodwin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Judith A. Hannaway</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2021</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Judith A. Hannaway</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 Andrew Levison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2021</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A. Andrew Levison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Kenneth J. Nicholson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2021</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Kenneth J. Nicholson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Ray M. Robinson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2021</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Ray M. Robinson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17"/>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Martin Tuchman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2021</w:t>
            </w:r>
          </w:p>
        </w:tc>
      </w:tr>
      <w:tr>
        <w:trPr>
          <w:trHeight w:val="184"/>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Martin Tuchman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40"/>
          </w:cols>
          <w:pgMar w:left="320" w:top="931"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6"/>
                <w:szCs w:val="16"/>
                <w:b w:val="1"/>
                <w:bCs w:val="1"/>
                <w:color w:val="auto"/>
              </w:rPr>
              <w:t>Exhibit 21.1</w:t>
            </w:r>
          </w:p>
        </w:tc>
      </w:tr>
      <w:tr>
        <w:trPr>
          <w:trHeight w:val="208"/>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626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State of Incorporation/Formation</w:t>
            </w:r>
          </w:p>
        </w:tc>
      </w:tr>
      <w:tr>
        <w:trPr>
          <w:trHeight w:val="183"/>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1ASL Bermuda Ltd.</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Bermuda</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AirOpCo 1ET Bermuda Ltd.</w:t>
            </w:r>
          </w:p>
        </w:tc>
        <w:tc>
          <w:tcPr>
            <w:tcW w:w="6260" w:type="dxa"/>
            <w:vAlign w:val="bottom"/>
          </w:tcPr>
          <w:p>
            <w:pPr>
              <w:ind w:left="2720"/>
              <w:spacing w:after="0"/>
              <w:rPr>
                <w:sz w:val="20"/>
                <w:szCs w:val="20"/>
                <w:color w:val="auto"/>
              </w:rPr>
            </w:pPr>
            <w:r>
              <w:rPr>
                <w:rFonts w:ascii="Arial" w:cs="Arial" w:eastAsia="Arial" w:hAnsi="Arial"/>
                <w:sz w:val="14"/>
                <w:szCs w:val="14"/>
                <w:color w:val="auto"/>
              </w:rPr>
              <w:t>Bermuda</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1JT Bermuda Ltd.</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Bermuda</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AirOpCo 2 UZ Ireland DAC</w:t>
            </w:r>
          </w:p>
        </w:tc>
        <w:tc>
          <w:tcPr>
            <w:tcW w:w="6260" w:type="dxa"/>
            <w:vAlign w:val="bottom"/>
          </w:tcPr>
          <w:p>
            <w:pPr>
              <w:ind w:left="2720"/>
              <w:spacing w:after="0"/>
              <w:rPr>
                <w:sz w:val="20"/>
                <w:szCs w:val="20"/>
                <w:color w:val="auto"/>
              </w:rPr>
            </w:pPr>
            <w:r>
              <w:rPr>
                <w:rFonts w:ascii="Arial" w:cs="Arial" w:eastAsia="Arial" w:hAnsi="Arial"/>
                <w:sz w:val="14"/>
                <w:szCs w:val="14"/>
                <w:color w:val="auto"/>
              </w:rPr>
              <w:t>Ireland</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I SD Ireland DAC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Ireland</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AirOpCo II KO Ireland DAC</w:t>
            </w:r>
          </w:p>
        </w:tc>
        <w:tc>
          <w:tcPr>
            <w:tcW w:w="6260" w:type="dxa"/>
            <w:vAlign w:val="bottom"/>
          </w:tcPr>
          <w:p>
            <w:pPr>
              <w:ind w:left="2720"/>
              <w:spacing w:after="0"/>
              <w:rPr>
                <w:sz w:val="20"/>
                <w:szCs w:val="20"/>
                <w:color w:val="auto"/>
              </w:rPr>
            </w:pPr>
            <w:r>
              <w:rPr>
                <w:rFonts w:ascii="Arial" w:cs="Arial" w:eastAsia="Arial" w:hAnsi="Arial"/>
                <w:sz w:val="14"/>
                <w:szCs w:val="14"/>
                <w:color w:val="auto"/>
              </w:rPr>
              <w:t>Ireland</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II ME Ireland DAC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Ireland</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CL Lender LLC</w:t>
            </w:r>
          </w:p>
        </w:tc>
        <w:tc>
          <w:tcPr>
            <w:tcW w:w="6260" w:type="dxa"/>
            <w:vAlign w:val="bottom"/>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 River Partners Holdco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Delaware River Partners LLC</w:t>
            </w:r>
          </w:p>
        </w:tc>
        <w:tc>
          <w:tcPr>
            <w:tcW w:w="6260" w:type="dxa"/>
            <w:vAlign w:val="bottom"/>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Trading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DRP Urban Renewal 1, LLC</w:t>
            </w:r>
          </w:p>
        </w:tc>
        <w:tc>
          <w:tcPr>
            <w:tcW w:w="6260" w:type="dxa"/>
            <w:vAlign w:val="bottom"/>
          </w:tcPr>
          <w:p>
            <w:pPr>
              <w:ind w:left="2720"/>
              <w:spacing w:after="0"/>
              <w:rPr>
                <w:sz w:val="20"/>
                <w:szCs w:val="20"/>
                <w:color w:val="auto"/>
              </w:rPr>
            </w:pPr>
            <w:r>
              <w:rPr>
                <w:rFonts w:ascii="Arial" w:cs="Arial" w:eastAsia="Arial" w:hAnsi="Arial"/>
                <w:sz w:val="14"/>
                <w:szCs w:val="14"/>
                <w:color w:val="auto"/>
              </w:rPr>
              <w:t>New Jersey</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Urban Renewal 2,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New Jersey</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DRP Urban Renewal 3, LLC</w:t>
            </w:r>
          </w:p>
        </w:tc>
        <w:tc>
          <w:tcPr>
            <w:tcW w:w="6260" w:type="dxa"/>
            <w:vAlign w:val="bottom"/>
          </w:tcPr>
          <w:p>
            <w:pPr>
              <w:ind w:left="2720"/>
              <w:spacing w:after="0"/>
              <w:rPr>
                <w:sz w:val="20"/>
                <w:szCs w:val="20"/>
                <w:color w:val="auto"/>
              </w:rPr>
            </w:pPr>
            <w:r>
              <w:rPr>
                <w:rFonts w:ascii="Arial" w:cs="Arial" w:eastAsia="Arial" w:hAnsi="Arial"/>
                <w:sz w:val="14"/>
                <w:szCs w:val="14"/>
                <w:color w:val="auto"/>
              </w:rPr>
              <w:t>New Jersey</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Fortress Worldwide Transportation and Infrastructure General Partnership</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AirOpCo UK Ltd.</w:t>
            </w:r>
          </w:p>
        </w:tc>
        <w:tc>
          <w:tcPr>
            <w:tcW w:w="6260" w:type="dxa"/>
            <w:vAlign w:val="bottom"/>
          </w:tcPr>
          <w:p>
            <w:pPr>
              <w:ind w:left="2720"/>
              <w:spacing w:after="0"/>
              <w:rPr>
                <w:sz w:val="20"/>
                <w:szCs w:val="20"/>
                <w:color w:val="auto"/>
              </w:rPr>
            </w:pPr>
            <w:r>
              <w:rPr>
                <w:rFonts w:ascii="Arial" w:cs="Arial" w:eastAsia="Arial" w:hAnsi="Arial"/>
                <w:sz w:val="14"/>
                <w:szCs w:val="14"/>
                <w:color w:val="auto"/>
              </w:rPr>
              <w:t>England and Wales</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Avion DAC</w:t>
            </w:r>
          </w:p>
        </w:tc>
        <w:tc>
          <w:tcPr>
            <w:tcW w:w="6260" w:type="dxa"/>
            <w:vAlign w:val="bottom"/>
          </w:tcPr>
          <w:p>
            <w:pPr>
              <w:ind w:left="2720"/>
              <w:spacing w:after="0"/>
              <w:rPr>
                <w:sz w:val="20"/>
                <w:szCs w:val="20"/>
                <w:color w:val="auto"/>
              </w:rPr>
            </w:pPr>
            <w:r>
              <w:rPr>
                <w:rFonts w:ascii="Arial" w:cs="Arial" w:eastAsia="Arial" w:hAnsi="Arial"/>
                <w:sz w:val="14"/>
                <w:szCs w:val="14"/>
                <w:color w:val="auto"/>
              </w:rPr>
              <w:t>Ireland</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CHR JV Holdings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Energy Co 1 Ltd. (process of dissolution – postponed by KK)</w:t>
            </w:r>
          </w:p>
        </w:tc>
        <w:tc>
          <w:tcPr>
            <w:tcW w:w="6260" w:type="dxa"/>
            <w:vAlign w:val="bottom"/>
          </w:tcPr>
          <w:p>
            <w:pPr>
              <w:ind w:left="2720"/>
              <w:spacing w:after="0"/>
              <w:rPr>
                <w:sz w:val="20"/>
                <w:szCs w:val="20"/>
                <w:color w:val="auto"/>
              </w:rPr>
            </w:pPr>
            <w:r>
              <w:rPr>
                <w:rFonts w:ascii="Arial" w:cs="Arial" w:eastAsia="Arial" w:hAnsi="Arial"/>
                <w:sz w:val="14"/>
                <w:szCs w:val="14"/>
                <w:color w:val="auto"/>
              </w:rPr>
              <w:t>Bermuda</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Co1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Energy Development Holdings LLC</w:t>
            </w:r>
          </w:p>
        </w:tc>
        <w:tc>
          <w:tcPr>
            <w:tcW w:w="6260" w:type="dxa"/>
            <w:vAlign w:val="bottom"/>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Downstream Holdings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Energy Holdings LLC</w:t>
            </w:r>
          </w:p>
        </w:tc>
        <w:tc>
          <w:tcPr>
            <w:tcW w:w="6260" w:type="dxa"/>
            <w:vAlign w:val="bottom"/>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Marketing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Energy Partners LLC</w:t>
            </w:r>
          </w:p>
        </w:tc>
        <w:tc>
          <w:tcPr>
            <w:tcW w:w="6260" w:type="dxa"/>
            <w:vAlign w:val="bottom"/>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Finance Holdco Ltd.</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Cayman Islands</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Finance JV LLC</w:t>
            </w:r>
          </w:p>
        </w:tc>
        <w:tc>
          <w:tcPr>
            <w:tcW w:w="6260" w:type="dxa"/>
            <w:vAlign w:val="bottom"/>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Italia DAC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Ireland</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IES Pioneer Ltd.</w:t>
            </w:r>
          </w:p>
        </w:tc>
        <w:tc>
          <w:tcPr>
            <w:tcW w:w="6260" w:type="dxa"/>
            <w:vAlign w:val="bottom"/>
          </w:tcPr>
          <w:p>
            <w:pPr>
              <w:ind w:left="2720"/>
              <w:spacing w:after="0"/>
              <w:rPr>
                <w:sz w:val="20"/>
                <w:szCs w:val="20"/>
                <w:color w:val="auto"/>
              </w:rPr>
            </w:pPr>
            <w:r>
              <w:rPr>
                <w:rFonts w:ascii="Arial" w:cs="Arial" w:eastAsia="Arial" w:hAnsi="Arial"/>
                <w:sz w:val="14"/>
                <w:szCs w:val="14"/>
                <w:color w:val="auto"/>
              </w:rPr>
              <w:t>Malaysia</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Midstream GP Holdings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Midstream GP LLC</w:t>
            </w:r>
          </w:p>
        </w:tc>
        <w:tc>
          <w:tcPr>
            <w:tcW w:w="6260" w:type="dxa"/>
            <w:vAlign w:val="bottom"/>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Midstream Holdings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Ocean LLC</w:t>
            </w:r>
          </w:p>
        </w:tc>
        <w:tc>
          <w:tcPr>
            <w:tcW w:w="6260" w:type="dxa"/>
            <w:vAlign w:val="bottom"/>
          </w:tcPr>
          <w:p>
            <w:pPr>
              <w:ind w:left="2720"/>
              <w:spacing w:after="0"/>
              <w:rPr>
                <w:sz w:val="20"/>
                <w:szCs w:val="20"/>
                <w:color w:val="auto"/>
              </w:rPr>
            </w:pPr>
            <w:r>
              <w:rPr>
                <w:rFonts w:ascii="Arial" w:cs="Arial" w:eastAsia="Arial" w:hAnsi="Arial"/>
                <w:sz w:val="14"/>
                <w:szCs w:val="14"/>
                <w:color w:val="auto"/>
              </w:rPr>
              <w:t>Marshall Islands</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Holdco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Ocean Pty Ltd.</w:t>
            </w:r>
          </w:p>
        </w:tc>
        <w:tc>
          <w:tcPr>
            <w:tcW w:w="6260" w:type="dxa"/>
            <w:vAlign w:val="bottom"/>
          </w:tcPr>
          <w:p>
            <w:pPr>
              <w:ind w:left="2720"/>
              <w:spacing w:after="0"/>
              <w:rPr>
                <w:sz w:val="20"/>
                <w:szCs w:val="20"/>
                <w:color w:val="auto"/>
              </w:rPr>
            </w:pPr>
            <w:r>
              <w:rPr>
                <w:rFonts w:ascii="Arial" w:cs="Arial" w:eastAsia="Arial" w:hAnsi="Arial"/>
                <w:sz w:val="14"/>
                <w:szCs w:val="14"/>
                <w:color w:val="auto"/>
              </w:rPr>
              <w:t>Australia</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Holdings L.P.</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Cayman Islands</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Offshore Pte Ltd.</w:t>
            </w:r>
          </w:p>
        </w:tc>
        <w:tc>
          <w:tcPr>
            <w:tcW w:w="6260" w:type="dxa"/>
            <w:vAlign w:val="bottom"/>
          </w:tcPr>
          <w:p>
            <w:pPr>
              <w:ind w:left="2720"/>
              <w:spacing w:after="0"/>
              <w:rPr>
                <w:sz w:val="20"/>
                <w:szCs w:val="20"/>
                <w:color w:val="auto"/>
              </w:rPr>
            </w:pPr>
            <w:r>
              <w:rPr>
                <w:rFonts w:ascii="Arial" w:cs="Arial" w:eastAsia="Arial" w:hAnsi="Arial"/>
                <w:sz w:val="14"/>
                <w:szCs w:val="14"/>
                <w:color w:val="auto"/>
              </w:rPr>
              <w:t>Singapore</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Partners Holdings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Pioneer Malaysia Shareholder LLC</w:t>
            </w:r>
          </w:p>
        </w:tc>
        <w:tc>
          <w:tcPr>
            <w:tcW w:w="6260" w:type="dxa"/>
            <w:vAlign w:val="bottom"/>
          </w:tcPr>
          <w:p>
            <w:pPr>
              <w:ind w:left="2720"/>
              <w:spacing w:after="0"/>
              <w:rPr>
                <w:sz w:val="20"/>
                <w:szCs w:val="20"/>
                <w:color w:val="auto"/>
              </w:rPr>
            </w:pPr>
            <w:r>
              <w:rPr>
                <w:rFonts w:ascii="Arial" w:cs="Arial" w:eastAsia="Arial" w:hAnsi="Arial"/>
                <w:sz w:val="14"/>
                <w:szCs w:val="14"/>
                <w:color w:val="auto"/>
              </w:rPr>
              <w:t>Delaware</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Marshall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Marshall Islands</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Pioneer Singapore Pte Ltd.</w:t>
            </w:r>
          </w:p>
        </w:tc>
        <w:tc>
          <w:tcPr>
            <w:tcW w:w="6260" w:type="dxa"/>
            <w:vAlign w:val="bottom"/>
          </w:tcPr>
          <w:p>
            <w:pPr>
              <w:ind w:left="2720"/>
              <w:spacing w:after="0"/>
              <w:rPr>
                <w:sz w:val="20"/>
                <w:szCs w:val="20"/>
                <w:color w:val="auto"/>
              </w:rPr>
            </w:pPr>
            <w:r>
              <w:rPr>
                <w:rFonts w:ascii="Arial" w:cs="Arial" w:eastAsia="Arial" w:hAnsi="Arial"/>
                <w:sz w:val="14"/>
                <w:szCs w:val="14"/>
                <w:color w:val="auto"/>
              </w:rPr>
              <w:t>Singapore</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MI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Marshall Islands</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Pioneer SDN Bhd</w:t>
            </w:r>
          </w:p>
        </w:tc>
        <w:tc>
          <w:tcPr>
            <w:tcW w:w="6260" w:type="dxa"/>
            <w:vAlign w:val="bottom"/>
          </w:tcPr>
          <w:p>
            <w:pPr>
              <w:ind w:left="2720"/>
              <w:spacing w:after="0"/>
              <w:rPr>
                <w:sz w:val="20"/>
                <w:szCs w:val="20"/>
                <w:color w:val="auto"/>
              </w:rPr>
            </w:pPr>
            <w:r>
              <w:rPr>
                <w:rFonts w:ascii="Arial" w:cs="Arial" w:eastAsia="Arial" w:hAnsi="Arial"/>
                <w:sz w:val="14"/>
                <w:szCs w:val="14"/>
                <w:color w:val="auto"/>
              </w:rPr>
              <w:t>Malaysia</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Chartering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Marshall Islands</w:t>
            </w:r>
          </w:p>
        </w:tc>
      </w:tr>
      <w:tr>
        <w:trPr>
          <w:trHeight w:val="189"/>
        </w:trPr>
        <w:tc>
          <w:tcPr>
            <w:tcW w:w="4920" w:type="dxa"/>
            <w:vAlign w:val="bottom"/>
          </w:tcPr>
          <w:p>
            <w:pPr>
              <w:ind w:left="20"/>
              <w:spacing w:after="0"/>
              <w:rPr>
                <w:sz w:val="20"/>
                <w:szCs w:val="20"/>
                <w:color w:val="auto"/>
              </w:rPr>
            </w:pPr>
            <w:r>
              <w:rPr>
                <w:rFonts w:ascii="Arial" w:cs="Arial" w:eastAsia="Arial" w:hAnsi="Arial"/>
                <w:sz w:val="14"/>
                <w:szCs w:val="14"/>
                <w:color w:val="auto"/>
              </w:rPr>
              <w:t>FTAI Pride Labuan Ltd.</w:t>
            </w:r>
          </w:p>
        </w:tc>
        <w:tc>
          <w:tcPr>
            <w:tcW w:w="6260" w:type="dxa"/>
            <w:vAlign w:val="bottom"/>
          </w:tcPr>
          <w:p>
            <w:pPr>
              <w:ind w:left="2720"/>
              <w:spacing w:after="0"/>
              <w:rPr>
                <w:sz w:val="20"/>
                <w:szCs w:val="20"/>
                <w:color w:val="auto"/>
              </w:rPr>
            </w:pPr>
            <w:r>
              <w:rPr>
                <w:rFonts w:ascii="Arial" w:cs="Arial" w:eastAsia="Arial" w:hAnsi="Arial"/>
                <w:sz w:val="14"/>
                <w:szCs w:val="14"/>
                <w:color w:val="auto"/>
              </w:rPr>
              <w:t>Malaysia</w:t>
            </w:r>
          </w:p>
        </w:tc>
      </w:tr>
      <w:tr>
        <w:trPr>
          <w:trHeight w:val="18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LLC</w:t>
            </w:r>
          </w:p>
        </w:tc>
        <w:tc>
          <w:tcPr>
            <w:tcW w:w="6260" w:type="dxa"/>
            <w:vAlign w:val="bottom"/>
            <w:shd w:val="clear" w:color="auto" w:fill="CCEEFF"/>
          </w:tcPr>
          <w:p>
            <w:pPr>
              <w:ind w:left="2720"/>
              <w:spacing w:after="0"/>
              <w:rPr>
                <w:sz w:val="20"/>
                <w:szCs w:val="20"/>
                <w:color w:val="auto"/>
              </w:rPr>
            </w:pPr>
            <w:r>
              <w:rPr>
                <w:rFonts w:ascii="Arial" w:cs="Arial" w:eastAsia="Arial" w:hAnsi="Arial"/>
                <w:sz w:val="14"/>
                <w:szCs w:val="14"/>
                <w:color w:val="auto"/>
              </w:rPr>
              <w:t>Marshall Islands</w:t>
            </w:r>
          </w:p>
        </w:tc>
      </w:tr>
    </w:tbl>
    <w:p>
      <w:pPr>
        <w:sectPr>
          <w:pgSz w:w="11900" w:h="16838" w:orient="portrait"/>
          <w:cols w:equalWidth="0" w:num="1">
            <w:col w:w="11180"/>
          </w:cols>
          <w:pgMar w:left="360" w:top="891" w:right="35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530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State of Incorporation/Formation</w:t>
            </w:r>
          </w:p>
        </w:tc>
      </w:tr>
      <w:tr>
        <w:trPr>
          <w:trHeight w:val="183"/>
        </w:trPr>
        <w:tc>
          <w:tcPr>
            <w:tcW w:w="5880" w:type="dxa"/>
            <w:vAlign w:val="bottom"/>
          </w:tcPr>
          <w:p>
            <w:pPr>
              <w:ind w:left="20"/>
              <w:spacing w:after="0"/>
              <w:rPr>
                <w:sz w:val="20"/>
                <w:szCs w:val="20"/>
                <w:color w:val="auto"/>
              </w:rPr>
            </w:pPr>
            <w:r>
              <w:rPr>
                <w:rFonts w:ascii="Arial" w:cs="Arial" w:eastAsia="Arial" w:hAnsi="Arial"/>
                <w:sz w:val="14"/>
                <w:szCs w:val="14"/>
                <w:color w:val="auto"/>
              </w:rPr>
              <w:t>FTAI Pride Malaysia SDN BHD</w:t>
            </w:r>
          </w:p>
        </w:tc>
        <w:tc>
          <w:tcPr>
            <w:tcW w:w="5300" w:type="dxa"/>
            <w:vAlign w:val="bottom"/>
          </w:tcPr>
          <w:p>
            <w:pPr>
              <w:ind w:left="1760"/>
              <w:spacing w:after="0"/>
              <w:rPr>
                <w:sz w:val="20"/>
                <w:szCs w:val="20"/>
                <w:color w:val="auto"/>
              </w:rPr>
            </w:pPr>
            <w:r>
              <w:rPr>
                <w:rFonts w:ascii="Arial" w:cs="Arial" w:eastAsia="Arial" w:hAnsi="Arial"/>
                <w:sz w:val="14"/>
                <w:szCs w:val="14"/>
                <w:color w:val="auto"/>
              </w:rPr>
              <w:t>Malaysia</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Railcar Holdings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FTAI Subsea 88 Ltd.</w:t>
            </w:r>
          </w:p>
        </w:tc>
        <w:tc>
          <w:tcPr>
            <w:tcW w:w="5300" w:type="dxa"/>
            <w:vAlign w:val="bottom"/>
          </w:tcPr>
          <w:p>
            <w:pPr>
              <w:ind w:left="1760"/>
              <w:spacing w:after="0"/>
              <w:rPr>
                <w:sz w:val="20"/>
                <w:szCs w:val="20"/>
                <w:color w:val="auto"/>
              </w:rPr>
            </w:pPr>
            <w:r>
              <w:rPr>
                <w:rFonts w:ascii="Arial" w:cs="Arial" w:eastAsia="Arial" w:hAnsi="Arial"/>
                <w:sz w:val="14"/>
                <w:szCs w:val="14"/>
                <w:color w:val="auto"/>
              </w:rPr>
              <w:t>Bermuda</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High Turbine Technologies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Intermodal Finance 1 Ltd.</w:t>
            </w:r>
          </w:p>
        </w:tc>
        <w:tc>
          <w:tcPr>
            <w:tcW w:w="5300" w:type="dxa"/>
            <w:vAlign w:val="bottom"/>
          </w:tcPr>
          <w:p>
            <w:pPr>
              <w:ind w:left="1760"/>
              <w:spacing w:after="0"/>
              <w:rPr>
                <w:sz w:val="20"/>
                <w:szCs w:val="20"/>
                <w:color w:val="auto"/>
              </w:rPr>
            </w:pPr>
            <w:r>
              <w:rPr>
                <w:rFonts w:ascii="Arial" w:cs="Arial" w:eastAsia="Arial" w:hAnsi="Arial"/>
                <w:sz w:val="14"/>
                <w:szCs w:val="14"/>
                <w:color w:val="auto"/>
              </w:rPr>
              <w:t>Cayman Islands</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JCCOM Holdco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2010 Bond Holdings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2012 Bond Holdings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2020 Bond Borrower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2020 Bond Lessee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Canadian Crude Oil Marketing ULC</w:t>
            </w:r>
          </w:p>
        </w:tc>
        <w:tc>
          <w:tcPr>
            <w:tcW w:w="5300" w:type="dxa"/>
            <w:vAlign w:val="bottom"/>
          </w:tcPr>
          <w:p>
            <w:pPr>
              <w:ind w:left="1760"/>
              <w:spacing w:after="0"/>
              <w:rPr>
                <w:sz w:val="20"/>
                <w:szCs w:val="20"/>
                <w:color w:val="auto"/>
              </w:rPr>
            </w:pPr>
            <w:r>
              <w:rPr>
                <w:rFonts w:ascii="Arial" w:cs="Arial" w:eastAsia="Arial" w:hAnsi="Arial"/>
                <w:sz w:val="14"/>
                <w:szCs w:val="14"/>
                <w:color w:val="auto"/>
              </w:rPr>
              <w:t>Canada</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Cross Channel Pipeline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Docks I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DRE Liabilities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Energy Canada ULC</w:t>
            </w:r>
          </w:p>
        </w:tc>
        <w:tc>
          <w:tcPr>
            <w:tcW w:w="5300" w:type="dxa"/>
            <w:vAlign w:val="bottom"/>
          </w:tcPr>
          <w:p>
            <w:pPr>
              <w:ind w:left="1760"/>
              <w:spacing w:after="0"/>
              <w:rPr>
                <w:sz w:val="20"/>
                <w:szCs w:val="20"/>
                <w:color w:val="auto"/>
              </w:rPr>
            </w:pPr>
            <w:r>
              <w:rPr>
                <w:rFonts w:ascii="Arial" w:cs="Arial" w:eastAsia="Arial" w:hAnsi="Arial"/>
                <w:sz w:val="14"/>
                <w:szCs w:val="14"/>
                <w:color w:val="auto"/>
              </w:rPr>
              <w:t>Canada</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Energy Canco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Energy Marketing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Ethanol Holdings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Gas Processing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Connector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Gulf Coast Energy Holdings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Energy Partners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Gulf Coast Management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Real Estate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Investment Holdings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LNG Holdings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Pipeline I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Railport Terminal I (Texas)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Texas</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Railport Terminal I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Railport Terminal II Holdings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Railport Terminal II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Southern Star Pipeline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Storage I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Terminal Logistics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Jefferson Truck Terminal I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JGC Investment Holdings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JGC Management Holdings Inc.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JGP Energy Partners LLC (f/k/a Jefferson Ethanol Partners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KAT Holdco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Katahdin Railcar Services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La Victoire Holdings Sarl</w:t>
            </w:r>
          </w:p>
        </w:tc>
        <w:tc>
          <w:tcPr>
            <w:tcW w:w="5300" w:type="dxa"/>
            <w:vAlign w:val="bottom"/>
          </w:tcPr>
          <w:p>
            <w:pPr>
              <w:ind w:left="1760"/>
              <w:spacing w:after="0"/>
              <w:rPr>
                <w:sz w:val="20"/>
                <w:szCs w:val="20"/>
                <w:color w:val="auto"/>
              </w:rPr>
            </w:pPr>
            <w:r>
              <w:rPr>
                <w:rFonts w:ascii="Arial" w:cs="Arial" w:eastAsia="Arial" w:hAnsi="Arial"/>
                <w:sz w:val="14"/>
                <w:szCs w:val="14"/>
                <w:color w:val="auto"/>
              </w:rPr>
              <w:t>France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Energy Generation LLC f/k/a Ohio Powerco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Long Ridge Terminal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Gasco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Ohio River Partners Finance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River Partners Holdco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Ohio River Partners Shareholder LLC</w:t>
            </w:r>
          </w:p>
        </w:tc>
        <w:tc>
          <w:tcPr>
            <w:tcW w:w="5300" w:type="dxa"/>
            <w:vAlign w:val="bottom"/>
          </w:tcPr>
          <w:p>
            <w:pPr>
              <w:ind w:left="1760"/>
              <w:spacing w:after="0"/>
              <w:rPr>
                <w:sz w:val="20"/>
                <w:szCs w:val="20"/>
                <w:color w:val="auto"/>
              </w:rPr>
            </w:pPr>
            <w:r>
              <w:rPr>
                <w:rFonts w:ascii="Arial" w:cs="Arial" w:eastAsia="Arial" w:hAnsi="Arial"/>
                <w:sz w:val="14"/>
                <w:szCs w:val="14"/>
                <w:color w:val="auto"/>
              </w:rPr>
              <w:t>Delaware</w:t>
            </w: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River PP Holdco LLC</w:t>
            </w:r>
          </w:p>
        </w:tc>
        <w:tc>
          <w:tcPr>
            <w:tcW w:w="5300" w:type="dxa"/>
            <w:vAlign w:val="bottom"/>
            <w:shd w:val="clear" w:color="auto" w:fill="CCEEFF"/>
          </w:tcPr>
          <w:p>
            <w:pPr>
              <w:ind w:left="176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180"/>
          </w:cols>
          <w:pgMar w:left="360" w:top="936" w:right="35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52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State of Incorporation/Formation</w:t>
            </w:r>
          </w:p>
        </w:tc>
      </w:tr>
      <w:tr>
        <w:trPr>
          <w:trHeight w:val="183"/>
        </w:trPr>
        <w:tc>
          <w:tcPr>
            <w:tcW w:w="5900" w:type="dxa"/>
            <w:vAlign w:val="bottom"/>
          </w:tcPr>
          <w:p>
            <w:pPr>
              <w:ind w:left="20"/>
              <w:spacing w:after="0"/>
              <w:rPr>
                <w:sz w:val="20"/>
                <w:szCs w:val="20"/>
                <w:color w:val="auto"/>
              </w:rPr>
            </w:pPr>
            <w:r>
              <w:rPr>
                <w:rFonts w:ascii="Arial" w:cs="Arial" w:eastAsia="Arial" w:hAnsi="Arial"/>
                <w:sz w:val="14"/>
                <w:szCs w:val="14"/>
                <w:color w:val="auto"/>
              </w:rPr>
              <w:t>WWTAI AirOpCo 1 USA Sub LLC</w:t>
            </w:r>
          </w:p>
        </w:tc>
        <w:tc>
          <w:tcPr>
            <w:tcW w:w="5280" w:type="dxa"/>
            <w:vAlign w:val="bottom"/>
          </w:tcPr>
          <w:p>
            <w:pPr>
              <w:ind w:left="1740"/>
              <w:spacing w:after="0"/>
              <w:rPr>
                <w:sz w:val="20"/>
                <w:szCs w:val="20"/>
                <w:color w:val="auto"/>
              </w:rPr>
            </w:pPr>
            <w:r>
              <w:rPr>
                <w:rFonts w:ascii="Arial" w:cs="Arial" w:eastAsia="Arial" w:hAnsi="Arial"/>
                <w:sz w:val="14"/>
                <w:szCs w:val="14"/>
                <w:color w:val="auto"/>
              </w:rPr>
              <w:t>Delaware</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1Bermuda Ltd.</w:t>
            </w:r>
          </w:p>
        </w:tc>
        <w:tc>
          <w:tcPr>
            <w:tcW w:w="528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Bermuda</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WWTAI AirOpCo 2 Bermuda Ltd.</w:t>
            </w:r>
          </w:p>
        </w:tc>
        <w:tc>
          <w:tcPr>
            <w:tcW w:w="5280" w:type="dxa"/>
            <w:vAlign w:val="bottom"/>
          </w:tcPr>
          <w:p>
            <w:pPr>
              <w:ind w:left="1740"/>
              <w:spacing w:after="0"/>
              <w:rPr>
                <w:sz w:val="20"/>
                <w:szCs w:val="20"/>
                <w:color w:val="auto"/>
              </w:rPr>
            </w:pPr>
            <w:r>
              <w:rPr>
                <w:rFonts w:ascii="Arial" w:cs="Arial" w:eastAsia="Arial" w:hAnsi="Arial"/>
                <w:sz w:val="14"/>
                <w:szCs w:val="14"/>
                <w:color w:val="auto"/>
              </w:rPr>
              <w:t>Bermuda</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2 USA LLC</w:t>
            </w:r>
          </w:p>
        </w:tc>
        <w:tc>
          <w:tcPr>
            <w:tcW w:w="528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Delaware</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WWTAI AirOpCo 3 Bermuda Ltd.</w:t>
            </w:r>
          </w:p>
        </w:tc>
        <w:tc>
          <w:tcPr>
            <w:tcW w:w="5280" w:type="dxa"/>
            <w:vAlign w:val="bottom"/>
          </w:tcPr>
          <w:p>
            <w:pPr>
              <w:ind w:left="1740"/>
              <w:spacing w:after="0"/>
              <w:rPr>
                <w:sz w:val="20"/>
                <w:szCs w:val="20"/>
                <w:color w:val="auto"/>
              </w:rPr>
            </w:pPr>
            <w:r>
              <w:rPr>
                <w:rFonts w:ascii="Arial" w:cs="Arial" w:eastAsia="Arial" w:hAnsi="Arial"/>
                <w:sz w:val="14"/>
                <w:szCs w:val="14"/>
                <w:color w:val="auto"/>
              </w:rPr>
              <w:t>Bermuda</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BPA Ireland Limited</w:t>
            </w:r>
          </w:p>
        </w:tc>
        <w:tc>
          <w:tcPr>
            <w:tcW w:w="528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Ireland</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WWTAI AirOpCo I USA LLC</w:t>
            </w:r>
          </w:p>
        </w:tc>
        <w:tc>
          <w:tcPr>
            <w:tcW w:w="5280" w:type="dxa"/>
            <w:vAlign w:val="bottom"/>
          </w:tcPr>
          <w:p>
            <w:pPr>
              <w:ind w:left="1740"/>
              <w:spacing w:after="0"/>
              <w:rPr>
                <w:sz w:val="20"/>
                <w:szCs w:val="20"/>
                <w:color w:val="auto"/>
              </w:rPr>
            </w:pPr>
            <w:r>
              <w:rPr>
                <w:rFonts w:ascii="Arial" w:cs="Arial" w:eastAsia="Arial" w:hAnsi="Arial"/>
                <w:sz w:val="14"/>
                <w:szCs w:val="14"/>
                <w:color w:val="auto"/>
              </w:rPr>
              <w:t>Delaware</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II DAC</w:t>
            </w:r>
          </w:p>
        </w:tc>
        <w:tc>
          <w:tcPr>
            <w:tcW w:w="528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Ireland</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WWTAI AirOpCo Malta Limited</w:t>
            </w:r>
          </w:p>
        </w:tc>
        <w:tc>
          <w:tcPr>
            <w:tcW w:w="5280" w:type="dxa"/>
            <w:vAlign w:val="bottom"/>
          </w:tcPr>
          <w:p>
            <w:pPr>
              <w:ind w:left="1740"/>
              <w:spacing w:after="0"/>
              <w:rPr>
                <w:sz w:val="20"/>
                <w:szCs w:val="20"/>
                <w:color w:val="auto"/>
              </w:rPr>
            </w:pPr>
            <w:r>
              <w:rPr>
                <w:rFonts w:ascii="Arial" w:cs="Arial" w:eastAsia="Arial" w:hAnsi="Arial"/>
                <w:sz w:val="14"/>
                <w:szCs w:val="14"/>
                <w:color w:val="auto"/>
              </w:rPr>
              <w:t>Malta</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Container 1 Ltd.</w:t>
            </w:r>
          </w:p>
        </w:tc>
        <w:tc>
          <w:tcPr>
            <w:tcW w:w="528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Bermuda</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WWTAI Container Holdco Ltd. (f/k/a WWTAI Container GP 1 Ltd.)</w:t>
            </w:r>
          </w:p>
        </w:tc>
        <w:tc>
          <w:tcPr>
            <w:tcW w:w="5280" w:type="dxa"/>
            <w:vAlign w:val="bottom"/>
          </w:tcPr>
          <w:p>
            <w:pPr>
              <w:ind w:left="1740"/>
              <w:spacing w:after="0"/>
              <w:rPr>
                <w:sz w:val="20"/>
                <w:szCs w:val="20"/>
                <w:color w:val="auto"/>
              </w:rPr>
            </w:pPr>
            <w:r>
              <w:rPr>
                <w:rFonts w:ascii="Arial" w:cs="Arial" w:eastAsia="Arial" w:hAnsi="Arial"/>
                <w:sz w:val="14"/>
                <w:szCs w:val="14"/>
                <w:color w:val="auto"/>
              </w:rPr>
              <w:t>Bermuda</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Finance Ltd.</w:t>
            </w:r>
          </w:p>
        </w:tc>
        <w:tc>
          <w:tcPr>
            <w:tcW w:w="528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Bermuda</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WWTAI IES MT6015 Ltd.</w:t>
            </w:r>
          </w:p>
        </w:tc>
        <w:tc>
          <w:tcPr>
            <w:tcW w:w="5280" w:type="dxa"/>
            <w:vAlign w:val="bottom"/>
          </w:tcPr>
          <w:p>
            <w:pPr>
              <w:ind w:left="1740"/>
              <w:spacing w:after="0"/>
              <w:rPr>
                <w:sz w:val="20"/>
                <w:szCs w:val="20"/>
                <w:color w:val="auto"/>
              </w:rPr>
            </w:pPr>
            <w:r>
              <w:rPr>
                <w:rFonts w:ascii="Arial" w:cs="Arial" w:eastAsia="Arial" w:hAnsi="Arial"/>
                <w:sz w:val="14"/>
                <w:szCs w:val="14"/>
                <w:color w:val="auto"/>
              </w:rPr>
              <w:t>Malaysia</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Offshore Co 1 Ltd.</w:t>
            </w:r>
          </w:p>
        </w:tc>
        <w:tc>
          <w:tcPr>
            <w:tcW w:w="528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Bermuda</w:t>
            </w:r>
          </w:p>
        </w:tc>
      </w:tr>
    </w:tbl>
    <w:p>
      <w:pPr>
        <w:sectPr>
          <w:pgSz w:w="11900" w:h="16838" w:orient="portrait"/>
          <w:cols w:equalWidth="0" w:num="1">
            <w:col w:w="11180"/>
          </w:cols>
          <w:pgMar w:left="360" w:top="936" w:right="35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6"/>
          <w:szCs w:val="16"/>
          <w:b w:val="1"/>
          <w:bCs w:val="1"/>
          <w:color w:val="333333"/>
        </w:rPr>
        <w:t>EXHIBIT 23.1</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consent to the incorporation by reference in the Registration Statement (Form S-3 No. 333-236770) of Fortress Transportation and Infrastructure Investors LLC and in the related Prospectus of our reports dated February 26, 2021, with respect to the consolidated financial statements of Fortress Transportation and Infrastructure Investors LLC and the effectiveness of internal control over financial reporting of Fortress Transportation and Infrastructure Investors LLC included in this Annual Report (Form 10-K) for the year ended December 31, 2020.</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ectPr>
          <w:pgSz w:w="11900" w:h="16838" w:orient="portrait"/>
          <w:cols w:equalWidth="0" w:num="1">
            <w:col w:w="11240"/>
          </w:cols>
          <w:pgMar w:left="320" w:top="89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EXECUTIVE OFFICER</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248"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373"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firstLine="8"/>
        <w:spacing w:after="0" w:line="260" w:lineRule="auto"/>
        <w:tabs>
          <w:tab w:leader="none" w:pos="406"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41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right="20" w:firstLine="656"/>
        <w:spacing w:after="0" w:line="253" w:lineRule="auto"/>
        <w:tabs>
          <w:tab w:leader="none" w:pos="1167"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1105"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1049"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36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1031"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1019"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5580" w:type="dxa"/>
            <w:vAlign w:val="bottom"/>
          </w:tcPr>
          <w:p>
            <w:pPr>
              <w:spacing w:after="0"/>
              <w:rPr>
                <w:sz w:val="20"/>
                <w:szCs w:val="20"/>
                <w:color w:val="auto"/>
              </w:rPr>
            </w:pPr>
            <w:r>
              <w:rPr>
                <w:rFonts w:ascii="Arial" w:cs="Arial" w:eastAsia="Arial" w:hAnsi="Arial"/>
                <w:sz w:val="16"/>
                <w:szCs w:val="16"/>
                <w:color w:val="auto"/>
              </w:rPr>
              <w:t>February 26,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07"/>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6"/>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86"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FINANCIAL OFFICER</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248"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373"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firstLine="8"/>
        <w:spacing w:after="0" w:line="260" w:lineRule="auto"/>
        <w:tabs>
          <w:tab w:leader="none" w:pos="406"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41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right="20" w:firstLine="656"/>
        <w:spacing w:after="0" w:line="253" w:lineRule="auto"/>
        <w:tabs>
          <w:tab w:leader="none" w:pos="1167"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1105"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1049"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36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1031"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1019"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5580" w:type="dxa"/>
            <w:vAlign w:val="bottom"/>
          </w:tcPr>
          <w:p>
            <w:pPr>
              <w:spacing w:after="0"/>
              <w:rPr>
                <w:sz w:val="20"/>
                <w:szCs w:val="20"/>
                <w:color w:val="auto"/>
              </w:rPr>
            </w:pPr>
            <w:r>
              <w:rPr>
                <w:rFonts w:ascii="Arial" w:cs="Arial" w:eastAsia="Arial" w:hAnsi="Arial"/>
                <w:sz w:val="16"/>
                <w:szCs w:val="16"/>
                <w:color w:val="auto"/>
              </w:rPr>
              <w:t>February 26,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06"/>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16"/>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86"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Annual Report on Form 10-K of Fortress Transportation and Infrastructure Investors LLC (the “Company”) for the annual period ended December 31, 2020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75" w:lineRule="exact"/>
        <w:rPr>
          <w:sz w:val="20"/>
          <w:szCs w:val="20"/>
          <w:color w:val="auto"/>
        </w:rPr>
      </w:pPr>
    </w:p>
    <w:p>
      <w:pPr>
        <w:ind w:left="380" w:hanging="372"/>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26, 2021</w:t>
      </w:r>
    </w:p>
    <w:p>
      <w:pPr>
        <w:sectPr>
          <w:pgSz w:w="11900" w:h="16838" w:orient="portrait"/>
          <w:cols w:equalWidth="0" w:num="1">
            <w:col w:w="11240"/>
          </w:cols>
          <w:pgMar w:left="320" w:top="886"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Annual Report on Form 10-K of Fortress Transportation and Infrastructure Investors LLC (the “Company”) for the annual period ended December 31, 2020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229"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Christopher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26,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lowerRoman"/>
      <w:start w:val="3"/>
    </w:lvl>
    <w:lvl w:ilvl="1">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101"/>
    </w:lvl>
  </w:abstractNum>
  <w:abstractNum w:abstractNumId="48">
    <w:nsid w:val="79A1DEAA"/>
    <w:multiLevelType w:val="hybridMultilevel"/>
    <w:lvl w:ilvl="0">
      <w:lvlJc w:val="left"/>
      <w:lvlText w:val="†"/>
      <w:numFmt w:val="bullet"/>
      <w:start w:val="1"/>
    </w:lvl>
    <w:lvl w:ilvl="1">
      <w:lvlJc w:val="left"/>
      <w:lvlText w:val="%2"/>
      <w:numFmt w:val="decimal"/>
      <w:start w:val="104"/>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6" Type="http://schemas.openxmlformats.org/officeDocument/2006/relationships/image" Target="media/image137.png"/><Relationship Id="rId149" Type="http://schemas.openxmlformats.org/officeDocument/2006/relationships/image" Target="media/image138.png"/><Relationship Id="rId151" Type="http://schemas.openxmlformats.org/officeDocument/2006/relationships/image" Target="media/image139.png"/><Relationship Id="rId153" Type="http://schemas.openxmlformats.org/officeDocument/2006/relationships/image" Target="media/image140.png"/><Relationship Id="rId156" Type="http://schemas.openxmlformats.org/officeDocument/2006/relationships/image" Target="media/image141.png"/><Relationship Id="rId159" Type="http://schemas.openxmlformats.org/officeDocument/2006/relationships/image" Target="media/image142.png"/><Relationship Id="rId161" Type="http://schemas.openxmlformats.org/officeDocument/2006/relationships/image" Target="media/image143.png"/><Relationship Id="rId164" Type="http://schemas.openxmlformats.org/officeDocument/2006/relationships/image" Target="media/image144.png"/><Relationship Id="rId166" Type="http://schemas.openxmlformats.org/officeDocument/2006/relationships/image" Target="media/image145.png"/><Relationship Id="rId169" Type="http://schemas.openxmlformats.org/officeDocument/2006/relationships/image" Target="media/image146.png"/><Relationship Id="rId173"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9" Type="http://schemas.openxmlformats.org/officeDocument/2006/relationships/image" Target="media/image150.png"/><Relationship Id="rId182" Type="http://schemas.openxmlformats.org/officeDocument/2006/relationships/image" Target="media/image151.png"/><Relationship Id="rId186" Type="http://schemas.openxmlformats.org/officeDocument/2006/relationships/image" Target="media/image152.png"/><Relationship Id="rId188" Type="http://schemas.openxmlformats.org/officeDocument/2006/relationships/image" Target="media/image153.png"/><Relationship Id="rId191" Type="http://schemas.openxmlformats.org/officeDocument/2006/relationships/image" Target="media/image154.png"/><Relationship Id="rId194"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144" Type="http://schemas.openxmlformats.org/officeDocument/2006/relationships/hyperlink" Target="http://www.sec.gov/Archives/edgar/data/1590364/000114036120000280/ex2_1.htm" TargetMode="External"/><Relationship Id="rId145" Type="http://schemas.openxmlformats.org/officeDocument/2006/relationships/hyperlink" Target="http://www.sec.gov/Archives/edgar/data/1590364/000119312515163776/d616610dex31.htm" TargetMode="External"/><Relationship Id="rId147" Type="http://schemas.openxmlformats.org/officeDocument/2006/relationships/hyperlink" Target="http://www.sec.gov/Archives/edgar/data/1590364/000114036119021576/nc10006381x2_ex3-2.htm" TargetMode="External"/><Relationship Id="rId148" Type="http://schemas.openxmlformats.org/officeDocument/2006/relationships/hyperlink" Target="http://www.sec.gov/Archives/edgar/data/1590364/000114036119016562/ex3_2.htm" TargetMode="External"/><Relationship Id="rId150" Type="http://schemas.openxmlformats.org/officeDocument/2006/relationships/hyperlink" Target="http://www.sec.gov/Archives/edgar/data/1590364/000095015717000381/ex4-1.htm" TargetMode="External"/><Relationship Id="rId152" Type="http://schemas.openxmlformats.org/officeDocument/2006/relationships/hyperlink" Target="http://www.sec.gov/Archives/edgar/data/1590364/000159036418000003/ftai12312017exhibit43.htm" TargetMode="External"/><Relationship Id="rId154" Type="http://schemas.openxmlformats.org/officeDocument/2006/relationships/hyperlink" Target="http://www.sec.gov/Archives/edgar/data/1590364/000095015717001232/ex4-1.htm" TargetMode="External"/><Relationship Id="rId155" Type="http://schemas.openxmlformats.org/officeDocument/2006/relationships/hyperlink" Target="http://www.sec.gov/Archives/edgar/data/1590364/000114036117046889/s001999x5_ex4-1.htm" TargetMode="External"/><Relationship Id="rId157" Type="http://schemas.openxmlformats.org/officeDocument/2006/relationships/hyperlink" Target="http://www.sec.gov/Archives/edgar/data/1590364/000114036118026546/ex4_1.htm" TargetMode="External"/><Relationship Id="rId158" Type="http://schemas.openxmlformats.org/officeDocument/2006/relationships/hyperlink" Target="http://www.sec.gov/Archives/edgar/data/1590364/000114036119002776/s002571x8_ex4-1.htm" TargetMode="External"/><Relationship Id="rId160" Type="http://schemas.openxmlformats.org/officeDocument/2006/relationships/hyperlink" Target="http://www.sec.gov/Archives/edgar/data/1590364/000114036118038650/ex4_1.htm" TargetMode="External"/><Relationship Id="rId162" Type="http://schemas.openxmlformats.org/officeDocument/2006/relationships/hyperlink" Target="http://www.sec.gov/Archives/edgar/data/1590364/000114036119009546/nc10001919x3_ex4-1.htm" TargetMode="External"/><Relationship Id="rId163" Type="http://schemas.openxmlformats.org/officeDocument/2006/relationships/hyperlink" Target="http://www.sec.gov/Archives/edgar/data/1590364/000114036120029408/brhc10018302_ex4-1.htm" TargetMode="External"/><Relationship Id="rId165" Type="http://schemas.openxmlformats.org/officeDocument/2006/relationships/hyperlink" Target="http://www.sec.gov/Archives/edgar/data/1590364/000114036119016562/ex3_2.htm#Exhibit4.1" TargetMode="External"/><Relationship Id="rId167" Type="http://schemas.openxmlformats.org/officeDocument/2006/relationships/hyperlink" Target="http://www.sec.gov/Archives/edgar/data/1590364/000159036420000002/ftai12312019exhibit413.htm" TargetMode="External"/><Relationship Id="rId168" Type="http://schemas.openxmlformats.org/officeDocument/2006/relationships/hyperlink" Target="http://www.sec.gov/Archives/edgar/data/1590364/000119312515197222/d931434dex101.htm" TargetMode="External"/><Relationship Id="rId170" Type="http://schemas.openxmlformats.org/officeDocument/2006/relationships/hyperlink" Target="http://www.sec.gov/Archives/edgar/data/1590364/000119312515197222/d931434dex102.htm" TargetMode="External"/><Relationship Id="rId171" Type="http://schemas.openxmlformats.org/officeDocument/2006/relationships/hyperlink" Target="http://www.sec.gov/Archives/edgar/data/1590364/000119312515163776/d616610dex103.htm" TargetMode="External"/><Relationship Id="rId172" Type="http://schemas.openxmlformats.org/officeDocument/2006/relationships/hyperlink" Target="http://www.sec.gov/Archives/edgar/data/1590364/000119312515197222/d931434dex104.htm" TargetMode="External"/><Relationship Id="rId174" Type="http://schemas.openxmlformats.org/officeDocument/2006/relationships/hyperlink" Target="http://www.sec.gov/Archives/edgar/data/1590364/000119312515163776/d616610dex105.htm" TargetMode="External"/><Relationship Id="rId177" Type="http://schemas.openxmlformats.org/officeDocument/2006/relationships/hyperlink" Target="http://www.sec.gov/Archives/edgar/data/1590364/000156761917001299/s001761x1_ex10-1.htm" TargetMode="External"/><Relationship Id="rId178" Type="http://schemas.openxmlformats.org/officeDocument/2006/relationships/hyperlink" Target="http://www.sec.gov/Archives/edgar/data/1590364/000159036418000010/creditagreement-exhibit1015.htm" TargetMode="External"/><Relationship Id="rId180" Type="http://schemas.openxmlformats.org/officeDocument/2006/relationships/hyperlink" Target="http://www.sec.gov/Archives/edgar/data/1590364/000114036119002813/s002571x9_ex10-1.htm" TargetMode="External"/><Relationship Id="rId181" Type="http://schemas.openxmlformats.org/officeDocument/2006/relationships/hyperlink" Target="http://www.sec.gov/Archives/edgar/data/1590364/000114036119014758/ex10_1.htm" TargetMode="External"/><Relationship Id="rId183" Type="http://schemas.openxmlformats.org/officeDocument/2006/relationships/hyperlink" Target="http://www.sec.gov/Archives/edgar/data/1590364/000159036420000007/ftaifourthamendment2020.htm" TargetMode="External"/><Relationship Id="rId184" Type="http://schemas.openxmlformats.org/officeDocument/2006/relationships/hyperlink" Target="http://www.sec.gov/Archives/edgar/data/1590364/000159036419000004/epccontract-exhibit1017.htm" TargetMode="External"/><Relationship Id="rId185" Type="http://schemas.openxmlformats.org/officeDocument/2006/relationships/hyperlink" Target="http://www.sec.gov/Archives/edgar/data/1590364/000159036419000004/geequipmentsupplyagreement.htm" TargetMode="External"/><Relationship Id="rId187" Type="http://schemas.openxmlformats.org/officeDocument/2006/relationships/hyperlink" Target="http://www.sec.gov/Archives/edgar/data/1590364/000159036419000004/firstliencreditagreement-e.htm" TargetMode="External"/><Relationship Id="rId189" Type="http://schemas.openxmlformats.org/officeDocument/2006/relationships/hyperlink" Target="http://www.sec.gov/Archives/edgar/data/1590364/000159036419000004/secondliencreditagreement-.htm" TargetMode="External"/><Relationship Id="rId190" Type="http://schemas.openxmlformats.org/officeDocument/2006/relationships/hyperlink" Target="http://www.sec.gov/Archives/edgar/data/1590364/000114036118002262/s002014x3_ex10-1.htm" TargetMode="External"/><Relationship Id="rId192" Type="http://schemas.openxmlformats.org/officeDocument/2006/relationships/hyperlink" Target="http://www.sec.gov/Archives/edgar/data/1590364/000159036420000005/jeffersonintercompanyr.htm" TargetMode="External"/><Relationship Id="rId193" Type="http://schemas.openxmlformats.org/officeDocument/2006/relationships/hyperlink" Target="http://www.sec.gov/Archives/edgar/data/1590364/000159036420000005/jeffersonseniorloanagr.htm" TargetMode="External"/><Relationship Id="rId195" Type="http://schemas.openxmlformats.org/officeDocument/2006/relationships/hyperlink" Target="http://www.sec.gov/Archives/edgar/data/1590364/000159036420000005/jeffersondeedoftrust.htm" TargetMode="External"/><Relationship Id="rId196" Type="http://schemas.openxmlformats.org/officeDocument/2006/relationships/hyperlink" Target="http://www.sec.gov/Archives/edgar/data/1590364/000159036420000005/jeffersonfacilitiesl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2021-02-26T16:08:34Z</dcterms:created>
  <dcterms:modified xsi:type="dcterms:W3CDTF">2021-02-26T16:08:34Z</dcterms:modified>
</cp:coreProperties>
</file>