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UNITED STATES SECURITIES AND EXCHANGE COMMISSION</w:t>
      </w:r>
    </w:p>
    <w:p>
      <w:pPr>
        <w:pStyle w:val="TextBody"/>
        <w:spacing w:lineRule="auto" w:line="288" w:before="0" w:after="120"/>
        <w:jc w:val="center"/>
        <w:rPr>
          <w:rFonts w:ascii="Arial;sans-serif" w:hAnsi="Arial;sans-serif"/>
          <w:b/>
          <w:color w:val="000000"/>
          <w:sz w:val="18"/>
        </w:rPr>
      </w:pPr>
      <w:r>
        <w:rPr>
          <w:rFonts w:ascii="Arial;sans-serif" w:hAnsi="Arial;sans-serif"/>
          <w:b/>
          <w:color w:val="000000"/>
          <w:sz w:val="18"/>
        </w:rPr>
        <w:t>WASHINGTON, D.C. 20549</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FORM 10-Q </w:t>
      </w:r>
    </w:p>
    <w:tbl>
      <w:tblPr>
        <w:tblW w:w="9657" w:type="dxa"/>
        <w:jc w:val="center"/>
        <w:tblInd w:w="0" w:type="dxa"/>
        <w:tblCellMar>
          <w:top w:w="28" w:type="dxa"/>
          <w:left w:w="28" w:type="dxa"/>
          <w:bottom w:w="28" w:type="dxa"/>
          <w:right w:w="28" w:type="dxa"/>
        </w:tblCellMar>
      </w:tblPr>
      <w:tblGrid>
        <w:gridCol w:w="124"/>
        <w:gridCol w:w="109"/>
        <w:gridCol w:w="109"/>
        <w:gridCol w:w="2726"/>
        <w:gridCol w:w="2726"/>
        <w:gridCol w:w="38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6" w:type="dxa"/>
            <w:tcBorders/>
            <w:shd w:fill="auto" w:val="clear"/>
            <w:vAlign w:val="center"/>
          </w:tcPr>
          <w:p>
            <w:pPr>
              <w:pStyle w:val="TableContents"/>
              <w:spacing w:before="0" w:after="283"/>
              <w:rPr>
                <w:sz w:val="4"/>
                <w:szCs w:val="4"/>
              </w:rPr>
            </w:pPr>
            <w:r>
              <w:rPr>
                <w:sz w:val="4"/>
                <w:szCs w:val="4"/>
              </w:rPr>
            </w:r>
          </w:p>
        </w:tc>
        <w:tc>
          <w:tcPr>
            <w:tcW w:w="2726" w:type="dxa"/>
            <w:tcBorders/>
            <w:shd w:fill="auto" w:val="clear"/>
            <w:vAlign w:val="center"/>
          </w:tcPr>
          <w:p>
            <w:pPr>
              <w:pStyle w:val="TableContents"/>
              <w:spacing w:before="0" w:after="283"/>
              <w:rPr>
                <w:sz w:val="4"/>
                <w:szCs w:val="4"/>
              </w:rPr>
            </w:pPr>
            <w:r>
              <w:rPr>
                <w:sz w:val="4"/>
                <w:szCs w:val="4"/>
              </w:rPr>
            </w:r>
          </w:p>
        </w:tc>
        <w:tc>
          <w:tcPr>
            <w:tcW w:w="38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3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QUARTERLY REPORT PURSUANT TO SECTION 13 OR 15(d) OF THE SECURITIES EXCHANGE ACT OF 1934</w:t>
            </w:r>
          </w:p>
        </w:tc>
      </w:tr>
    </w:tbl>
    <w:p>
      <w:pPr>
        <w:pStyle w:val="TextBody"/>
        <w:spacing w:lineRule="auto" w:line="288" w:before="0" w:after="0"/>
        <w:jc w:val="center"/>
        <w:rPr>
          <w:color w:val="000000"/>
        </w:rPr>
      </w:pPr>
      <w:r>
        <w:rPr>
          <w:color w:val="000000"/>
        </w:rPr>
        <w:t> </w:t>
      </w:r>
    </w:p>
    <w:p>
      <w:pPr>
        <w:pStyle w:val="TextBody"/>
        <w:spacing w:lineRule="auto" w:line="288" w:before="0" w:after="0"/>
        <w:jc w:val="center"/>
        <w:rPr/>
      </w:pPr>
      <w:r>
        <w:rPr>
          <w:rFonts w:ascii="Arial;sans-serif" w:hAnsi="Arial;sans-serif"/>
          <w:b w:val="false"/>
          <w:color w:val="000000"/>
          <w:sz w:val="18"/>
        </w:rPr>
        <w:t>For the quarterly period ended </w:t>
      </w:r>
      <w:r>
        <w:rPr>
          <w:rFonts w:ascii="Arial;sans-serif" w:hAnsi="Arial;sans-serif"/>
          <w:b/>
          <w:color w:val="000000"/>
          <w:sz w:val="18"/>
        </w:rPr>
        <w:t>March 31, 2023</w:t>
      </w:r>
      <w:r>
        <w:rPr>
          <w:color w:val="000000"/>
        </w:rPr>
        <w:t xml:space="preserve"> </w:t>
      </w:r>
    </w:p>
    <w:p>
      <w:pPr>
        <w:pStyle w:val="TextBody"/>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OR</w:t>
      </w:r>
    </w:p>
    <w:tbl>
      <w:tblPr>
        <w:tblW w:w="9626" w:type="dxa"/>
        <w:jc w:val="center"/>
        <w:tblInd w:w="0" w:type="dxa"/>
        <w:tblCellMar>
          <w:top w:w="28" w:type="dxa"/>
          <w:left w:w="28" w:type="dxa"/>
          <w:bottom w:w="28" w:type="dxa"/>
          <w:right w:w="28" w:type="dxa"/>
        </w:tblCellMar>
      </w:tblPr>
      <w:tblGrid>
        <w:gridCol w:w="124"/>
        <w:gridCol w:w="109"/>
        <w:gridCol w:w="109"/>
        <w:gridCol w:w="2715"/>
        <w:gridCol w:w="2715"/>
        <w:gridCol w:w="38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5" w:type="dxa"/>
            <w:tcBorders/>
            <w:shd w:fill="auto" w:val="clear"/>
            <w:vAlign w:val="center"/>
          </w:tcPr>
          <w:p>
            <w:pPr>
              <w:pStyle w:val="TableContents"/>
              <w:spacing w:before="0" w:after="283"/>
              <w:rPr>
                <w:sz w:val="4"/>
                <w:szCs w:val="4"/>
              </w:rPr>
            </w:pPr>
            <w:r>
              <w:rPr>
                <w:sz w:val="4"/>
                <w:szCs w:val="4"/>
              </w:rPr>
            </w:r>
          </w:p>
        </w:tc>
        <w:tc>
          <w:tcPr>
            <w:tcW w:w="2715" w:type="dxa"/>
            <w:tcBorders/>
            <w:shd w:fill="auto" w:val="clear"/>
            <w:vAlign w:val="center"/>
          </w:tcPr>
          <w:p>
            <w:pPr>
              <w:pStyle w:val="TableContents"/>
              <w:spacing w:before="0" w:after="283"/>
              <w:rPr>
                <w:sz w:val="4"/>
                <w:szCs w:val="4"/>
              </w:rPr>
            </w:pPr>
            <w:r>
              <w:rPr>
                <w:sz w:val="4"/>
                <w:szCs w:val="4"/>
              </w:rPr>
            </w:r>
          </w:p>
        </w:tc>
        <w:tc>
          <w:tcPr>
            <w:tcW w:w="38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2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TRANSITION REPORT PURSUANT TO SECTION 13 OR 15(d) OF THE SECURITIES EXCHANGE ACT OF 1934</w:t>
            </w:r>
          </w:p>
        </w:tc>
      </w:tr>
    </w:tbl>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 the transition period from ____ to ____</w:t>
      </w:r>
    </w:p>
    <w:p>
      <w:pPr>
        <w:pStyle w:val="TextBody"/>
        <w:spacing w:lineRule="auto" w:line="288" w:before="60" w:after="283"/>
        <w:jc w:val="center"/>
        <w:rPr/>
      </w:pPr>
      <w:r>
        <w:rPr>
          <w:rFonts w:ascii="Arial;sans-serif" w:hAnsi="Arial;sans-serif"/>
          <w:b w:val="false"/>
          <w:color w:val="000000"/>
          <w:sz w:val="18"/>
        </w:rPr>
        <w:t xml:space="preserve">Commission file number </w:t>
      </w:r>
      <w:r>
        <w:rPr>
          <w:rFonts w:ascii="Arial;sans-serif" w:hAnsi="Arial;sans-serif"/>
          <w:b/>
          <w:color w:val="000000"/>
          <w:sz w:val="18"/>
        </w:rPr>
        <w:t>001-37386</w:t>
      </w:r>
      <w:r>
        <w:rPr>
          <w:color w:val="000000"/>
        </w:rPr>
        <w:t xml:space="preserve"> </w:t>
      </w:r>
    </w:p>
    <w:p>
      <w:pPr>
        <w:pStyle w:val="TextBody"/>
        <w:spacing w:before="120" w:after="283"/>
        <w:jc w:val="center"/>
        <w:rPr/>
      </w:pPr>
      <w:r>
        <w:rPr/>
        <w:drawing>
          <wp:inline distT="0" distB="63500" distL="0" distR="0">
            <wp:extent cx="143827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38275" cy="552450"/>
                    </a:xfrm>
                    <a:prstGeom prst="rect">
                      <a:avLst/>
                    </a:prstGeom>
                  </pic:spPr>
                </pic:pic>
              </a:graphicData>
            </a:graphic>
          </wp:inline>
        </w:drawing>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FTAI AVIATION LTD.</w:t>
      </w:r>
    </w:p>
    <w:p>
      <w:pPr>
        <w:pStyle w:val="TextBody"/>
        <w:spacing w:lineRule="auto" w:line="288" w:before="0" w:after="0"/>
        <w:jc w:val="center"/>
        <w:rPr/>
      </w:pPr>
      <w:r>
        <w:rPr>
          <w:rFonts w:ascii="Arial;sans-serif" w:hAnsi="Arial;sans-serif"/>
          <w:b w:val="false"/>
          <w:color w:val="000000"/>
          <w:sz w:val="18"/>
        </w:rPr>
        <w:t>(Exact name of registrant as specified in its charter</w:t>
      </w:r>
      <w:r>
        <w:rPr>
          <w:rFonts w:ascii="Arial;sans-serif" w:hAnsi="Arial;sans-serif"/>
          <w:b w:val="false"/>
          <w:color w:val="000000"/>
          <w:sz w:val="20"/>
        </w:rPr>
        <w:t>)</w:t>
      </w:r>
    </w:p>
    <w:tbl>
      <w:tblPr>
        <w:tblW w:w="10052" w:type="dxa"/>
        <w:jc w:val="left"/>
        <w:tblInd w:w="0" w:type="dxa"/>
        <w:tblCellMar>
          <w:top w:w="28" w:type="dxa"/>
          <w:left w:w="28" w:type="dxa"/>
          <w:bottom w:w="28" w:type="dxa"/>
          <w:right w:w="28" w:type="dxa"/>
        </w:tblCellMar>
      </w:tblPr>
      <w:tblGrid>
        <w:gridCol w:w="1302"/>
        <w:gridCol w:w="1149"/>
        <w:gridCol w:w="1149"/>
        <w:gridCol w:w="532"/>
        <w:gridCol w:w="532"/>
        <w:gridCol w:w="532"/>
        <w:gridCol w:w="532"/>
        <w:gridCol w:w="532"/>
        <w:gridCol w:w="532"/>
        <w:gridCol w:w="109"/>
        <w:gridCol w:w="109"/>
        <w:gridCol w:w="109"/>
        <w:gridCol w:w="309"/>
        <w:gridCol w:w="309"/>
        <w:gridCol w:w="309"/>
        <w:gridCol w:w="309"/>
        <w:gridCol w:w="309"/>
        <w:gridCol w:w="309"/>
        <w:gridCol w:w="309"/>
        <w:gridCol w:w="309"/>
        <w:gridCol w:w="461"/>
      </w:tblGrid>
      <w:tr>
        <w:trPr/>
        <w:tc>
          <w:tcPr>
            <w:tcW w:w="1302"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r>
      <w:tr>
        <w:trPr/>
        <w:tc>
          <w:tcPr>
            <w:tcW w:w="6792"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Cayman Islands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3"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98-1420784</w:t>
            </w:r>
          </w:p>
        </w:tc>
      </w:tr>
      <w:tr>
        <w:trPr/>
        <w:tc>
          <w:tcPr>
            <w:tcW w:w="679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3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1345 Avenue of the Americas, 45th Floor</w:t>
            </w:r>
          </w:p>
        </w:tc>
        <w:tc>
          <w:tcPr>
            <w:tcW w:w="159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5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New York</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2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NY</w:t>
            </w:r>
          </w:p>
        </w:tc>
        <w:tc>
          <w:tcPr>
            <w:tcW w:w="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10105</w:t>
            </w:r>
          </w:p>
        </w:tc>
      </w:tr>
      <w:tr>
        <w:trPr/>
        <w:tc>
          <w:tcPr>
            <w:tcW w:w="8046"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spacing w:before="0" w:after="0"/>
        <w:jc w:val="center"/>
        <w:rPr/>
      </w:pPr>
      <w:r>
        <w:rPr/>
      </w:r>
    </w:p>
    <w:p>
      <w:pPr>
        <w:pStyle w:val="TextBody"/>
        <w:spacing w:lineRule="auto" w:line="288" w:before="0" w:after="0"/>
        <w:jc w:val="center"/>
        <w:rPr/>
      </w:pPr>
      <w:r>
        <w:rPr>
          <w:rFonts w:ascii="Arial;sans-serif" w:hAnsi="Arial;sans-serif"/>
          <w:b w:val="false"/>
          <w:color w:val="000000"/>
          <w:sz w:val="18"/>
        </w:rPr>
        <w:t>(Registrant’s telephone number, including area code)</w:t>
      </w:r>
      <w:r>
        <w:rPr>
          <w:color w:val="000000"/>
        </w:rPr>
        <w:t> </w:t>
      </w:r>
      <w:r>
        <w:rPr>
          <w:rFonts w:ascii="Arial;sans-serif" w:hAnsi="Arial;sans-serif"/>
          <w:b/>
          <w:color w:val="000000"/>
          <w:sz w:val="18"/>
        </w:rPr>
        <w:t xml:space="preserve">(212) 798-6100 </w:t>
      </w:r>
    </w:p>
    <w:p>
      <w:pPr>
        <w:pStyle w:val="TextBody"/>
        <w:spacing w:lineRule="auto" w:line="288" w:before="60" w:after="283"/>
        <w:jc w:val="center"/>
        <w:rPr/>
      </w:pPr>
      <w:r>
        <w:rPr>
          <w:rFonts w:ascii="Arial;sans-serif" w:hAnsi="Arial;sans-serif"/>
          <w:b w:val="false"/>
          <w:color w:val="000000"/>
          <w:sz w:val="18"/>
        </w:rPr>
        <w:t xml:space="preserve">(Former name, former address and former fiscal year, if changed since last report) </w:t>
      </w:r>
      <w:r>
        <w:rPr>
          <w:rFonts w:ascii="Arial;sans-serif" w:hAnsi="Arial;sans-serif"/>
          <w:b/>
          <w:color w:val="000000"/>
          <w:sz w:val="18"/>
        </w:rPr>
        <w:t>N/A</w:t>
      </w:r>
    </w:p>
    <w:tbl>
      <w:tblPr>
        <w:tblW w:w="10205" w:type="dxa"/>
        <w:jc w:val="center"/>
        <w:tblInd w:w="0" w:type="dxa"/>
        <w:tblCellMar>
          <w:top w:w="28" w:type="dxa"/>
          <w:left w:w="28" w:type="dxa"/>
          <w:bottom w:w="28" w:type="dxa"/>
          <w:right w:w="28" w:type="dxa"/>
        </w:tblCellMar>
      </w:tblPr>
      <w:tblGrid>
        <w:gridCol w:w="1956"/>
        <w:gridCol w:w="1589"/>
        <w:gridCol w:w="1581"/>
        <w:gridCol w:w="255"/>
        <w:gridCol w:w="255"/>
        <w:gridCol w:w="255"/>
        <w:gridCol w:w="401"/>
        <w:gridCol w:w="385"/>
        <w:gridCol w:w="350"/>
        <w:gridCol w:w="255"/>
        <w:gridCol w:w="255"/>
        <w:gridCol w:w="255"/>
        <w:gridCol w:w="720"/>
        <w:gridCol w:w="720"/>
        <w:gridCol w:w="973"/>
      </w:tblGrid>
      <w:tr>
        <w:trPr/>
        <w:tc>
          <w:tcPr>
            <w:tcW w:w="1956"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c>
          <w:tcPr>
            <w:tcW w:w="158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c>
      </w:tr>
      <w:tr>
        <w:trPr/>
        <w:tc>
          <w:tcPr>
            <w:tcW w:w="5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w:t>
            </w:r>
          </w:p>
        </w:tc>
        <w:tc>
          <w:tcPr>
            <w:tcW w:w="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exchange on which registered:</w:t>
            </w:r>
          </w:p>
        </w:tc>
      </w:tr>
      <w:tr>
        <w:trPr/>
        <w:tc>
          <w:tcPr>
            <w:tcW w:w="51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Ordinary shares, $0.01 par value per share</w:t>
            </w:r>
          </w:p>
        </w:tc>
        <w:tc>
          <w:tcPr>
            <w:tcW w:w="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FTAI</w:t>
            </w:r>
          </w:p>
        </w:tc>
        <w:tc>
          <w:tcPr>
            <w:tcW w:w="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r>
        <w:trPr/>
        <w:tc>
          <w:tcPr>
            <w:tcW w:w="5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8.25% Fixed-to-Floating Rate Series A Cumulative Perpetual Redeemable Preferred Shares</w:t>
            </w:r>
          </w:p>
        </w:tc>
        <w:tc>
          <w:tcPr>
            <w:tcW w:w="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FTAIP</w:t>
            </w:r>
          </w:p>
        </w:tc>
        <w:tc>
          <w:tcPr>
            <w:tcW w:w="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r>
        <w:trPr/>
        <w:tc>
          <w:tcPr>
            <w:tcW w:w="5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8.00% Fixed-to-Floating Rate Series B Cumulative Perpetual Redeemable Preferred Shares</w:t>
            </w:r>
          </w:p>
        </w:tc>
        <w:tc>
          <w:tcPr>
            <w:tcW w:w="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FTAIO</w:t>
            </w:r>
          </w:p>
        </w:tc>
        <w:tc>
          <w:tcPr>
            <w:tcW w:w="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r>
        <w:trPr/>
        <w:tc>
          <w:tcPr>
            <w:tcW w:w="5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8.25% Fixed-Rate Reset Series C Cumulative Perpetual Redeemable Preferred Shares</w:t>
            </w:r>
          </w:p>
        </w:tc>
        <w:tc>
          <w:tcPr>
            <w:tcW w:w="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FTAIN</w:t>
            </w:r>
          </w:p>
        </w:tc>
        <w:tc>
          <w:tcPr>
            <w:tcW w:w="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r>
        <w:trPr/>
        <w:tc>
          <w:tcPr>
            <w:tcW w:w="512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8"/>
                <w:highlight w:val="white"/>
              </w:rPr>
              <w:t>9.50% F</w:t>
            </w:r>
            <w:r>
              <w:rPr>
                <w:rFonts w:ascii="Times New Roman;sans-serif" w:hAnsi="Times New Roman;sans-serif"/>
                <w:b w:val="false"/>
                <w:color w:val="000000"/>
                <w:sz w:val="18"/>
              </w:rPr>
              <w:t>ixed-Rate Reset Series D Cumulative Perpetual Redeemable Preferred Shares</w:t>
            </w:r>
          </w:p>
        </w:tc>
        <w:tc>
          <w:tcPr>
            <w:tcW w:w="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FTAIM</w:t>
            </w:r>
          </w:p>
        </w:tc>
        <w:tc>
          <w:tcPr>
            <w:tcW w:w="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bl>
    <w:p>
      <w:pPr>
        <w:pStyle w:val="TextBody"/>
        <w:spacing w:lineRule="auto" w:line="288" w:before="120" w:after="283"/>
        <w:jc w:val="both"/>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 </w:t>
      </w:r>
      <w:r>
        <w:rPr>
          <w:rFonts w:ascii="Arial;sans-serif" w:hAnsi="Arial;sans-serif"/>
          <w:b w:val="false"/>
          <w:color w:val="000000"/>
          <w:sz w:val="18"/>
        </w:rPr>
        <w:t>No</w:t>
      </w:r>
      <w:r>
        <w:rPr>
          <w:color w:val="000000"/>
        </w:rPr>
        <w:t xml:space="preserve"> ☐  </w:t>
      </w:r>
    </w:p>
    <w:p>
      <w:pPr>
        <w:pStyle w:val="TextBody"/>
        <w:spacing w:lineRule="auto" w:line="288" w:before="120" w:after="283"/>
        <w:jc w:val="both"/>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color w:val="000000"/>
        </w:rPr>
        <w:t xml:space="preserve"> ☑ </w:t>
      </w:r>
      <w:r>
        <w:rPr>
          <w:rFonts w:ascii="Arial;sans-serif" w:hAnsi="Arial;sans-serif"/>
          <w:b w:val="false"/>
          <w:color w:val="000000"/>
          <w:sz w:val="18"/>
        </w:rPr>
        <w:t>No</w:t>
      </w:r>
      <w:r>
        <w:rPr>
          <w:color w:val="000000"/>
        </w:rPr>
        <w:t xml:space="preserve"> ☐  </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12" w:type="dxa"/>
        <w:jc w:val="left"/>
        <w:tblInd w:w="0" w:type="dxa"/>
        <w:tblCellMar>
          <w:top w:w="28" w:type="dxa"/>
          <w:left w:w="28" w:type="dxa"/>
          <w:bottom w:w="28" w:type="dxa"/>
          <w:right w:w="28" w:type="dxa"/>
        </w:tblCellMar>
      </w:tblPr>
      <w:tblGrid>
        <w:gridCol w:w="124"/>
        <w:gridCol w:w="109"/>
        <w:gridCol w:w="109"/>
        <w:gridCol w:w="644"/>
        <w:gridCol w:w="644"/>
        <w:gridCol w:w="646"/>
        <w:gridCol w:w="109"/>
        <w:gridCol w:w="109"/>
        <w:gridCol w:w="109"/>
        <w:gridCol w:w="769"/>
        <w:gridCol w:w="769"/>
        <w:gridCol w:w="772"/>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 </w:t>
      </w:r>
    </w:p>
    <w:p>
      <w:pPr>
        <w:pStyle w:val="TextBody"/>
        <w:spacing w:lineRule="auto" w:line="288" w:before="120" w:after="60"/>
        <w:jc w:val="both"/>
        <w:rPr/>
      </w:pPr>
      <w:r>
        <w:rPr>
          <w:rFonts w:ascii="Arial;sans-serif" w:hAnsi="Arial;sans-serif"/>
          <w:b w:val="false"/>
          <w:color w:val="000000"/>
          <w:sz w:val="18"/>
        </w:rPr>
        <w:t>Indicate by check mark whether the registrant is a shell company (as defined in Rule 12b-2 of the Exchange Act). Yes</w:t>
      </w:r>
      <w:r>
        <w:rPr>
          <w:color w:val="000000"/>
        </w:rPr>
        <w:t xml:space="preserve"> ☐ </w:t>
      </w:r>
      <w:r>
        <w:rPr>
          <w:rFonts w:ascii="Arial;sans-serif" w:hAnsi="Arial;sans-serif"/>
          <w:b w:val="false"/>
          <w:color w:val="000000"/>
          <w:sz w:val="18"/>
        </w:rPr>
        <w:t>No</w:t>
      </w:r>
      <w:r>
        <w:rPr>
          <w:color w:val="000000"/>
        </w:rPr>
        <w:t xml:space="preserve"> ☑ </w:t>
      </w:r>
    </w:p>
    <w:p>
      <w:pPr>
        <w:pStyle w:val="TextBody"/>
        <w:spacing w:lineRule="auto" w:line="288" w:before="120" w:after="60"/>
        <w:jc w:val="both"/>
        <w:rPr>
          <w:rFonts w:ascii="Arial;sans-serif" w:hAnsi="Arial;sans-serif"/>
          <w:b w:val="false"/>
          <w:color w:val="000000"/>
          <w:sz w:val="18"/>
        </w:rPr>
      </w:pPr>
      <w:r>
        <w:rPr>
          <w:rFonts w:ascii="Arial;sans-serif" w:hAnsi="Arial;sans-serif"/>
          <w:b w:val="false"/>
          <w:color w:val="000000"/>
          <w:sz w:val="18"/>
        </w:rPr>
        <w:t>There were 99,728,786 ordinary shares outstanding representing limited liability company interests at April 25,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120" w:after="283"/>
        <w:jc w:val="center"/>
        <w:rPr>
          <w:rFonts w:ascii="Arial;sans-serif" w:hAnsi="Arial;sans-serif"/>
          <w:b/>
          <w:color w:val="00497F"/>
          <w:sz w:val="20"/>
        </w:rPr>
      </w:pPr>
      <w:r>
        <w:rPr>
          <w:rFonts w:ascii="Arial;sans-serif" w:hAnsi="Arial;sans-serif"/>
          <w:b/>
          <w:color w:val="00497F"/>
          <w:sz w:val="20"/>
        </w:rPr>
        <w:t>FORWARD-LOOKING STATEMENTS AND RISK FACTORS SUMMARY</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The following is a summary of the principal risk factors that make investing in our securities risky and may materially adversely affect our business, financial condition, results of operations and cash flows. This summary should be read in conjunction with the more complete discussion of the risk factors we face, which are set forth in Part II, Item 1A. “Risk Factors” of this report. We believe that these factors include, but are not limited to:</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 xml:space="preserve">changes in economic conditions generally and specifically in our industry sectors, and other risks relating to the global economy, including, but not limited to, the Russia-Ukraine conflict, and any related responses or actions by businesses and governments; </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 xml:space="preserve">reductions in cash flows received from our assets, as well as contractual limitations on the use of our aviation assets to secure debt for borrowed money; </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 xml:space="preserve">our ability to take advantage of acquisition opportunities at favorable prices; </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 xml:space="preserve">a lack of liquidity surrounding our assets, which could impede our ability to vary our portfolio in an appropriate manner; </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 xml:space="preserve">the relative spreads between the yield on the assets we acquire and the cost of financing; </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 xml:space="preserve">adverse changes in the financing markets we access affecting our ability to finance our acquisitions; </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 xml:space="preserve">customer defaults on their obligations; </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 xml:space="preserve">our ability to renew existing contracts and enter into new contracts with existing or potential customers; </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 xml:space="preserve">the availability and cost of capital for future acquisitions; </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 xml:space="preserve">concentration of a particular type of asset or in a particular sector; </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 xml:space="preserve">competition within the aviation; </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 xml:space="preserve">the competitive market for acquisition opportunities; </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risks related to operating through joint ventures, partnerships, consortium arrangements or other collaborations with third parties;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 xml:space="preserve">our ability to successfully integrate acquired businesses; </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 xml:space="preserve">obsolescence of our assets or our ability to sell, re-lease or re-charter our assets; </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 xml:space="preserve">exposure to uninsurable losses and force majeure events; </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 xml:space="preserve">the legislative/regulatory environment and exposure to increased economic regulation; </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 xml:space="preserve">exposure to the oil and gas industry’s volatile oil and gas prices; </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 xml:space="preserve">difficulties in obtaining effective legal redress in jurisdictions in which we operate with less developed legal systems; </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 xml:space="preserve">our ability to maintain our exemption from registration under the Investment Company Act of 1940 and the fact that maintaining such exemption imposes limits on our operations; </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 xml:space="preserve">our ability to successfully utilize leverage in connection with our investments; </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 xml:space="preserve">foreign currency risk and risk management activities; </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 xml:space="preserve">effectiveness of our internal control over financial reporting; </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 xml:space="preserve">exposure to environmental risks, including natural disasters, increasing environmental legislation and the broader impacts of climate change; </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 xml:space="preserve">changes in interest rates and/or credit spreads, as well as the success of any hedging strategy we may undertake in relation to such changes; </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 xml:space="preserve">actions taken by national, state, or provincial governments, including nationalization, or the imposition of new taxes, could materially impact the financial performance or value of our assets; </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 xml:space="preserve">our dependence on our Manager and its professionals and actual, potential or perceived conflicts of interest in our relationship with our Manager; </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effects of the merger of Fortress Investment Group LLC with affiliates of SoftBank Group Corp.;</w:t>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32740"/>
                <wp:effectExtent l="0" t="0" r="0" b="0"/>
                <wp:wrapNone/>
                <wp:docPr id="3" name="Frame2"/>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 xml:space="preserve">volatility in the market price of our shares; </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 xml:space="preserve">the inability to pay dividends to our shareholders in the future; and </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 xml:space="preserve">other risks described in the “Risk Factors” section of this report. </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 </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32740"/>
                <wp:effectExtent l="0" t="0" r="0" b="0"/>
                <wp:wrapNone/>
                <wp:docPr id="4" name="Frame3"/>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00" w:after="283"/>
        <w:jc w:val="center"/>
        <w:rPr>
          <w:rFonts w:ascii="Arial;sans-serif" w:hAnsi="Arial;sans-serif"/>
          <w:b/>
          <w:color w:val="00497F"/>
          <w:sz w:val="20"/>
          <w:highlight w:val="white"/>
        </w:rPr>
      </w:pPr>
      <w:r>
        <w:rPr>
          <w:rFonts w:ascii="Arial;sans-serif" w:hAnsi="Arial;sans-serif"/>
          <w:b/>
          <w:color w:val="00497F"/>
          <w:sz w:val="20"/>
          <w:highlight w:val="white"/>
        </w:rPr>
        <w:t>FTAI AVIATION LTD.</w:t>
      </w:r>
    </w:p>
    <w:p>
      <w:pPr>
        <w:pStyle w:val="TextBody"/>
        <w:spacing w:lineRule="auto" w:line="288" w:before="100" w:after="283"/>
        <w:jc w:val="center"/>
        <w:rPr>
          <w:rFonts w:ascii="Arial;sans-serif" w:hAnsi="Arial;sans-serif"/>
          <w:b/>
          <w:color w:val="00497F"/>
          <w:sz w:val="20"/>
          <w:highlight w:val="white"/>
        </w:rPr>
      </w:pPr>
      <w:r>
        <w:rPr>
          <w:rFonts w:ascii="Arial;sans-serif" w:hAnsi="Arial;sans-serif"/>
          <w:b/>
          <w:color w:val="00497F"/>
          <w:sz w:val="20"/>
          <w:highlight w:val="white"/>
        </w:rPr>
        <w:t>INDEX TO FORM 10-Q</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9461" w:type="dxa"/>
        <w:jc w:val="center"/>
        <w:tblInd w:w="0" w:type="dxa"/>
        <w:tblCellMar>
          <w:top w:w="28" w:type="dxa"/>
          <w:left w:w="28" w:type="dxa"/>
          <w:bottom w:w="28" w:type="dxa"/>
          <w:right w:w="28" w:type="dxa"/>
        </w:tblCellMar>
      </w:tblPr>
      <w:tblGrid>
        <w:gridCol w:w="275"/>
        <w:gridCol w:w="243"/>
        <w:gridCol w:w="246"/>
        <w:gridCol w:w="2774"/>
        <w:gridCol w:w="2774"/>
        <w:gridCol w:w="2777"/>
        <w:gridCol w:w="109"/>
        <w:gridCol w:w="109"/>
        <w:gridCol w:w="154"/>
      </w:tblGrid>
      <w:tr>
        <w:trPr/>
        <w:tc>
          <w:tcPr>
            <w:tcW w:w="275"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774" w:type="dxa"/>
            <w:tcBorders/>
            <w:shd w:fill="auto" w:val="clear"/>
            <w:vAlign w:val="center"/>
          </w:tcPr>
          <w:p>
            <w:pPr>
              <w:pStyle w:val="TableContents"/>
              <w:spacing w:before="0" w:after="283"/>
              <w:rPr>
                <w:sz w:val="4"/>
                <w:szCs w:val="4"/>
              </w:rPr>
            </w:pPr>
            <w:r>
              <w:rPr>
                <w:sz w:val="4"/>
                <w:szCs w:val="4"/>
              </w:rPr>
            </w:r>
          </w:p>
        </w:tc>
        <w:tc>
          <w:tcPr>
            <w:tcW w:w="2774" w:type="dxa"/>
            <w:tcBorders/>
            <w:shd w:fill="auto" w:val="clear"/>
            <w:vAlign w:val="center"/>
          </w:tcPr>
          <w:p>
            <w:pPr>
              <w:pStyle w:val="TableContents"/>
              <w:spacing w:before="0" w:after="283"/>
              <w:rPr>
                <w:sz w:val="4"/>
                <w:szCs w:val="4"/>
              </w:rPr>
            </w:pPr>
            <w:r>
              <w:rPr>
                <w:sz w:val="4"/>
                <w:szCs w:val="4"/>
              </w:rPr>
            </w:r>
          </w:p>
        </w:tc>
        <w:tc>
          <w:tcPr>
            <w:tcW w:w="27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6EBF"/>
                <w:sz w:val="16"/>
              </w:rPr>
            </w:pPr>
            <w:r>
              <w:rPr>
                <w:rFonts w:ascii="Arial;sans-serif" w:hAnsi="Arial;sans-serif"/>
                <w:b/>
                <w:color w:val="006EBF"/>
                <w:sz w:val="16"/>
              </w:rPr>
              <w:t>PART I - FINANCIAL INFORMATION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6EBF"/>
                <w:sz w:val="16"/>
              </w:rPr>
            </w:pPr>
            <w:r>
              <w:rPr>
                <w:rFonts w:ascii="Arial;sans-serif" w:hAnsi="Arial;sans-serif"/>
                <w:b/>
                <w:color w:val="006EBF"/>
                <w:sz w:val="16"/>
              </w:rPr>
              <w:t>Item 1.</w:t>
            </w:r>
          </w:p>
        </w:tc>
        <w:tc>
          <w:tcPr>
            <w:tcW w:w="8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5b5724fe7cd4a0d8b42b24117d78add_19">
              <w:r>
                <w:rPr>
                  <w:rStyle w:val="InternetLink"/>
                  <w:rFonts w:ascii="Arial;sans-serif" w:hAnsi="Arial;sans-serif"/>
                  <w:b w:val="false"/>
                  <w:strike w:val="false"/>
                  <w:dstrike w:val="false"/>
                  <w:color w:val="0000FF"/>
                  <w:sz w:val="16"/>
                  <w:u w:val="none"/>
                  <w:effect w:val="none"/>
                </w:rPr>
                <w:t>Unaudited Consolidated Financial Statements of FTAI Aviation Ltd.:</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5b5724fe7cd4a0d8b42b24117d78add_19">
              <w:r>
                <w:rPr>
                  <w:rStyle w:val="InternetLink"/>
                  <w:rFonts w:ascii="Arial;sans-serif" w:hAnsi="Arial;sans-serif"/>
                  <w:b w:val="false"/>
                  <w:strike w:val="false"/>
                  <w:dstrike w:val="false"/>
                  <w:color w:val="0000FF"/>
                  <w:sz w:val="16"/>
                  <w:u w:val="none"/>
                  <w:effect w:val="none"/>
                </w:rPr>
                <w:t>5</w:t>
              </w:r>
            </w:hyperlink>
          </w:p>
        </w:tc>
      </w:tr>
      <w:tr>
        <w:trPr/>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5b5724fe7cd4a0d8b42b24117d78add_19">
              <w:r>
                <w:rPr>
                  <w:rStyle w:val="InternetLink"/>
                  <w:rFonts w:ascii="Arial;sans-serif" w:hAnsi="Arial;sans-serif"/>
                  <w:b w:val="false"/>
                  <w:strike w:val="false"/>
                  <w:dstrike w:val="false"/>
                  <w:color w:val="0000FF"/>
                  <w:sz w:val="16"/>
                  <w:u w:val="none"/>
                  <w:effect w:val="none"/>
                </w:rPr>
                <w:t>Consolidated Balance Sheets as of March 31, 2023 and December 31, 2022</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5b5724fe7cd4a0d8b42b24117d78add_19">
              <w:r>
                <w:rPr>
                  <w:rStyle w:val="InternetLink"/>
                  <w:rFonts w:ascii="Arial;sans-serif" w:hAnsi="Arial;sans-serif"/>
                  <w:b w:val="false"/>
                  <w:strike w:val="false"/>
                  <w:dstrike w:val="false"/>
                  <w:color w:val="0000FF"/>
                  <w:sz w:val="16"/>
                  <w:u w:val="none"/>
                  <w:effect w:val="none"/>
                </w:rPr>
                <w:t>5</w:t>
              </w:r>
            </w:hyperlink>
          </w:p>
        </w:tc>
      </w:tr>
      <w:tr>
        <w:trPr/>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5b5724fe7cd4a0d8b42b24117d78add_25">
              <w:r>
                <w:rPr>
                  <w:rStyle w:val="InternetLink"/>
                  <w:rFonts w:ascii="Arial;sans-serif" w:hAnsi="Arial;sans-serif"/>
                  <w:b w:val="false"/>
                  <w:strike w:val="false"/>
                  <w:dstrike w:val="false"/>
                  <w:color w:val="0000FF"/>
                  <w:sz w:val="16"/>
                  <w:u w:val="none"/>
                  <w:effect w:val="none"/>
                </w:rPr>
                <w:t>Consolidated Statements of Operations for the three months ended March 31, 2023 and 2022</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5b5724fe7cd4a0d8b42b24117d78add_25">
              <w:r>
                <w:rPr>
                  <w:rStyle w:val="InternetLink"/>
                  <w:rFonts w:ascii="Arial;sans-serif" w:hAnsi="Arial;sans-serif"/>
                  <w:b w:val="false"/>
                  <w:strike w:val="false"/>
                  <w:dstrike w:val="false"/>
                  <w:color w:val="0000FF"/>
                  <w:sz w:val="16"/>
                  <w:u w:val="none"/>
                  <w:effect w:val="none"/>
                </w:rPr>
                <w:t>6</w:t>
              </w:r>
            </w:hyperlink>
          </w:p>
        </w:tc>
      </w:tr>
      <w:tr>
        <w:trPr/>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5" w:type="dxa"/>
            <w:gridSpan w:val="3"/>
            <w:tcBorders/>
            <w:shd w:fill="auto" w:val="clear"/>
            <w:tcMar>
              <w:top w:w="0" w:type="dxa"/>
              <w:left w:w="0" w:type="dxa"/>
              <w:bottom w:w="0" w:type="dxa"/>
              <w:right w:w="0" w:type="dxa"/>
            </w:tcMar>
            <w:vAlign w:val="center"/>
          </w:tcPr>
          <w:p>
            <w:pPr>
              <w:pStyle w:val="TableContents"/>
              <w:spacing w:lineRule="auto" w:line="264" w:before="0" w:after="0"/>
              <w:jc w:val="left"/>
              <w:rPr/>
            </w:pPr>
            <w:hyperlink w:anchor="ic5b5724fe7cd4a0d8b42b24117d78add_31">
              <w:r>
                <w:rPr>
                  <w:rStyle w:val="InternetLink"/>
                </w:rPr>
                <w:t xml:space="preserve">Consolidated Statements of Comprehensive </w:t>
              </w:r>
            </w:hyperlink>
            <w:hyperlink w:anchor="ic5b5724fe7cd4a0d8b42b24117d78add_31">
              <w:r>
                <w:rPr>
                  <w:rStyle w:val="InternetLink"/>
                </w:rPr>
                <w:t xml:space="preserve">Income </w:t>
              </w:r>
            </w:hyperlink>
            <w:hyperlink w:anchor="ic5b5724fe7cd4a0d8b42b24117d78add_31">
              <w:r>
                <w:rPr>
                  <w:rStyle w:val="InternetLink"/>
                </w:rPr>
                <w:t>(</w:t>
              </w:r>
            </w:hyperlink>
            <w:hyperlink w:anchor="ic5b5724fe7cd4a0d8b42b24117d78add_31">
              <w:r>
                <w:rPr>
                  <w:rStyle w:val="InternetLink"/>
                </w:rPr>
                <w:t>L</w:t>
              </w:r>
            </w:hyperlink>
            <w:hyperlink w:anchor="ic5b5724fe7cd4a0d8b42b24117d78add_31">
              <w:r>
                <w:rPr>
                  <w:rStyle w:val="InternetLink"/>
                </w:rPr>
                <w:t>oss</w:t>
              </w:r>
            </w:hyperlink>
            <w:hyperlink w:anchor="ic5b5724fe7cd4a0d8b42b24117d78add_31">
              <w:r>
                <w:rPr>
                  <w:rStyle w:val="InternetLink"/>
                </w:rPr>
                <w:t>)</w:t>
              </w:r>
            </w:hyperlink>
            <w:hyperlink w:anchor="ic5b5724fe7cd4a0d8b42b24117d78add_31">
              <w:r>
                <w:rPr>
                  <w:rStyle w:val="InternetLink"/>
                </w:rPr>
                <w:t xml:space="preserve"> for the three months ended March 31, 2023 and 2022</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5b5724fe7cd4a0d8b42b24117d78add_31">
              <w:r>
                <w:rPr>
                  <w:rStyle w:val="InternetLink"/>
                  <w:rFonts w:ascii="Arial;sans-serif" w:hAnsi="Arial;sans-serif"/>
                  <w:b w:val="false"/>
                  <w:strike w:val="false"/>
                  <w:dstrike w:val="false"/>
                  <w:color w:val="0000FF"/>
                  <w:sz w:val="16"/>
                  <w:u w:val="none"/>
                  <w:effect w:val="none"/>
                </w:rPr>
                <w:t>7</w:t>
              </w:r>
            </w:hyperlink>
          </w:p>
        </w:tc>
      </w:tr>
      <w:tr>
        <w:trPr/>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5b5724fe7cd4a0d8b42b24117d78add_37">
              <w:r>
                <w:rPr>
                  <w:rStyle w:val="InternetLink"/>
                  <w:rFonts w:ascii="Arial;sans-serif" w:hAnsi="Arial;sans-serif"/>
                  <w:b w:val="false"/>
                  <w:strike w:val="false"/>
                  <w:dstrike w:val="false"/>
                  <w:color w:val="0000FF"/>
                  <w:sz w:val="16"/>
                  <w:u w:val="none"/>
                  <w:effect w:val="none"/>
                </w:rPr>
                <w:t>Consolidated Statement of Changes in Equity for the three months ended March 31, 2023 and 2022</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5b5724fe7cd4a0d8b42b24117d78add_37">
              <w:r>
                <w:rPr>
                  <w:rStyle w:val="InternetLink"/>
                  <w:rFonts w:ascii="Arial;sans-serif" w:hAnsi="Arial;sans-serif"/>
                  <w:b w:val="false"/>
                  <w:strike w:val="false"/>
                  <w:dstrike w:val="false"/>
                  <w:color w:val="0000FF"/>
                  <w:sz w:val="16"/>
                  <w:u w:val="none"/>
                  <w:effect w:val="none"/>
                </w:rPr>
                <w:t>8</w:t>
              </w:r>
            </w:hyperlink>
          </w:p>
        </w:tc>
      </w:tr>
      <w:tr>
        <w:trPr/>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5b5724fe7cd4a0d8b42b24117d78add_40">
              <w:r>
                <w:rPr>
                  <w:rStyle w:val="InternetLink"/>
                  <w:rFonts w:ascii="Arial;sans-serif" w:hAnsi="Arial;sans-serif"/>
                  <w:b w:val="false"/>
                  <w:strike w:val="false"/>
                  <w:dstrike w:val="false"/>
                  <w:color w:val="0000FF"/>
                  <w:sz w:val="16"/>
                  <w:u w:val="none"/>
                  <w:effect w:val="none"/>
                </w:rPr>
                <w:t>Consolidated Statements of Cash Flows for the three months ended March 31, 2023 and 2022</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5b5724fe7cd4a0d8b42b24117d78add_40">
              <w:r>
                <w:rPr>
                  <w:rStyle w:val="InternetLink"/>
                  <w:rFonts w:ascii="Arial;sans-serif" w:hAnsi="Arial;sans-serif"/>
                  <w:b w:val="false"/>
                  <w:strike w:val="false"/>
                  <w:dstrike w:val="false"/>
                  <w:color w:val="0000FF"/>
                  <w:sz w:val="16"/>
                  <w:u w:val="none"/>
                  <w:effect w:val="none"/>
                </w:rPr>
                <w:t>9</w:t>
              </w:r>
            </w:hyperlink>
          </w:p>
        </w:tc>
      </w:tr>
      <w:tr>
        <w:trPr/>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5b5724fe7cd4a0d8b42b24117d78add_46">
              <w:r>
                <w:rPr>
                  <w:rStyle w:val="InternetLink"/>
                  <w:rFonts w:ascii="Arial;sans-serif" w:hAnsi="Arial;sans-serif"/>
                  <w:b w:val="false"/>
                  <w:strike w:val="false"/>
                  <w:dstrike w:val="false"/>
                  <w:color w:val="0000FF"/>
                  <w:sz w:val="16"/>
                  <w:u w:val="none"/>
                  <w:effect w:val="none"/>
                </w:rPr>
                <w:t>Notes to Consolidated Financial Statements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5b5724fe7cd4a0d8b42b24117d78add_46">
              <w:r>
                <w:rPr>
                  <w:rStyle w:val="InternetLink"/>
                  <w:rFonts w:ascii="Arial;sans-serif" w:hAnsi="Arial;sans-serif"/>
                  <w:b w:val="false"/>
                  <w:strike w:val="false"/>
                  <w:dstrike w:val="false"/>
                  <w:color w:val="0000FF"/>
                  <w:sz w:val="16"/>
                  <w:u w:val="none"/>
                  <w:effect w:val="none"/>
                </w:rPr>
                <w:t>11</w:t>
              </w:r>
            </w:hyperlink>
          </w:p>
        </w:tc>
      </w:tr>
      <w:tr>
        <w:trPr/>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5b5724fe7cd4a0d8b42b24117d78add_49">
              <w:r>
                <w:rPr>
                  <w:rStyle w:val="InternetLink"/>
                  <w:rFonts w:ascii="Arial;sans-serif" w:hAnsi="Arial;sans-serif"/>
                  <w:b w:val="false"/>
                  <w:strike w:val="false"/>
                  <w:dstrike w:val="false"/>
                  <w:color w:val="0000FF"/>
                  <w:sz w:val="16"/>
                  <w:u w:val="none"/>
                  <w:effect w:val="none"/>
                </w:rPr>
                <w:t>Note 1: Organization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5b5724fe7cd4a0d8b42b24117d78add_49">
              <w:r>
                <w:rPr>
                  <w:rStyle w:val="InternetLink"/>
                  <w:rFonts w:ascii="Arial;sans-serif" w:hAnsi="Arial;sans-serif"/>
                  <w:b w:val="false"/>
                  <w:strike w:val="false"/>
                  <w:dstrike w:val="false"/>
                  <w:color w:val="0000FF"/>
                  <w:sz w:val="16"/>
                  <w:u w:val="none"/>
                  <w:effect w:val="none"/>
                </w:rPr>
                <w:t>11</w:t>
              </w:r>
            </w:hyperlink>
          </w:p>
        </w:tc>
      </w:tr>
      <w:tr>
        <w:trPr/>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5b5724fe7cd4a0d8b42b24117d78add_52">
              <w:r>
                <w:rPr>
                  <w:rStyle w:val="InternetLink"/>
                  <w:rFonts w:ascii="Arial;sans-serif" w:hAnsi="Arial;sans-serif"/>
                  <w:b w:val="false"/>
                  <w:strike w:val="false"/>
                  <w:dstrike w:val="false"/>
                  <w:color w:val="0000FF"/>
                  <w:sz w:val="16"/>
                  <w:u w:val="none"/>
                  <w:effect w:val="none"/>
                </w:rPr>
                <w:t>Note 2: Summary of Significant Accounting Policies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5b5724fe7cd4a0d8b42b24117d78add_52">
              <w:r>
                <w:rPr>
                  <w:rStyle w:val="InternetLink"/>
                  <w:rFonts w:ascii="Arial;sans-serif" w:hAnsi="Arial;sans-serif"/>
                  <w:b w:val="false"/>
                  <w:strike w:val="false"/>
                  <w:dstrike w:val="false"/>
                  <w:color w:val="0000FF"/>
                  <w:sz w:val="16"/>
                  <w:u w:val="none"/>
                  <w:effect w:val="none"/>
                </w:rPr>
                <w:t>11</w:t>
              </w:r>
            </w:hyperlink>
          </w:p>
        </w:tc>
      </w:tr>
      <w:tr>
        <w:trPr/>
        <w:tc>
          <w:tcPr>
            <w:tcW w:w="764" w:type="dxa"/>
            <w:gridSpan w:val="3"/>
            <w:tcBorders/>
            <w:shd w:fill="auto" w:val="clear"/>
            <w:vAlign w:val="center"/>
          </w:tcPr>
          <w:p>
            <w:pPr>
              <w:pStyle w:val="TableContents"/>
              <w:spacing w:before="0" w:after="283"/>
              <w:rPr>
                <w:sz w:val="4"/>
                <w:szCs w:val="4"/>
              </w:rPr>
            </w:pPr>
            <w:r>
              <w:rPr>
                <w:sz w:val="4"/>
                <w:szCs w:val="4"/>
              </w:rPr>
            </w:r>
          </w:p>
        </w:tc>
        <w:tc>
          <w:tcPr>
            <w:tcW w:w="832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764" w:type="dxa"/>
            <w:gridSpan w:val="3"/>
            <w:tcBorders/>
            <w:shd w:fill="auto" w:val="clear"/>
            <w:vAlign w:val="center"/>
          </w:tcPr>
          <w:p>
            <w:pPr>
              <w:pStyle w:val="TableContents"/>
              <w:spacing w:before="0" w:after="283"/>
              <w:rPr>
                <w:sz w:val="4"/>
                <w:szCs w:val="4"/>
              </w:rPr>
            </w:pPr>
            <w:r>
              <w:rPr>
                <w:sz w:val="4"/>
                <w:szCs w:val="4"/>
              </w:rPr>
            </w:r>
          </w:p>
        </w:tc>
        <w:tc>
          <w:tcPr>
            <w:tcW w:w="832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5b5724fe7cd4a0d8b42b24117d78add_58">
              <w:r>
                <w:rPr>
                  <w:rStyle w:val="InternetLink"/>
                  <w:rFonts w:ascii="Arial;sans-serif" w:hAnsi="Arial;sans-serif"/>
                  <w:b w:val="false"/>
                  <w:strike w:val="false"/>
                  <w:dstrike w:val="false"/>
                  <w:color w:val="0000FF"/>
                  <w:sz w:val="16"/>
                  <w:u w:val="none"/>
                  <w:effect w:val="none"/>
                </w:rPr>
                <w:t>Note 3: Discontinued Operations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5b5724fe7cd4a0d8b42b24117d78add_58">
              <w:r>
                <w:rPr>
                  <w:rStyle w:val="InternetLink"/>
                  <w:rFonts w:ascii="Arial;sans-serif" w:hAnsi="Arial;sans-serif"/>
                  <w:b w:val="false"/>
                  <w:strike w:val="false"/>
                  <w:dstrike w:val="false"/>
                  <w:color w:val="0000FF"/>
                  <w:sz w:val="16"/>
                  <w:u w:val="none"/>
                  <w:effect w:val="none"/>
                </w:rPr>
                <w:t>14</w:t>
              </w:r>
            </w:hyperlink>
          </w:p>
        </w:tc>
      </w:tr>
      <w:tr>
        <w:trPr/>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5b5724fe7cd4a0d8b42b24117d78add_64">
              <w:r>
                <w:rPr>
                  <w:rStyle w:val="InternetLink"/>
                  <w:rFonts w:ascii="Arial;sans-serif" w:hAnsi="Arial;sans-serif"/>
                  <w:b w:val="false"/>
                  <w:strike w:val="false"/>
                  <w:dstrike w:val="false"/>
                  <w:color w:val="0000FF"/>
                  <w:sz w:val="16"/>
                  <w:u w:val="none"/>
                  <w:effect w:val="none"/>
                </w:rPr>
                <w:t>Note 4: Leasing Equipment, net</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5b5724fe7cd4a0d8b42b24117d78add_64">
              <w:r>
                <w:rPr>
                  <w:rStyle w:val="InternetLink"/>
                  <w:rFonts w:ascii="Arial;sans-serif" w:hAnsi="Arial;sans-serif"/>
                  <w:b w:val="false"/>
                  <w:strike w:val="false"/>
                  <w:dstrike w:val="false"/>
                  <w:color w:val="0000FF"/>
                  <w:sz w:val="16"/>
                  <w:u w:val="none"/>
                  <w:effect w:val="none"/>
                </w:rPr>
                <w:t>16</w:t>
              </w:r>
            </w:hyperlink>
          </w:p>
        </w:tc>
      </w:tr>
      <w:tr>
        <w:trPr/>
        <w:tc>
          <w:tcPr>
            <w:tcW w:w="764" w:type="dxa"/>
            <w:gridSpan w:val="3"/>
            <w:tcBorders/>
            <w:shd w:fill="auto" w:val="clear"/>
            <w:vAlign w:val="center"/>
          </w:tcPr>
          <w:p>
            <w:pPr>
              <w:pStyle w:val="TableContents"/>
              <w:spacing w:before="0" w:after="283"/>
              <w:rPr>
                <w:sz w:val="4"/>
                <w:szCs w:val="4"/>
              </w:rPr>
            </w:pPr>
            <w:r>
              <w:rPr>
                <w:sz w:val="4"/>
                <w:szCs w:val="4"/>
              </w:rPr>
            </w:r>
          </w:p>
        </w:tc>
        <w:tc>
          <w:tcPr>
            <w:tcW w:w="832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764" w:type="dxa"/>
            <w:gridSpan w:val="3"/>
            <w:tcBorders/>
            <w:shd w:fill="auto" w:val="clear"/>
            <w:vAlign w:val="center"/>
          </w:tcPr>
          <w:p>
            <w:pPr>
              <w:pStyle w:val="TableContents"/>
              <w:spacing w:before="0" w:after="283"/>
              <w:rPr>
                <w:sz w:val="4"/>
                <w:szCs w:val="4"/>
              </w:rPr>
            </w:pPr>
            <w:r>
              <w:rPr>
                <w:sz w:val="4"/>
                <w:szCs w:val="4"/>
              </w:rPr>
            </w:r>
          </w:p>
        </w:tc>
        <w:tc>
          <w:tcPr>
            <w:tcW w:w="832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5b5724fe7cd4a0d8b42b24117d78add_73">
              <w:r>
                <w:rPr>
                  <w:rStyle w:val="InternetLink"/>
                  <w:rFonts w:ascii="Arial;sans-serif" w:hAnsi="Arial;sans-serif"/>
                  <w:b w:val="false"/>
                  <w:strike w:val="false"/>
                  <w:dstrike w:val="false"/>
                  <w:color w:val="0000FF"/>
                  <w:sz w:val="16"/>
                  <w:u w:val="none"/>
                  <w:effect w:val="none"/>
                </w:rPr>
                <w:t>Note 5: Investments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5b5724fe7cd4a0d8b42b24117d78add_73">
              <w:r>
                <w:rPr>
                  <w:rStyle w:val="InternetLink"/>
                  <w:rFonts w:ascii="Arial;sans-serif" w:hAnsi="Arial;sans-serif"/>
                  <w:b w:val="false"/>
                  <w:strike w:val="false"/>
                  <w:dstrike w:val="false"/>
                  <w:color w:val="0000FF"/>
                  <w:sz w:val="16"/>
                  <w:u w:val="none"/>
                  <w:effect w:val="none"/>
                </w:rPr>
                <w:t>16</w:t>
              </w:r>
            </w:hyperlink>
          </w:p>
        </w:tc>
      </w:tr>
      <w:tr>
        <w:trPr/>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5b5724fe7cd4a0d8b42b24117d78add_76">
              <w:r>
                <w:rPr>
                  <w:rStyle w:val="InternetLink"/>
                  <w:rFonts w:ascii="Arial;sans-serif" w:hAnsi="Arial;sans-serif"/>
                  <w:b w:val="false"/>
                  <w:strike w:val="false"/>
                  <w:dstrike w:val="false"/>
                  <w:color w:val="0000FF"/>
                  <w:sz w:val="16"/>
                  <w:u w:val="none"/>
                  <w:effect w:val="none"/>
                </w:rPr>
                <w:t>Note 6: Intangible Assets and Liabilities, net</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5b5724fe7cd4a0d8b42b24117d78add_76">
              <w:r>
                <w:rPr>
                  <w:rStyle w:val="InternetLink"/>
                  <w:rFonts w:ascii="Arial;sans-serif" w:hAnsi="Arial;sans-serif"/>
                  <w:b w:val="false"/>
                  <w:strike w:val="false"/>
                  <w:dstrike w:val="false"/>
                  <w:color w:val="0000FF"/>
                  <w:sz w:val="16"/>
                  <w:u w:val="none"/>
                  <w:effect w:val="none"/>
                </w:rPr>
                <w:t>18</w:t>
              </w:r>
            </w:hyperlink>
          </w:p>
        </w:tc>
      </w:tr>
      <w:tr>
        <w:trPr/>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5b5724fe7cd4a0d8b42b24117d78add_79">
              <w:r>
                <w:rPr>
                  <w:rStyle w:val="InternetLink"/>
                  <w:rFonts w:ascii="Arial;sans-serif" w:hAnsi="Arial;sans-serif"/>
                  <w:b w:val="false"/>
                  <w:strike w:val="false"/>
                  <w:dstrike w:val="false"/>
                  <w:color w:val="0000FF"/>
                  <w:sz w:val="16"/>
                  <w:u w:val="none"/>
                  <w:effect w:val="none"/>
                </w:rPr>
                <w:t>Note 7: Debt, net</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5b5724fe7cd4a0d8b42b24117d78add_79">
              <w:r>
                <w:rPr>
                  <w:rStyle w:val="InternetLink"/>
                  <w:rFonts w:ascii="Arial;sans-serif" w:hAnsi="Arial;sans-serif"/>
                  <w:b w:val="false"/>
                  <w:strike w:val="false"/>
                  <w:dstrike w:val="false"/>
                  <w:color w:val="0000FF"/>
                  <w:sz w:val="16"/>
                  <w:u w:val="none"/>
                  <w:effect w:val="none"/>
                </w:rPr>
                <w:t>18</w:t>
              </w:r>
            </w:hyperlink>
          </w:p>
        </w:tc>
      </w:tr>
      <w:tr>
        <w:trPr/>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5b5724fe7cd4a0d8b42b24117d78add_82">
              <w:r>
                <w:rPr>
                  <w:rStyle w:val="InternetLink"/>
                  <w:rFonts w:ascii="Arial;sans-serif" w:hAnsi="Arial;sans-serif"/>
                  <w:b w:val="false"/>
                  <w:strike w:val="false"/>
                  <w:dstrike w:val="false"/>
                  <w:color w:val="0000FF"/>
                  <w:sz w:val="16"/>
                  <w:u w:val="none"/>
                  <w:effect w:val="none"/>
                </w:rPr>
                <w:t>Note 8: Fair Value Measurements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5b5724fe7cd4a0d8b42b24117d78add_82">
              <w:r>
                <w:rPr>
                  <w:rStyle w:val="InternetLink"/>
                  <w:rFonts w:ascii="Arial;sans-serif" w:hAnsi="Arial;sans-serif"/>
                  <w:b w:val="false"/>
                  <w:strike w:val="false"/>
                  <w:dstrike w:val="false"/>
                  <w:color w:val="0000FF"/>
                  <w:sz w:val="16"/>
                  <w:u w:val="none"/>
                  <w:effect w:val="none"/>
                </w:rPr>
                <w:t>19</w:t>
              </w:r>
            </w:hyperlink>
          </w:p>
        </w:tc>
      </w:tr>
      <w:tr>
        <w:trPr/>
        <w:tc>
          <w:tcPr>
            <w:tcW w:w="764" w:type="dxa"/>
            <w:gridSpan w:val="3"/>
            <w:tcBorders/>
            <w:shd w:fill="auto" w:val="clear"/>
            <w:vAlign w:val="center"/>
          </w:tcPr>
          <w:p>
            <w:pPr>
              <w:pStyle w:val="TableContents"/>
              <w:spacing w:before="0" w:after="283"/>
              <w:rPr>
                <w:sz w:val="4"/>
                <w:szCs w:val="4"/>
              </w:rPr>
            </w:pPr>
            <w:r>
              <w:rPr>
                <w:sz w:val="4"/>
                <w:szCs w:val="4"/>
              </w:rPr>
            </w:r>
          </w:p>
        </w:tc>
        <w:tc>
          <w:tcPr>
            <w:tcW w:w="832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764" w:type="dxa"/>
            <w:gridSpan w:val="3"/>
            <w:tcBorders/>
            <w:shd w:fill="auto" w:val="clear"/>
            <w:vAlign w:val="center"/>
          </w:tcPr>
          <w:p>
            <w:pPr>
              <w:pStyle w:val="TableContents"/>
              <w:spacing w:before="0" w:after="283"/>
              <w:rPr>
                <w:sz w:val="4"/>
                <w:szCs w:val="4"/>
              </w:rPr>
            </w:pPr>
            <w:r>
              <w:rPr>
                <w:sz w:val="4"/>
                <w:szCs w:val="4"/>
              </w:rPr>
            </w:r>
          </w:p>
        </w:tc>
        <w:tc>
          <w:tcPr>
            <w:tcW w:w="832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764" w:type="dxa"/>
            <w:gridSpan w:val="3"/>
            <w:tcBorders/>
            <w:shd w:fill="auto" w:val="clear"/>
            <w:vAlign w:val="center"/>
          </w:tcPr>
          <w:p>
            <w:pPr>
              <w:pStyle w:val="TableContents"/>
              <w:spacing w:before="0" w:after="283"/>
              <w:rPr>
                <w:sz w:val="4"/>
                <w:szCs w:val="4"/>
              </w:rPr>
            </w:pPr>
            <w:r>
              <w:rPr>
                <w:sz w:val="4"/>
                <w:szCs w:val="4"/>
              </w:rPr>
            </w:r>
          </w:p>
        </w:tc>
        <w:tc>
          <w:tcPr>
            <w:tcW w:w="832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5b5724fe7cd4a0d8b42b24117d78add_97">
              <w:r>
                <w:rPr>
                  <w:rStyle w:val="InternetLink"/>
                  <w:rFonts w:ascii="Arial;sans-serif" w:hAnsi="Arial;sans-serif"/>
                  <w:b w:val="false"/>
                  <w:strike w:val="false"/>
                  <w:dstrike w:val="false"/>
                  <w:color w:val="0000FF"/>
                  <w:sz w:val="16"/>
                  <w:u w:val="none"/>
                  <w:effect w:val="none"/>
                </w:rPr>
                <w:t>Note 9: Equity-Based Compensation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5b5724fe7cd4a0d8b42b24117d78add_97">
              <w:r>
                <w:rPr>
                  <w:rStyle w:val="InternetLink"/>
                  <w:rFonts w:ascii="Arial;sans-serif" w:hAnsi="Arial;sans-serif"/>
                  <w:b w:val="false"/>
                  <w:strike w:val="false"/>
                  <w:dstrike w:val="false"/>
                  <w:color w:val="0000FF"/>
                  <w:sz w:val="16"/>
                  <w:u w:val="none"/>
                  <w:effect w:val="none"/>
                </w:rPr>
                <w:t>20</w:t>
              </w:r>
            </w:hyperlink>
          </w:p>
        </w:tc>
      </w:tr>
      <w:tr>
        <w:trPr/>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5b5724fe7cd4a0d8b42b24117d78add_103">
              <w:r>
                <w:rPr>
                  <w:rStyle w:val="InternetLink"/>
                  <w:rFonts w:ascii="Arial;sans-serif" w:hAnsi="Arial;sans-serif"/>
                  <w:b w:val="false"/>
                  <w:strike w:val="false"/>
                  <w:dstrike w:val="false"/>
                  <w:color w:val="0000FF"/>
                  <w:sz w:val="16"/>
                  <w:u w:val="none"/>
                  <w:effect w:val="none"/>
                </w:rPr>
                <w:t>Note 10: Income Taxes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5b5724fe7cd4a0d8b42b24117d78add_103">
              <w:r>
                <w:rPr>
                  <w:rStyle w:val="InternetLink"/>
                  <w:rFonts w:ascii="Arial;sans-serif" w:hAnsi="Arial;sans-serif"/>
                  <w:b w:val="false"/>
                  <w:strike w:val="false"/>
                  <w:dstrike w:val="false"/>
                  <w:color w:val="0000FF"/>
                  <w:sz w:val="16"/>
                  <w:u w:val="none"/>
                  <w:effect w:val="none"/>
                </w:rPr>
                <w:t>21</w:t>
              </w:r>
            </w:hyperlink>
          </w:p>
        </w:tc>
      </w:tr>
      <w:tr>
        <w:trPr/>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5b5724fe7cd4a0d8b42b24117d78add_106">
              <w:r>
                <w:rPr>
                  <w:rStyle w:val="InternetLink"/>
                  <w:rFonts w:ascii="Arial;sans-serif" w:hAnsi="Arial;sans-serif"/>
                  <w:b w:val="false"/>
                  <w:strike w:val="false"/>
                  <w:dstrike w:val="false"/>
                  <w:color w:val="0000FF"/>
                  <w:sz w:val="16"/>
                  <w:u w:val="none"/>
                  <w:effect w:val="none"/>
                </w:rPr>
                <w:t>Note 11: Management Agreement and Affiliate Transactions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5b5724fe7cd4a0d8b42b24117d78add_106">
              <w:r>
                <w:rPr>
                  <w:rStyle w:val="InternetLink"/>
                  <w:rFonts w:ascii="Arial;sans-serif" w:hAnsi="Arial;sans-serif"/>
                  <w:b w:val="false"/>
                  <w:strike w:val="false"/>
                  <w:dstrike w:val="false"/>
                  <w:color w:val="0000FF"/>
                  <w:sz w:val="16"/>
                  <w:u w:val="none"/>
                  <w:effect w:val="none"/>
                </w:rPr>
                <w:t>21</w:t>
              </w:r>
            </w:hyperlink>
          </w:p>
        </w:tc>
      </w:tr>
      <w:tr>
        <w:trPr/>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5b5724fe7cd4a0d8b42b24117d78add_109">
              <w:r>
                <w:rPr>
                  <w:rStyle w:val="InternetLink"/>
                  <w:rFonts w:ascii="Arial;sans-serif" w:hAnsi="Arial;sans-serif"/>
                  <w:b w:val="false"/>
                  <w:strike w:val="false"/>
                  <w:dstrike w:val="false"/>
                  <w:color w:val="0000FF"/>
                  <w:sz w:val="16"/>
                  <w:u w:val="none"/>
                  <w:effect w:val="none"/>
                </w:rPr>
                <w:t>Note 12: Segment Information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5b5724fe7cd4a0d8b42b24117d78add_109">
              <w:r>
                <w:rPr>
                  <w:rStyle w:val="InternetLink"/>
                  <w:rFonts w:ascii="Arial;sans-serif" w:hAnsi="Arial;sans-serif"/>
                  <w:b w:val="false"/>
                  <w:strike w:val="false"/>
                  <w:dstrike w:val="false"/>
                  <w:color w:val="0000FF"/>
                  <w:sz w:val="16"/>
                  <w:u w:val="none"/>
                  <w:effect w:val="none"/>
                </w:rPr>
                <w:t>23</w:t>
              </w:r>
            </w:hyperlink>
          </w:p>
        </w:tc>
      </w:tr>
      <w:tr>
        <w:trPr/>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5b5724fe7cd4a0d8b42b24117d78add_115">
              <w:r>
                <w:rPr>
                  <w:rStyle w:val="InternetLink"/>
                  <w:rFonts w:ascii="Arial;sans-serif" w:hAnsi="Arial;sans-serif"/>
                  <w:b w:val="false"/>
                  <w:strike w:val="false"/>
                  <w:dstrike w:val="false"/>
                  <w:color w:val="0000FF"/>
                  <w:sz w:val="16"/>
                  <w:u w:val="none"/>
                  <w:effect w:val="none"/>
                </w:rPr>
                <w:t>Note 13: Earnings per Share and Equity</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5b5724fe7cd4a0d8b42b24117d78add_115">
              <w:r>
                <w:rPr>
                  <w:rStyle w:val="InternetLink"/>
                  <w:rFonts w:ascii="Arial;sans-serif" w:hAnsi="Arial;sans-serif"/>
                  <w:b w:val="false"/>
                  <w:strike w:val="false"/>
                  <w:dstrike w:val="false"/>
                  <w:color w:val="0000FF"/>
                  <w:sz w:val="16"/>
                  <w:u w:val="none"/>
                  <w:effect w:val="none"/>
                </w:rPr>
                <w:t>27</w:t>
              </w:r>
            </w:hyperlink>
          </w:p>
        </w:tc>
      </w:tr>
      <w:tr>
        <w:trPr/>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5b5724fe7cd4a0d8b42b24117d78add_118">
              <w:r>
                <w:rPr>
                  <w:rStyle w:val="InternetLink"/>
                  <w:rFonts w:ascii="Arial;sans-serif" w:hAnsi="Arial;sans-serif"/>
                  <w:b w:val="false"/>
                  <w:strike w:val="false"/>
                  <w:dstrike w:val="false"/>
                  <w:color w:val="0000FF"/>
                  <w:sz w:val="16"/>
                  <w:u w:val="none"/>
                  <w:effect w:val="none"/>
                </w:rPr>
                <w:t>Note 14: Commitments and Contingencies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5b5724fe7cd4a0d8b42b24117d78add_118">
              <w:r>
                <w:rPr>
                  <w:rStyle w:val="InternetLink"/>
                  <w:rFonts w:ascii="Arial;sans-serif" w:hAnsi="Arial;sans-serif"/>
                  <w:b w:val="false"/>
                  <w:strike w:val="false"/>
                  <w:dstrike w:val="false"/>
                  <w:color w:val="0000FF"/>
                  <w:sz w:val="16"/>
                  <w:u w:val="none"/>
                  <w:effect w:val="none"/>
                </w:rPr>
                <w:t>28</w:t>
              </w:r>
            </w:hyperlink>
          </w:p>
        </w:tc>
      </w:tr>
      <w:tr>
        <w:trPr/>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5b5724fe7cd4a0d8b42b24117d78add_121">
              <w:r>
                <w:rPr>
                  <w:rStyle w:val="InternetLink"/>
                  <w:rFonts w:ascii="Arial;sans-serif" w:hAnsi="Arial;sans-serif"/>
                  <w:b w:val="false"/>
                  <w:strike w:val="false"/>
                  <w:dstrike w:val="false"/>
                  <w:color w:val="0000FF"/>
                  <w:sz w:val="16"/>
                  <w:u w:val="none"/>
                  <w:effect w:val="none"/>
                </w:rPr>
                <w:t>Note 15: Subsequent Events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5b5724fe7cd4a0d8b42b24117d78add_121">
              <w:r>
                <w:rPr>
                  <w:rStyle w:val="InternetLink"/>
                  <w:rFonts w:ascii="Arial;sans-serif" w:hAnsi="Arial;sans-serif"/>
                  <w:b w:val="false"/>
                  <w:strike w:val="false"/>
                  <w:dstrike w:val="false"/>
                  <w:color w:val="0000FF"/>
                  <w:sz w:val="16"/>
                  <w:u w:val="none"/>
                  <w:effect w:val="none"/>
                </w:rPr>
                <w:t>29</w:t>
              </w:r>
            </w:hyperlink>
          </w:p>
        </w:tc>
      </w:tr>
      <w:tr>
        <w:trPr/>
        <w:tc>
          <w:tcPr>
            <w:tcW w:w="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6EBF"/>
                <w:sz w:val="16"/>
              </w:rPr>
            </w:pPr>
            <w:r>
              <w:rPr>
                <w:rFonts w:ascii="Arial;sans-serif" w:hAnsi="Arial;sans-serif"/>
                <w:b/>
                <w:color w:val="006EBF"/>
                <w:sz w:val="16"/>
              </w:rPr>
              <w:t>Item 2.</w:t>
            </w:r>
          </w:p>
        </w:tc>
        <w:tc>
          <w:tcPr>
            <w:tcW w:w="8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5b5724fe7cd4a0d8b42b24117d78add_124">
              <w:r>
                <w:rPr>
                  <w:rStyle w:val="InternetLink"/>
                  <w:rFonts w:ascii="Arial;sans-serif" w:hAnsi="Arial;sans-serif"/>
                  <w:b w:val="false"/>
                  <w:strike w:val="false"/>
                  <w:dstrike w:val="false"/>
                  <w:color w:val="0000FF"/>
                  <w:sz w:val="16"/>
                  <w:u w:val="none"/>
                  <w:effect w:val="none"/>
                </w:rPr>
                <w:t>Management’s Discussion and Analysis of Financial Condition and Results of Operations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5b5724fe7cd4a0d8b42b24117d78add_124">
              <w:r>
                <w:rPr>
                  <w:rStyle w:val="InternetLink"/>
                  <w:rFonts w:ascii="Arial;sans-serif" w:hAnsi="Arial;sans-serif"/>
                  <w:b w:val="false"/>
                  <w:strike w:val="false"/>
                  <w:dstrike w:val="false"/>
                  <w:color w:val="0000FF"/>
                  <w:sz w:val="16"/>
                  <w:u w:val="none"/>
                  <w:effect w:val="none"/>
                </w:rPr>
                <w:t>30</w:t>
              </w:r>
            </w:hyperlink>
          </w:p>
        </w:tc>
      </w:tr>
      <w:tr>
        <w:trPr/>
        <w:tc>
          <w:tcPr>
            <w:tcW w:w="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6EBF"/>
                <w:sz w:val="16"/>
              </w:rPr>
            </w:pPr>
            <w:r>
              <w:rPr>
                <w:rFonts w:ascii="Arial;sans-serif" w:hAnsi="Arial;sans-serif"/>
                <w:b/>
                <w:color w:val="006EBF"/>
                <w:sz w:val="16"/>
              </w:rPr>
              <w:t>Item 3.</w:t>
            </w:r>
          </w:p>
        </w:tc>
        <w:tc>
          <w:tcPr>
            <w:tcW w:w="8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5b5724fe7cd4a0d8b42b24117d78add_184">
              <w:r>
                <w:rPr>
                  <w:rStyle w:val="InternetLink"/>
                  <w:rFonts w:ascii="Arial;sans-serif" w:hAnsi="Arial;sans-serif"/>
                  <w:b w:val="false"/>
                  <w:strike w:val="false"/>
                  <w:dstrike w:val="false"/>
                  <w:color w:val="0000FF"/>
                  <w:sz w:val="16"/>
                  <w:u w:val="none"/>
                  <w:effect w:val="none"/>
                </w:rPr>
                <w:t>Quantitative and Qualitative Disclosures About Market Risk</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5b5724fe7cd4a0d8b42b24117d78add_184">
              <w:r>
                <w:rPr>
                  <w:rStyle w:val="InternetLink"/>
                  <w:rFonts w:ascii="Arial;sans-serif" w:hAnsi="Arial;sans-serif"/>
                  <w:b w:val="false"/>
                  <w:strike w:val="false"/>
                  <w:dstrike w:val="false"/>
                  <w:color w:val="0000FF"/>
                  <w:sz w:val="16"/>
                  <w:u w:val="none"/>
                  <w:effect w:val="none"/>
                </w:rPr>
                <w:t>43</w:t>
              </w:r>
            </w:hyperlink>
          </w:p>
        </w:tc>
      </w:tr>
      <w:tr>
        <w:trPr/>
        <w:tc>
          <w:tcPr>
            <w:tcW w:w="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6EBF"/>
                <w:sz w:val="16"/>
              </w:rPr>
            </w:pPr>
            <w:r>
              <w:rPr>
                <w:rFonts w:ascii="Arial;sans-serif" w:hAnsi="Arial;sans-serif"/>
                <w:b/>
                <w:color w:val="006EBF"/>
                <w:sz w:val="16"/>
              </w:rPr>
              <w:t>Item 4.</w:t>
            </w:r>
          </w:p>
        </w:tc>
        <w:tc>
          <w:tcPr>
            <w:tcW w:w="8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5b5724fe7cd4a0d8b42b24117d78add_187">
              <w:r>
                <w:rPr>
                  <w:rStyle w:val="InternetLink"/>
                  <w:rFonts w:ascii="Arial;sans-serif" w:hAnsi="Arial;sans-serif"/>
                  <w:b w:val="false"/>
                  <w:strike w:val="false"/>
                  <w:dstrike w:val="false"/>
                  <w:color w:val="0000FF"/>
                  <w:sz w:val="16"/>
                  <w:u w:val="none"/>
                  <w:effect w:val="none"/>
                </w:rPr>
                <w:t>Controls and Procedures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5b5724fe7cd4a0d8b42b24117d78add_187">
              <w:r>
                <w:rPr>
                  <w:rStyle w:val="InternetLink"/>
                  <w:rFonts w:ascii="Arial;sans-serif" w:hAnsi="Arial;sans-serif"/>
                  <w:b w:val="false"/>
                  <w:strike w:val="false"/>
                  <w:dstrike w:val="false"/>
                  <w:color w:val="0000FF"/>
                  <w:sz w:val="16"/>
                  <w:u w:val="none"/>
                  <w:effect w:val="none"/>
                </w:rPr>
                <w:t>43</w:t>
              </w:r>
            </w:hyperlink>
          </w:p>
        </w:tc>
      </w:tr>
      <w:tr>
        <w:trPr/>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6EBF"/>
                <w:sz w:val="16"/>
              </w:rPr>
            </w:pPr>
            <w:r>
              <w:rPr>
                <w:rFonts w:ascii="Arial;sans-serif" w:hAnsi="Arial;sans-serif"/>
                <w:b/>
                <w:color w:val="006EBF"/>
                <w:sz w:val="16"/>
              </w:rPr>
              <w:t>PART II - OTHER INFORMATION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6EBF"/>
                <w:sz w:val="16"/>
              </w:rPr>
            </w:pPr>
            <w:r>
              <w:rPr>
                <w:rFonts w:ascii="Arial;sans-serif" w:hAnsi="Arial;sans-serif"/>
                <w:b/>
                <w:color w:val="006EBF"/>
                <w:sz w:val="16"/>
              </w:rPr>
              <w:t>Item 1.</w:t>
            </w:r>
          </w:p>
        </w:tc>
        <w:tc>
          <w:tcPr>
            <w:tcW w:w="8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5b5724fe7cd4a0d8b42b24117d78add_193">
              <w:r>
                <w:rPr>
                  <w:rStyle w:val="InternetLink"/>
                  <w:rFonts w:ascii="Arial;sans-serif" w:hAnsi="Arial;sans-serif"/>
                  <w:b w:val="false"/>
                  <w:strike w:val="false"/>
                  <w:dstrike w:val="false"/>
                  <w:color w:val="0000FF"/>
                  <w:sz w:val="16"/>
                  <w:u w:val="none"/>
                  <w:effect w:val="none"/>
                </w:rPr>
                <w:t>Legal Proceedings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5b5724fe7cd4a0d8b42b24117d78add_193">
              <w:r>
                <w:rPr>
                  <w:rStyle w:val="InternetLink"/>
                  <w:rFonts w:ascii="Arial;sans-serif" w:hAnsi="Arial;sans-serif"/>
                  <w:b w:val="false"/>
                  <w:strike w:val="false"/>
                  <w:dstrike w:val="false"/>
                  <w:color w:val="0000FF"/>
                  <w:sz w:val="16"/>
                  <w:u w:val="none"/>
                  <w:effect w:val="none"/>
                </w:rPr>
                <w:t>44</w:t>
              </w:r>
            </w:hyperlink>
          </w:p>
        </w:tc>
      </w:tr>
      <w:tr>
        <w:trPr/>
        <w:tc>
          <w:tcPr>
            <w:tcW w:w="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6EBF"/>
                <w:sz w:val="16"/>
              </w:rPr>
            </w:pPr>
            <w:r>
              <w:rPr>
                <w:rFonts w:ascii="Arial;sans-serif" w:hAnsi="Arial;sans-serif"/>
                <w:b/>
                <w:color w:val="006EBF"/>
                <w:sz w:val="16"/>
              </w:rPr>
              <w:t>Item 1A.</w:t>
            </w:r>
          </w:p>
        </w:tc>
        <w:tc>
          <w:tcPr>
            <w:tcW w:w="8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5b5724fe7cd4a0d8b42b24117d78add_196">
              <w:r>
                <w:rPr>
                  <w:rStyle w:val="InternetLink"/>
                  <w:rFonts w:ascii="Arial;sans-serif" w:hAnsi="Arial;sans-serif"/>
                  <w:b w:val="false"/>
                  <w:strike w:val="false"/>
                  <w:dstrike w:val="false"/>
                  <w:color w:val="0000FF"/>
                  <w:sz w:val="16"/>
                  <w:u w:val="none"/>
                  <w:effect w:val="none"/>
                </w:rPr>
                <w:t>Risk Factors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5b5724fe7cd4a0d8b42b24117d78add_196">
              <w:r>
                <w:rPr>
                  <w:rStyle w:val="InternetLink"/>
                  <w:rFonts w:ascii="Arial;sans-serif" w:hAnsi="Arial;sans-serif"/>
                  <w:b w:val="false"/>
                  <w:strike w:val="false"/>
                  <w:dstrike w:val="false"/>
                  <w:color w:val="0000FF"/>
                  <w:sz w:val="16"/>
                  <w:u w:val="none"/>
                  <w:effect w:val="none"/>
                </w:rPr>
                <w:t>44</w:t>
              </w:r>
            </w:hyperlink>
          </w:p>
        </w:tc>
      </w:tr>
      <w:tr>
        <w:trPr/>
        <w:tc>
          <w:tcPr>
            <w:tcW w:w="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6EBF"/>
                <w:sz w:val="16"/>
              </w:rPr>
            </w:pPr>
            <w:r>
              <w:rPr>
                <w:rFonts w:ascii="Arial;sans-serif" w:hAnsi="Arial;sans-serif"/>
                <w:b/>
                <w:color w:val="006EBF"/>
                <w:sz w:val="16"/>
              </w:rPr>
              <w:t xml:space="preserve">Item 2. </w:t>
            </w:r>
          </w:p>
        </w:tc>
        <w:tc>
          <w:tcPr>
            <w:tcW w:w="8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5b5724fe7cd4a0d8b42b24117d78add_199">
              <w:r>
                <w:rPr>
                  <w:rStyle w:val="InternetLink"/>
                  <w:rFonts w:ascii="Arial;sans-serif" w:hAnsi="Arial;sans-serif"/>
                  <w:b w:val="false"/>
                  <w:strike w:val="false"/>
                  <w:dstrike w:val="false"/>
                  <w:color w:val="0000FF"/>
                  <w:sz w:val="16"/>
                  <w:u w:val="none"/>
                  <w:effect w:val="none"/>
                </w:rPr>
                <w:t>Unregistered Sales of Equity Securities and Use of Proceeds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5b5724fe7cd4a0d8b42b24117d78add_199">
              <w:r>
                <w:rPr>
                  <w:rStyle w:val="InternetLink"/>
                  <w:rFonts w:ascii="Arial;sans-serif" w:hAnsi="Arial;sans-serif"/>
                  <w:b w:val="false"/>
                  <w:strike w:val="false"/>
                  <w:dstrike w:val="false"/>
                  <w:color w:val="0000FF"/>
                  <w:sz w:val="16"/>
                  <w:u w:val="none"/>
                  <w:effect w:val="none"/>
                </w:rPr>
                <w:t>60</w:t>
              </w:r>
            </w:hyperlink>
          </w:p>
        </w:tc>
      </w:tr>
      <w:tr>
        <w:trPr/>
        <w:tc>
          <w:tcPr>
            <w:tcW w:w="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6EBF"/>
                <w:sz w:val="16"/>
              </w:rPr>
            </w:pPr>
            <w:r>
              <w:rPr>
                <w:rFonts w:ascii="Arial;sans-serif" w:hAnsi="Arial;sans-serif"/>
                <w:b/>
                <w:color w:val="006EBF"/>
                <w:sz w:val="16"/>
              </w:rPr>
              <w:t>Item 3.</w:t>
            </w:r>
          </w:p>
        </w:tc>
        <w:tc>
          <w:tcPr>
            <w:tcW w:w="8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5b5724fe7cd4a0d8b42b24117d78add_202">
              <w:r>
                <w:rPr>
                  <w:rStyle w:val="InternetLink"/>
                  <w:rFonts w:ascii="Arial;sans-serif" w:hAnsi="Arial;sans-serif"/>
                  <w:b w:val="false"/>
                  <w:strike w:val="false"/>
                  <w:dstrike w:val="false"/>
                  <w:color w:val="0000FF"/>
                  <w:sz w:val="16"/>
                  <w:u w:val="none"/>
                  <w:effect w:val="none"/>
                </w:rPr>
                <w:t>Defaults Upon Senior Securities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5b5724fe7cd4a0d8b42b24117d78add_202">
              <w:r>
                <w:rPr>
                  <w:rStyle w:val="InternetLink"/>
                  <w:rFonts w:ascii="Arial;sans-serif" w:hAnsi="Arial;sans-serif"/>
                  <w:b w:val="false"/>
                  <w:strike w:val="false"/>
                  <w:dstrike w:val="false"/>
                  <w:color w:val="0000FF"/>
                  <w:sz w:val="16"/>
                  <w:u w:val="none"/>
                  <w:effect w:val="none"/>
                </w:rPr>
                <w:t>61</w:t>
              </w:r>
            </w:hyperlink>
          </w:p>
        </w:tc>
      </w:tr>
      <w:tr>
        <w:trPr/>
        <w:tc>
          <w:tcPr>
            <w:tcW w:w="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6EBF"/>
                <w:sz w:val="16"/>
              </w:rPr>
            </w:pPr>
            <w:r>
              <w:rPr>
                <w:rFonts w:ascii="Arial;sans-serif" w:hAnsi="Arial;sans-serif"/>
                <w:b/>
                <w:color w:val="006EBF"/>
                <w:sz w:val="16"/>
              </w:rPr>
              <w:t>Item 4.</w:t>
            </w:r>
          </w:p>
        </w:tc>
        <w:tc>
          <w:tcPr>
            <w:tcW w:w="8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5b5724fe7cd4a0d8b42b24117d78add_205">
              <w:r>
                <w:rPr>
                  <w:rStyle w:val="InternetLink"/>
                  <w:rFonts w:ascii="Arial;sans-serif" w:hAnsi="Arial;sans-serif"/>
                  <w:b w:val="false"/>
                  <w:strike w:val="false"/>
                  <w:dstrike w:val="false"/>
                  <w:color w:val="0000FF"/>
                  <w:sz w:val="16"/>
                  <w:u w:val="none"/>
                  <w:effect w:val="none"/>
                </w:rPr>
                <w:t>Mine Safety Disclosures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5b5724fe7cd4a0d8b42b24117d78add_205">
              <w:r>
                <w:rPr>
                  <w:rStyle w:val="InternetLink"/>
                  <w:rFonts w:ascii="Arial;sans-serif" w:hAnsi="Arial;sans-serif"/>
                  <w:b w:val="false"/>
                  <w:strike w:val="false"/>
                  <w:dstrike w:val="false"/>
                  <w:color w:val="0000FF"/>
                  <w:sz w:val="16"/>
                  <w:u w:val="none"/>
                  <w:effect w:val="none"/>
                </w:rPr>
                <w:t>61</w:t>
              </w:r>
            </w:hyperlink>
          </w:p>
        </w:tc>
      </w:tr>
      <w:tr>
        <w:trPr/>
        <w:tc>
          <w:tcPr>
            <w:tcW w:w="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6EBF"/>
                <w:sz w:val="16"/>
              </w:rPr>
            </w:pPr>
            <w:r>
              <w:rPr>
                <w:rFonts w:ascii="Arial;sans-serif" w:hAnsi="Arial;sans-serif"/>
                <w:b/>
                <w:color w:val="006EBF"/>
                <w:sz w:val="16"/>
              </w:rPr>
              <w:t>Item 5.</w:t>
            </w:r>
          </w:p>
        </w:tc>
        <w:tc>
          <w:tcPr>
            <w:tcW w:w="8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5b5724fe7cd4a0d8b42b24117d78add_208">
              <w:r>
                <w:rPr>
                  <w:rStyle w:val="InternetLink"/>
                  <w:rFonts w:ascii="Arial;sans-serif" w:hAnsi="Arial;sans-serif"/>
                  <w:b w:val="false"/>
                  <w:strike w:val="false"/>
                  <w:dstrike w:val="false"/>
                  <w:color w:val="0000FF"/>
                  <w:sz w:val="16"/>
                  <w:u w:val="none"/>
                  <w:effect w:val="none"/>
                </w:rPr>
                <w:t>Other Information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5b5724fe7cd4a0d8b42b24117d78add_208">
              <w:r>
                <w:rPr>
                  <w:rStyle w:val="InternetLink"/>
                  <w:rFonts w:ascii="Arial;sans-serif" w:hAnsi="Arial;sans-serif"/>
                  <w:b w:val="false"/>
                  <w:strike w:val="false"/>
                  <w:dstrike w:val="false"/>
                  <w:color w:val="0000FF"/>
                  <w:sz w:val="16"/>
                  <w:u w:val="none"/>
                  <w:effect w:val="none"/>
                </w:rPr>
                <w:t>61</w:t>
              </w:r>
            </w:hyperlink>
          </w:p>
        </w:tc>
      </w:tr>
      <w:tr>
        <w:trPr/>
        <w:tc>
          <w:tcPr>
            <w:tcW w:w="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6EBF"/>
                <w:sz w:val="16"/>
              </w:rPr>
            </w:pPr>
            <w:r>
              <w:rPr>
                <w:rFonts w:ascii="Arial;sans-serif" w:hAnsi="Arial;sans-serif"/>
                <w:b/>
                <w:color w:val="006EBF"/>
                <w:sz w:val="16"/>
              </w:rPr>
              <w:t>Item 6.</w:t>
            </w:r>
          </w:p>
        </w:tc>
        <w:tc>
          <w:tcPr>
            <w:tcW w:w="8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5b5724fe7cd4a0d8b42b24117d78add_211">
              <w:r>
                <w:rPr>
                  <w:rStyle w:val="InternetLink"/>
                  <w:rFonts w:ascii="Arial;sans-serif" w:hAnsi="Arial;sans-serif"/>
                  <w:b w:val="false"/>
                  <w:strike w:val="false"/>
                  <w:dstrike w:val="false"/>
                  <w:color w:val="0000FF"/>
                  <w:sz w:val="16"/>
                  <w:u w:val="none"/>
                  <w:effect w:val="none"/>
                </w:rPr>
                <w:t>Exhibits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5b5724fe7cd4a0d8b42b24117d78add_211">
              <w:r>
                <w:rPr>
                  <w:rStyle w:val="InternetLink"/>
                  <w:rFonts w:ascii="Arial;sans-serif" w:hAnsi="Arial;sans-serif"/>
                  <w:b w:val="false"/>
                  <w:strike w:val="false"/>
                  <w:dstrike w:val="false"/>
                  <w:color w:val="0000FF"/>
                  <w:sz w:val="16"/>
                  <w:u w:val="none"/>
                  <w:effect w:val="none"/>
                </w:rPr>
                <w:t>62</w:t>
              </w:r>
            </w:hyperlink>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32740"/>
                <wp:effectExtent l="0" t="0" r="0" b="0"/>
                <wp:wrapNone/>
                <wp:docPr id="5" name="Frame4"/>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Arial;sans-serif" w:hAnsi="Arial;sans-serif"/>
          <w:b/>
          <w:color w:val="006EBF"/>
          <w:sz w:val="20"/>
        </w:rPr>
      </w:pPr>
      <w:r>
        <w:rPr>
          <w:rFonts w:ascii="Arial;sans-serif" w:hAnsi="Arial;sans-serif"/>
          <w:b/>
          <w:color w:val="006EBF"/>
          <w:sz w:val="20"/>
        </w:rPr>
        <w:t>PART I—FINANCIAL INFORMATION</w:t>
      </w:r>
    </w:p>
    <w:p>
      <w:pPr>
        <w:pStyle w:val="TextBody"/>
        <w:spacing w:lineRule="auto" w:line="288" w:before="0" w:after="0"/>
        <w:rPr>
          <w:rFonts w:ascii="Arial;sans-serif" w:hAnsi="Arial;sans-serif"/>
          <w:b/>
          <w:color w:val="006EBF"/>
          <w:sz w:val="20"/>
        </w:rPr>
      </w:pPr>
      <w:r>
        <w:rPr>
          <w:rFonts w:ascii="Arial;sans-serif" w:hAnsi="Arial;sans-serif"/>
          <w:b/>
          <w:color w:val="006EBF"/>
          <w:sz w:val="20"/>
        </w:rPr>
        <w:t>Item 1. Financial Statements</w:t>
      </w:r>
    </w:p>
    <w:p>
      <w:pPr>
        <w:pStyle w:val="TextBody"/>
        <w:spacing w:before="0" w:after="0"/>
        <w:rPr/>
      </w:pPr>
      <w:r>
        <w:rPr/>
      </w:r>
    </w:p>
    <w:p>
      <w:pPr>
        <w:pStyle w:val="TextBody"/>
        <w:spacing w:lineRule="auto" w:line="288" w:before="0" w:after="0"/>
        <w:rPr>
          <w:rFonts w:ascii="Arial;sans-serif" w:hAnsi="Arial;sans-serif"/>
          <w:b/>
          <w:color w:val="00497F"/>
          <w:sz w:val="20"/>
        </w:rPr>
      </w:pPr>
      <w:r>
        <w:rPr>
          <w:rFonts w:ascii="Arial;sans-serif" w:hAnsi="Arial;sans-serif"/>
          <w:b/>
          <w:color w:val="00497F"/>
          <w:sz w:val="20"/>
        </w:rPr>
        <w:t xml:space="preserve">FTAI AVIATION LTD. </w:t>
      </w:r>
    </w:p>
    <w:p>
      <w:pPr>
        <w:pStyle w:val="TextBody"/>
        <w:spacing w:lineRule="auto" w:line="288" w:before="0" w:after="0"/>
        <w:rPr>
          <w:rFonts w:ascii="Arial;sans-serif" w:hAnsi="Arial;sans-serif"/>
          <w:b/>
          <w:color w:val="00497F"/>
          <w:sz w:val="20"/>
        </w:rPr>
      </w:pPr>
      <w:r>
        <w:rPr>
          <w:rFonts w:ascii="Arial;sans-serif" w:hAnsi="Arial;sans-serif"/>
          <w:b/>
          <w:color w:val="00497F"/>
          <w:sz w:val="20"/>
        </w:rPr>
        <w:t>CONSOLIDATED BALANCE SHEETS</w:t>
      </w:r>
    </w:p>
    <w:p>
      <w:pPr>
        <w:pStyle w:val="TextBody"/>
        <w:spacing w:lineRule="auto" w:line="288" w:before="0" w:after="0"/>
        <w:rPr>
          <w:rFonts w:ascii="Arial;sans-serif" w:hAnsi="Arial;sans-serif"/>
          <w:b w:val="false"/>
          <w:i/>
          <w:color w:val="00497F"/>
          <w:sz w:val="20"/>
        </w:rPr>
      </w:pPr>
      <w:r>
        <w:rPr>
          <w:rFonts w:ascii="Arial;sans-serif" w:hAnsi="Arial;sans-serif"/>
          <w:b w:val="false"/>
          <w:i/>
          <w:color w:val="00497F"/>
          <w:sz w:val="20"/>
        </w:rPr>
        <w:t>(Dollars in thousands, except share and per share data)</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2413"/>
        <w:gridCol w:w="1973"/>
        <w:gridCol w:w="1999"/>
        <w:gridCol w:w="190"/>
        <w:gridCol w:w="190"/>
        <w:gridCol w:w="191"/>
        <w:gridCol w:w="109"/>
        <w:gridCol w:w="109"/>
        <w:gridCol w:w="109"/>
        <w:gridCol w:w="200"/>
        <w:gridCol w:w="906"/>
        <w:gridCol w:w="111"/>
        <w:gridCol w:w="109"/>
        <w:gridCol w:w="109"/>
        <w:gridCol w:w="109"/>
        <w:gridCol w:w="220"/>
        <w:gridCol w:w="981"/>
        <w:gridCol w:w="177"/>
      </w:tblGrid>
      <w:tr>
        <w:trPr/>
        <w:tc>
          <w:tcPr>
            <w:tcW w:w="2413" w:type="dxa"/>
            <w:tcBorders/>
            <w:shd w:fill="auto" w:val="clear"/>
            <w:vAlign w:val="center"/>
          </w:tcPr>
          <w:p>
            <w:pPr>
              <w:pStyle w:val="TableContents"/>
              <w:spacing w:before="0" w:after="283"/>
              <w:rPr>
                <w:sz w:val="4"/>
                <w:szCs w:val="4"/>
              </w:rPr>
            </w:pPr>
            <w:r>
              <w:rPr>
                <w:sz w:val="4"/>
                <w:szCs w:val="4"/>
              </w:rPr>
            </w:r>
          </w:p>
        </w:tc>
        <w:tc>
          <w:tcPr>
            <w:tcW w:w="1973" w:type="dxa"/>
            <w:tcBorders/>
            <w:shd w:fill="auto" w:val="clear"/>
            <w:vAlign w:val="center"/>
          </w:tcPr>
          <w:p>
            <w:pPr>
              <w:pStyle w:val="TableContents"/>
              <w:spacing w:before="0" w:after="283"/>
              <w:rPr>
                <w:sz w:val="4"/>
                <w:szCs w:val="4"/>
              </w:rPr>
            </w:pPr>
            <w:r>
              <w:rPr>
                <w:sz w:val="4"/>
                <w:szCs w:val="4"/>
              </w:rPr>
            </w:r>
          </w:p>
        </w:tc>
        <w:tc>
          <w:tcPr>
            <w:tcW w:w="199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6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Notes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6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40,994</w:t>
            </w: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33,565 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19,500 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113,547</w:t>
            </w: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99,443 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Leasing equipment, net</w:t>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1,849,662</w:t>
            </w: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1,913,553 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5"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8" w:type="dxa"/>
            <w:gridSpan w:val="3"/>
            <w:tcBorders/>
            <w:shd w:fill="auto" w:val="clear"/>
            <w:vAlign w:val="center"/>
          </w:tcPr>
          <w:p>
            <w:pPr>
              <w:pStyle w:val="TableContents"/>
              <w:spacing w:before="0" w:after="283"/>
              <w:rPr>
                <w:sz w:val="4"/>
                <w:szCs w:val="4"/>
              </w:rPr>
            </w:pPr>
            <w:r>
              <w:rPr>
                <w:sz w:val="4"/>
                <w:szCs w:val="4"/>
              </w:rPr>
            </w:r>
          </w:p>
        </w:tc>
      </w:tr>
      <w:tr>
        <w:trPr/>
        <w:tc>
          <w:tcPr>
            <w:tcW w:w="6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11,438</w:t>
            </w: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10,014 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Investments</w:t>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40,202</w:t>
            </w: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22,037 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45,729</w:t>
            </w: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41,955 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 net</w:t>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192,790</w:t>
            </w: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163,676 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147,082</w:t>
            </w: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125,834 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2,441,444</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2,429,577 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accrued liabilities</w:t>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105,066</w:t>
            </w: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86,452 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net</w:t>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2,101,907</w:t>
            </w: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2,175,727 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deposits</w:t>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93,703</w:t>
            </w: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78,686 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Security deposits</w:t>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33,768</w:t>
            </w: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32,842 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32,844</w:t>
            </w: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36,468 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2,367,288</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2,410,175 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w:t>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Equity</w:t>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Ordinary shares ($0.01 par value per share; 2,000,000,000 shares authorized; 99,728,786 and 99,716,621 shares issued and outstanding as of March 31, 2023 and December 31, 2022, respectively)</w:t>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997</w:t>
            </w: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Preferred shares ($0.01 par value per share; 200,000,000 shares authorized; 15,920,000 and 13,320,000 shares issued and outstanding as of March 31, 2023 and December 31, 2022, respectively)</w:t>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159</w:t>
            </w: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 in capital</w:t>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368,681</w:t>
            </w: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343,350 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deficit</w:t>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(296,205)</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(325,602)</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5"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8" w:type="dxa"/>
            <w:gridSpan w:val="3"/>
            <w:tcBorders/>
            <w:shd w:fill="auto" w:val="clear"/>
            <w:vAlign w:val="center"/>
          </w:tcPr>
          <w:p>
            <w:pPr>
              <w:pStyle w:val="TableContents"/>
              <w:spacing w:before="0" w:after="283"/>
              <w:rPr>
                <w:sz w:val="4"/>
                <w:szCs w:val="4"/>
              </w:rPr>
            </w:pPr>
            <w:r>
              <w:rPr>
                <w:sz w:val="4"/>
                <w:szCs w:val="4"/>
              </w:rPr>
            </w:r>
          </w:p>
        </w:tc>
      </w:tr>
      <w:tr>
        <w:trPr/>
        <w:tc>
          <w:tcPr>
            <w:tcW w:w="6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Shareholders' equity</w:t>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73,632</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18,878 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 in equity of consolidated subsidiaries</w:t>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524</w:t>
            </w: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equity</w:t>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74,156</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19,402 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equity</w:t>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2,441,444</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2,429,577 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32740"/>
                <wp:effectExtent l="0" t="0" r="0" b="0"/>
                <wp:wrapNone/>
                <wp:docPr id="6" name="Frame5"/>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497F"/>
          <w:sz w:val="20"/>
        </w:rPr>
      </w:pPr>
      <w:r>
        <w:rPr>
          <w:rFonts w:ascii="Arial;sans-serif" w:hAnsi="Arial;sans-serif"/>
          <w:b/>
          <w:color w:val="00497F"/>
          <w:sz w:val="20"/>
        </w:rPr>
        <w:t>FTAI AVIATION LTD.</w:t>
      </w:r>
    </w:p>
    <w:p>
      <w:pPr>
        <w:pStyle w:val="TextBody"/>
        <w:spacing w:lineRule="auto" w:line="288" w:before="0" w:after="0"/>
        <w:rPr/>
      </w:pPr>
      <w:r>
        <w:rPr>
          <w:rFonts w:ascii="Arial;sans-serif" w:hAnsi="Arial;sans-serif"/>
          <w:b/>
          <w:color w:val="00497F"/>
          <w:sz w:val="20"/>
        </w:rPr>
        <w:t xml:space="preserve">CONSOLIDATED STATEMENTS OF OPERATIONS </w:t>
      </w:r>
      <w:r>
        <w:rPr>
          <w:rFonts w:ascii="Arial;sans-serif" w:hAnsi="Arial;sans-serif"/>
          <w:b/>
          <w:i/>
          <w:color w:val="00497F"/>
          <w:sz w:val="20"/>
        </w:rPr>
        <w:t>(unaudited)</w:t>
      </w:r>
    </w:p>
    <w:p>
      <w:pPr>
        <w:pStyle w:val="TextBody"/>
        <w:spacing w:lineRule="auto" w:line="288" w:before="0" w:after="0"/>
        <w:rPr>
          <w:rFonts w:ascii="Arial;sans-serif" w:hAnsi="Arial;sans-serif"/>
          <w:b w:val="false"/>
          <w:i/>
          <w:color w:val="00497F"/>
          <w:sz w:val="20"/>
        </w:rPr>
      </w:pPr>
      <w:r>
        <w:rPr>
          <w:rFonts w:ascii="Arial;sans-serif" w:hAnsi="Arial;sans-serif"/>
          <w:b w:val="false"/>
          <w:i/>
          <w:color w:val="00497F"/>
          <w:sz w:val="20"/>
        </w:rPr>
        <w:t>(Dollars in thousands, except share and per share data)</w:t>
      </w:r>
    </w:p>
    <w:tbl>
      <w:tblPr>
        <w:tblW w:w="10145" w:type="dxa"/>
        <w:jc w:val="left"/>
        <w:tblInd w:w="0" w:type="dxa"/>
        <w:tblCellMar>
          <w:top w:w="28" w:type="dxa"/>
          <w:left w:w="28" w:type="dxa"/>
          <w:bottom w:w="28" w:type="dxa"/>
          <w:right w:w="28" w:type="dxa"/>
        </w:tblCellMar>
      </w:tblPr>
      <w:tblGrid>
        <w:gridCol w:w="2193"/>
        <w:gridCol w:w="1930"/>
        <w:gridCol w:w="1937"/>
        <w:gridCol w:w="190"/>
        <w:gridCol w:w="190"/>
        <w:gridCol w:w="191"/>
        <w:gridCol w:w="109"/>
        <w:gridCol w:w="109"/>
        <w:gridCol w:w="109"/>
        <w:gridCol w:w="243"/>
        <w:gridCol w:w="823"/>
        <w:gridCol w:w="115"/>
        <w:gridCol w:w="115"/>
        <w:gridCol w:w="115"/>
        <w:gridCol w:w="115"/>
        <w:gridCol w:w="207"/>
        <w:gridCol w:w="858"/>
        <w:gridCol w:w="115"/>
        <w:gridCol w:w="109"/>
        <w:gridCol w:w="109"/>
        <w:gridCol w:w="109"/>
        <w:gridCol w:w="154"/>
      </w:tblGrid>
      <w:tr>
        <w:trPr/>
        <w:tc>
          <w:tcPr>
            <w:tcW w:w="2193" w:type="dxa"/>
            <w:tcBorders/>
            <w:shd w:fill="auto" w:val="clear"/>
            <w:vAlign w:val="center"/>
          </w:tcPr>
          <w:p>
            <w:pPr>
              <w:pStyle w:val="TableContents"/>
              <w:spacing w:before="0" w:after="283"/>
              <w:rPr>
                <w:sz w:val="4"/>
                <w:szCs w:val="4"/>
              </w:rPr>
            </w:pPr>
            <w:r>
              <w:rPr>
                <w:sz w:val="4"/>
                <w:szCs w:val="4"/>
              </w:rPr>
            </w:r>
          </w:p>
        </w:tc>
        <w:tc>
          <w:tcPr>
            <w:tcW w:w="1930" w:type="dxa"/>
            <w:tcBorders/>
            <w:shd w:fill="auto" w:val="clear"/>
            <w:vAlign w:val="center"/>
          </w:tcPr>
          <w:p>
            <w:pPr>
              <w:pStyle w:val="TableContents"/>
              <w:spacing w:before="0" w:after="283"/>
              <w:rPr>
                <w:sz w:val="4"/>
                <w:szCs w:val="4"/>
              </w:rPr>
            </w:pPr>
            <w:r>
              <w:rPr>
                <w:sz w:val="4"/>
                <w:szCs w:val="4"/>
              </w:rPr>
            </w:r>
          </w:p>
        </w:tc>
        <w:tc>
          <w:tcPr>
            <w:tcW w:w="1937"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Notes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3"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55,978</w:t>
            </w: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39,325 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35,141</w:t>
            </w: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36,732 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sales revenue</w:t>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108,691</w:t>
            </w: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products revenue</w:t>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85,113</w:t>
            </w: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14,313 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7,795</w:t>
            </w: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292,718</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91,691 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145,670</w:t>
            </w: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22,534</w:t>
            </w: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61,799 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4,067</w:t>
            </w: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3,262</w:t>
            </w: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2,273 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 and incentive allocation to affiliate</w:t>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2,997</w:t>
            </w: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4, 6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40,926</w:t>
            </w: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41,305 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1,220</w:t>
            </w: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122,790 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39,292</w:t>
            </w: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44,139 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expenses</w:t>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259,968</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285,920 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Other income (expense)</w:t>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earnings of unconsolidated entities</w:t>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(1,335)</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assets, net</w:t>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16,288 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1"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1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w:t>
            </w: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(expense) income</w:t>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(1,327)</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16,614 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Income (loss) from continuing operations before income taxes</w:t>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31,423</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(177,615)</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2,026</w:t>
            </w: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from continuing operations</w:t>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29,397</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(178,954)</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from discontinued operations, net of income taxes</w:t>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(50,705)</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 xml:space="preserve">Net income (loss) </w:t>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29,397</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(229,659)</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interests in consolidated subsidiaries:</w:t>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(7,466)</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6,791</w:t>
            </w: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w:t>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22,606</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(228,984)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Earnings (loss) per share:</w:t>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Basic</w:t>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3"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0.23</w:t>
            </w: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(0.43)</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Diluted</w:t>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3"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0.22</w:t>
            </w: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(0.43)</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Weighted average shares outstanding:</w:t>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99,728,245</w:t>
            </w: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99,366,877 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100,974,100</w:t>
            </w: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99,366,877 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32740"/>
                <wp:effectExtent l="0" t="0" r="0" b="0"/>
                <wp:wrapNone/>
                <wp:docPr id="7" name="Frame6"/>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497F"/>
          <w:sz w:val="20"/>
        </w:rPr>
      </w:pPr>
      <w:r>
        <w:rPr>
          <w:rFonts w:ascii="Arial;sans-serif" w:hAnsi="Arial;sans-serif"/>
          <w:b/>
          <w:color w:val="00497F"/>
          <w:sz w:val="20"/>
        </w:rPr>
        <w:t>FTAI AVIATION LTD.</w:t>
      </w:r>
    </w:p>
    <w:p>
      <w:pPr>
        <w:pStyle w:val="TextBody"/>
        <w:spacing w:lineRule="auto" w:line="288" w:before="0" w:after="0"/>
        <w:rPr/>
      </w:pPr>
      <w:r>
        <w:rPr>
          <w:rFonts w:ascii="Arial;sans-serif" w:hAnsi="Arial;sans-serif"/>
          <w:b/>
          <w:color w:val="00497F"/>
          <w:sz w:val="20"/>
        </w:rPr>
        <w:t xml:space="preserve">CONSOLIDATED STATEMENTS OF COMPREHENSIVE INCOME (LOSS) </w:t>
      </w:r>
      <w:r>
        <w:rPr>
          <w:rFonts w:ascii="Arial;sans-serif" w:hAnsi="Arial;sans-serif"/>
          <w:b/>
          <w:i/>
          <w:color w:val="00497F"/>
          <w:sz w:val="20"/>
        </w:rPr>
        <w:t>(unaudited)</w:t>
      </w:r>
    </w:p>
    <w:p>
      <w:pPr>
        <w:pStyle w:val="TextBody"/>
        <w:spacing w:lineRule="auto" w:line="288" w:before="0" w:after="0"/>
        <w:rPr>
          <w:rFonts w:ascii="Arial;sans-serif" w:hAnsi="Arial;sans-serif"/>
          <w:b w:val="false"/>
          <w:i/>
          <w:color w:val="00497F"/>
          <w:sz w:val="20"/>
        </w:rPr>
      </w:pPr>
      <w:r>
        <w:rPr>
          <w:rFonts w:ascii="Arial;sans-serif" w:hAnsi="Arial;sans-serif"/>
          <w:b w:val="false"/>
          <w:i/>
          <w:color w:val="00497F"/>
          <w:sz w:val="20"/>
        </w:rPr>
        <w:t>(Dollars in thousands)</w:t>
      </w:r>
    </w:p>
    <w:tbl>
      <w:tblPr>
        <w:tblW w:w="10017" w:type="dxa"/>
        <w:jc w:val="left"/>
        <w:tblInd w:w="0" w:type="dxa"/>
        <w:tblCellMar>
          <w:top w:w="28" w:type="dxa"/>
          <w:left w:w="28" w:type="dxa"/>
          <w:bottom w:w="28" w:type="dxa"/>
          <w:right w:w="28" w:type="dxa"/>
        </w:tblCellMar>
      </w:tblPr>
      <w:tblGrid>
        <w:gridCol w:w="2524"/>
        <w:gridCol w:w="2228"/>
        <w:gridCol w:w="2238"/>
        <w:gridCol w:w="207"/>
        <w:gridCol w:w="699"/>
        <w:gridCol w:w="115"/>
        <w:gridCol w:w="115"/>
        <w:gridCol w:w="115"/>
        <w:gridCol w:w="115"/>
        <w:gridCol w:w="207"/>
        <w:gridCol w:w="858"/>
        <w:gridCol w:w="115"/>
        <w:gridCol w:w="109"/>
        <w:gridCol w:w="109"/>
        <w:gridCol w:w="109"/>
        <w:gridCol w:w="154"/>
      </w:tblGrid>
      <w:tr>
        <w:trPr/>
        <w:tc>
          <w:tcPr>
            <w:tcW w:w="2524" w:type="dxa"/>
            <w:tcBorders/>
            <w:shd w:fill="auto" w:val="clear"/>
            <w:vAlign w:val="center"/>
          </w:tcPr>
          <w:p>
            <w:pPr>
              <w:pStyle w:val="TableContents"/>
              <w:spacing w:before="0" w:after="283"/>
              <w:rPr>
                <w:sz w:val="4"/>
                <w:szCs w:val="4"/>
              </w:rPr>
            </w:pPr>
            <w:r>
              <w:rPr>
                <w:sz w:val="4"/>
                <w:szCs w:val="4"/>
              </w:rPr>
            </w:r>
          </w:p>
        </w:tc>
        <w:tc>
          <w:tcPr>
            <w:tcW w:w="2228" w:type="dxa"/>
            <w:tcBorders/>
            <w:shd w:fill="auto" w:val="clear"/>
            <w:vAlign w:val="center"/>
          </w:tcPr>
          <w:p>
            <w:pPr>
              <w:pStyle w:val="TableContents"/>
              <w:spacing w:before="0" w:after="283"/>
              <w:rPr>
                <w:sz w:val="4"/>
                <w:szCs w:val="4"/>
              </w:rPr>
            </w:pPr>
            <w:r>
              <w:rPr>
                <w:sz w:val="4"/>
                <w:szCs w:val="4"/>
              </w:rPr>
            </w:r>
          </w:p>
        </w:tc>
        <w:tc>
          <w:tcPr>
            <w:tcW w:w="2238"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29,397</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(229,659)</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 xml:space="preserve">Other comprehensive loss related to equity method investees, net </w:t>
            </w:r>
            <w:r>
              <w:rPr>
                <w:rFonts w:ascii="Arial;sans-serif" w:hAnsi="Arial;sans-serif"/>
                <w:b w:val="false"/>
                <w:color w:val="000000"/>
                <w:sz w:val="10"/>
              </w:rPr>
              <w:t xml:space="preserve">(1) </w:t>
            </w:r>
            <w:r>
              <w:rPr>
                <w:rFonts w:ascii="Arial;sans-serif" w:hAnsi="Arial;sans-serif"/>
                <w:b w:val="false"/>
                <w:color w:val="000000"/>
                <w:sz w:val="16"/>
              </w:rPr>
              <w:t>in discontinued operations</w:t>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(94,779)</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w:t>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29,397</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(324,438)</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loss attributable to non-controlling interest:</w:t>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(7,466)</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 attributable to shareholders</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29,397</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(316,972)</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________________________________________________________</w:t>
      </w:r>
    </w:p>
    <w:p>
      <w:pPr>
        <w:pStyle w:val="TextBody"/>
        <w:spacing w:lineRule="auto" w:line="288" w:before="120" w:after="283"/>
        <w:ind w:left="0" w:right="0" w:hanging="18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Net of deferred tax expense of $0 for the three months ended March 31, 2022.</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32740"/>
                <wp:effectExtent l="0" t="0" r="0" b="0"/>
                <wp:wrapNone/>
                <wp:docPr id="8" name="Frame7"/>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497F"/>
          <w:sz w:val="20"/>
        </w:rPr>
      </w:pPr>
      <w:r>
        <w:rPr>
          <w:rFonts w:ascii="Arial;sans-serif" w:hAnsi="Arial;sans-serif"/>
          <w:b/>
          <w:color w:val="00497F"/>
          <w:sz w:val="20"/>
        </w:rPr>
        <w:t>FTAI AVIATION LTD.</w:t>
      </w:r>
    </w:p>
    <w:p>
      <w:pPr>
        <w:pStyle w:val="TextBody"/>
        <w:spacing w:lineRule="auto" w:line="288" w:before="0" w:after="0"/>
        <w:rPr/>
      </w:pPr>
      <w:r>
        <w:rPr>
          <w:rFonts w:ascii="Arial;sans-serif" w:hAnsi="Arial;sans-serif"/>
          <w:b/>
          <w:color w:val="00497F"/>
          <w:sz w:val="20"/>
        </w:rPr>
        <w:t xml:space="preserve">CONSOLIDATED STATEMENT OF CHANGES IN EQUITY </w:t>
      </w:r>
      <w:r>
        <w:rPr>
          <w:rFonts w:ascii="Arial;sans-serif" w:hAnsi="Arial;sans-serif"/>
          <w:b/>
          <w:i/>
          <w:color w:val="00497F"/>
          <w:sz w:val="20"/>
        </w:rPr>
        <w:t>(unaudited)</w:t>
      </w:r>
    </w:p>
    <w:p>
      <w:pPr>
        <w:pStyle w:val="TextBody"/>
        <w:spacing w:lineRule="auto" w:line="288" w:before="0" w:after="0"/>
        <w:rPr>
          <w:rFonts w:ascii="Arial;sans-serif" w:hAnsi="Arial;sans-serif"/>
          <w:b w:val="false"/>
          <w:i/>
          <w:color w:val="00497F"/>
          <w:sz w:val="20"/>
        </w:rPr>
      </w:pPr>
      <w:r>
        <w:rPr>
          <w:rFonts w:ascii="Arial;sans-serif" w:hAnsi="Arial;sans-serif"/>
          <w:b w:val="false"/>
          <w:i/>
          <w:color w:val="00497F"/>
          <w:sz w:val="20"/>
        </w:rPr>
        <w:t>(Dollars in thousands)</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637"/>
        <w:gridCol w:w="381"/>
        <w:gridCol w:w="382"/>
        <w:gridCol w:w="227"/>
        <w:gridCol w:w="507"/>
        <w:gridCol w:w="127"/>
        <w:gridCol w:w="109"/>
        <w:gridCol w:w="109"/>
        <w:gridCol w:w="109"/>
        <w:gridCol w:w="235"/>
        <w:gridCol w:w="525"/>
        <w:gridCol w:w="131"/>
        <w:gridCol w:w="109"/>
        <w:gridCol w:w="109"/>
        <w:gridCol w:w="109"/>
        <w:gridCol w:w="214"/>
        <w:gridCol w:w="822"/>
        <w:gridCol w:w="119"/>
        <w:gridCol w:w="109"/>
        <w:gridCol w:w="109"/>
        <w:gridCol w:w="109"/>
        <w:gridCol w:w="223"/>
        <w:gridCol w:w="859"/>
        <w:gridCol w:w="125"/>
        <w:gridCol w:w="109"/>
        <w:gridCol w:w="109"/>
        <w:gridCol w:w="109"/>
        <w:gridCol w:w="109"/>
        <w:gridCol w:w="109"/>
        <w:gridCol w:w="478"/>
        <w:gridCol w:w="1063"/>
        <w:gridCol w:w="267"/>
        <w:gridCol w:w="109"/>
        <w:gridCol w:w="109"/>
        <w:gridCol w:w="109"/>
        <w:gridCol w:w="197"/>
        <w:gridCol w:w="667"/>
        <w:gridCol w:w="166"/>
      </w:tblGrid>
      <w:tr>
        <w:trPr/>
        <w:tc>
          <w:tcPr>
            <w:tcW w:w="637"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1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8" w:type="dxa"/>
            <w:gridSpan w:val="2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2023</w:t>
            </w:r>
          </w:p>
        </w:tc>
        <w:tc>
          <w:tcPr>
            <w:tcW w:w="1357" w:type="dxa"/>
            <w:gridSpan w:val="6"/>
            <w:tcBorders/>
            <w:shd w:fill="auto" w:val="clear"/>
          </w:tcPr>
          <w:p>
            <w:pPr>
              <w:pStyle w:val="TableContents"/>
              <w:spacing w:before="0" w:after="283"/>
              <w:rPr>
                <w:sz w:val="4"/>
                <w:szCs w:val="4"/>
              </w:rPr>
            </w:pPr>
            <w:r>
              <w:rPr>
                <w:sz w:val="4"/>
                <w:szCs w:val="4"/>
              </w:rPr>
            </w:r>
          </w:p>
        </w:tc>
      </w:tr>
      <w:tr>
        <w:trPr/>
        <w:tc>
          <w:tcPr>
            <w:tcW w:w="1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Ordinary Shares</w:t>
            </w:r>
            <w:r>
              <w:rPr>
                <w:rFonts w:ascii="Arial;sans-serif" w:hAnsi="Arial;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Preferred Shares</w:t>
            </w:r>
            <w:r>
              <w:rPr>
                <w:rFonts w:ascii="Arial;sans-serif" w:hAnsi="Arial;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Additional Paid In 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Accumulated Deficit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Arial;sans-serif" w:hAnsi="Arial;sans-serif"/>
                <w:b/>
                <w:color w:val="000000"/>
                <w:sz w:val="16"/>
              </w:rPr>
              <w:t>Non-Controlling Interest in Equity of Consolidated Subsidiaries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 Equity</w:t>
            </w:r>
          </w:p>
        </w:tc>
      </w:tr>
      <w:tr>
        <w:trPr/>
        <w:tc>
          <w:tcPr>
            <w:tcW w:w="1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Equity - December 31, 2022</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343,350 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(325,602)</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19,402 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29,397</w:t>
            </w: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29,397</w:t>
            </w: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comprehensive income</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29,397</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29,397</w:t>
            </w: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0"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0" w:type="dxa"/>
            <w:gridSpan w:val="3"/>
            <w:tcBorders/>
            <w:shd w:fill="auto" w:val="clear"/>
            <w:vAlign w:val="center"/>
          </w:tcPr>
          <w:p>
            <w:pPr>
              <w:pStyle w:val="TableContents"/>
              <w:spacing w:before="0" w:after="283"/>
              <w:rPr>
                <w:sz w:val="4"/>
                <w:szCs w:val="4"/>
              </w:rPr>
            </w:pPr>
            <w:r>
              <w:rPr>
                <w:sz w:val="4"/>
                <w:szCs w:val="4"/>
              </w:rPr>
            </w:r>
          </w:p>
        </w:tc>
      </w:tr>
      <w:tr>
        <w:trPr/>
        <w:tc>
          <w:tcPr>
            <w:tcW w:w="1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230</w:t>
            </w: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230</w:t>
            </w: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0"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0" w:type="dxa"/>
            <w:gridSpan w:val="3"/>
            <w:tcBorders/>
            <w:shd w:fill="auto" w:val="clear"/>
            <w:vAlign w:val="center"/>
          </w:tcPr>
          <w:p>
            <w:pPr>
              <w:pStyle w:val="TableContents"/>
              <w:spacing w:before="0" w:after="283"/>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ordinary shares</w:t>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(29,919)</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(29,919)</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preferred shares</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26</w:t>
            </w: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61,703</w:t>
            </w: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61,729</w:t>
            </w: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preferred shares</w:t>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(6,791)</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(6,791)</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108</w:t>
            </w: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108</w:t>
            </w: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Equity - March 31, 2023</w:t>
            </w:r>
          </w:p>
        </w:tc>
        <w:tc>
          <w:tcPr>
            <w:tcW w:w="2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997</w:t>
            </w:r>
            <w:r>
              <w:rPr>
                <w:color w:val="000000"/>
              </w:rPr>
              <w:t> </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159</w:t>
            </w:r>
            <w:r>
              <w:rPr>
                <w:color w:val="000000"/>
              </w:rPr>
              <w:t> </w:t>
            </w:r>
          </w:p>
        </w:tc>
        <w:tc>
          <w:tcPr>
            <w:tcW w:w="1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368,681</w:t>
            </w:r>
            <w:r>
              <w:rPr>
                <w:color w:val="000000"/>
              </w:rPr>
              <w:t> </w:t>
            </w:r>
          </w:p>
        </w:tc>
        <w:tc>
          <w:tcPr>
            <w:tcW w:w="1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(296,205)</w:t>
            </w:r>
          </w:p>
        </w:tc>
        <w:tc>
          <w:tcPr>
            <w:tcW w:w="1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524</w:t>
            </w:r>
            <w:r>
              <w:rPr>
                <w:color w:val="000000"/>
              </w:rPr>
              <w:t> </w:t>
            </w:r>
          </w:p>
        </w:tc>
        <w:tc>
          <w:tcPr>
            <w:tcW w:w="2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74,156</w:t>
            </w:r>
            <w:r>
              <w:rPr>
                <w:color w:val="000000"/>
              </w:rPr>
              <w:t> </w:t>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400"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0" w:type="dxa"/>
            <w:gridSpan w:val="3"/>
            <w:tcBorders/>
            <w:shd w:fill="auto" w:val="clear"/>
            <w:vAlign w:val="center"/>
          </w:tcPr>
          <w:p>
            <w:pPr>
              <w:pStyle w:val="TableContents"/>
              <w:spacing w:before="0" w:after="283"/>
              <w:rPr>
                <w:sz w:val="4"/>
                <w:szCs w:val="4"/>
              </w:rPr>
            </w:pPr>
            <w:r>
              <w:rPr>
                <w:sz w:val="4"/>
                <w:szCs w:val="4"/>
              </w:rPr>
            </w:r>
          </w:p>
        </w:tc>
      </w:tr>
      <w:tr>
        <w:trPr/>
        <w:tc>
          <w:tcPr>
            <w:tcW w:w="1400"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0" w:type="dxa"/>
            <w:gridSpan w:val="3"/>
            <w:tcBorders/>
            <w:shd w:fill="auto" w:val="clear"/>
            <w:vAlign w:val="center"/>
          </w:tcPr>
          <w:p>
            <w:pPr>
              <w:pStyle w:val="TableContents"/>
              <w:spacing w:before="0" w:after="283"/>
              <w:rPr>
                <w:sz w:val="4"/>
                <w:szCs w:val="4"/>
              </w:rPr>
            </w:pPr>
            <w:r>
              <w:rPr>
                <w:sz w:val="4"/>
                <w:szCs w:val="4"/>
              </w:rPr>
            </w:r>
          </w:p>
        </w:tc>
      </w:tr>
      <w:tr>
        <w:trPr/>
        <w:tc>
          <w:tcPr>
            <w:tcW w:w="1400"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0" w:type="dxa"/>
            <w:gridSpan w:val="3"/>
            <w:tcBorders/>
            <w:shd w:fill="auto" w:val="clear"/>
            <w:vAlign w:val="center"/>
          </w:tcPr>
          <w:p>
            <w:pPr>
              <w:pStyle w:val="TableContents"/>
              <w:spacing w:before="0" w:after="283"/>
              <w:rPr>
                <w:sz w:val="4"/>
                <w:szCs w:val="4"/>
              </w:rPr>
            </w:pPr>
            <w:r>
              <w:rPr>
                <w:sz w:val="4"/>
                <w:szCs w:val="4"/>
              </w:rPr>
            </w:r>
          </w:p>
        </w:tc>
      </w:tr>
      <w:tr>
        <w:trPr/>
        <w:tc>
          <w:tcPr>
            <w:tcW w:w="1400"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0" w:type="dxa"/>
            <w:gridSpan w:val="3"/>
            <w:tcBorders/>
            <w:shd w:fill="auto" w:val="clear"/>
            <w:vAlign w:val="center"/>
          </w:tcPr>
          <w:p>
            <w:pPr>
              <w:pStyle w:val="TableContents"/>
              <w:spacing w:before="0" w:after="283"/>
              <w:rPr>
                <w:sz w:val="4"/>
                <w:szCs w:val="4"/>
              </w:rPr>
            </w:pPr>
            <w:r>
              <w:rPr>
                <w:sz w:val="4"/>
                <w:szCs w:val="4"/>
              </w:rPr>
            </w:r>
          </w:p>
        </w:tc>
      </w:tr>
      <w:tr>
        <w:trPr/>
        <w:tc>
          <w:tcPr>
            <w:tcW w:w="1400"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0" w:type="dxa"/>
            <w:gridSpan w:val="3"/>
            <w:tcBorders/>
            <w:shd w:fill="auto" w:val="clear"/>
            <w:vAlign w:val="center"/>
          </w:tcPr>
          <w:p>
            <w:pPr>
              <w:pStyle w:val="TableContents"/>
              <w:spacing w:before="0" w:after="283"/>
              <w:rPr>
                <w:sz w:val="4"/>
                <w:szCs w:val="4"/>
              </w:rPr>
            </w:pPr>
            <w:r>
              <w:rPr>
                <w:sz w:val="4"/>
                <w:szCs w:val="4"/>
              </w:rPr>
            </w:r>
          </w:p>
        </w:tc>
      </w:tr>
      <w:tr>
        <w:trPr/>
        <w:tc>
          <w:tcPr>
            <w:tcW w:w="1400"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0" w:type="dxa"/>
            <w:gridSpan w:val="3"/>
            <w:tcBorders/>
            <w:shd w:fill="auto" w:val="clear"/>
            <w:vAlign w:val="center"/>
          </w:tcPr>
          <w:p>
            <w:pPr>
              <w:pStyle w:val="TableContents"/>
              <w:spacing w:before="0" w:after="283"/>
              <w:rPr>
                <w:sz w:val="4"/>
                <w:szCs w:val="4"/>
              </w:rPr>
            </w:pPr>
            <w:r>
              <w:rPr>
                <w:sz w:val="4"/>
                <w:szCs w:val="4"/>
              </w:rPr>
            </w:r>
          </w:p>
        </w:tc>
      </w:tr>
      <w:tr>
        <w:trPr/>
        <w:tc>
          <w:tcPr>
            <w:tcW w:w="1400"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0" w:type="dxa"/>
            <w:gridSpan w:val="3"/>
            <w:tcBorders/>
            <w:shd w:fill="auto" w:val="clear"/>
            <w:vAlign w:val="center"/>
          </w:tcPr>
          <w:p>
            <w:pPr>
              <w:pStyle w:val="TableContents"/>
              <w:spacing w:before="0" w:after="283"/>
              <w:rPr>
                <w:sz w:val="4"/>
                <w:szCs w:val="4"/>
              </w:rPr>
            </w:pPr>
            <w:r>
              <w:rPr>
                <w:sz w:val="4"/>
                <w:szCs w:val="4"/>
              </w:rPr>
            </w:r>
          </w:p>
        </w:tc>
      </w:tr>
      <w:tr>
        <w:trPr/>
        <w:tc>
          <w:tcPr>
            <w:tcW w:w="1400"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0" w:type="dxa"/>
            <w:gridSpan w:val="3"/>
            <w:tcBorders/>
            <w:shd w:fill="auto" w:val="clear"/>
            <w:vAlign w:val="center"/>
          </w:tcPr>
          <w:p>
            <w:pPr>
              <w:pStyle w:val="TableContents"/>
              <w:spacing w:before="0" w:after="283"/>
              <w:rPr>
                <w:sz w:val="4"/>
                <w:szCs w:val="4"/>
              </w:rPr>
            </w:pPr>
            <w:r>
              <w:rPr>
                <w:sz w:val="4"/>
                <w:szCs w:val="4"/>
              </w:rPr>
            </w:r>
          </w:p>
        </w:tc>
      </w:tr>
      <w:tr>
        <w:trPr/>
        <w:tc>
          <w:tcPr>
            <w:tcW w:w="1400"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0" w:type="dxa"/>
            <w:gridSpan w:val="3"/>
            <w:tcBorders/>
            <w:shd w:fill="auto" w:val="clear"/>
            <w:vAlign w:val="center"/>
          </w:tcPr>
          <w:p>
            <w:pPr>
              <w:pStyle w:val="TableContents"/>
              <w:spacing w:before="0" w:after="283"/>
              <w:rPr>
                <w:sz w:val="4"/>
                <w:szCs w:val="4"/>
              </w:rPr>
            </w:pPr>
            <w:r>
              <w:rPr>
                <w:sz w:val="4"/>
                <w:szCs w:val="4"/>
              </w:rPr>
            </w:r>
          </w:p>
        </w:tc>
      </w:tr>
      <w:tr>
        <w:trPr/>
        <w:tc>
          <w:tcPr>
            <w:tcW w:w="1400"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0" w:type="dxa"/>
            <w:gridSpan w:val="3"/>
            <w:tcBorders/>
            <w:shd w:fill="auto" w:val="clear"/>
            <w:vAlign w:val="center"/>
          </w:tcPr>
          <w:p>
            <w:pPr>
              <w:pStyle w:val="TableContents"/>
              <w:spacing w:before="0" w:after="283"/>
              <w:rPr>
                <w:sz w:val="4"/>
                <w:szCs w:val="4"/>
              </w:rPr>
            </w:pPr>
            <w:r>
              <w:rPr>
                <w:sz w:val="4"/>
                <w:szCs w:val="4"/>
              </w:rPr>
            </w:r>
          </w:p>
        </w:tc>
      </w:tr>
      <w:tr>
        <w:trPr/>
        <w:tc>
          <w:tcPr>
            <w:tcW w:w="1400"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tbl>
      <w:tblPr>
        <w:tblW w:w="11235" w:type="dxa"/>
        <w:jc w:val="left"/>
        <w:tblInd w:w="0" w:type="dxa"/>
        <w:tblCellMar>
          <w:top w:w="28" w:type="dxa"/>
          <w:left w:w="28" w:type="dxa"/>
          <w:bottom w:w="28" w:type="dxa"/>
          <w:right w:w="28" w:type="dxa"/>
        </w:tblCellMar>
      </w:tblPr>
      <w:tblGrid>
        <w:gridCol w:w="595"/>
        <w:gridCol w:w="325"/>
        <w:gridCol w:w="326"/>
        <w:gridCol w:w="227"/>
        <w:gridCol w:w="487"/>
        <w:gridCol w:w="127"/>
        <w:gridCol w:w="109"/>
        <w:gridCol w:w="109"/>
        <w:gridCol w:w="109"/>
        <w:gridCol w:w="222"/>
        <w:gridCol w:w="478"/>
        <w:gridCol w:w="126"/>
        <w:gridCol w:w="109"/>
        <w:gridCol w:w="109"/>
        <w:gridCol w:w="109"/>
        <w:gridCol w:w="196"/>
        <w:gridCol w:w="871"/>
        <w:gridCol w:w="109"/>
        <w:gridCol w:w="109"/>
        <w:gridCol w:w="109"/>
        <w:gridCol w:w="109"/>
        <w:gridCol w:w="214"/>
        <w:gridCol w:w="822"/>
        <w:gridCol w:w="120"/>
        <w:gridCol w:w="109"/>
        <w:gridCol w:w="109"/>
        <w:gridCol w:w="109"/>
        <w:gridCol w:w="250"/>
        <w:gridCol w:w="960"/>
        <w:gridCol w:w="141"/>
        <w:gridCol w:w="109"/>
        <w:gridCol w:w="109"/>
        <w:gridCol w:w="109"/>
        <w:gridCol w:w="325"/>
        <w:gridCol w:w="949"/>
        <w:gridCol w:w="182"/>
        <w:gridCol w:w="109"/>
        <w:gridCol w:w="109"/>
        <w:gridCol w:w="109"/>
        <w:gridCol w:w="196"/>
        <w:gridCol w:w="871"/>
        <w:gridCol w:w="154"/>
      </w:tblGrid>
      <w:tr>
        <w:trPr/>
        <w:tc>
          <w:tcPr>
            <w:tcW w:w="59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9" w:type="dxa"/>
            <w:gridSpan w:val="3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2022</w:t>
            </w:r>
          </w:p>
        </w:tc>
      </w:tr>
      <w:tr>
        <w:trPr/>
        <w:tc>
          <w:tcPr>
            <w:tcW w:w="12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Common Shares</w:t>
            </w:r>
            <w:r>
              <w:rPr>
                <w:rFonts w:ascii="Arial;sans-serif" w:hAnsi="Arial;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Preferred Shares</w:t>
            </w:r>
            <w:r>
              <w:rPr>
                <w:rFonts w:ascii="Arial;sans-serif" w:hAnsi="Arial;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Additional Paid In 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Accumulated Deficit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Arial;sans-serif" w:hAnsi="Arial;sans-serif"/>
                <w:b/>
                <w:color w:val="000000"/>
                <w:sz w:val="16"/>
              </w:rPr>
              <w:t>Accumulated Other Comprehensive 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Arial;sans-serif" w:hAnsi="Arial;sans-serif"/>
                <w:b/>
                <w:color w:val="000000"/>
                <w:sz w:val="16"/>
              </w:rPr>
              <w:t>Non-Controlling Interest in Equity of Consolidated Subsidiaries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 Equity</w:t>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Equity - December 31, 2021</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1,411,940 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(132,392)</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(156,381)</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1,124,100 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(222,193)</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(7,466)</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(229,659)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(94,779)</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(94,779)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comprehensive loss</w:t>
            </w:r>
          </w:p>
        </w:tc>
        <w:tc>
          <w:tcPr>
            <w:tcW w:w="8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(222,193)</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(94,779)</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(7,466)</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(324,438)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w:t>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ordinary shares</w:t>
            </w:r>
          </w:p>
        </w:tc>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(32,749)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preferred shares</w:t>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Equity - March 31, 2022</w:t>
            </w:r>
          </w:p>
        </w:tc>
        <w:tc>
          <w:tcPr>
            <w:tcW w:w="2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992 </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1,372,564 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(354,585)</w:t>
            </w:r>
          </w:p>
        </w:tc>
        <w:tc>
          <w:tcPr>
            <w:tcW w:w="1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(251,160)</w:t>
            </w:r>
          </w:p>
        </w:tc>
        <w:tc>
          <w:tcPr>
            <w:tcW w:w="1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(6,949)</w:t>
            </w:r>
          </w:p>
        </w:tc>
        <w:tc>
          <w:tcPr>
            <w:tcW w:w="1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760,995 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w:t>
      </w:r>
    </w:p>
    <w:p>
      <w:pPr>
        <w:pStyle w:val="TextBody"/>
        <w:spacing w:lineRule="auto" w:line="288" w:before="0" w:after="0"/>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Common and Preferred Shares of Fortress Transportation and Infrastructure Investors LLC were exchanged for Ordinary and Preferred Shares of FTAI Aviation Ltd. when the Merger, as detailed in Note 1, was completed on November 10, 2022.</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32740"/>
                <wp:effectExtent l="0" t="0" r="0" b="0"/>
                <wp:wrapNone/>
                <wp:docPr id="9" name="Frame8"/>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497F"/>
          <w:sz w:val="20"/>
        </w:rPr>
      </w:pPr>
      <w:r>
        <w:rPr>
          <w:rFonts w:ascii="Arial;sans-serif" w:hAnsi="Arial;sans-serif"/>
          <w:b/>
          <w:color w:val="00497F"/>
          <w:sz w:val="20"/>
        </w:rPr>
        <w:t>FTAI AVIATION LTD.</w:t>
      </w:r>
    </w:p>
    <w:p>
      <w:pPr>
        <w:pStyle w:val="TextBody"/>
        <w:spacing w:lineRule="auto" w:line="288" w:before="0" w:after="0"/>
        <w:rPr/>
      </w:pPr>
      <w:r>
        <w:rPr>
          <w:rFonts w:ascii="Arial;sans-serif" w:hAnsi="Arial;sans-serif"/>
          <w:b/>
          <w:color w:val="00497F"/>
          <w:sz w:val="20"/>
        </w:rPr>
        <w:t xml:space="preserve">CONSOLIDATED STATEMENTS OF CASH FLOWS </w:t>
      </w:r>
      <w:r>
        <w:rPr>
          <w:rFonts w:ascii="Arial;sans-serif" w:hAnsi="Arial;sans-serif"/>
          <w:b/>
          <w:i/>
          <w:color w:val="00497F"/>
          <w:sz w:val="20"/>
        </w:rPr>
        <w:t>(unaudited)</w:t>
      </w:r>
    </w:p>
    <w:p>
      <w:pPr>
        <w:pStyle w:val="TextBody"/>
        <w:spacing w:lineRule="auto" w:line="288" w:before="0" w:after="0"/>
        <w:rPr>
          <w:rFonts w:ascii="Arial;sans-serif" w:hAnsi="Arial;sans-serif"/>
          <w:b w:val="false"/>
          <w:i/>
          <w:color w:val="00497F"/>
          <w:sz w:val="20"/>
        </w:rPr>
      </w:pPr>
      <w:r>
        <w:rPr>
          <w:rFonts w:ascii="Arial;sans-serif" w:hAnsi="Arial;sans-serif"/>
          <w:b w:val="false"/>
          <w:i/>
          <w:color w:val="00497F"/>
          <w:sz w:val="20"/>
        </w:rPr>
        <w:t>(Dollars in thousands)</w:t>
      </w:r>
    </w:p>
    <w:tbl>
      <w:tblPr>
        <w:tblW w:w="8997" w:type="dxa"/>
        <w:jc w:val="left"/>
        <w:tblInd w:w="0" w:type="dxa"/>
        <w:tblCellMar>
          <w:top w:w="28" w:type="dxa"/>
          <w:left w:w="28" w:type="dxa"/>
          <w:bottom w:w="28" w:type="dxa"/>
          <w:right w:w="28" w:type="dxa"/>
        </w:tblCellMar>
      </w:tblPr>
      <w:tblGrid>
        <w:gridCol w:w="2321"/>
        <w:gridCol w:w="2039"/>
        <w:gridCol w:w="2045"/>
        <w:gridCol w:w="202"/>
        <w:gridCol w:w="744"/>
        <w:gridCol w:w="112"/>
        <w:gridCol w:w="112"/>
        <w:gridCol w:w="112"/>
        <w:gridCol w:w="112"/>
        <w:gridCol w:w="202"/>
        <w:gridCol w:w="837"/>
        <w:gridCol w:w="159"/>
      </w:tblGrid>
      <w:tr>
        <w:trPr/>
        <w:tc>
          <w:tcPr>
            <w:tcW w:w="2321" w:type="dxa"/>
            <w:tcBorders/>
            <w:shd w:fill="auto" w:val="clear"/>
            <w:vAlign w:val="center"/>
          </w:tcPr>
          <w:p>
            <w:pPr>
              <w:pStyle w:val="TableContents"/>
              <w:spacing w:before="0" w:after="283"/>
              <w:rPr>
                <w:sz w:val="4"/>
                <w:szCs w:val="4"/>
              </w:rPr>
            </w:pPr>
            <w:r>
              <w:rPr>
                <w:sz w:val="4"/>
                <w:szCs w:val="4"/>
              </w:rPr>
            </w:r>
          </w:p>
        </w:tc>
        <w:tc>
          <w:tcPr>
            <w:tcW w:w="2039"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6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6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20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4"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29,397</w:t>
            </w: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(229,659)</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(loss) to net cash provided by operating activities:</w:t>
            </w:r>
          </w:p>
        </w:tc>
        <w:tc>
          <w:tcPr>
            <w:tcW w:w="10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of unconsolidated entities</w:t>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1,335</w:t>
            </w: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24,013 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assets, net</w:t>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(31,657)</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(16,288)</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Security deposits and maintenance claims included in earnings</w:t>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(9,842)</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(11,592)</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108</w:t>
            </w: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40,926</w:t>
            </w: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58,301 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1,220</w:t>
            </w: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122,790 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deferred income taxes</w:t>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1,692</w:t>
            </w: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non-hedge derivative</w:t>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guarantees</w:t>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(1,769)</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lease intangibles and incentives</w:t>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7,844</w:t>
            </w: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deferred financing costs</w:t>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2,017</w:t>
            </w: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w:t>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475</w:t>
            </w: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47,914 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(326)</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w:t>
            </w:r>
          </w:p>
        </w:tc>
        <w:tc>
          <w:tcPr>
            <w:tcW w:w="10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Accounts receivable</w:t>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(14,840)</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8,619 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Inventory</w:t>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6,984</w:t>
            </w: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(6,044)</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Other assets</w:t>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(2,013)</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(4,221)</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Accounts payable and accrued liabilities</w:t>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6,088</w:t>
            </w: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(16,597)</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Management fees payable to affiliate</w:t>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(386)</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Other liabilities</w:t>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1,444</w:t>
            </w: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3,406 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operating activities</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38,697</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10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 unconsolidated entities</w:t>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(19,500)</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(1,637)</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collections on finance leases</w:t>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leasing equipment</w:t>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(127,513)</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(219,440)</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property, plant and equipment</w:t>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(1,451)</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(54,661)</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lease intangibles</w:t>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(8,640)</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(5,282)</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deposits for acquisitions</w:t>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(9,940)</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(3,350)</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 of leasing equipment</w:t>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153,679</w:t>
            </w: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51,491 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 of property, plant and equipment</w:t>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for deposit on sale of aircraft and engine</w:t>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1,042</w:t>
            </w: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5"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6405"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cash used in investing activities</w:t>
            </w:r>
          </w:p>
        </w:tc>
        <w:tc>
          <w:tcPr>
            <w:tcW w:w="2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(12,323)</w:t>
            </w:r>
          </w:p>
        </w:tc>
        <w:tc>
          <w:tcPr>
            <w:tcW w:w="1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(228,127)</w:t>
            </w:r>
          </w:p>
        </w:tc>
        <w:tc>
          <w:tcPr>
            <w:tcW w:w="1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32740"/>
                <wp:effectExtent l="0" t="0" r="0" b="0"/>
                <wp:wrapNone/>
                <wp:docPr id="10" name="Frame9"/>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497F"/>
          <w:sz w:val="20"/>
        </w:rPr>
      </w:pPr>
      <w:r>
        <w:rPr>
          <w:rFonts w:ascii="Arial;sans-serif" w:hAnsi="Arial;sans-serif"/>
          <w:b/>
          <w:color w:val="00497F"/>
          <w:sz w:val="20"/>
        </w:rPr>
        <w:t>FTAI AVIATION LTD.</w:t>
      </w:r>
    </w:p>
    <w:p>
      <w:pPr>
        <w:pStyle w:val="TextBody"/>
        <w:spacing w:lineRule="auto" w:line="288" w:before="0" w:after="0"/>
        <w:rPr/>
      </w:pPr>
      <w:r>
        <w:rPr>
          <w:rFonts w:ascii="Arial;sans-serif" w:hAnsi="Arial;sans-serif"/>
          <w:b/>
          <w:color w:val="00497F"/>
          <w:sz w:val="20"/>
        </w:rPr>
        <w:t xml:space="preserve">CONSOLIDATED STATEMENTS OF CASH FLOWS </w:t>
      </w:r>
      <w:r>
        <w:rPr>
          <w:rFonts w:ascii="Arial;sans-serif" w:hAnsi="Arial;sans-serif"/>
          <w:b/>
          <w:i/>
          <w:color w:val="00497F"/>
          <w:sz w:val="20"/>
        </w:rPr>
        <w:t>(unaudited)</w:t>
      </w:r>
    </w:p>
    <w:p>
      <w:pPr>
        <w:pStyle w:val="TextBody"/>
        <w:spacing w:lineRule="auto" w:line="288" w:before="0" w:after="0"/>
        <w:rPr>
          <w:rFonts w:ascii="Arial;sans-serif" w:hAnsi="Arial;sans-serif"/>
          <w:b w:val="false"/>
          <w:i/>
          <w:color w:val="00497F"/>
          <w:sz w:val="20"/>
        </w:rPr>
      </w:pPr>
      <w:r>
        <w:rPr>
          <w:rFonts w:ascii="Arial;sans-serif" w:hAnsi="Arial;sans-serif"/>
          <w:b w:val="false"/>
          <w:i/>
          <w:color w:val="00497F"/>
          <w:sz w:val="20"/>
        </w:rPr>
        <w:t>(Dollars in thousands)</w:t>
      </w:r>
    </w:p>
    <w:tbl>
      <w:tblPr>
        <w:tblW w:w="10205" w:type="dxa"/>
        <w:jc w:val="left"/>
        <w:tblInd w:w="0" w:type="dxa"/>
        <w:tblCellMar>
          <w:top w:w="28" w:type="dxa"/>
          <w:left w:w="28" w:type="dxa"/>
          <w:bottom w:w="28" w:type="dxa"/>
          <w:right w:w="28" w:type="dxa"/>
        </w:tblCellMar>
      </w:tblPr>
      <w:tblGrid>
        <w:gridCol w:w="2779"/>
        <w:gridCol w:w="2413"/>
        <w:gridCol w:w="2431"/>
        <w:gridCol w:w="205"/>
        <w:gridCol w:w="785"/>
        <w:gridCol w:w="113"/>
        <w:gridCol w:w="113"/>
        <w:gridCol w:w="113"/>
        <w:gridCol w:w="113"/>
        <w:gridCol w:w="205"/>
        <w:gridCol w:w="769"/>
        <w:gridCol w:w="166"/>
      </w:tblGrid>
      <w:tr>
        <w:trPr/>
        <w:tc>
          <w:tcPr>
            <w:tcW w:w="2779" w:type="dxa"/>
            <w:tcBorders/>
            <w:shd w:fill="auto" w:val="clear"/>
            <w:vAlign w:val="center"/>
          </w:tcPr>
          <w:p>
            <w:pPr>
              <w:pStyle w:val="TableContents"/>
              <w:spacing w:before="0" w:after="283"/>
              <w:rPr>
                <w:sz w:val="4"/>
                <w:szCs w:val="4"/>
              </w:rPr>
            </w:pPr>
            <w:r>
              <w:rPr>
                <w:sz w:val="4"/>
                <w:szCs w:val="4"/>
              </w:rPr>
            </w:r>
          </w:p>
        </w:tc>
        <w:tc>
          <w:tcPr>
            <w:tcW w:w="2413" w:type="dxa"/>
            <w:tcBorders/>
            <w:shd w:fill="auto" w:val="clear"/>
            <w:vAlign w:val="center"/>
          </w:tcPr>
          <w:p>
            <w:pPr>
              <w:pStyle w:val="TableContents"/>
              <w:spacing w:before="0" w:after="283"/>
              <w:rPr>
                <w:sz w:val="4"/>
                <w:szCs w:val="4"/>
              </w:rPr>
            </w:pPr>
            <w:r>
              <w:rPr>
                <w:sz w:val="4"/>
                <w:szCs w:val="4"/>
              </w:rPr>
            </w:r>
          </w:p>
        </w:tc>
        <w:tc>
          <w:tcPr>
            <w:tcW w:w="2431"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7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7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76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debt</w:t>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5"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145,000</w:t>
            </w: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408,980 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 of debt</w:t>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(220,000)</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(224,473)</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deferred financing costs</w:t>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(10,818)</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Receipt of security deposits</w:t>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1,459</w:t>
            </w: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Return of security deposits</w:t>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(65)</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Receipt of maintenance deposits</w:t>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10,142</w:t>
            </w: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10,836 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Release of maintenance deposits</w:t>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3"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7623"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preferred shares, net of underwriter's discount and issuance costs</w:t>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61,729</w:t>
            </w: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3"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7623"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7623"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dividends - ordinary shares</w:t>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(29,919)</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(32,749)</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dividends - preferred shares</w:t>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(6,791)</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(6,791)</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cash (used in) provided by financing activities</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(38,445)</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145,810 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decrease in cash and cash equivalents and restricted cash</w:t>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(12,071)</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(80,394)</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and restricted cash, beginning of period</w:t>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53,065</w:t>
            </w: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440,061 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Cash and cash equivalents and restricted cash, end of period</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40,994</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359,667 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23"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7623"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7623"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7623"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Supplemental disclosure of non-cash investing and financing activities:</w:t>
            </w:r>
          </w:p>
        </w:tc>
        <w:tc>
          <w:tcPr>
            <w:tcW w:w="11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3"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leasing equipment</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5"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17,104</w:t>
            </w: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9,658 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3"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Security deposits, maintenance deposits, other assets and other liabilities settled in the sale of leasing equipment</w:t>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10,293</w:t>
            </w: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Settled and assumed security deposits</w:t>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(468)</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(10,198)</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Billed, assumed and settled maintenance deposits</w:t>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6,774</w:t>
            </w: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(31,594)</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3"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7623"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7623"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change in equity method investment</w:t>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(94,779)</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w:t>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230</w:t>
            </w: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3"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7623"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32740"/>
                <wp:effectExtent l="0" t="0" r="0" b="0"/>
                <wp:wrapNone/>
                <wp:docPr id="11" name="Frame10"/>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497F"/>
          <w:sz w:val="20"/>
        </w:rPr>
      </w:pPr>
      <w:r>
        <w:rPr>
          <w:rFonts w:ascii="Arial;sans-serif" w:hAnsi="Arial;sans-serif"/>
          <w:b/>
          <w:color w:val="00497F"/>
          <w:sz w:val="20"/>
        </w:rPr>
        <w:t>FTAI AVIATION LTD.</w:t>
      </w:r>
    </w:p>
    <w:p>
      <w:pPr>
        <w:pStyle w:val="TextBody"/>
        <w:spacing w:lineRule="auto" w:line="288" w:before="0" w:after="0"/>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spacing w:lineRule="auto" w:line="288" w:before="0" w:after="0"/>
        <w:rPr/>
      </w:pPr>
      <w:r>
        <w:rPr>
          <w:rFonts w:ascii="Arial;sans-serif" w:hAnsi="Arial;sans-serif"/>
          <w:b w:val="false"/>
          <w:i/>
          <w:color w:val="00497F"/>
          <w:sz w:val="20"/>
        </w:rPr>
        <w:t>(Dollars in tables in thousands, unless otherwise noted)</w:t>
      </w:r>
      <w:r>
        <w:rPr>
          <w:color w:val="00497F"/>
        </w:rPr>
        <w:t xml:space="preserv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ind w:left="0" w:right="0" w:hanging="360"/>
        <w:rPr>
          <w:rFonts w:ascii="Arial;sans-serif" w:hAnsi="Arial;sans-serif"/>
          <w:b/>
          <w:color w:val="00497F"/>
          <w:sz w:val="20"/>
        </w:rPr>
      </w:pPr>
      <w:r>
        <w:rPr>
          <w:rFonts w:ascii="Arial;sans-serif" w:hAnsi="Arial;sans-serif"/>
          <w:b/>
          <w:color w:val="00497F"/>
          <w:sz w:val="20"/>
        </w:rPr>
        <w:t xml:space="preserve">1. ORGANIZATION </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FTAI Aviation Ltd. (“we”, “us”, “our” or the “Company” and formerly “Fortress Transportation and Infrastructure Investors LLC”) is a Cayman Islands exempted company which through its subsidiaries owns, leases, and sells aviation equipment and also develops and manufactures, through a joint venture, and repairs and sells, through exclusivity arrangements, aftermarket components for aircraft engines. Additionally, we own and lease offshore energy equipment. We have two reportable segments, (i) Aviation Leasing and (ii) Aerospace Products (see Note 12). </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August 1, 2022, the Company completed the spin-off of its infrastructure business into an independent publicly traded company. Accordingly, the operating results of, and costs to separate, the infrastructure business are reported in Net loss from discontinued operations, net of income taxes in the Consolidated Statements of Operations for all periods presented. All amounts and disclosures included in the Notes to Consolidated Financial Statements reflect only the Company's continuing operations unless otherwise noted. For additional information, see Note 3, "Discontinued Operations."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On November 10, 2022, the Company completed a reverse merger transaction pursuant to the Agreement and Plan of Merger (the “Merger”) between Fortress Transportation and Infrastructure Investors LLC (“FTAI LLC”) and the Company and the parties thereto, with FTAI LLC becoming a subsidiary of the Company. This reverse merger represents a transaction between entities under common control. Upon merger completion, FTAI LLC’s shareholders received one share of the Company’s ordinary shares, Series A Preferred Shares, Series B Preferred Shares and Series C Preferred Shares in exchange for each share of FTAI LLC’s common shares, Series A Preferred Shares, Series B Preferred Shares and Series C Preferred Shares, respectively, with the new Shares of FTAI Aviation Ltd. having substantially similar rights and privileges as the respective FTAI LLC shares being converted. All exchanges were completed without any further action from the shareholders.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ind w:left="0" w:right="0" w:hanging="360"/>
        <w:rPr>
          <w:rFonts w:ascii="Arial;sans-serif" w:hAnsi="Arial;sans-serif"/>
          <w:b/>
          <w:color w:val="00497F"/>
          <w:sz w:val="20"/>
        </w:rPr>
      </w:pPr>
      <w:r>
        <w:rPr>
          <w:rFonts w:ascii="Arial;sans-serif" w:hAnsi="Arial;sans-serif"/>
          <w:b/>
          <w:color w:val="00497F"/>
          <w:sz w:val="20"/>
        </w:rPr>
        <w:t xml:space="preserve">2. SUMMARY OF SIGNIFICANT ACCOUNTING POLICIES </w:t>
      </w:r>
    </w:p>
    <w:p>
      <w:pPr>
        <w:pStyle w:val="TextBody"/>
        <w:spacing w:lineRule="auto" w:line="288" w:before="180" w:after="283"/>
        <w:jc w:val="both"/>
        <w:rPr/>
      </w:pPr>
      <w:r>
        <w:rPr>
          <w:rFonts w:ascii="Arial;sans-serif" w:hAnsi="Arial;sans-serif"/>
          <w:b/>
          <w:i/>
          <w:color w:val="00497F"/>
          <w:sz w:val="18"/>
        </w:rPr>
        <w:t>Basis of Accounting</w:t>
      </w:r>
      <w:r>
        <w:rPr>
          <w:color w:val="00497F"/>
        </w:rPr>
        <w:t>—</w:t>
      </w:r>
      <w:r>
        <w:rPr>
          <w:rFonts w:ascii="Arial;sans-serif" w:hAnsi="Arial;sans-serif"/>
          <w:b w:val="false"/>
          <w:color w:val="000000"/>
          <w:sz w:val="18"/>
        </w:rPr>
        <w:t>The accompanying consolidated financial statements are prepared in accordance with U.S. generally accepted accounting principles (“U.S. GAAP”) and include the accounts of us and our subsidiaries. These financial statements and related notes should be read in conjunction with the Consolidated Financial Statements and related notes included in the Company’s Annual Report on Form 10-K for the year ended December 31, 2022.</w:t>
      </w:r>
    </w:p>
    <w:p>
      <w:pPr>
        <w:pStyle w:val="TextBody"/>
        <w:spacing w:lineRule="auto" w:line="288" w:before="120" w:after="283"/>
        <w:jc w:val="both"/>
        <w:rPr/>
      </w:pPr>
      <w:r>
        <w:rPr>
          <w:rFonts w:ascii="Arial;sans-serif" w:hAnsi="Arial;sans-serif"/>
          <w:b/>
          <w:i/>
          <w:color w:val="00497F"/>
          <w:sz w:val="18"/>
        </w:rPr>
        <w:t>Principles of Consolidation</w:t>
      </w:r>
      <w:r>
        <w:rPr>
          <w:color w:val="00497F"/>
        </w:rPr>
        <w:t>—</w:t>
      </w:r>
      <w:r>
        <w:rPr>
          <w:rFonts w:ascii="Arial;sans-serif" w:hAnsi="Arial;sans-serif"/>
          <w:b w:val="false"/>
          <w:color w:val="000000"/>
          <w:sz w:val="18"/>
        </w:rPr>
        <w:t>We consolidate all entities in which we have a controlling financial interest and control over significant operating decisions, as well as variable interest entities (“VIEs”) in which we are the primary beneficiary. All adjustments (consisting of normal recurring accruals) considered necessary for a fair presentation have been included. The ownership interest of other investors in consolidated subsidiaries is recorded as non-controlling interest.</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use the equity method of accounting for investments in entities in which we exercise significant influence but which do not meet the requirements for consolidation. Under the equity method, we record our proportionate share of the underlying net income (loss) of these entities as well as the proportionate interest in adjustments to other comprehensive loss.</w:t>
      </w:r>
    </w:p>
    <w:p>
      <w:pPr>
        <w:pStyle w:val="TextBody"/>
        <w:spacing w:lineRule="auto" w:line="288" w:before="120" w:after="283"/>
        <w:jc w:val="both"/>
        <w:rPr/>
      </w:pPr>
      <w:r>
        <w:rPr>
          <w:rFonts w:ascii="Arial;sans-serif" w:hAnsi="Arial;sans-serif"/>
          <w:b/>
          <w:i/>
          <w:color w:val="00497F"/>
          <w:sz w:val="18"/>
        </w:rPr>
        <w:t>Use of Estimates</w:t>
      </w:r>
      <w:r>
        <w:rPr>
          <w:color w:val="00497F"/>
        </w:rPr>
        <w:t>—</w:t>
      </w:r>
      <w:r>
        <w:rPr>
          <w:rFonts w:ascii="Arial;sans-serif" w:hAnsi="Arial;sans-serif"/>
          <w:b w:val="false"/>
          <w:color w:val="000000"/>
          <w:sz w:val="18"/>
        </w:rPr>
        <w:t>The preparation of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pStyle w:val="TextBody"/>
        <w:spacing w:lineRule="auto" w:line="288" w:before="120" w:after="283"/>
        <w:jc w:val="both"/>
        <w:rPr/>
      </w:pPr>
      <w:r>
        <w:rPr>
          <w:rFonts w:ascii="Arial;sans-serif" w:hAnsi="Arial;sans-serif"/>
          <w:b/>
          <w:i/>
          <w:color w:val="00497F"/>
          <w:sz w:val="18"/>
        </w:rPr>
        <w:t>Risks and Uncertainties</w:t>
      </w:r>
      <w:r>
        <w:rPr>
          <w:color w:val="00497F"/>
        </w:rPr>
        <w:t>—</w:t>
      </w:r>
      <w:r>
        <w:rPr>
          <w:rFonts w:ascii="Arial;sans-serif" w:hAnsi="Arial;sans-serif"/>
          <w:b w:val="false"/>
          <w:color w:val="000000"/>
          <w:sz w:val="18"/>
        </w:rPr>
        <w:t>In the normal course of business, we encounter several significant types of economic risk including credit, market, and capital market risks. Credit risk is the risk of the inability or unwillingness of a lessee or customer to make contractually required payments or to fulfill its other contractual obligations. Market risk reflects the risk of a downturn or volatility in the underlying industry segments in which we operate, which could adversely impact the pricing of the services offered by us or a lessee’s or customer’s ability to make payments, increase the risk of unscheduled lease terminations and depress lease rates and the value of our leasing equipment or operating assets. Capital market risk is the risk that we are unable to obtain capital at reasonable rates to fund the growth of our business or to refinance existing debt facilities. We, through our subsidiaries, also conduct operations outside of the United States; such international operations are subject to the same risks as those associated with our United States operations as well as additional risks, including unexpected changes in regulatory requirements, heightened risk of political and economic instability, potentially adverse tax consequences and the burden of complying with foreign laws. We do not have significant exposure to foreign currency risk as all of our leasing arrangements are denominated in U.S. dollars.</w:t>
      </w:r>
    </w:p>
    <w:p>
      <w:pPr>
        <w:pStyle w:val="TextBody"/>
        <w:spacing w:lineRule="auto" w:line="288" w:before="120" w:after="283"/>
        <w:jc w:val="both"/>
        <w:rPr/>
      </w:pPr>
      <w:r>
        <w:rPr>
          <w:rFonts w:ascii="Arial;sans-serif" w:hAnsi="Arial;sans-serif"/>
          <w:b/>
          <w:i/>
          <w:color w:val="00497F"/>
          <w:sz w:val="18"/>
        </w:rPr>
        <w:t>Cash and Cash Equivalents</w:t>
      </w:r>
      <w:r>
        <w:rPr>
          <w:color w:val="00497F"/>
        </w:rPr>
        <w:t>—</w:t>
      </w:r>
      <w:r>
        <w:rPr>
          <w:rFonts w:ascii="Arial;sans-serif" w:hAnsi="Arial;sans-serif"/>
          <w:b w:val="false"/>
          <w:color w:val="000000"/>
          <w:sz w:val="18"/>
        </w:rPr>
        <w:t>We consider all highly liquid short-term investments with a maturity of 90 days or less when purchased to be cash equivalents.</w:t>
      </w:r>
    </w:p>
    <w:p>
      <w:pPr>
        <w:pStyle w:val="TextBody"/>
        <w:spacing w:lineRule="auto" w:line="288" w:before="120" w:after="283"/>
        <w:jc w:val="both"/>
        <w:rPr/>
      </w:pPr>
      <w:r>
        <w:rPr>
          <w:rFonts w:ascii="Arial;sans-serif" w:hAnsi="Arial;sans-serif"/>
          <w:b/>
          <w:i/>
          <w:color w:val="00497F"/>
          <w:sz w:val="18"/>
          <w:highlight w:val="white"/>
        </w:rPr>
        <w:t>Restricted Cash</w:t>
      </w:r>
      <w:r>
        <w:rPr>
          <w:color w:val="000000"/>
          <w:highlight w:val="white"/>
        </w:rPr>
        <w:t>—</w:t>
      </w:r>
      <w:r>
        <w:rPr>
          <w:rFonts w:ascii="Arial;sans-serif" w:hAnsi="Arial;sans-serif"/>
          <w:b w:val="false"/>
          <w:color w:val="000000"/>
          <w:sz w:val="18"/>
          <w:highlight w:val="white"/>
        </w:rPr>
        <w:t xml:space="preserve">Restricted cash consists of funds required for the Company’s investment in Quick Turn, as described in Note 5, of </w:t>
      </w:r>
      <w:r>
        <w:rPr>
          <w:rFonts w:ascii="Arial;sans-serif" w:hAnsi="Arial;sans-serif"/>
          <w:b w:val="false"/>
          <w:color w:val="000000"/>
          <w:sz w:val="18"/>
        </w:rPr>
        <w:t>$19.5 million</w:t>
      </w:r>
      <w:r>
        <w:rPr>
          <w:color w:val="000000"/>
          <w:highlight w:val="white"/>
        </w:rPr>
        <w:t xml:space="preserve"> </w:t>
      </w:r>
      <w:r>
        <w:rPr>
          <w:rFonts w:ascii="Arial;sans-serif" w:hAnsi="Arial;sans-serif"/>
          <w:b w:val="false"/>
          <w:color w:val="000000"/>
          <w:sz w:val="18"/>
          <w:highlight w:val="white"/>
        </w:rPr>
        <w:t>as of December 31, 2022. The Company had no restricted cash as of March 31, 2023.</w:t>
      </w:r>
    </w:p>
    <w:p>
      <w:pPr>
        <w:pStyle w:val="TextBody"/>
        <w:spacing w:lineRule="auto" w:line="288" w:before="120" w:after="283"/>
        <w:jc w:val="both"/>
        <w:rPr/>
      </w:pPr>
      <w:r>
        <w:rPr>
          <w:rFonts w:ascii="Arial;sans-serif" w:hAnsi="Arial;sans-serif"/>
          <w:b/>
          <w:i/>
          <w:color w:val="00497F"/>
          <w:sz w:val="18"/>
        </w:rPr>
        <w:t>Inventory</w:t>
      </w:r>
      <w:r>
        <w:rPr>
          <w:color w:val="00497F"/>
        </w:rPr>
        <w:t>—</w:t>
      </w:r>
      <w:r>
        <w:rPr>
          <w:rFonts w:ascii="Arial;sans-serif" w:hAnsi="Arial;sans-serif"/>
          <w:b w:val="false"/>
          <w:color w:val="000000"/>
          <w:sz w:val="18"/>
        </w:rPr>
        <w:t>We hold aircraft engine modules, spare parts and used material inventory for trading and to support operations. Inventory is carried at the lower of cost or net realizable value on our consolidated balance sheets.</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32740"/>
                <wp:effectExtent l="0" t="0" r="0" b="0"/>
                <wp:wrapNone/>
                <wp:docPr id="12" name="Frame11"/>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497F"/>
          <w:sz w:val="20"/>
        </w:rPr>
      </w:pPr>
      <w:r>
        <w:rPr>
          <w:rFonts w:ascii="Arial;sans-serif" w:hAnsi="Arial;sans-serif"/>
          <w:b/>
          <w:color w:val="00497F"/>
          <w:sz w:val="20"/>
        </w:rPr>
        <w:t>FTAI AVIATION LTD.</w:t>
      </w:r>
    </w:p>
    <w:p>
      <w:pPr>
        <w:pStyle w:val="TextBody"/>
        <w:spacing w:lineRule="auto" w:line="288" w:before="0" w:after="0"/>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spacing w:lineRule="auto" w:line="288" w:before="0" w:after="0"/>
        <w:rPr/>
      </w:pPr>
      <w:r>
        <w:rPr>
          <w:rFonts w:ascii="Arial;sans-serif" w:hAnsi="Arial;sans-serif"/>
          <w:b w:val="false"/>
          <w:i/>
          <w:color w:val="00497F"/>
          <w:sz w:val="20"/>
        </w:rPr>
        <w:t>(Dollars in tables in thousands, unless otherwise noted)</w:t>
      </w:r>
      <w:r>
        <w:rPr>
          <w:color w:val="00497F"/>
        </w:rPr>
        <w:t xml:space="preserve"> </w:t>
      </w:r>
    </w:p>
    <w:p>
      <w:pPr>
        <w:pStyle w:val="TextBody"/>
        <w:spacing w:before="120" w:after="283"/>
        <w:jc w:val="both"/>
        <w:rPr/>
      </w:pPr>
      <w:r>
        <w:rPr/>
      </w:r>
    </w:p>
    <w:p>
      <w:pPr>
        <w:pStyle w:val="TextBody"/>
        <w:spacing w:lineRule="auto" w:line="288" w:before="120" w:after="283"/>
        <w:jc w:val="both"/>
        <w:rPr/>
      </w:pPr>
      <w:r>
        <w:rPr>
          <w:rFonts w:ascii="Arial;sans-serif" w:hAnsi="Arial;sans-serif"/>
          <w:b/>
          <w:i/>
          <w:color w:val="00497F"/>
          <w:sz w:val="18"/>
        </w:rPr>
        <w:t>Revenues</w:t>
      </w:r>
      <w:r>
        <w:rPr>
          <w:color w:val="00497F"/>
        </w:rPr>
        <w:t>—</w:t>
      </w:r>
      <w:r>
        <w:rPr>
          <w:rFonts w:ascii="Arial;sans-serif" w:hAnsi="Arial;sans-serif"/>
          <w:b w:val="false"/>
          <w:color w:val="000000"/>
          <w:sz w:val="18"/>
        </w:rPr>
        <w:t>We disaggregate our revenue from contracts with customers by products and services. Revenues are within the scope of ASC 842,</w:t>
      </w:r>
      <w:r>
        <w:rPr>
          <w:color w:val="000000"/>
        </w:rPr>
        <w:t xml:space="preserve"> </w:t>
      </w:r>
      <w:r>
        <w:rPr>
          <w:rFonts w:ascii="Arial;sans-serif" w:hAnsi="Arial;sans-serif"/>
          <w:b w:val="false"/>
          <w:i/>
          <w:color w:val="000000"/>
          <w:sz w:val="18"/>
        </w:rPr>
        <w:t>Leases,</w:t>
      </w:r>
      <w:r>
        <w:rPr>
          <w:color w:val="000000"/>
        </w:rPr>
        <w:t xml:space="preserve"> </w:t>
      </w:r>
      <w:r>
        <w:rPr>
          <w:rFonts w:ascii="Arial;sans-serif" w:hAnsi="Arial;sans-serif"/>
          <w:b w:val="false"/>
          <w:color w:val="000000"/>
          <w:sz w:val="18"/>
        </w:rPr>
        <w:t xml:space="preserve">and ASC 606, </w:t>
      </w:r>
      <w:r>
        <w:rPr>
          <w:rFonts w:ascii="Arial;sans-serif" w:hAnsi="Arial;sans-serif"/>
          <w:b w:val="false"/>
          <w:i/>
          <w:color w:val="000000"/>
          <w:sz w:val="18"/>
        </w:rPr>
        <w:t>Revenue from contracts with customers</w:t>
      </w:r>
      <w:r>
        <w:rPr>
          <w:rFonts w:ascii="Arial;sans-serif" w:hAnsi="Arial;sans-serif"/>
          <w:b w:val="false"/>
          <w:color w:val="000000"/>
          <w:sz w:val="18"/>
        </w:rPr>
        <w:t>, unless otherwise noted. We have elected to exclude sales and other similar taxes from revenues.</w:t>
      </w:r>
    </w:p>
    <w:p>
      <w:pPr>
        <w:pStyle w:val="TextBody"/>
        <w:spacing w:before="0" w:after="0"/>
        <w:jc w:val="both"/>
        <w:rPr/>
      </w:pPr>
      <w:r>
        <w:rPr/>
      </w:r>
    </w:p>
    <w:p>
      <w:pPr>
        <w:pStyle w:val="TextBody"/>
        <w:spacing w:lineRule="auto" w:line="256" w:before="0" w:after="0"/>
        <w:jc w:val="both"/>
        <w:rPr/>
      </w:pPr>
      <w:r>
        <w:rPr>
          <w:rFonts w:ascii="Arial;sans-serif" w:hAnsi="Arial;sans-serif"/>
          <w:b w:val="false"/>
          <w:color w:val="000000"/>
          <w:sz w:val="18"/>
        </w:rPr>
        <w:t xml:space="preserve">During the third quarter of 2022, we updated our corporate strategy based on the opportunities available in the market such that the sale of aircraft and engines is now an output of our recurring, ordinary activities. As a result of this update, the transaction price allocated to the sale of assets is included in Asset sales revenue in the Consolidated Statement of Operations beginning in the third quarter of 2022 and are accounted for in accordance with ASC 606. The corresponding net book values of the assets sold are recorded in Cost of sales in the Consolidated Statement of Operations beginning in the third quarter of 2022. Sales transactions of aircraft and engines prior to the third quarter of 2022 were accounted for in accordance with ASC 610-20, </w:t>
      </w:r>
      <w:r>
        <w:rPr>
          <w:rFonts w:ascii="Arial;sans-serif" w:hAnsi="Arial;sans-serif"/>
          <w:b w:val="false"/>
          <w:i/>
          <w:color w:val="000000"/>
          <w:sz w:val="18"/>
        </w:rPr>
        <w:t>Gains and losses from the derecognition of nonfinancial assets</w:t>
      </w:r>
      <w:r>
        <w:rPr>
          <w:color w:val="000000"/>
        </w:rPr>
        <w:t xml:space="preserve"> </w:t>
      </w:r>
      <w:r>
        <w:rPr>
          <w:rFonts w:ascii="Arial;sans-serif" w:hAnsi="Arial;sans-serif"/>
          <w:b w:val="false"/>
          <w:color w:val="000000"/>
          <w:sz w:val="18"/>
        </w:rPr>
        <w:t>and were included in Gain on sale of assets, net on the Consolidated Statement of Operations, as we were previously only occasionally selling these assets. Generally, assets sold were under leasing arrangements with customers prior to sales and were included in Leasing equipment, net, on the Consolidated Balance Sheets.</w:t>
      </w:r>
    </w:p>
    <w:p>
      <w:pPr>
        <w:pStyle w:val="TextBody"/>
        <w:spacing w:lineRule="auto" w:line="288" w:before="120" w:after="283"/>
        <w:jc w:val="both"/>
        <w:rPr/>
      </w:pPr>
      <w:r>
        <w:rPr>
          <w:rFonts w:ascii="Arial;sans-serif" w:hAnsi="Arial;sans-serif"/>
          <w:b w:val="false"/>
          <w:i/>
          <w:color w:val="00497F"/>
          <w:sz w:val="18"/>
        </w:rPr>
        <w:t>Operating Leases</w:t>
      </w:r>
      <w:r>
        <w:rPr>
          <w:color w:val="000000"/>
        </w:rPr>
        <w:t>—</w:t>
      </w:r>
      <w:r>
        <w:rPr>
          <w:rFonts w:ascii="Arial;sans-serif" w:hAnsi="Arial;sans-serif"/>
          <w:b w:val="false"/>
          <w:color w:val="000000"/>
          <w:sz w:val="18"/>
        </w:rPr>
        <w:t>We lease equipment pursuant to operating leases. Operating leases with fixed rentals and step rentals are recognized on a straight-line 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Generally, under our aircraft lease and engine agreements, the lessee is required to make periodic maintenance payments calculated based on the lessee’s utilization of the leased asset or at the end of the lease. Typically, under our aircraft lease agreements, the lessee is responsible for maintenance, repairs and other operating expenses throughout the term of the lease. These periodic maintenance payments accumulate over the term of the lease to fund major maintenance events, and we are contractually obligated to return maintenance payments to the lessee up to the cost of maintenance events paid by the lessee. In the event the total cost of maintenance events over the term of a lease is less than the cumulative maintenance payments, we are not required to return any unused or excess maintenance payments to the lessee.</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Maintenance payments received for which we expect to repay to the lessee are presented as Maintenance Deposits in our Consolidated Balance Sheets. All excess maintenance payments received that we do not expect to repay to the lessee are recorded as Maintenance revenues. Estimates in recognizing revenue include mean time between removal, projected costs for engine maintenance and forecasted utilization of aircraft which are affected by historical usage patterns and overall industry, market and economic conditions. Significant changes to these estimates could have a material effect on the amount of revenue recognized in the period.</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For purchase and lease back transactions, we account for the transaction as a single arrangement. We allocate the consideration paid based on the relative fair value of the aircraft and lease. The fair value of the lease may include a lease premium or discount, which is recorded as a favorable or unfavorable lease intangible.</w:t>
      </w:r>
    </w:p>
    <w:p>
      <w:pPr>
        <w:pStyle w:val="TextBody"/>
        <w:spacing w:lineRule="auto" w:line="288" w:before="120" w:after="283"/>
        <w:jc w:val="both"/>
        <w:rPr/>
      </w:pPr>
      <w:r>
        <w:rPr>
          <w:rFonts w:ascii="Arial;sans-serif" w:hAnsi="Arial;sans-serif"/>
          <w:b w:val="false"/>
          <w:i/>
          <w:color w:val="00497F"/>
          <w:sz w:val="18"/>
        </w:rPr>
        <w:t>Finance Leases</w:t>
      </w:r>
      <w:r>
        <w:rPr>
          <w:color w:val="000000"/>
        </w:rPr>
        <w:t>—</w:t>
      </w:r>
      <w:r>
        <w:rPr>
          <w:rFonts w:ascii="Arial;sans-serif" w:hAnsi="Arial;sans-serif"/>
          <w:b w:val="false"/>
          <w:color w:val="000000"/>
          <w:sz w:val="18"/>
        </w:rPr>
        <w:t>From time to time we enter into finance lease arrangements that include a lessee obligation to purchase the leased equipment at the end of the lease term, a bargain purchase option, or provides for minimum lease payments with a present value that equals or exceeds substantially all of the fair value of the leased equipment at the date of lease inception. Net investment in finance leases represents the minimum lease payments due from lessee, net of unearned income. The lease payments are segregated into principal and interest components similar to a loan. Unearned income is recognized on an effective interest method over the lease term and is recorded as finance lease income. The principal component of the lease payment is reflected as a reduction to the net investment in finance leases. Revenue is not recognized when collection is not reasonably assured. When collectability is not reasonably assured, the customer is placed on non-accrual status and revenue is recognized when cash payments are received.</w:t>
      </w:r>
    </w:p>
    <w:p>
      <w:pPr>
        <w:pStyle w:val="TextBody"/>
        <w:spacing w:lineRule="auto" w:line="288" w:before="120" w:after="283"/>
        <w:jc w:val="both"/>
        <w:rPr/>
      </w:pPr>
      <w:r>
        <w:rPr>
          <w:rFonts w:ascii="Arial;sans-serif" w:hAnsi="Arial;sans-serif"/>
          <w:b w:val="false"/>
          <w:i/>
          <w:color w:val="00497F"/>
          <w:sz w:val="18"/>
        </w:rPr>
        <w:t>Asset sales revenue</w:t>
      </w:r>
      <w:r>
        <w:rPr>
          <w:color w:val="000000"/>
        </w:rPr>
        <w:t>—</w:t>
      </w:r>
      <w:r>
        <w:rPr>
          <w:rFonts w:ascii="Arial;sans-serif" w:hAnsi="Arial;sans-serif"/>
          <w:b w:val="false"/>
          <w:color w:val="000000"/>
          <w:sz w:val="18"/>
        </w:rPr>
        <w:t xml:space="preserve">Asset sales revenue primarily consists of the transaction price related to the sale of aircraft and aircraft engines from our Aviation Leasing segment. From time to time, the Company may also assign the related lease agreements to the customer as part of the sale of these assets. We routinely sell leasing equipment to customers and such transactions are considered recurring and ordinary in nature to our business. As such, these sales are accounted for within the scope of ASC 606. Revenue is recognized when a performance obligation is satisfied by transferring control over an asset to a customer. Revenue is recorded with corresponding costs of sales, presented on a gross basis in the Consolidated Statements of Operations. </w:t>
      </w:r>
    </w:p>
    <w:p>
      <w:pPr>
        <w:pStyle w:val="TextBody"/>
        <w:spacing w:lineRule="auto" w:line="288" w:before="120" w:after="283"/>
        <w:jc w:val="both"/>
        <w:rPr/>
      </w:pPr>
      <w:r>
        <w:rPr>
          <w:rFonts w:ascii="Arial;sans-serif" w:hAnsi="Arial;sans-serif"/>
          <w:b w:val="false"/>
          <w:i/>
          <w:color w:val="00497F"/>
          <w:sz w:val="18"/>
        </w:rPr>
        <w:t>Aerospace Products revenue</w:t>
      </w:r>
      <w:r>
        <w:rPr>
          <w:color w:val="000000"/>
        </w:rPr>
        <w:t>—</w:t>
      </w:r>
      <w:r>
        <w:rPr>
          <w:rFonts w:ascii="Arial;sans-serif" w:hAnsi="Arial;sans-serif"/>
          <w:b w:val="false"/>
          <w:color w:val="000000"/>
          <w:sz w:val="18"/>
        </w:rPr>
        <w:t>Aerospace Products revenue primarily consists of the transaction price related to the sale of repaired CFM56-7B and CFM56-5B engines, engine modules, spare parts and used material inventory, and are accounted for within the scope of ASC 606. Revenue is recognized when a performance obligation is satisfied by transferring control over the related asset to a customer. Revenue is recorded with corresponding costs of sales, presented on a gross basis in the Consolidated Statements of Operations. Aerospace products revenue also consists of engine management service contracts, where the Company has a stand-ready obligation to provide replacement CFM56-7B and CFM56-5B engines to customers as they become unserviceable during the contract term. The Company recognizes revenue over time using a straight-line attribution method and the costs related to fulfilling the performance obligation are expensed as incurred.</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32740"/>
                <wp:effectExtent l="0" t="0" r="0" b="0"/>
                <wp:wrapNone/>
                <wp:docPr id="13" name="Frame12"/>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497F"/>
          <w:sz w:val="20"/>
        </w:rPr>
      </w:pPr>
      <w:r>
        <w:rPr>
          <w:rFonts w:ascii="Arial;sans-serif" w:hAnsi="Arial;sans-serif"/>
          <w:b/>
          <w:color w:val="00497F"/>
          <w:sz w:val="20"/>
        </w:rPr>
        <w:t>FTAI AVIATION LTD.</w:t>
      </w:r>
    </w:p>
    <w:p>
      <w:pPr>
        <w:pStyle w:val="TextBody"/>
        <w:spacing w:lineRule="auto" w:line="288" w:before="0" w:after="0"/>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spacing w:lineRule="auto" w:line="288" w:before="0" w:after="0"/>
        <w:rPr/>
      </w:pPr>
      <w:r>
        <w:rPr>
          <w:rFonts w:ascii="Arial;sans-serif" w:hAnsi="Arial;sans-serif"/>
          <w:b w:val="false"/>
          <w:i/>
          <w:color w:val="00497F"/>
          <w:sz w:val="20"/>
        </w:rPr>
        <w:t>(Dollars in tables in thousands, unless otherwise noted)</w:t>
      </w:r>
      <w:r>
        <w:rPr>
          <w:color w:val="00497F"/>
        </w:rPr>
        <w:t xml:space="preserve"> </w:t>
      </w:r>
    </w:p>
    <w:p>
      <w:pPr>
        <w:pStyle w:val="TextBody"/>
        <w:spacing w:lineRule="auto" w:line="288" w:before="120" w:after="283"/>
        <w:jc w:val="both"/>
        <w:rPr/>
      </w:pPr>
      <w:r>
        <w:rPr>
          <w:rFonts w:ascii="Arial;sans-serif" w:hAnsi="Arial;sans-serif"/>
          <w:b/>
          <w:i/>
          <w:color w:val="00497F"/>
          <w:sz w:val="18"/>
        </w:rPr>
        <w:t>Leasing Arrangements</w:t>
      </w:r>
      <w:r>
        <w:rPr>
          <w:color w:val="00497F"/>
        </w:rPr>
        <w:t>—</w:t>
      </w:r>
      <w:r>
        <w:rPr>
          <w:rFonts w:ascii="Arial;sans-serif" w:hAnsi="Arial;sans-serif"/>
          <w:b w:val="false"/>
          <w:color w:val="000000"/>
          <w:sz w:val="18"/>
        </w:rPr>
        <w:t>At contract inception, we evaluate whether an arrangement is or contains a lease for which we are the lessee (that is, arrangements which provide us with the right to control a physical asset for a period of time). Operating lease right-of-use (“ROU”) assets and lease liabilities are included in Other assets and Other liabilities in our Consolidated Balance Sheets, respectively. Finance lease ROU assets are recognized in Other assets and lease liabilities are recognized in Other liabilities in our Consolidated Balance Sheets.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All lease liabilities are measured at the present value of the unpaid lease payments, discounted using our incremental borrowing rate based on the information available at commencement date of the lease. ROU assets, for both operating and finance leases, are initially measured based on the lease liability, adjusted for prepaid rent and lease incentives. Operating lease ROU assets are subsequently measured at the carrying amount of the lease liability adjusted for prepaid or accrued lease payments and lease incentives. The finance lease ROU assets are subsequently amortized using the straight-line method.</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Operating lease expenses are recognized on a straight-line basis over the lease term. With respect to finance leases, amortization of the ROU asset is presented separately from interest expense related to the finance lease liability and is recorded in Operating expenses in the Consolidated Statements of Operations. Variable lease payments, which are primarily based on usage, are recognized when the associated activity occurs. </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have elected to combine lease and non-lease components for all lease contracts where we are the lessee. Additionally, for arrangements with lease terms of 12 months or less, we do not recognize ROU assets, and lease liabilities and lease payments are recognized on a straight-line basis over the lease term with variable lease payments recognized in the period in which the obligation is incurred.</w:t>
      </w:r>
    </w:p>
    <w:p>
      <w:pPr>
        <w:pStyle w:val="TextBody"/>
        <w:spacing w:lineRule="auto" w:line="288" w:before="120" w:after="283"/>
        <w:jc w:val="both"/>
        <w:rPr/>
      </w:pPr>
      <w:r>
        <w:rPr>
          <w:rFonts w:ascii="Arial;sans-serif" w:hAnsi="Arial;sans-serif"/>
          <w:b/>
          <w:i/>
          <w:color w:val="00497F"/>
          <w:sz w:val="18"/>
        </w:rPr>
        <w:t>Concentration of Credit Risk</w:t>
      </w:r>
      <w:r>
        <w:rPr>
          <w:color w:val="00497F"/>
        </w:rPr>
        <w:t>—</w:t>
      </w:r>
      <w:r>
        <w:rPr>
          <w:rFonts w:ascii="Arial;sans-serif" w:hAnsi="Arial;sans-serif"/>
          <w:b w:val="false"/>
          <w:color w:val="000000"/>
          <w:sz w:val="18"/>
        </w:rPr>
        <w:t xml:space="preserve">We are subject to concentrations of credit risk with respect to amounts due from customers. We attempt to limit our credit risk by performing ongoing credit evaluations. We earned 18% and 10% of our revenue from two customers in the Aviation Leasing segment during the three months ended March 31, 2023. No single customer accounted for greater </w:t>
      </w:r>
      <w:r>
        <w:rPr>
          <w:rFonts w:ascii="Arial;sans-serif" w:hAnsi="Arial;sans-serif"/>
          <w:b w:val="false"/>
          <w:color w:val="000000"/>
          <w:sz w:val="18"/>
          <w:highlight w:val="white"/>
        </w:rPr>
        <w:t xml:space="preserve">than </w:t>
      </w:r>
      <w:r>
        <w:rPr>
          <w:rFonts w:ascii="Arial;sans-serif" w:hAnsi="Arial;sans-serif"/>
          <w:b w:val="false"/>
          <w:color w:val="000000"/>
          <w:sz w:val="18"/>
        </w:rPr>
        <w:t>10%</w:t>
      </w:r>
      <w:r>
        <w:rPr>
          <w:color w:val="000000"/>
          <w:highlight w:val="white"/>
        </w:rPr>
        <w:t xml:space="preserve"> </w:t>
      </w:r>
      <w:r>
        <w:rPr>
          <w:rFonts w:ascii="Arial;sans-serif" w:hAnsi="Arial;sans-serif"/>
          <w:b w:val="false"/>
          <w:color w:val="000000"/>
          <w:sz w:val="18"/>
          <w:highlight w:val="white"/>
        </w:rPr>
        <w:t>of</w:t>
      </w:r>
      <w:r>
        <w:rPr>
          <w:color w:val="000000"/>
        </w:rPr>
        <w:t xml:space="preserve"> </w:t>
      </w:r>
      <w:r>
        <w:rPr>
          <w:rFonts w:ascii="Arial;sans-serif" w:hAnsi="Arial;sans-serif"/>
          <w:b w:val="false"/>
          <w:color w:val="000000"/>
          <w:sz w:val="18"/>
        </w:rPr>
        <w:t>total revenue during the three months ended March 31, 2022.</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March 31, 2023, there was one customer in the Aviation Leasing segment that represented 15% of total accounts receivable, net. As of December 31, 2022, there were two customers in the Aviation Leasing segment that represented 20% and 12% of total accounts receivable, net.</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maintain cash balances, which generally exceed federally insured limits, and subject us to credit risk, in high credit quality financial institutions. We monitor the financial condition of these institutions and have not experienced any losses associated with these accounts.</w:t>
      </w:r>
    </w:p>
    <w:p>
      <w:pPr>
        <w:pStyle w:val="TextBody"/>
        <w:spacing w:lineRule="auto" w:line="288" w:before="120" w:after="283"/>
        <w:jc w:val="both"/>
        <w:rPr/>
      </w:pPr>
      <w:r>
        <w:rPr>
          <w:rFonts w:ascii="Arial;sans-serif" w:hAnsi="Arial;sans-serif"/>
          <w:b/>
          <w:i/>
          <w:color w:val="00497F"/>
          <w:sz w:val="18"/>
        </w:rPr>
        <w:t>Allowance for Doubtful Accounts</w:t>
      </w:r>
      <w:r>
        <w:rPr>
          <w:color w:val="00497F"/>
        </w:rPr>
        <w:t>—</w:t>
      </w:r>
      <w:r>
        <w:rPr>
          <w:rFonts w:ascii="Arial;sans-serif" w:hAnsi="Arial;sans-serif"/>
          <w:b w:val="false"/>
          <w:color w:val="000000"/>
          <w:sz w:val="18"/>
        </w:rPr>
        <w:t>We determine the allowance for doubtful accounts based on our assessment of the collectability of our receivables on a customer-by-customer basis. The allowance for doubtful accounts was $66.1 million and $65.6 million as of March 31, 2023 and December 31, 2022, respectively. There was provision for credit losses of $0.5 million and $47.9 million for the three months ended March 31, 2023 and 2022, respectively, which is included in Operating expenses in the Consolidated Statements of Operations.</w:t>
      </w:r>
    </w:p>
    <w:p>
      <w:pPr>
        <w:pStyle w:val="TextBody"/>
        <w:spacing w:lineRule="auto" w:line="288" w:before="120" w:after="283"/>
        <w:jc w:val="both"/>
        <w:rPr>
          <w:rFonts w:ascii="Arial;sans-serif" w:hAnsi="Arial;sans-serif"/>
          <w:b w:val="false"/>
          <w:color w:val="000000"/>
          <w:sz w:val="18"/>
          <w:highlight w:val="white"/>
        </w:rPr>
      </w:pPr>
      <w:r>
        <w:rPr>
          <w:rFonts w:ascii="Arial;sans-serif" w:hAnsi="Arial;sans-serif"/>
          <w:b w:val="false"/>
          <w:color w:val="000000"/>
          <w:sz w:val="18"/>
          <w:highlight w:val="white"/>
        </w:rPr>
        <w:t>Economic sanctions and export controls against Russia and Russia’s aviation industry were imposed due to its invasion of Ukraine during the first quarter of 2022. As a result of the sanctions imposed on Russian airlines, we terminated all lease agreements with Russian airlines and our allowance for doubtful accounts at March 31, 2023 includes all accounts receivable exposure to Russian and Ukrainian customers.</w:t>
      </w:r>
    </w:p>
    <w:p>
      <w:pPr>
        <w:pStyle w:val="TextBody"/>
        <w:spacing w:lineRule="auto" w:line="288" w:before="120" w:after="283"/>
        <w:jc w:val="both"/>
        <w:rPr/>
      </w:pPr>
      <w:r>
        <w:rPr>
          <w:rFonts w:ascii="Arial;sans-serif" w:hAnsi="Arial;sans-serif"/>
          <w:b/>
          <w:i/>
          <w:color w:val="00497F"/>
          <w:sz w:val="18"/>
        </w:rPr>
        <w:t>Comprehensive Loss</w:t>
      </w:r>
      <w:r>
        <w:rPr>
          <w:color w:val="00497F"/>
        </w:rPr>
        <w:t>—</w:t>
      </w:r>
      <w:r>
        <w:rPr>
          <w:rFonts w:ascii="Arial;sans-serif" w:hAnsi="Arial;sans-serif"/>
          <w:b w:val="false"/>
          <w:color w:val="000000"/>
          <w:sz w:val="18"/>
        </w:rPr>
        <w:t>Comprehensive loss is defined as the change in equity of a business enterprise during a period from transactions and other events and circumstances, excluding those resulting from investments by and distributions to owners. Our comprehensive loss represents net income (loss), as presented in the Consolidated Statements of Operations, adjusted for comprehensive loss related to cash flow hedges of our equity method investees of discontinued operations. The cash flow impact of commodity derivatives held by our consolidated subsidiaries is recognized in Change in fair value of non-hedge derivatives in our Consolidated Statements of Cash Flows.</w:t>
      </w:r>
    </w:p>
    <w:p>
      <w:pPr>
        <w:pStyle w:val="TextBody"/>
        <w:spacing w:lineRule="auto" w:line="288" w:before="120" w:after="283"/>
        <w:jc w:val="both"/>
        <w:rPr/>
      </w:pPr>
      <w:r>
        <w:rPr>
          <w:rFonts w:ascii="Arial;sans-serif" w:hAnsi="Arial;sans-serif"/>
          <w:b/>
          <w:i/>
          <w:color w:val="00497F"/>
          <w:sz w:val="18"/>
        </w:rPr>
        <w:t>Other Assets—</w:t>
      </w:r>
      <w:r>
        <w:rPr>
          <w:rFonts w:ascii="Arial;sans-serif" w:hAnsi="Arial;sans-serif"/>
          <w:b w:val="false"/>
          <w:color w:val="000000"/>
          <w:sz w:val="18"/>
        </w:rPr>
        <w:t xml:space="preserve">Other assets is primarily comprised of lease incentives of $43.0 million and $37.9 million, purchase deposits of $10.2 million and $6.7 million, notes receivable of $53.2 million and $49.2 million, operating lease right-of-use assets, net of $2.8 million and $3.0 million, finance leases, net of $5.9 million and $6.4 million, maintenance right assets of $8.8 million and $6.8 million and prepaid expenses of $1.5 million and $1.9 million as of March 31, 2023 and December 31, 2022, respectively. </w:t>
      </w:r>
    </w:p>
    <w:p>
      <w:pPr>
        <w:pStyle w:val="TextBody"/>
        <w:spacing w:lineRule="auto" w:line="288" w:before="120" w:after="283"/>
        <w:jc w:val="both"/>
        <w:rPr/>
      </w:pPr>
      <w:r>
        <w:rPr>
          <w:rFonts w:ascii="Arial;sans-serif" w:hAnsi="Arial;sans-serif"/>
          <w:b/>
          <w:i/>
          <w:color w:val="00497F"/>
          <w:sz w:val="18"/>
        </w:rPr>
        <w:t>Dividends—</w:t>
      </w:r>
      <w:r>
        <w:rPr>
          <w:rFonts w:ascii="Arial;sans-serif" w:hAnsi="Arial;sans-serif"/>
          <w:b w:val="false"/>
          <w:color w:val="000000"/>
          <w:sz w:val="18"/>
        </w:rPr>
        <w:t xml:space="preserve">Dividends are recorded if and when declared by the Board of Directors. For the three months ended March 31, 2023 and 2022, the Board of Directors declared cash dividends of $0.30 and $0.33, per ordinary share, respectively. </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Additionally, in the quarter ended March 31, 2023, the Board of Directors declared cash dividends on the Series A Preferred Shares, Series B Preferred Shares, and Series C Preferred Shares of $0.52, $0.50 and $0.52 per share, respectively.</w:t>
      </w:r>
    </w:p>
    <w:p>
      <w:pPr>
        <w:pStyle w:val="TextBody"/>
        <w:spacing w:lineRule="auto" w:line="288" w:before="120" w:after="283"/>
        <w:jc w:val="both"/>
        <w:rPr/>
      </w:pPr>
      <w:r>
        <w:rPr>
          <w:rFonts w:ascii="Arial;sans-serif" w:hAnsi="Arial;sans-serif"/>
          <w:b/>
          <w:i/>
          <w:color w:val="00497F"/>
          <w:sz w:val="18"/>
        </w:rPr>
        <w:t>Recent Accounting Pronouncements</w:t>
      </w:r>
      <w:r>
        <w:rPr>
          <w:color w:val="00497F"/>
        </w:rPr>
        <w:t>—</w:t>
      </w:r>
      <w:r>
        <w:rPr>
          <w:rFonts w:ascii="Arial;sans-serif" w:hAnsi="Arial;sans-serif"/>
          <w:b w:val="false"/>
          <w:color w:val="000000"/>
          <w:sz w:val="18"/>
        </w:rPr>
        <w:t>The Company has evaluated all recent accounting pronouncements and none are expected to have a material impact on the Company’s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32740"/>
                <wp:effectExtent l="0" t="0" r="0" b="0"/>
                <wp:wrapNone/>
                <wp:docPr id="14" name="Frame13"/>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497F"/>
          <w:sz w:val="20"/>
        </w:rPr>
      </w:pPr>
      <w:r>
        <w:rPr>
          <w:rFonts w:ascii="Arial;sans-serif" w:hAnsi="Arial;sans-serif"/>
          <w:b/>
          <w:color w:val="00497F"/>
          <w:sz w:val="20"/>
        </w:rPr>
        <w:t>FTAI AVIATION LTD.</w:t>
      </w:r>
    </w:p>
    <w:p>
      <w:pPr>
        <w:pStyle w:val="TextBody"/>
        <w:spacing w:lineRule="auto" w:line="288" w:before="0" w:after="0"/>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spacing w:lineRule="auto" w:line="288" w:before="0" w:after="0"/>
        <w:rPr/>
      </w:pPr>
      <w:r>
        <w:rPr>
          <w:rFonts w:ascii="Arial;sans-serif" w:hAnsi="Arial;sans-serif"/>
          <w:b w:val="false"/>
          <w:i/>
          <w:color w:val="00497F"/>
          <w:sz w:val="20"/>
        </w:rPr>
        <w:t>(Dollars in tables in thousands, unless otherwise noted)</w:t>
      </w:r>
      <w:r>
        <w:rPr>
          <w:color w:val="00497F"/>
        </w:rPr>
        <w:t xml:space="preserve"> </w:t>
      </w:r>
    </w:p>
    <w:p>
      <w:pPr>
        <w:pStyle w:val="TextBody"/>
        <w:spacing w:lineRule="auto" w:line="288" w:before="180" w:after="283"/>
        <w:rPr>
          <w:rFonts w:ascii="Arial;sans-serif" w:hAnsi="Arial;sans-serif"/>
          <w:b/>
          <w:color w:val="00497F"/>
          <w:sz w:val="20"/>
        </w:rPr>
      </w:pPr>
      <w:r>
        <w:rPr>
          <w:rFonts w:ascii="Arial;sans-serif" w:hAnsi="Arial;sans-serif"/>
          <w:b/>
          <w:color w:val="00497F"/>
          <w:sz w:val="20"/>
        </w:rPr>
        <w:t>3. DISCONTINUED OPERATIONS</w:t>
      </w:r>
    </w:p>
    <w:p>
      <w:pPr>
        <w:pStyle w:val="TextBody"/>
        <w:spacing w:lineRule="auto" w:line="288" w:before="120" w:after="283"/>
        <w:jc w:val="both"/>
        <w:rPr>
          <w:rFonts w:ascii="Arial;sans-serif" w:hAnsi="Arial;sans-serif"/>
          <w:b/>
          <w:i/>
          <w:color w:val="00497F"/>
          <w:sz w:val="18"/>
        </w:rPr>
      </w:pPr>
      <w:r>
        <w:rPr>
          <w:rFonts w:ascii="Arial;sans-serif" w:hAnsi="Arial;sans-serif"/>
          <w:b/>
          <w:i/>
          <w:color w:val="00497F"/>
          <w:sz w:val="18"/>
        </w:rPr>
        <w:t>FTAI Infrastructure Inc. (“FTAI Infrastructure”) Spin-Off</w:t>
      </w:r>
    </w:p>
    <w:p>
      <w:pPr>
        <w:pStyle w:val="TextBody"/>
        <w:spacing w:lineRule="auto" w:line="288" w:before="120" w:after="283"/>
        <w:jc w:val="both"/>
        <w:rPr/>
      </w:pPr>
      <w:r>
        <w:rPr>
          <w:rFonts w:ascii="Arial;sans-serif" w:hAnsi="Arial;sans-serif"/>
          <w:b w:val="false"/>
          <w:color w:val="000000"/>
          <w:sz w:val="18"/>
        </w:rPr>
        <w:t xml:space="preserve">On April 28, 2022, the Board of Directors of the Company unanimously approved the previously announced spin-off of the Company’s infrastructure business held by FTAI Infrastructure (a wholly owned subsidiary of the Company). The spin-off was effected as a distribution of all of the shares owned by the Company of common stock of FTAI Infrastructure to the holders of the Company’s ordinary shares as of July 21, 2022. The distribution was completed on August 1, 2022. Under ASC 205-20, </w:t>
      </w:r>
      <w:r>
        <w:rPr>
          <w:rFonts w:ascii="Arial;sans-serif" w:hAnsi="Arial;sans-serif"/>
          <w:b w:val="false"/>
          <w:i/>
          <w:color w:val="000000"/>
          <w:sz w:val="18"/>
        </w:rPr>
        <w:t>Presentation of Financial Statements – Discontinued Operations</w:t>
      </w:r>
      <w:r>
        <w:rPr>
          <w:rFonts w:ascii="Arial;sans-serif" w:hAnsi="Arial;sans-serif"/>
          <w:b w:val="false"/>
          <w:color w:val="000000"/>
          <w:sz w:val="18"/>
        </w:rPr>
        <w:t>, the spin-off met the criteria to be reported as a discontinued operation. Therefore, FTAI Infrastructure is presented as a discontinued operation within the Company’s financial statements for the three months ended March 31, 2022.</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FTAI Infrastructure is a corporation for U.S. federal income tax purposes and holds, among other things, the Company’s previously held interests in the (i) Jefferson Terminal business, (ii) Repauno business, (iii) Long Ridge investment, and (iv) Transtar business. FTAI Infrastructure retained all related project-level debt of those businesses. In connection with the spin-off, FTAI Infrastructure paid a dividend of $730.3 million to the Company. The Company used these proceeds to repay all outstanding borrowings under its 2021 bridge loans, $200.0 million of its 6.50% senior unsecured notes due 2025, and approximately $175.0 million of the outstanding borrowings under its revolving credit facility. FTAI LLC retained the aviation business and certain other assets, and FTAI LLC’s remaining outstanding corporate indebtedness.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In connection with the spin-off, the Company and the Manager assigned the Company’s then-existing management agreement to FTAI Infrastructure, and FTAI Infrastructure and the Manager executed an amended and restated agreement. The Company and certain of its subsidiaries executed a new management agreement with the Manager. The new management agreement has an initial term of six years. The Manager is entitled to a management fee and reimbursement of certain expenses on substantially similar terms as the previous arrangements with the Manager, which were assigned to FTAI Infrastructure. Prior to the Merger described below, our Manager remained entitled to incentive allocations (comprised of income incentive allocation and capital gains incentive allocation) on the same terms as they existed prior to spin-off. Following the Merger, the Company entered into a Services and Profit Sharing Agreement (the “Services and Profit Sharing Agreement”), with a subsidiary of the Company and Fortress Worldwide Transportation and Infrastructure Master GP LLC (“Master GP”), pursuant to which Master GP is entitled to incentive payments on substantially similar terms as the previous arrangements. </w:t>
      </w:r>
    </w:p>
    <w:p>
      <w:pPr>
        <w:pStyle w:val="TextBody"/>
        <w:spacing w:lineRule="auto" w:line="288" w:before="120" w:after="283"/>
        <w:jc w:val="both"/>
        <w:rPr>
          <w:rFonts w:ascii="Arial;sans-serif" w:hAnsi="Arial;sans-serif"/>
          <w:b/>
          <w:color w:val="00497F"/>
          <w:sz w:val="18"/>
        </w:rPr>
      </w:pPr>
      <w:r>
        <w:rPr>
          <w:rFonts w:ascii="Arial;sans-serif" w:hAnsi="Arial;sans-serif"/>
          <w:b/>
          <w:color w:val="00497F"/>
          <w:sz w:val="18"/>
        </w:rPr>
        <w:t>Financial Information of Discontinued Operations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the significant components of net loss from discontinued operations:</w:t>
      </w:r>
    </w:p>
    <w:tbl>
      <w:tblPr>
        <w:tblW w:w="7860" w:type="dxa"/>
        <w:jc w:val="left"/>
        <w:tblInd w:w="0" w:type="dxa"/>
        <w:tblCellMar>
          <w:top w:w="28" w:type="dxa"/>
          <w:left w:w="28" w:type="dxa"/>
          <w:bottom w:w="28" w:type="dxa"/>
          <w:right w:w="28" w:type="dxa"/>
        </w:tblCellMar>
      </w:tblPr>
      <w:tblGrid>
        <w:gridCol w:w="2175"/>
        <w:gridCol w:w="1916"/>
        <w:gridCol w:w="1924"/>
        <w:gridCol w:w="363"/>
        <w:gridCol w:w="1197"/>
        <w:gridCol w:w="285"/>
      </w:tblGrid>
      <w:tr>
        <w:trPr/>
        <w:tc>
          <w:tcPr>
            <w:tcW w:w="2175" w:type="dxa"/>
            <w:tcBorders/>
            <w:shd w:fill="auto" w:val="clear"/>
            <w:vAlign w:val="center"/>
          </w:tcPr>
          <w:p>
            <w:pPr>
              <w:pStyle w:val="TableContents"/>
              <w:spacing w:before="0" w:after="283"/>
              <w:rPr>
                <w:sz w:val="4"/>
                <w:szCs w:val="4"/>
              </w:rPr>
            </w:pPr>
            <w:r>
              <w:rPr>
                <w:sz w:val="4"/>
                <w:szCs w:val="4"/>
              </w:rPr>
            </w:r>
          </w:p>
        </w:tc>
        <w:tc>
          <w:tcPr>
            <w:tcW w:w="1916" w:type="dxa"/>
            <w:tcBorders/>
            <w:shd w:fill="auto" w:val="clear"/>
            <w:vAlign w:val="center"/>
          </w:tcPr>
          <w:p>
            <w:pPr>
              <w:pStyle w:val="TableContents"/>
              <w:spacing w:before="0" w:after="283"/>
              <w:rPr>
                <w:sz w:val="4"/>
                <w:szCs w:val="4"/>
              </w:rPr>
            </w:pPr>
            <w:r>
              <w:rPr>
                <w:sz w:val="4"/>
                <w:szCs w:val="4"/>
              </w:rPr>
            </w:r>
          </w:p>
        </w:tc>
        <w:tc>
          <w:tcPr>
            <w:tcW w:w="1924"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r>
      <w:tr>
        <w:trPr/>
        <w:tc>
          <w:tcPr>
            <w:tcW w:w="6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r>
          </w:p>
        </w:tc>
      </w:tr>
      <w:tr>
        <w:trPr/>
        <w:tc>
          <w:tcPr>
            <w:tcW w:w="6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2022</w:t>
            </w:r>
          </w:p>
        </w:tc>
      </w:tr>
      <w:tr>
        <w:trPr/>
        <w:tc>
          <w:tcPr>
            <w:tcW w:w="6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8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36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46,148 </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8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5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38,067 </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expenses</w:t>
            </w:r>
          </w:p>
        </w:tc>
        <w:tc>
          <w:tcPr>
            <w:tcW w:w="15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1,130 </w:t>
            </w:r>
          </w:p>
        </w:tc>
        <w:tc>
          <w:tcPr>
            <w:tcW w:w="2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15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3,751 </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 and incentive allocation to affiliate</w:t>
            </w:r>
          </w:p>
        </w:tc>
        <w:tc>
          <w:tcPr>
            <w:tcW w:w="15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4,161 </w:t>
            </w:r>
          </w:p>
        </w:tc>
        <w:tc>
          <w:tcPr>
            <w:tcW w:w="2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5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16,996 </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5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6,459 </w:t>
            </w:r>
          </w:p>
        </w:tc>
        <w:tc>
          <w:tcPr>
            <w:tcW w:w="2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expenses</w:t>
            </w:r>
          </w:p>
        </w:tc>
        <w:tc>
          <w:tcPr>
            <w:tcW w:w="15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70,564 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Equity in losses of unconsolidated entities </w:t>
            </w:r>
          </w:p>
        </w:tc>
        <w:tc>
          <w:tcPr>
            <w:tcW w:w="15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(24,211)</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5" w:type="dxa"/>
            <w:gridSpan w:val="3"/>
            <w:tcBorders/>
            <w:shd w:fill="auto" w:val="clear"/>
            <w:vAlign w:val="center"/>
          </w:tcPr>
          <w:p>
            <w:pPr>
              <w:pStyle w:val="TableContents"/>
              <w:spacing w:before="0" w:after="283"/>
              <w:rPr>
                <w:sz w:val="4"/>
                <w:szCs w:val="4"/>
              </w:rPr>
            </w:pPr>
            <w:r>
              <w:rPr>
                <w:sz w:val="4"/>
                <w:szCs w:val="4"/>
              </w:rPr>
            </w:r>
          </w:p>
        </w:tc>
        <w:tc>
          <w:tcPr>
            <w:tcW w:w="1845" w:type="dxa"/>
            <w:gridSpan w:val="3"/>
            <w:tcBorders/>
            <w:shd w:fill="auto" w:val="clear"/>
            <w:vAlign w:val="center"/>
          </w:tcPr>
          <w:p>
            <w:pPr>
              <w:pStyle w:val="TableContents"/>
              <w:spacing w:before="0" w:after="283"/>
              <w:rPr>
                <w:sz w:val="4"/>
                <w:szCs w:val="4"/>
              </w:rPr>
            </w:pPr>
            <w:r>
              <w:rPr>
                <w:sz w:val="4"/>
                <w:szCs w:val="4"/>
              </w:rPr>
            </w:r>
          </w:p>
        </w:tc>
      </w:tr>
      <w:tr>
        <w:trPr/>
        <w:tc>
          <w:tcPr>
            <w:tcW w:w="6015" w:type="dxa"/>
            <w:gridSpan w:val="3"/>
            <w:tcBorders/>
            <w:shd w:fill="auto" w:val="clear"/>
            <w:vAlign w:val="center"/>
          </w:tcPr>
          <w:p>
            <w:pPr>
              <w:pStyle w:val="TableContents"/>
              <w:spacing w:before="0" w:after="283"/>
              <w:rPr>
                <w:sz w:val="4"/>
                <w:szCs w:val="4"/>
              </w:rPr>
            </w:pPr>
            <w:r>
              <w:rPr>
                <w:sz w:val="4"/>
                <w:szCs w:val="4"/>
              </w:rPr>
            </w:r>
          </w:p>
        </w:tc>
        <w:tc>
          <w:tcPr>
            <w:tcW w:w="1845" w:type="dxa"/>
            <w:gridSpan w:val="3"/>
            <w:tcBorders/>
            <w:shd w:fill="auto" w:val="clear"/>
            <w:vAlign w:val="center"/>
          </w:tcPr>
          <w:p>
            <w:pPr>
              <w:pStyle w:val="TableContents"/>
              <w:spacing w:before="0" w:after="283"/>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15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expense</w:t>
            </w:r>
          </w:p>
        </w:tc>
        <w:tc>
          <w:tcPr>
            <w:tcW w:w="15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(24,142)</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Loss before income taxes</w:t>
            </w:r>
          </w:p>
        </w:tc>
        <w:tc>
          <w:tcPr>
            <w:tcW w:w="15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(48,558)</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15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2,147 </w:t>
            </w:r>
          </w:p>
        </w:tc>
        <w:tc>
          <w:tcPr>
            <w:tcW w:w="2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loss from discontinued operations, net of income taxes</w:t>
            </w:r>
          </w:p>
        </w:tc>
        <w:tc>
          <w:tcPr>
            <w:tcW w:w="15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(50,705)</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interests in consolidated subsidiaries</w:t>
            </w:r>
          </w:p>
        </w:tc>
        <w:tc>
          <w:tcPr>
            <w:tcW w:w="15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(7,466)</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loss attributable to shareholders</w:t>
            </w:r>
          </w:p>
        </w:tc>
        <w:tc>
          <w:tcPr>
            <w:tcW w:w="15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(43,239)</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120" w:after="283"/>
        <w:jc w:val="both"/>
        <w:rPr>
          <w:rFonts w:ascii="Arial;sans-serif" w:hAnsi="Arial;sans-serif"/>
          <w:b w:val="false"/>
          <w:color w:val="000000"/>
          <w:sz w:val="18"/>
        </w:rPr>
      </w:pPr>
      <w:r>
        <w:rPr>
          <w:rFonts w:ascii="Arial;sans-serif" w:hAnsi="Arial;sans-serif"/>
          <w:b w:val="false"/>
          <w:color w:val="000000"/>
          <w:sz w:val="18"/>
        </w:rPr>
        <w:t>The cash flows related to discontinued operations have not been segregated, and are included in the Consolidated Statements of Cash Flows for the three months ended March 31, 2022. The following table summarizes depreciation and amortization, capital expenditures, and other significant operating and investing noncash items from discontinued operations:</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32740"/>
                <wp:effectExtent l="0" t="0" r="0" b="0"/>
                <wp:wrapNone/>
                <wp:docPr id="15" name="Frame14"/>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497F"/>
          <w:sz w:val="20"/>
        </w:rPr>
      </w:pPr>
      <w:r>
        <w:rPr>
          <w:rFonts w:ascii="Arial;sans-serif" w:hAnsi="Arial;sans-serif"/>
          <w:b/>
          <w:color w:val="00497F"/>
          <w:sz w:val="20"/>
        </w:rPr>
        <w:t>FTAI AVIATION LTD.</w:t>
      </w:r>
    </w:p>
    <w:p>
      <w:pPr>
        <w:pStyle w:val="TextBody"/>
        <w:spacing w:lineRule="auto" w:line="288" w:before="0" w:after="0"/>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spacing w:lineRule="auto" w:line="288" w:before="0" w:after="0"/>
        <w:rPr/>
      </w:pPr>
      <w:r>
        <w:rPr>
          <w:rFonts w:ascii="Arial;sans-serif" w:hAnsi="Arial;sans-serif"/>
          <w:b w:val="false"/>
          <w:i/>
          <w:color w:val="00497F"/>
          <w:sz w:val="20"/>
        </w:rPr>
        <w:t>(Dollars in tables in thousands, unless otherwise noted)</w:t>
      </w:r>
      <w:r>
        <w:rPr>
          <w:color w:val="00497F"/>
        </w:rPr>
        <w:t xml:space="preserve"> </w:t>
      </w:r>
    </w:p>
    <w:tbl>
      <w:tblPr>
        <w:tblW w:w="5729" w:type="dxa"/>
        <w:jc w:val="left"/>
        <w:tblInd w:w="0" w:type="dxa"/>
        <w:tblCellMar>
          <w:top w:w="28" w:type="dxa"/>
          <w:left w:w="28" w:type="dxa"/>
          <w:bottom w:w="28" w:type="dxa"/>
          <w:right w:w="28" w:type="dxa"/>
        </w:tblCellMar>
      </w:tblPr>
      <w:tblGrid>
        <w:gridCol w:w="1424"/>
        <w:gridCol w:w="1248"/>
        <w:gridCol w:w="1258"/>
        <w:gridCol w:w="329"/>
        <w:gridCol w:w="1212"/>
        <w:gridCol w:w="258"/>
      </w:tblGrid>
      <w:tr>
        <w:trPr/>
        <w:tc>
          <w:tcPr>
            <w:tcW w:w="1424"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3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2022</w:t>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Operating activities:</w:t>
            </w:r>
          </w:p>
        </w:tc>
        <w:tc>
          <w:tcPr>
            <w:tcW w:w="17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of unconsolidated entities</w:t>
            </w:r>
          </w:p>
        </w:tc>
        <w:tc>
          <w:tcPr>
            <w:tcW w:w="3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24,211 </w:t>
            </w:r>
          </w:p>
        </w:tc>
        <w:tc>
          <w:tcPr>
            <w:tcW w:w="2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16,996 </w:t>
            </w:r>
          </w:p>
        </w:tc>
        <w:tc>
          <w:tcPr>
            <w:tcW w:w="2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709 </w:t>
            </w:r>
          </w:p>
        </w:tc>
        <w:tc>
          <w:tcPr>
            <w:tcW w:w="2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Investing activities:</w:t>
            </w:r>
          </w:p>
        </w:tc>
        <w:tc>
          <w:tcPr>
            <w:tcW w:w="17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property, plant and equipment</w:t>
            </w:r>
          </w:p>
        </w:tc>
        <w:tc>
          <w:tcPr>
            <w:tcW w:w="3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(52,546)</w:t>
            </w:r>
          </w:p>
        </w:tc>
        <w:tc>
          <w:tcPr>
            <w:tcW w:w="2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 unconsolidated entities</w:t>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(1,637)</w:t>
            </w:r>
          </w:p>
        </w:tc>
        <w:tc>
          <w:tcPr>
            <w:tcW w:w="2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 of property, plant and equipment</w:t>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2,910 </w:t>
            </w:r>
          </w:p>
        </w:tc>
        <w:tc>
          <w:tcPr>
            <w:tcW w:w="2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change in equity method investment</w:t>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(94,779)</w:t>
            </w:r>
          </w:p>
        </w:tc>
        <w:tc>
          <w:tcPr>
            <w:tcW w:w="2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120" w:after="283"/>
        <w:jc w:val="both"/>
        <w:rPr/>
      </w:pPr>
      <w:r>
        <w:rPr>
          <w:rFonts w:ascii="Arial;sans-serif" w:hAnsi="Arial;sans-serif"/>
          <w:b w:val="false"/>
          <w:color w:val="000000"/>
          <w:sz w:val="18"/>
        </w:rPr>
        <w:t>The Company accounted for Long Ridge Terminal LLC, included in discontinued operations for the three months ended March 31, 2022 included above, using the equity method of accounting. Summarized financial data for Long Ridge Terminal LLC are shown in the following table.</w:t>
      </w:r>
      <w:r>
        <w:rPr>
          <w:color w:val="000000"/>
        </w:rPr>
        <w:t xml:space="preserve"> </w:t>
      </w:r>
    </w:p>
    <w:tbl>
      <w:tblPr>
        <w:tblW w:w="4343" w:type="dxa"/>
        <w:jc w:val="left"/>
        <w:tblInd w:w="0" w:type="dxa"/>
        <w:tblCellMar>
          <w:top w:w="28" w:type="dxa"/>
          <w:left w:w="28" w:type="dxa"/>
          <w:bottom w:w="28" w:type="dxa"/>
          <w:right w:w="28" w:type="dxa"/>
        </w:tblCellMar>
      </w:tblPr>
      <w:tblGrid>
        <w:gridCol w:w="826"/>
        <w:gridCol w:w="725"/>
        <w:gridCol w:w="729"/>
        <w:gridCol w:w="344"/>
        <w:gridCol w:w="1265"/>
        <w:gridCol w:w="191"/>
        <w:gridCol w:w="109"/>
        <w:gridCol w:w="154"/>
      </w:tblGrid>
      <w:tr>
        <w:trPr/>
        <w:tc>
          <w:tcPr>
            <w:tcW w:w="826"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r>
          </w:p>
        </w:tc>
        <w:tc>
          <w:tcPr>
            <w:tcW w:w="263" w:type="dxa"/>
            <w:gridSpan w:val="2"/>
            <w:tcBorders/>
            <w:shd w:fill="auto" w:val="clea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Income Statement</w:t>
            </w:r>
          </w:p>
        </w:tc>
        <w:tc>
          <w:tcPr>
            <w:tcW w:w="18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auto" w:val="clear"/>
            <w:vAlign w:val="center"/>
          </w:tcPr>
          <w:p>
            <w:pPr>
              <w:pStyle w:val="TableContents"/>
              <w:spacing w:before="0" w:after="283"/>
              <w:rPr>
                <w:sz w:val="4"/>
                <w:szCs w:val="4"/>
              </w:rPr>
            </w:pPr>
            <w:r>
              <w:rPr>
                <w:sz w:val="4"/>
                <w:szCs w:val="4"/>
              </w:rPr>
            </w:r>
          </w:p>
        </w:tc>
        <w:tc>
          <w:tcPr>
            <w:tcW w:w="18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revenue</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24,411 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80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auto" w:val="clear"/>
            <w:vAlign w:val="center"/>
          </w:tcPr>
          <w:p>
            <w:pPr>
              <w:pStyle w:val="TableContents"/>
              <w:spacing w:before="0" w:after="283"/>
              <w:rPr>
                <w:sz w:val="4"/>
                <w:szCs w:val="4"/>
              </w:rPr>
            </w:pPr>
            <w:r>
              <w:rPr>
                <w:sz w:val="4"/>
                <w:szCs w:val="4"/>
              </w:rPr>
            </w:r>
          </w:p>
        </w:tc>
        <w:tc>
          <w:tcPr>
            <w:tcW w:w="18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6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12,447 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auto" w:val="clear"/>
            <w:vAlign w:val="center"/>
          </w:tcPr>
          <w:p>
            <w:pPr>
              <w:pStyle w:val="TableContents"/>
              <w:spacing w:before="0" w:after="283"/>
              <w:rPr>
                <w:sz w:val="4"/>
                <w:szCs w:val="4"/>
              </w:rPr>
            </w:pPr>
            <w:r>
              <w:rPr>
                <w:sz w:val="4"/>
                <w:szCs w:val="4"/>
              </w:rPr>
            </w:r>
          </w:p>
        </w:tc>
        <w:tc>
          <w:tcPr>
            <w:tcW w:w="18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auto" w:val="clear"/>
            <w:vAlign w:val="center"/>
          </w:tcPr>
          <w:p>
            <w:pPr>
              <w:pStyle w:val="TableContents"/>
              <w:spacing w:before="0" w:after="283"/>
              <w:rPr>
                <w:sz w:val="4"/>
                <w:szCs w:val="4"/>
              </w:rPr>
            </w:pPr>
            <w:r>
              <w:rPr>
                <w:sz w:val="4"/>
                <w:szCs w:val="4"/>
              </w:rPr>
            </w:r>
          </w:p>
        </w:tc>
        <w:tc>
          <w:tcPr>
            <w:tcW w:w="18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6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12,544 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6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12,861 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expenses</w:t>
            </w:r>
          </w:p>
        </w:tc>
        <w:tc>
          <w:tcPr>
            <w:tcW w:w="160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37,852 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Other expense</w:t>
            </w:r>
          </w:p>
        </w:tc>
        <w:tc>
          <w:tcPr>
            <w:tcW w:w="16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(29,234)</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auto" w:val="clear"/>
            <w:vAlign w:val="center"/>
          </w:tcPr>
          <w:p>
            <w:pPr>
              <w:pStyle w:val="TableContents"/>
              <w:spacing w:before="0" w:after="283"/>
              <w:rPr>
                <w:sz w:val="4"/>
                <w:szCs w:val="4"/>
              </w:rPr>
            </w:pPr>
            <w:r>
              <w:rPr>
                <w:sz w:val="4"/>
                <w:szCs w:val="4"/>
              </w:rPr>
            </w:r>
          </w:p>
        </w:tc>
        <w:tc>
          <w:tcPr>
            <w:tcW w:w="18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auto" w:val="clear"/>
            <w:vAlign w:val="center"/>
          </w:tcPr>
          <w:p>
            <w:pPr>
              <w:pStyle w:val="TableContents"/>
              <w:spacing w:before="0" w:after="283"/>
              <w:rPr>
                <w:sz w:val="4"/>
                <w:szCs w:val="4"/>
              </w:rPr>
            </w:pPr>
            <w:r>
              <w:rPr>
                <w:sz w:val="4"/>
                <w:szCs w:val="4"/>
              </w:rPr>
            </w:r>
          </w:p>
        </w:tc>
        <w:tc>
          <w:tcPr>
            <w:tcW w:w="18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loss</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(42,675)</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32740"/>
                <wp:effectExtent l="0" t="0" r="0" b="0"/>
                <wp:wrapNone/>
                <wp:docPr id="16" name="Frame15"/>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497F"/>
          <w:sz w:val="20"/>
        </w:rPr>
      </w:pPr>
      <w:r>
        <w:rPr>
          <w:rFonts w:ascii="Arial;sans-serif" w:hAnsi="Arial;sans-serif"/>
          <w:b/>
          <w:color w:val="00497F"/>
          <w:sz w:val="20"/>
        </w:rPr>
        <w:t>FTAI AVIATION LTD.</w:t>
      </w:r>
    </w:p>
    <w:p>
      <w:pPr>
        <w:pStyle w:val="TextBody"/>
        <w:spacing w:lineRule="auto" w:line="288" w:before="0" w:after="0"/>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spacing w:lineRule="auto" w:line="288" w:before="0" w:after="0"/>
        <w:rPr/>
      </w:pPr>
      <w:r>
        <w:rPr>
          <w:rFonts w:ascii="Arial;sans-serif" w:hAnsi="Arial;sans-serif"/>
          <w:b w:val="false"/>
          <w:i/>
          <w:color w:val="00497F"/>
          <w:sz w:val="20"/>
        </w:rPr>
        <w:t>(Dollars in tables in thousands, unless otherwise noted)</w:t>
      </w:r>
      <w:r>
        <w:rPr>
          <w:color w:val="00497F"/>
        </w:rPr>
        <w:t xml:space="preserve"> </w:t>
      </w:r>
    </w:p>
    <w:p>
      <w:pPr>
        <w:pStyle w:val="TextBody"/>
        <w:spacing w:lineRule="auto" w:line="288" w:before="180" w:after="283"/>
        <w:ind w:left="0" w:right="0" w:hanging="360"/>
        <w:rPr>
          <w:rFonts w:ascii="Arial;sans-serif" w:hAnsi="Arial;sans-serif"/>
          <w:b/>
          <w:color w:val="00497F"/>
          <w:sz w:val="20"/>
        </w:rPr>
      </w:pPr>
      <w:r>
        <w:rPr>
          <w:rFonts w:ascii="Arial;sans-serif" w:hAnsi="Arial;sans-serif"/>
          <w:b/>
          <w:color w:val="00497F"/>
          <w:sz w:val="20"/>
        </w:rPr>
        <w:t xml:space="preserve">4. LEASING EQUIPMENT, NET </w:t>
      </w:r>
    </w:p>
    <w:p>
      <w:pPr>
        <w:pStyle w:val="TextBody"/>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Leasing equipment, net is summarized as follows:</w:t>
      </w:r>
    </w:p>
    <w:tbl>
      <w:tblPr>
        <w:tblW w:w="6959" w:type="dxa"/>
        <w:jc w:val="left"/>
        <w:tblInd w:w="0" w:type="dxa"/>
        <w:tblCellMar>
          <w:top w:w="28" w:type="dxa"/>
          <w:left w:w="28" w:type="dxa"/>
          <w:bottom w:w="28" w:type="dxa"/>
          <w:right w:w="28" w:type="dxa"/>
        </w:tblCellMar>
      </w:tblPr>
      <w:tblGrid>
        <w:gridCol w:w="885"/>
        <w:gridCol w:w="777"/>
        <w:gridCol w:w="782"/>
        <w:gridCol w:w="109"/>
        <w:gridCol w:w="109"/>
        <w:gridCol w:w="109"/>
        <w:gridCol w:w="109"/>
        <w:gridCol w:w="109"/>
        <w:gridCol w:w="109"/>
        <w:gridCol w:w="207"/>
        <w:gridCol w:w="938"/>
        <w:gridCol w:w="115"/>
        <w:gridCol w:w="109"/>
        <w:gridCol w:w="109"/>
        <w:gridCol w:w="109"/>
        <w:gridCol w:w="109"/>
        <w:gridCol w:w="109"/>
        <w:gridCol w:w="109"/>
        <w:gridCol w:w="109"/>
        <w:gridCol w:w="109"/>
        <w:gridCol w:w="109"/>
        <w:gridCol w:w="260"/>
        <w:gridCol w:w="1156"/>
        <w:gridCol w:w="204"/>
      </w:tblGrid>
      <w:tr>
        <w:trPr/>
        <w:tc>
          <w:tcPr>
            <w:tcW w:w="885"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2601" w:type="dxa"/>
            <w:gridSpan w:val="12"/>
            <w:tcBorders/>
            <w:shd w:fill="auto" w:val="clear"/>
          </w:tcPr>
          <w:p>
            <w:pPr>
              <w:pStyle w:val="TableContents"/>
              <w:spacing w:before="0" w:after="283"/>
              <w:rPr>
                <w:sz w:val="4"/>
                <w:szCs w:val="4"/>
              </w:rPr>
            </w:pPr>
            <w:r>
              <w:rPr>
                <w:sz w:val="4"/>
                <w:szCs w:val="4"/>
              </w:rPr>
            </w:r>
          </w:p>
        </w:tc>
      </w:tr>
      <w:tr>
        <w:trPr/>
        <w:tc>
          <w:tcPr>
            <w:tcW w:w="24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0" w:type="dxa"/>
            <w:gridSpan w:val="3"/>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Leasing equipment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2,346,078</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2,413,230 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depreciation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(496,416)</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(499,677)</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Leasing equipment,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1,849,662</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1,913,553 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120" w:after="283"/>
        <w:jc w:val="both"/>
        <w:rPr>
          <w:rFonts w:ascii="Arial;sans-serif" w:hAnsi="Arial;sans-serif"/>
          <w:b w:val="false"/>
          <w:color w:val="000000"/>
          <w:sz w:val="18"/>
        </w:rPr>
      </w:pPr>
      <w:r>
        <w:rPr>
          <w:rFonts w:ascii="Arial;sans-serif" w:hAnsi="Arial;sans-serif"/>
          <w:b w:val="false"/>
          <w:color w:val="000000"/>
          <w:sz w:val="18"/>
        </w:rPr>
        <w:t>Economic sanctions and export controls against Russia and Russia’s aviation industry were imposed due to its invasion of Ukraine during the three months ended March 31, 2022. As a result of the sanctions imposed on Russian airlines, we terminated all lease agreements with Russian airlines. We determined that it is unlikely that we will regain possession of the aircraft and engines that had not yet been recovered from Ukraine and Russia. As a result, during the three months ended March 31, 2022, we recognized an impairment charge totaling $122.8 million, net of maintenance deposits, to write-off the entire carrying value of leasing equipment assets that we did not expect to recover from Ukraine and Russia. As of March 31, 2023, four aircraft and one engine were still located in Ukraine and eight aircraft and seventeen engines were still located in Russia. Additionally, we identified certain assets in our leasing equipment portfolio with indicators of impairment. As a result, we adjusted the carrying value of these assets to fair value and recognized transactional impairment charges of $1.2 million, net of redelivery compensation during the three months ended March 31, 2023.</w:t>
      </w:r>
    </w:p>
    <w:p>
      <w:pPr>
        <w:pStyle w:val="TextBody"/>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The following table presents information related to our acquisitions and dispositions of aviation leasing equipment during the three months ended March 31, 2023:</w:t>
      </w:r>
    </w:p>
    <w:tbl>
      <w:tblPr>
        <w:tblW w:w="1535" w:type="dxa"/>
        <w:jc w:val="left"/>
        <w:tblInd w:w="0" w:type="dxa"/>
        <w:tblCellMar>
          <w:top w:w="28" w:type="dxa"/>
          <w:left w:w="28" w:type="dxa"/>
          <w:bottom w:w="28" w:type="dxa"/>
          <w:right w:w="28" w:type="dxa"/>
        </w:tblCellMar>
      </w:tblPr>
      <w:tblGrid>
        <w:gridCol w:w="380"/>
        <w:gridCol w:w="334"/>
        <w:gridCol w:w="336"/>
        <w:gridCol w:w="164"/>
        <w:gridCol w:w="167"/>
        <w:gridCol w:w="154"/>
      </w:tblGrid>
      <w:tr>
        <w:trPr/>
        <w:tc>
          <w:tcPr>
            <w:tcW w:w="380"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Acquisitions:</w:t>
            </w:r>
          </w:p>
        </w:tc>
        <w:tc>
          <w:tcPr>
            <w:tcW w:w="4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Aircraft</w:t>
            </w:r>
          </w:p>
        </w:tc>
        <w:tc>
          <w:tcPr>
            <w:tcW w:w="3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Engines</w:t>
            </w:r>
          </w:p>
        </w:tc>
        <w:tc>
          <w:tcPr>
            <w:tcW w:w="3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Dispositions:</w:t>
            </w:r>
          </w:p>
        </w:tc>
        <w:tc>
          <w:tcPr>
            <w:tcW w:w="4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Aircraft</w:t>
            </w:r>
          </w:p>
        </w:tc>
        <w:tc>
          <w:tcPr>
            <w:tcW w:w="3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Engines</w:t>
            </w:r>
          </w:p>
        </w:tc>
        <w:tc>
          <w:tcPr>
            <w:tcW w:w="3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0" w:type="dxa"/>
            <w:gridSpan w:val="3"/>
            <w:tcBorders/>
            <w:shd w:fill="auto" w:val="clear"/>
            <w:vAlign w:val="center"/>
          </w:tcPr>
          <w:p>
            <w:pPr>
              <w:pStyle w:val="TableContents"/>
              <w:spacing w:before="0" w:after="283"/>
              <w:rPr>
                <w:sz w:val="4"/>
                <w:szCs w:val="4"/>
              </w:rPr>
            </w:pPr>
            <w:r>
              <w:rPr>
                <w:sz w:val="4"/>
                <w:szCs w:val="4"/>
              </w:rPr>
            </w:r>
          </w:p>
        </w:tc>
        <w:tc>
          <w:tcPr>
            <w:tcW w:w="48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Depreciation expense for leasing equipment is summarized as follows:</w:t>
      </w:r>
    </w:p>
    <w:tbl>
      <w:tblPr>
        <w:tblW w:w="6324" w:type="dxa"/>
        <w:jc w:val="left"/>
        <w:tblInd w:w="0" w:type="dxa"/>
        <w:tblCellMar>
          <w:top w:w="28" w:type="dxa"/>
          <w:left w:w="28" w:type="dxa"/>
          <w:bottom w:w="28" w:type="dxa"/>
          <w:right w:w="28" w:type="dxa"/>
        </w:tblCellMar>
      </w:tblPr>
      <w:tblGrid>
        <w:gridCol w:w="1194"/>
        <w:gridCol w:w="1051"/>
        <w:gridCol w:w="1054"/>
        <w:gridCol w:w="222"/>
        <w:gridCol w:w="751"/>
        <w:gridCol w:w="123"/>
        <w:gridCol w:w="123"/>
        <w:gridCol w:w="123"/>
        <w:gridCol w:w="123"/>
        <w:gridCol w:w="222"/>
        <w:gridCol w:w="734"/>
        <w:gridCol w:w="123"/>
        <w:gridCol w:w="109"/>
        <w:gridCol w:w="109"/>
        <w:gridCol w:w="109"/>
        <w:gridCol w:w="154"/>
      </w:tblGrid>
      <w:tr>
        <w:trPr/>
        <w:tc>
          <w:tcPr>
            <w:tcW w:w="1194"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expense for leasing equipment</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40,766</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41,203 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sans-serif" w:hAnsi="Arial;sans-serif"/>
          <w:b/>
          <w:color w:val="00497F"/>
          <w:sz w:val="20"/>
        </w:rPr>
      </w:pPr>
      <w:r>
        <w:rPr>
          <w:rFonts w:ascii="Arial;sans-serif" w:hAnsi="Arial;sans-serif"/>
          <w:b/>
          <w:color w:val="00497F"/>
          <w:sz w:val="20"/>
        </w:rPr>
        <w:t xml:space="preserve">5. INVESTMENTS </w:t>
      </w:r>
    </w:p>
    <w:p>
      <w:pPr>
        <w:pStyle w:val="TextBody"/>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The following table presents the ownership interests and carrying values of our investments:</w:t>
      </w:r>
    </w:p>
    <w:tbl>
      <w:tblPr>
        <w:tblW w:w="9271" w:type="dxa"/>
        <w:jc w:val="left"/>
        <w:tblInd w:w="0" w:type="dxa"/>
        <w:tblCellMar>
          <w:top w:w="28" w:type="dxa"/>
          <w:left w:w="28" w:type="dxa"/>
          <w:bottom w:w="28" w:type="dxa"/>
          <w:right w:w="28" w:type="dxa"/>
        </w:tblCellMar>
      </w:tblPr>
      <w:tblGrid>
        <w:gridCol w:w="858"/>
        <w:gridCol w:w="753"/>
        <w:gridCol w:w="758"/>
        <w:gridCol w:w="379"/>
        <w:gridCol w:w="379"/>
        <w:gridCol w:w="381"/>
        <w:gridCol w:w="109"/>
        <w:gridCol w:w="109"/>
        <w:gridCol w:w="109"/>
        <w:gridCol w:w="634"/>
        <w:gridCol w:w="634"/>
        <w:gridCol w:w="636"/>
        <w:gridCol w:w="109"/>
        <w:gridCol w:w="109"/>
        <w:gridCol w:w="109"/>
        <w:gridCol w:w="255"/>
        <w:gridCol w:w="862"/>
        <w:gridCol w:w="142"/>
        <w:gridCol w:w="109"/>
        <w:gridCol w:w="109"/>
        <w:gridCol w:w="109"/>
        <w:gridCol w:w="318"/>
        <w:gridCol w:w="1051"/>
        <w:gridCol w:w="250"/>
      </w:tblGrid>
      <w:tr>
        <w:trPr/>
        <w:tc>
          <w:tcPr>
            <w:tcW w:w="858"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r>
      <w:tr>
        <w:trPr/>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Investment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Ownership Percentage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Advanced Engine Repair JV</w:t>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Equity method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19,799</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20,207 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Falcon MSN 177 LLC</w:t>
            </w:r>
          </w:p>
        </w:tc>
        <w:tc>
          <w:tcPr>
            <w:tcW w:w="11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Equity method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1,731</w:t>
            </w: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1,830 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Quick Turn Engine Center LLC</w:t>
            </w:r>
          </w:p>
        </w:tc>
        <w:tc>
          <w:tcPr>
            <w:tcW w:w="11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Equity method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18,672</w:t>
            </w: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40,202</w:t>
            </w:r>
            <w:r>
              <w:rPr>
                <w:color w:val="000000"/>
              </w:rPr>
              <w:t>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22,037 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We did not recognize any other-than-temporary impairments for the three months ended March 31, 2023 and 2022.</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32740"/>
                <wp:effectExtent l="0" t="0" r="0" b="0"/>
                <wp:wrapNone/>
                <wp:docPr id="17" name="Frame16"/>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497F"/>
          <w:sz w:val="20"/>
        </w:rPr>
      </w:pPr>
      <w:r>
        <w:rPr>
          <w:rFonts w:ascii="Arial;sans-serif" w:hAnsi="Arial;sans-serif"/>
          <w:b/>
          <w:color w:val="00497F"/>
          <w:sz w:val="20"/>
        </w:rPr>
        <w:t>FTAI AVIATION LTD.</w:t>
      </w:r>
    </w:p>
    <w:p>
      <w:pPr>
        <w:pStyle w:val="TextBody"/>
        <w:spacing w:lineRule="auto" w:line="288" w:before="0" w:after="0"/>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spacing w:lineRule="auto" w:line="288" w:before="0" w:after="0"/>
        <w:rPr/>
      </w:pPr>
      <w:r>
        <w:rPr>
          <w:rFonts w:ascii="Arial;sans-serif" w:hAnsi="Arial;sans-serif"/>
          <w:b w:val="false"/>
          <w:i/>
          <w:color w:val="00497F"/>
          <w:sz w:val="20"/>
        </w:rPr>
        <w:t>(Dollars in tables in thousands, unless otherwise noted)</w:t>
      </w:r>
      <w:r>
        <w:rPr>
          <w:color w:val="00497F"/>
        </w:rPr>
        <w:t xml:space="preserve"> </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our proportionate share of equity in (losses) income:</w:t>
      </w:r>
    </w:p>
    <w:tbl>
      <w:tblPr>
        <w:tblW w:w="5396" w:type="dxa"/>
        <w:jc w:val="left"/>
        <w:tblInd w:w="0" w:type="dxa"/>
        <w:tblCellMar>
          <w:top w:w="28" w:type="dxa"/>
          <w:left w:w="28" w:type="dxa"/>
          <w:bottom w:w="28" w:type="dxa"/>
          <w:right w:w="28" w:type="dxa"/>
        </w:tblCellMar>
      </w:tblPr>
      <w:tblGrid>
        <w:gridCol w:w="858"/>
        <w:gridCol w:w="753"/>
        <w:gridCol w:w="758"/>
        <w:gridCol w:w="242"/>
        <w:gridCol w:w="779"/>
        <w:gridCol w:w="134"/>
        <w:gridCol w:w="134"/>
        <w:gridCol w:w="134"/>
        <w:gridCol w:w="134"/>
        <w:gridCol w:w="242"/>
        <w:gridCol w:w="613"/>
        <w:gridCol w:w="134"/>
        <w:gridCol w:w="109"/>
        <w:gridCol w:w="109"/>
        <w:gridCol w:w="109"/>
        <w:gridCol w:w="154"/>
      </w:tblGrid>
      <w:tr>
        <w:trPr/>
        <w:tc>
          <w:tcPr>
            <w:tcW w:w="858"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Advanced Engine Repair JV</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(408)</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Falcon MSN 177 LLC</w:t>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(99)</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Quick Turn Engine Center LLC</w:t>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(828)</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(1,335)</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Arial;sans-serif" w:hAnsi="Arial;sans-serif"/>
          <w:b/>
          <w:color w:val="00497F"/>
          <w:sz w:val="18"/>
        </w:rPr>
      </w:pPr>
      <w:r>
        <w:rPr>
          <w:rFonts w:ascii="Arial;sans-serif" w:hAnsi="Arial;sans-serif"/>
          <w:b/>
          <w:color w:val="00497F"/>
          <w:sz w:val="18"/>
        </w:rPr>
        <w:t>Equity Method Investments</w:t>
      </w:r>
    </w:p>
    <w:p>
      <w:pPr>
        <w:pStyle w:val="TextBody"/>
        <w:spacing w:lineRule="auto" w:line="288" w:before="120" w:after="283"/>
        <w:jc w:val="both"/>
        <w:rPr>
          <w:rFonts w:ascii="Arial;sans-serif" w:hAnsi="Arial;sans-serif"/>
          <w:b w:val="false"/>
          <w:i/>
          <w:color w:val="00497F"/>
          <w:sz w:val="18"/>
        </w:rPr>
      </w:pPr>
      <w:r>
        <w:rPr>
          <w:rFonts w:ascii="Arial;sans-serif" w:hAnsi="Arial;sans-serif"/>
          <w:b w:val="false"/>
          <w:i/>
          <w:color w:val="00497F"/>
          <w:sz w:val="18"/>
        </w:rPr>
        <w:t>Advanced Engine Repair JV</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In December 2016, we invested $15 million for a 25% interest in an advanced engine repair joint venture. We focus on developing new cost savings programs for engine repairs. We exercise significant influence over this investment and account for this investment as an equity method investment. </w:t>
      </w:r>
    </w:p>
    <w:p>
      <w:pPr>
        <w:pStyle w:val="TextBody"/>
        <w:spacing w:lineRule="auto" w:line="288" w:before="120" w:after="283"/>
        <w:jc w:val="both"/>
        <w:rPr/>
      </w:pPr>
      <w:r>
        <w:rPr>
          <w:rFonts w:ascii="Arial;sans-serif" w:hAnsi="Arial;sans-serif"/>
          <w:b w:val="false"/>
          <w:color w:val="000000"/>
          <w:sz w:val="18"/>
        </w:rPr>
        <w:t xml:space="preserve">In August 2019, we expanded the scope of our joint venture and invested an additional $13.5 million and maintained a 25% </w:t>
      </w:r>
      <w:r>
        <w:rPr>
          <w:rFonts w:ascii="Arial;sans-serif" w:hAnsi="Arial;sans-serif"/>
          <w:b w:val="false"/>
          <w:color w:val="000000"/>
          <w:sz w:val="18"/>
          <w:highlight w:val="white"/>
        </w:rPr>
        <w:t>interest.</w:t>
      </w:r>
    </w:p>
    <w:p>
      <w:pPr>
        <w:pStyle w:val="TextBody"/>
        <w:spacing w:lineRule="auto" w:line="288" w:before="120" w:after="283"/>
        <w:jc w:val="both"/>
        <w:rPr>
          <w:rFonts w:ascii="Arial;sans-serif" w:hAnsi="Arial;sans-serif"/>
          <w:b w:val="false"/>
          <w:i/>
          <w:color w:val="00497F"/>
          <w:sz w:val="18"/>
        </w:rPr>
      </w:pPr>
      <w:r>
        <w:rPr>
          <w:rFonts w:ascii="Arial;sans-serif" w:hAnsi="Arial;sans-serif"/>
          <w:b w:val="false"/>
          <w:i/>
          <w:color w:val="00497F"/>
          <w:sz w:val="18"/>
        </w:rPr>
        <w:t>Falcon MSN 177 LLC</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November 2021, we invested $1.6 million for a 50% interest in Falcon MSN 177 LLC, an entity that consists of one Dassault Falcon 2000 aircraft. Falcon MSN 177 LLC leases the aircraft to charter operators on aircraft, crew maintenance, and insurance contracts. We account for our investment in Falcon as an equity method investment as we have significant influence through our interest.</w:t>
      </w:r>
    </w:p>
    <w:p>
      <w:pPr>
        <w:pStyle w:val="TextBody"/>
        <w:spacing w:lineRule="auto" w:line="288" w:before="120" w:after="283"/>
        <w:jc w:val="both"/>
        <w:rPr>
          <w:rFonts w:ascii="Arial;sans-serif" w:hAnsi="Arial;sans-serif"/>
          <w:b w:val="false"/>
          <w:i/>
          <w:color w:val="00497F"/>
          <w:sz w:val="18"/>
        </w:rPr>
      </w:pPr>
      <w:r>
        <w:rPr>
          <w:rFonts w:ascii="Arial;sans-serif" w:hAnsi="Arial;sans-serif"/>
          <w:b w:val="false"/>
          <w:i/>
          <w:color w:val="00497F"/>
          <w:sz w:val="18"/>
        </w:rPr>
        <w:t>Quick Turn Engine Center LLC</w:t>
      </w:r>
    </w:p>
    <w:p>
      <w:pPr>
        <w:pStyle w:val="TextBody"/>
        <w:spacing w:lineRule="auto" w:line="288" w:before="120" w:after="283"/>
        <w:jc w:val="both"/>
        <w:rPr/>
      </w:pPr>
      <w:r>
        <w:rPr>
          <w:rFonts w:ascii="Arial;sans-serif" w:hAnsi="Arial;sans-serif"/>
          <w:b w:val="false"/>
          <w:color w:val="000000"/>
          <w:sz w:val="18"/>
        </w:rPr>
        <w:t xml:space="preserve">On January 4, 2023, we invested $19.5 million for a 50% interest in Quick Turn Engine Center LLC or “Quick Turn” (previously iAero Thrust LLC), a hospital maintenance and testing facility dedicated to the CFM56 engine. We account for our investment in </w:t>
      </w:r>
      <w:r>
        <w:rPr>
          <w:rFonts w:ascii="Arial;sans-serif" w:hAnsi="Arial;sans-serif"/>
          <w:b w:val="false"/>
          <w:color w:val="000000"/>
          <w:sz w:val="18"/>
          <w:highlight w:val="white"/>
        </w:rPr>
        <w:t>Quick Turn</w:t>
      </w:r>
      <w:r>
        <w:rPr>
          <w:color w:val="000000"/>
        </w:rPr>
        <w:t xml:space="preserve"> </w:t>
      </w:r>
      <w:r>
        <w:rPr>
          <w:rFonts w:ascii="Arial;sans-serif" w:hAnsi="Arial;sans-serif"/>
          <w:b w:val="false"/>
          <w:color w:val="000000"/>
          <w:sz w:val="18"/>
        </w:rPr>
        <w:t>as an equity method investment as we have significant influence through our interest.</w:t>
      </w:r>
    </w:p>
    <w:p>
      <w:pPr>
        <w:pStyle w:val="TextBody"/>
        <w:spacing w:before="12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32740"/>
                <wp:effectExtent l="0" t="0" r="0" b="0"/>
                <wp:wrapNone/>
                <wp:docPr id="18" name="Frame17"/>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497F"/>
          <w:sz w:val="20"/>
        </w:rPr>
      </w:pPr>
      <w:r>
        <w:rPr>
          <w:rFonts w:ascii="Arial;sans-serif" w:hAnsi="Arial;sans-serif"/>
          <w:b/>
          <w:color w:val="00497F"/>
          <w:sz w:val="20"/>
        </w:rPr>
        <w:t>FTAI AVIATION LTD.</w:t>
      </w:r>
    </w:p>
    <w:p>
      <w:pPr>
        <w:pStyle w:val="TextBody"/>
        <w:spacing w:lineRule="auto" w:line="288" w:before="0" w:after="0"/>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spacing w:lineRule="auto" w:line="288" w:before="0" w:after="0"/>
        <w:rPr/>
      </w:pPr>
      <w:r>
        <w:rPr>
          <w:rFonts w:ascii="Arial;sans-serif" w:hAnsi="Arial;sans-serif"/>
          <w:b w:val="false"/>
          <w:i/>
          <w:color w:val="00497F"/>
          <w:sz w:val="20"/>
        </w:rPr>
        <w:t>(Dollars in tables in thousands, unless otherwise noted)</w:t>
      </w:r>
      <w:r>
        <w:rPr>
          <w:color w:val="00497F"/>
        </w:rPr>
        <w:t xml:space="preserve"> </w:t>
      </w:r>
    </w:p>
    <w:p>
      <w:pPr>
        <w:pStyle w:val="TextBody"/>
        <w:spacing w:lineRule="auto" w:line="288" w:before="180" w:after="283"/>
        <w:ind w:left="0" w:right="0" w:hanging="360"/>
        <w:rPr>
          <w:rFonts w:ascii="Arial;sans-serif" w:hAnsi="Arial;sans-serif"/>
          <w:b/>
          <w:color w:val="00497F"/>
          <w:sz w:val="20"/>
        </w:rPr>
      </w:pPr>
      <w:r>
        <w:rPr>
          <w:rFonts w:ascii="Arial;sans-serif" w:hAnsi="Arial;sans-serif"/>
          <w:b/>
          <w:color w:val="00497F"/>
          <w:sz w:val="20"/>
        </w:rPr>
        <w:t xml:space="preserve">6. INTANGIBLE ASSETS AND LIABILITIES, NET </w:t>
      </w:r>
    </w:p>
    <w:p>
      <w:pPr>
        <w:pStyle w:val="TextBody"/>
        <w:spacing w:lineRule="auto" w:line="288" w:before="180" w:after="283"/>
        <w:rPr>
          <w:rFonts w:ascii="Arial;sans-serif" w:hAnsi="Arial;sans-serif"/>
          <w:b w:val="false"/>
          <w:color w:val="000000"/>
          <w:sz w:val="18"/>
        </w:rPr>
      </w:pPr>
      <w:r>
        <w:rPr>
          <w:rFonts w:ascii="Arial;sans-serif" w:hAnsi="Arial;sans-serif"/>
          <w:b w:val="false"/>
          <w:color w:val="000000"/>
          <w:sz w:val="18"/>
        </w:rPr>
        <w:t>Intangible assets and liabilities, net are summarized as follows:</w:t>
      </w:r>
    </w:p>
    <w:tbl>
      <w:tblPr>
        <w:tblW w:w="6759" w:type="dxa"/>
        <w:jc w:val="left"/>
        <w:tblInd w:w="0" w:type="dxa"/>
        <w:tblCellMar>
          <w:top w:w="28" w:type="dxa"/>
          <w:left w:w="28" w:type="dxa"/>
          <w:bottom w:w="28" w:type="dxa"/>
          <w:right w:w="28" w:type="dxa"/>
        </w:tblCellMar>
      </w:tblPr>
      <w:tblGrid>
        <w:gridCol w:w="1289"/>
        <w:gridCol w:w="1129"/>
        <w:gridCol w:w="1136"/>
        <w:gridCol w:w="255"/>
        <w:gridCol w:w="862"/>
        <w:gridCol w:w="142"/>
        <w:gridCol w:w="109"/>
        <w:gridCol w:w="109"/>
        <w:gridCol w:w="109"/>
        <w:gridCol w:w="318"/>
        <w:gridCol w:w="1051"/>
        <w:gridCol w:w="250"/>
      </w:tblGrid>
      <w:tr>
        <w:trPr/>
        <w:tc>
          <w:tcPr>
            <w:tcW w:w="1289"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Intangible assets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favorable lease intangibles</w:t>
            </w:r>
          </w:p>
        </w:tc>
        <w:tc>
          <w:tcPr>
            <w:tcW w:w="2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60,514 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64,202 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amortization</w:t>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(14,785)</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(22,247)</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Acquired favorable lease intangibles, net</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45,729</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41,955 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Intangible liabilities</w:t>
            </w:r>
          </w:p>
        </w:tc>
        <w:tc>
          <w:tcPr>
            <w:tcW w:w="1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unfavorable lease intangibles</w:t>
            </w:r>
          </w:p>
        </w:tc>
        <w:tc>
          <w:tcPr>
            <w:tcW w:w="2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3,771 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13,152 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amortization</w:t>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(1,796)</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(2,607)</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Acquired unfavorable lease intangibles, net</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1,975</w:t>
            </w:r>
            <w:r>
              <w:rPr>
                <w:color w:val="000000"/>
              </w:rPr>
              <w:t>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10,545 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Intangible assets and liabilities are all held within the Aviation Leasing segment. Intangible liabilities relate to unfavorable lease intangibles and are included as a component of Other liabilities in the Consolidated Balance Sheets. </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Amortization of intangible assets and liabilities is as follows:</w:t>
      </w:r>
    </w:p>
    <w:tbl>
      <w:tblPr>
        <w:tblW w:w="9309" w:type="dxa"/>
        <w:jc w:val="left"/>
        <w:tblInd w:w="0" w:type="dxa"/>
        <w:tblCellMar>
          <w:top w:w="28" w:type="dxa"/>
          <w:left w:w="28" w:type="dxa"/>
          <w:bottom w:w="28" w:type="dxa"/>
          <w:right w:w="28" w:type="dxa"/>
        </w:tblCellMar>
      </w:tblPr>
      <w:tblGrid>
        <w:gridCol w:w="500"/>
        <w:gridCol w:w="439"/>
        <w:gridCol w:w="441"/>
        <w:gridCol w:w="1524"/>
        <w:gridCol w:w="1524"/>
        <w:gridCol w:w="1527"/>
        <w:gridCol w:w="109"/>
        <w:gridCol w:w="109"/>
        <w:gridCol w:w="109"/>
        <w:gridCol w:w="242"/>
        <w:gridCol w:w="705"/>
        <w:gridCol w:w="134"/>
        <w:gridCol w:w="134"/>
        <w:gridCol w:w="134"/>
        <w:gridCol w:w="134"/>
        <w:gridCol w:w="242"/>
        <w:gridCol w:w="687"/>
        <w:gridCol w:w="134"/>
        <w:gridCol w:w="109"/>
        <w:gridCol w:w="109"/>
        <w:gridCol w:w="109"/>
        <w:gridCol w:w="154"/>
      </w:tblGrid>
      <w:tr>
        <w:trPr/>
        <w:tc>
          <w:tcPr>
            <w:tcW w:w="500"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524" w:type="dxa"/>
            <w:tcBorders/>
            <w:shd w:fill="auto" w:val="clear"/>
            <w:vAlign w:val="center"/>
          </w:tcPr>
          <w:p>
            <w:pPr>
              <w:pStyle w:val="TableContents"/>
              <w:spacing w:before="0" w:after="283"/>
              <w:rPr>
                <w:sz w:val="4"/>
                <w:szCs w:val="4"/>
              </w:rPr>
            </w:pPr>
            <w:r>
              <w:rPr>
                <w:sz w:val="4"/>
                <w:szCs w:val="4"/>
              </w:rPr>
            </w:r>
          </w:p>
        </w:tc>
        <w:tc>
          <w:tcPr>
            <w:tcW w:w="1524"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Classification in Consolidated Statements of Operations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intangibles</w:t>
            </w:r>
          </w:p>
        </w:tc>
        <w:tc>
          <w:tcPr>
            <w:tcW w:w="45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3,983</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Arial;sans-serif" w:hAnsi="Arial;sans-serif"/>
          <w:b w:val="false"/>
          <w:color w:val="000000"/>
          <w:sz w:val="18"/>
        </w:rPr>
      </w:pPr>
      <w:r>
        <w:rPr>
          <w:rFonts w:ascii="Arial;sans-serif" w:hAnsi="Arial;sans-serif"/>
          <w:b w:val="false"/>
          <w:color w:val="000000"/>
          <w:sz w:val="18"/>
        </w:rPr>
        <w:t xml:space="preserve">As of March 31, 2023, estimated net annual amortization of intangibles is as follows: </w:t>
      </w:r>
    </w:p>
    <w:tbl>
      <w:tblPr>
        <w:tblW w:w="2496" w:type="dxa"/>
        <w:jc w:val="left"/>
        <w:tblInd w:w="0" w:type="dxa"/>
        <w:tblCellMar>
          <w:top w:w="28" w:type="dxa"/>
          <w:left w:w="28" w:type="dxa"/>
          <w:bottom w:w="28" w:type="dxa"/>
          <w:right w:w="28" w:type="dxa"/>
        </w:tblCellMar>
      </w:tblPr>
      <w:tblGrid>
        <w:gridCol w:w="544"/>
        <w:gridCol w:w="476"/>
        <w:gridCol w:w="480"/>
        <w:gridCol w:w="196"/>
        <w:gridCol w:w="646"/>
        <w:gridCol w:w="154"/>
      </w:tblGrid>
      <w:tr>
        <w:trPr/>
        <w:tc>
          <w:tcPr>
            <w:tcW w:w="54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Remainder of 2023</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80" w:after="283"/>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32740"/>
                <wp:effectExtent l="0" t="0" r="0" b="0"/>
                <wp:wrapNone/>
                <wp:docPr id="19" name="Frame18"/>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497F"/>
          <w:sz w:val="20"/>
        </w:rPr>
      </w:pPr>
      <w:r>
        <w:rPr>
          <w:rFonts w:ascii="Arial;sans-serif" w:hAnsi="Arial;sans-serif"/>
          <w:b/>
          <w:color w:val="00497F"/>
          <w:sz w:val="20"/>
        </w:rPr>
        <w:t>FTAI AVIATION LTD.</w:t>
      </w:r>
    </w:p>
    <w:p>
      <w:pPr>
        <w:pStyle w:val="TextBody"/>
        <w:spacing w:lineRule="auto" w:line="288" w:before="0" w:after="0"/>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spacing w:lineRule="auto" w:line="288" w:before="0" w:after="0"/>
        <w:rPr/>
      </w:pPr>
      <w:r>
        <w:rPr>
          <w:rFonts w:ascii="Arial;sans-serif" w:hAnsi="Arial;sans-serif"/>
          <w:b w:val="false"/>
          <w:i/>
          <w:color w:val="00497F"/>
          <w:sz w:val="20"/>
        </w:rPr>
        <w:t>(Dollars in tables in thousands, unless otherwise noted)</w:t>
      </w:r>
      <w:r>
        <w:rPr>
          <w:color w:val="00497F"/>
        </w:rPr>
        <w:t xml:space="preserve"> </w:t>
      </w:r>
    </w:p>
    <w:p>
      <w:pPr>
        <w:pStyle w:val="TextBody"/>
        <w:spacing w:lineRule="auto" w:line="288" w:before="180" w:after="283"/>
        <w:rPr>
          <w:rFonts w:ascii="Arial;sans-serif" w:hAnsi="Arial;sans-serif"/>
          <w:b/>
          <w:color w:val="00497F"/>
          <w:sz w:val="20"/>
        </w:rPr>
      </w:pPr>
      <w:r>
        <w:rPr>
          <w:rFonts w:ascii="Arial;sans-serif" w:hAnsi="Arial;sans-serif"/>
          <w:b/>
          <w:color w:val="00497F"/>
          <w:sz w:val="20"/>
        </w:rPr>
        <w:t xml:space="preserve">7. DEBT, NET </w:t>
      </w:r>
    </w:p>
    <w:p>
      <w:pPr>
        <w:pStyle w:val="TextBody"/>
        <w:spacing w:lineRule="auto" w:line="288" w:before="180" w:after="283"/>
        <w:rPr>
          <w:rFonts w:ascii="Arial;sans-serif" w:hAnsi="Arial;sans-serif"/>
          <w:b w:val="false"/>
          <w:color w:val="000000"/>
          <w:sz w:val="18"/>
        </w:rPr>
      </w:pPr>
      <w:r>
        <w:rPr>
          <w:rFonts w:ascii="Arial;sans-serif" w:hAnsi="Arial;sans-serif"/>
          <w:b w:val="false"/>
          <w:color w:val="000000"/>
          <w:sz w:val="18"/>
        </w:rPr>
        <w:t xml:space="preserve">Our debt, net is summarized as follows: </w:t>
      </w:r>
    </w:p>
    <w:tbl>
      <w:tblPr>
        <w:tblW w:w="10205" w:type="dxa"/>
        <w:jc w:val="left"/>
        <w:tblInd w:w="0" w:type="dxa"/>
        <w:tblCellMar>
          <w:top w:w="28" w:type="dxa"/>
          <w:left w:w="28" w:type="dxa"/>
          <w:bottom w:w="28" w:type="dxa"/>
          <w:right w:w="28" w:type="dxa"/>
        </w:tblCellMar>
      </w:tblPr>
      <w:tblGrid>
        <w:gridCol w:w="772"/>
        <w:gridCol w:w="655"/>
        <w:gridCol w:w="660"/>
        <w:gridCol w:w="304"/>
        <w:gridCol w:w="1375"/>
        <w:gridCol w:w="168"/>
        <w:gridCol w:w="109"/>
        <w:gridCol w:w="109"/>
        <w:gridCol w:w="109"/>
        <w:gridCol w:w="782"/>
        <w:gridCol w:w="782"/>
        <w:gridCol w:w="785"/>
        <w:gridCol w:w="109"/>
        <w:gridCol w:w="109"/>
        <w:gridCol w:w="109"/>
        <w:gridCol w:w="348"/>
        <w:gridCol w:w="348"/>
        <w:gridCol w:w="350"/>
        <w:gridCol w:w="109"/>
        <w:gridCol w:w="109"/>
        <w:gridCol w:w="109"/>
        <w:gridCol w:w="303"/>
        <w:gridCol w:w="1348"/>
        <w:gridCol w:w="244"/>
      </w:tblGrid>
      <w:tr>
        <w:trPr/>
        <w:tc>
          <w:tcPr>
            <w:tcW w:w="772"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348"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20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0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Outstanding Borrowings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Stated Interest 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Maturity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Outstanding Borrowings</w:t>
            </w:r>
          </w:p>
        </w:tc>
      </w:tr>
      <w:tr>
        <w:trPr/>
        <w:tc>
          <w:tcPr>
            <w:tcW w:w="20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Loans payable</w:t>
            </w:r>
          </w:p>
        </w:tc>
        <w:tc>
          <w:tcPr>
            <w:tcW w:w="18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16"/>
              </w:rPr>
              <w:t xml:space="preserve">Revolving Credit Facility </w:t>
            </w:r>
            <w:r>
              <w:rPr>
                <w:rFonts w:ascii="Arial;sans-serif" w:hAnsi="Arial;sans-serif"/>
                <w:b w:val="false"/>
                <w:color w:val="000000"/>
                <w:sz w:val="10"/>
              </w:rPr>
              <w:t>(1)</w:t>
            </w:r>
          </w:p>
        </w:tc>
        <w:tc>
          <w:tcPr>
            <w:tcW w:w="3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75"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75,000</w:t>
            </w: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 Base Rate + 1.75%; or</w:t>
            </w:r>
          </w:p>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(ii) Adjusted Term SOFR Rate + 2.75%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150,000 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loans payable</w:t>
            </w:r>
          </w:p>
        </w:tc>
        <w:tc>
          <w:tcPr>
            <w:tcW w:w="16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75,000</w:t>
            </w: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150,000 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Bonds payable</w:t>
            </w:r>
          </w:p>
        </w:tc>
        <w:tc>
          <w:tcPr>
            <w:tcW w:w="18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16"/>
              </w:rPr>
              <w:t xml:space="preserve">Senior Notes due 2025 </w:t>
            </w:r>
            <w:r>
              <w:rPr>
                <w:rFonts w:ascii="Arial;sans-serif" w:hAnsi="Arial;sans-serif"/>
                <w:b w:val="false"/>
                <w:color w:val="000000"/>
                <w:sz w:val="10"/>
              </w:rPr>
              <w:t>(2)</w:t>
            </w:r>
          </w:p>
        </w:tc>
        <w:tc>
          <w:tcPr>
            <w:tcW w:w="16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652,794</w:t>
            </w: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653,036 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Senior Notes due 2027</w:t>
            </w:r>
          </w:p>
        </w:tc>
        <w:tc>
          <w:tcPr>
            <w:tcW w:w="16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400,000</w:t>
            </w: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9.75%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400,000 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16"/>
              </w:rPr>
              <w:t xml:space="preserve">Senior Notes due 2028 </w:t>
            </w:r>
            <w:r>
              <w:rPr>
                <w:rFonts w:ascii="Arial;sans-serif" w:hAnsi="Arial;sans-serif"/>
                <w:b w:val="false"/>
                <w:color w:val="000000"/>
                <w:sz w:val="10"/>
              </w:rPr>
              <w:t>(3)</w:t>
            </w:r>
          </w:p>
        </w:tc>
        <w:tc>
          <w:tcPr>
            <w:tcW w:w="16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1,002,006</w:t>
            </w: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1,002,091 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bonds payable</w:t>
            </w:r>
          </w:p>
        </w:tc>
        <w:tc>
          <w:tcPr>
            <w:tcW w:w="16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2,054,800</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2,055,127 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Debt</w:t>
            </w:r>
          </w:p>
        </w:tc>
        <w:tc>
          <w:tcPr>
            <w:tcW w:w="16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2,129,800</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2,205,127 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Debt issuance costs</w:t>
            </w:r>
          </w:p>
        </w:tc>
        <w:tc>
          <w:tcPr>
            <w:tcW w:w="16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(27,893)</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(29,400)</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debt, net</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2,101,907</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2,175,727 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debt due within one year</w:t>
            </w:r>
          </w:p>
        </w:tc>
        <w:tc>
          <w:tcPr>
            <w:tcW w:w="304"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75"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8"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________________________________________________________</w:t>
      </w:r>
    </w:p>
    <w:p>
      <w:pPr>
        <w:pStyle w:val="TextBody"/>
        <w:spacing w:lineRule="auto" w:line="288" w:before="60" w:after="283"/>
        <w:ind w:left="0" w:right="0" w:hanging="18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xml:space="preserve">Requires a quarterly commitment fee at a rate of 0.50% on the average daily unused portion, as well as customary letter of credit fees and agency fees. </w:t>
      </w:r>
    </w:p>
    <w:p>
      <w:pPr>
        <w:pStyle w:val="TextBody"/>
        <w:spacing w:lineRule="auto" w:line="288" w:before="60" w:after="283"/>
        <w:ind w:left="0" w:right="0" w:hanging="180"/>
        <w:jc w:val="both"/>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Includes an unamortized discount of $1,207 and $1,318 at March 31, 2023 and December 31, 2022, respectively, and an unamortized premium of $4,001 and $4,354 at March 31, 2023 and December 31, 2022, respectively.</w:t>
      </w:r>
    </w:p>
    <w:p>
      <w:pPr>
        <w:pStyle w:val="TextBody"/>
        <w:spacing w:lineRule="auto" w:line="288" w:before="60" w:after="283"/>
        <w:ind w:left="0" w:right="0" w:hanging="180"/>
        <w:jc w:val="both"/>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Includes an unamortized premium of $2,006 and $2,091 at March 31, 2023 and December 31, 2022, respectively.</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were in compliance with all debt covenants as of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sans-serif" w:hAnsi="Arial;sans-serif"/>
          <w:b/>
          <w:color w:val="00497F"/>
          <w:sz w:val="20"/>
        </w:rPr>
      </w:pPr>
      <w:r>
        <w:rPr>
          <w:rFonts w:ascii="Arial;sans-serif" w:hAnsi="Arial;sans-serif"/>
          <w:b/>
          <w:color w:val="00497F"/>
          <w:sz w:val="20"/>
        </w:rPr>
        <w:t xml:space="preserve">8. FAIR VALUE MEASUREMENTS </w:t>
      </w:r>
    </w:p>
    <w:p>
      <w:pPr>
        <w:pStyle w:val="TextBody"/>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Fair value measurements and disclosures require the use of valuation techniques to measure fair value that maximize the use of observable inputs and minimize use of unobservable inputs. These inputs are prioritized as follows: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Level 1: Observable inputs such as quoted prices in active markets for identical assets or liabilities.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Level 2: Inputs other than quoted prices included within Level 1 that are observable, either directly or indirectly, such as quoted prices for similar assets or liabilities or market corroborated inputs.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Level 3: Unobservable inputs for which there is little or no market data and which require us to develop our own assumptions about how market participants price the asset or liability. </w:t>
      </w:r>
    </w:p>
    <w:p>
      <w:pPr>
        <w:pStyle w:val="TextBody"/>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 xml:space="preserve">The valuation techniques that may be used to measure fair value are as follows: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Market approach—Uses prices and other relevant information generated by market transactions involving identical or comparable assets or liabilities.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Income approach—Uses valuation techniques to convert future amounts to a single present amount based on current market expectations about those future amounts.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Cost approach—Based on the amount that currently would be required to replace the service capacity of an asset (replacement cost). </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Our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 xml:space="preserve">Except as discussed below, our financial instruments other than cash and cash equivalents and restricted cash consist principally of accounts receivable, notes receivable, accounts payable and accrued liabilities, loans payable, security deposits, maintenance deposits and management fees payable, whose fair values approximate their carrying values based on an evaluation of pricing data, vendor quotes, and historical trading activity or due to their short maturity profiles.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32740"/>
                <wp:effectExtent l="0" t="0" r="0" b="0"/>
                <wp:wrapNone/>
                <wp:docPr id="20" name="Frame19"/>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497F"/>
          <w:sz w:val="20"/>
        </w:rPr>
      </w:pPr>
      <w:r>
        <w:rPr>
          <w:rFonts w:ascii="Arial;sans-serif" w:hAnsi="Arial;sans-serif"/>
          <w:b/>
          <w:color w:val="00497F"/>
          <w:sz w:val="20"/>
        </w:rPr>
        <w:t>FTAI AVIATION LTD.</w:t>
      </w:r>
    </w:p>
    <w:p>
      <w:pPr>
        <w:pStyle w:val="TextBody"/>
        <w:spacing w:lineRule="auto" w:line="288" w:before="0" w:after="0"/>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spacing w:lineRule="auto" w:line="288" w:before="0" w:after="0"/>
        <w:rPr/>
      </w:pPr>
      <w:r>
        <w:rPr>
          <w:rFonts w:ascii="Arial;sans-serif" w:hAnsi="Arial;sans-serif"/>
          <w:b w:val="false"/>
          <w:i/>
          <w:color w:val="00497F"/>
          <w:sz w:val="20"/>
        </w:rPr>
        <w:t>(Dollars in tables in thousands, unless otherwise noted)</w:t>
      </w:r>
      <w:r>
        <w:rPr>
          <w:color w:val="00497F"/>
        </w:rPr>
        <w:t xml:space="preserve"> </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fair values of our bonds payable reported as Debt, net in the Consolidated Balance Sheets are presented in the table below and classified as Level 2 within the fair value hierarchy:</w:t>
      </w:r>
    </w:p>
    <w:tbl>
      <w:tblPr>
        <w:tblW w:w="4989" w:type="dxa"/>
        <w:jc w:val="left"/>
        <w:tblInd w:w="0" w:type="dxa"/>
        <w:tblCellMar>
          <w:top w:w="28" w:type="dxa"/>
          <w:left w:w="28" w:type="dxa"/>
          <w:bottom w:w="28" w:type="dxa"/>
          <w:right w:w="28" w:type="dxa"/>
        </w:tblCellMar>
      </w:tblPr>
      <w:tblGrid>
        <w:gridCol w:w="646"/>
        <w:gridCol w:w="566"/>
        <w:gridCol w:w="572"/>
        <w:gridCol w:w="419"/>
        <w:gridCol w:w="419"/>
        <w:gridCol w:w="421"/>
        <w:gridCol w:w="109"/>
        <w:gridCol w:w="109"/>
        <w:gridCol w:w="109"/>
        <w:gridCol w:w="474"/>
        <w:gridCol w:w="474"/>
        <w:gridCol w:w="671"/>
      </w:tblGrid>
      <w:tr>
        <w:trPr/>
        <w:tc>
          <w:tcPr>
            <w:tcW w:w="646"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1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Notes due 2025</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651,541</w:t>
            </w:r>
            <w:r>
              <w:rPr>
                <w:color w:val="000000"/>
              </w:rPr>
              <w:t>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613,152 </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Notes due 2027</w:t>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421,516</w:t>
            </w:r>
            <w:r>
              <w:rPr>
                <w:color w:val="000000"/>
              </w:rPr>
              <w:t> </w:t>
            </w:r>
          </w:p>
        </w:tc>
        <w:tc>
          <w:tcPr>
            <w:tcW w:w="4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402,032 </w:t>
            </w:r>
          </w:p>
        </w:tc>
        <w:tc>
          <w:tcPr>
            <w:tcW w:w="6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Notes due 2028</w:t>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917,230</w:t>
            </w:r>
            <w:r>
              <w:rPr>
                <w:color w:val="000000"/>
              </w:rPr>
              <w:t> </w:t>
            </w:r>
          </w:p>
        </w:tc>
        <w:tc>
          <w:tcPr>
            <w:tcW w:w="4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853,490 </w:t>
            </w:r>
          </w:p>
        </w:tc>
        <w:tc>
          <w:tcPr>
            <w:tcW w:w="6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The fair values of all other items reported as Debt, net in the Consolidated Balance Sheets approximate their carrying values due to their bearing market rates of interest and are classified as Level 2 within the fair value hierarchy.</w:t>
      </w:r>
    </w:p>
    <w:p>
      <w:pPr>
        <w:pStyle w:val="TextBody"/>
        <w:spacing w:lineRule="auto" w:line="288" w:before="120" w:after="283"/>
        <w:jc w:val="both"/>
        <w:rPr/>
      </w:pPr>
      <w:r>
        <w:rPr>
          <w:rFonts w:ascii="Arial;sans-serif" w:hAnsi="Arial;sans-serif"/>
          <w:b w:val="false"/>
          <w:color w:val="000000"/>
          <w:sz w:val="18"/>
        </w:rPr>
        <w:t xml:space="preserve">The Company has contingent obligations under ASC 460, </w:t>
      </w:r>
      <w:r>
        <w:rPr>
          <w:rFonts w:ascii="Arial;sans-serif" w:hAnsi="Arial;sans-serif"/>
          <w:b w:val="false"/>
          <w:i/>
          <w:color w:val="000000"/>
          <w:sz w:val="18"/>
        </w:rPr>
        <w:t>Guarantees</w:t>
      </w:r>
      <w:r>
        <w:rPr>
          <w:rFonts w:ascii="Arial;sans-serif" w:hAnsi="Arial;sans-serif"/>
          <w:b w:val="false"/>
          <w:color w:val="000000"/>
          <w:sz w:val="18"/>
        </w:rPr>
        <w:t>, in connection with certain sales of aircraft on lease, which are measured at fair value. The guarantees are valued at $6.3 million and $3.8 million as of March 31, 2023 and December 31, 2022, respectively, and are reflected as a component of Other liabilities on the Consolidated Balance Sheets. The fair values of the guarantees are determined based on the estimated condition of the engines at the end of each lease term, the estimated cost of replacement and applicable discount rates, and are classified as Level 3. During the three months ended March 31, 2023, the Company recorded a $4.3 million increase in guarantees related to the sale of six aircraft and a $1.8 million decrease related to the change in fair value, which is recorded as Asset sales revenue in the Consolidated Statements of Operations.</w:t>
      </w:r>
    </w:p>
    <w:p>
      <w:pPr>
        <w:pStyle w:val="TextBody"/>
        <w:spacing w:lineRule="auto" w:line="288" w:before="120" w:after="283"/>
        <w:jc w:val="both"/>
        <w:rPr/>
      </w:pPr>
      <w:r>
        <w:rPr>
          <w:rFonts w:ascii="Arial;sans-serif" w:hAnsi="Arial;sans-serif"/>
          <w:b w:val="false"/>
          <w:color w:val="000000"/>
          <w:sz w:val="18"/>
        </w:rPr>
        <w:t xml:space="preserve">We measure the fair value of certain assets on a non-recurring basis when GAAP requires the application of fair value, including events or changes in circumstances that indicate that the carrying amounts of assets may not be recoverable. Assets subject to these measurements include intangible assets, property, plant and equipment, leasing equipment and inventory. We record such assets at fair value when it is determined the carrying value may not be recoverable. Fair value measurements for assets subject to impairment tests are based on an income approach which uses Level 3 inputs, which include our assumptions as to future cash flows from operation of the </w:t>
      </w:r>
      <w:r>
        <w:rPr>
          <w:rFonts w:ascii="Times New Roman;sans-serif" w:hAnsi="Times New Roman;sans-serif"/>
          <w:b w:val="false"/>
          <w:color w:val="000000"/>
          <w:sz w:val="18"/>
        </w:rPr>
        <w:t>l</w:t>
      </w:r>
      <w:r>
        <w:rPr>
          <w:rFonts w:ascii="Arial;sans-serif" w:hAnsi="Arial;sans-serif"/>
          <w:b w:val="false"/>
          <w:color w:val="000000"/>
          <w:sz w:val="18"/>
        </w:rPr>
        <w:t>easing and eventual sale of assets.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ind w:left="0" w:right="0" w:hanging="360"/>
        <w:rPr>
          <w:rFonts w:ascii="Arial;sans-serif" w:hAnsi="Arial;sans-serif"/>
          <w:b/>
          <w:color w:val="00497F"/>
          <w:sz w:val="20"/>
        </w:rPr>
      </w:pPr>
      <w:r>
        <w:rPr>
          <w:rFonts w:ascii="Arial;sans-serif" w:hAnsi="Arial;sans-serif"/>
          <w:b/>
          <w:color w:val="00497F"/>
          <w:sz w:val="20"/>
        </w:rPr>
        <w:t>9. EQUITY-BASED COMPENSATION</w:t>
      </w:r>
    </w:p>
    <w:p>
      <w:pPr>
        <w:pStyle w:val="TextBody"/>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In 2015, we established a Nonqualified Stock Option and Incentive Award Plan (“Incentive Plan”) which provides for the ability to grant equity compensation awards in the form of stock options, stock appreciation rights, restricted stock, and performance awards to eligible employees, consultants, directors, and other individuals who provide services to us, each as determined by the Compensation Committee of the Board of Directors. </w:t>
      </w:r>
    </w:p>
    <w:p>
      <w:pPr>
        <w:pStyle w:val="TextBody"/>
        <w:spacing w:lineRule="auto" w:line="288" w:before="120" w:after="283"/>
        <w:jc w:val="both"/>
        <w:rPr/>
      </w:pPr>
      <w:r>
        <w:rPr>
          <w:rFonts w:ascii="Arial;sans-serif" w:hAnsi="Arial;sans-serif"/>
          <w:b w:val="false"/>
          <w:color w:val="000000"/>
          <w:sz w:val="18"/>
        </w:rPr>
        <w:t xml:space="preserve">As of March 31, 2023, the Incentive Plan provides for the issuance of up to 29.8 million shares. We account for equity-based compensation expense in accordance with ASC 718 </w:t>
      </w:r>
      <w:r>
        <w:rPr>
          <w:rFonts w:ascii="Arial;sans-serif" w:hAnsi="Arial;sans-serif"/>
          <w:b w:val="false"/>
          <w:i/>
          <w:color w:val="000000"/>
          <w:sz w:val="18"/>
        </w:rPr>
        <w:t xml:space="preserve">Compensation-Stock Compensation </w:t>
      </w:r>
      <w:r>
        <w:rPr>
          <w:rFonts w:ascii="Arial;sans-serif" w:hAnsi="Arial;sans-serif"/>
          <w:b w:val="false"/>
          <w:color w:val="000000"/>
          <w:sz w:val="18"/>
        </w:rPr>
        <w:t xml:space="preserve">and is reported within operating expenses and general and administrative in the Consolidated Statements of Operations. </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Consolidated Statements of Operations includes the following expense related to our stock-based compensation arrangements:</w:t>
      </w:r>
    </w:p>
    <w:tbl>
      <w:tblPr>
        <w:tblW w:w="10205" w:type="dxa"/>
        <w:jc w:val="left"/>
        <w:tblInd w:w="0" w:type="dxa"/>
        <w:tblCellMar>
          <w:top w:w="28" w:type="dxa"/>
          <w:left w:w="28" w:type="dxa"/>
          <w:bottom w:w="28" w:type="dxa"/>
          <w:right w:w="28" w:type="dxa"/>
        </w:tblCellMar>
      </w:tblPr>
      <w:tblGrid>
        <w:gridCol w:w="390"/>
        <w:gridCol w:w="343"/>
        <w:gridCol w:w="345"/>
        <w:gridCol w:w="227"/>
        <w:gridCol w:w="505"/>
        <w:gridCol w:w="126"/>
        <w:gridCol w:w="126"/>
        <w:gridCol w:w="126"/>
        <w:gridCol w:w="126"/>
        <w:gridCol w:w="227"/>
        <w:gridCol w:w="470"/>
        <w:gridCol w:w="126"/>
        <w:gridCol w:w="109"/>
        <w:gridCol w:w="109"/>
        <w:gridCol w:w="109"/>
        <w:gridCol w:w="2835"/>
        <w:gridCol w:w="785"/>
        <w:gridCol w:w="785"/>
        <w:gridCol w:w="787"/>
        <w:gridCol w:w="196"/>
        <w:gridCol w:w="571"/>
        <w:gridCol w:w="109"/>
        <w:gridCol w:w="195"/>
        <w:gridCol w:w="195"/>
        <w:gridCol w:w="283"/>
      </w:tblGrid>
      <w:tr>
        <w:trPr/>
        <w:tc>
          <w:tcPr>
            <w:tcW w:w="390"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r>
      <w:tr>
        <w:trPr/>
        <w:tc>
          <w:tcPr>
            <w:tcW w:w="10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5" w:type="dxa"/>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Remaining Expense To Be Recognized, If All Vesting Conditions Are Met</w:t>
            </w:r>
          </w:p>
        </w:tc>
        <w:tc>
          <w:tcPr>
            <w:tcW w:w="235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Weighted Average Remaining Contractual Term (in years)</w:t>
            </w:r>
          </w:p>
        </w:tc>
        <w:tc>
          <w:tcPr>
            <w:tcW w:w="1549" w:type="dxa"/>
            <w:gridSpan w:val="6"/>
            <w:tcBorders/>
            <w:shd w:fill="auto" w:val="clear"/>
          </w:tcPr>
          <w:p>
            <w:pPr>
              <w:pStyle w:val="TableContents"/>
              <w:spacing w:before="0" w:after="283"/>
              <w:rPr>
                <w:sz w:val="4"/>
                <w:szCs w:val="4"/>
              </w:rPr>
            </w:pPr>
            <w:r>
              <w:rPr>
                <w:sz w:val="4"/>
                <w:szCs w:val="4"/>
              </w:rPr>
            </w:r>
          </w:p>
        </w:tc>
      </w:tr>
      <w:tr>
        <w:trPr/>
        <w:tc>
          <w:tcPr>
            <w:tcW w:w="10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5" w:type="dxa"/>
            <w:vMerge w:val="continue"/>
            <w:tcBorders/>
            <w:shd w:fill="auto" w:val="clear"/>
            <w:tcMar>
              <w:top w:w="0" w:type="dxa"/>
              <w:left w:w="0" w:type="dxa"/>
              <w:bottom w:w="0" w:type="dxa"/>
              <w:right w:w="0" w:type="dxa"/>
            </w:tcMar>
            <w:vAlign w:val="center"/>
          </w:tcPr>
          <w:p>
            <w:pPr>
              <w:pStyle w:val="Normal"/>
              <w:rPr/>
            </w:pPr>
            <w:r>
              <w:rPr/>
            </w:r>
          </w:p>
        </w:tc>
        <w:tc>
          <w:tcPr>
            <w:tcW w:w="2357" w:type="dxa"/>
            <w:gridSpan w:val="3"/>
            <w:vMerge w:val="continue"/>
            <w:tcBorders/>
            <w:shd w:fill="auto" w:val="clear"/>
            <w:tcMar>
              <w:top w:w="0" w:type="dxa"/>
              <w:left w:w="0" w:type="dxa"/>
              <w:bottom w:w="0" w:type="dxa"/>
              <w:right w:w="0" w:type="dxa"/>
            </w:tcMar>
            <w:vAlign w:val="center"/>
          </w:tcPr>
          <w:p>
            <w:pPr>
              <w:pStyle w:val="Normal"/>
              <w:rPr/>
            </w:pPr>
            <w:r>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78"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5" w:type="dxa"/>
            <w:tcBorders/>
            <w:shd w:fill="auto" w:val="clear"/>
            <w:vAlign w:val="center"/>
          </w:tcPr>
          <w:p>
            <w:pPr>
              <w:pStyle w:val="TableContents"/>
              <w:spacing w:before="0" w:after="283"/>
              <w:rPr>
                <w:sz w:val="4"/>
                <w:szCs w:val="4"/>
              </w:rPr>
            </w:pPr>
            <w:r>
              <w:rPr>
                <w:sz w:val="4"/>
                <w:szCs w:val="4"/>
              </w:rPr>
            </w:r>
          </w:p>
        </w:tc>
        <w:tc>
          <w:tcPr>
            <w:tcW w:w="235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673" w:type="dxa"/>
            <w:gridSpan w:val="3"/>
            <w:tcBorders/>
            <w:shd w:fill="auto" w:val="clear"/>
            <w:vAlign w:val="center"/>
          </w:tcPr>
          <w:p>
            <w:pPr>
              <w:pStyle w:val="TableContents"/>
              <w:spacing w:before="0" w:after="283"/>
              <w:rPr>
                <w:sz w:val="4"/>
                <w:szCs w:val="4"/>
              </w:rPr>
            </w:pPr>
            <w:r>
              <w:rPr>
                <w:sz w:val="4"/>
                <w:szCs w:val="4"/>
              </w:rPr>
            </w:r>
          </w:p>
        </w:tc>
      </w:tr>
      <w:tr>
        <w:trPr/>
        <w:tc>
          <w:tcPr>
            <w:tcW w:w="10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Shares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108</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5" w:type="dxa"/>
            <w:tcBorders/>
            <w:shd w:fill="auto" w:val="clear"/>
            <w:vAlign w:val="center"/>
          </w:tcPr>
          <w:p>
            <w:pPr>
              <w:pStyle w:val="TableContents"/>
              <w:spacing w:before="0" w:after="283"/>
              <w:rPr>
                <w:sz w:val="4"/>
                <w:szCs w:val="4"/>
              </w:rPr>
            </w:pPr>
            <w:r>
              <w:rPr>
                <w:sz w:val="4"/>
                <w:szCs w:val="4"/>
              </w:rPr>
            </w:r>
          </w:p>
        </w:tc>
        <w:tc>
          <w:tcPr>
            <w:tcW w:w="2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8,663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3.8 years</w:t>
            </w:r>
          </w:p>
        </w:tc>
      </w:tr>
      <w:tr>
        <w:trPr/>
        <w:tc>
          <w:tcPr>
            <w:tcW w:w="1078"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5" w:type="dxa"/>
            <w:tcBorders/>
            <w:shd w:fill="auto" w:val="clear"/>
            <w:vAlign w:val="center"/>
          </w:tcPr>
          <w:p>
            <w:pPr>
              <w:pStyle w:val="TableContents"/>
              <w:spacing w:before="0" w:after="283"/>
              <w:rPr>
                <w:sz w:val="4"/>
                <w:szCs w:val="4"/>
              </w:rPr>
            </w:pPr>
            <w:r>
              <w:rPr>
                <w:sz w:val="4"/>
                <w:szCs w:val="4"/>
              </w:rPr>
            </w:r>
          </w:p>
        </w:tc>
        <w:tc>
          <w:tcPr>
            <w:tcW w:w="235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673" w:type="dxa"/>
            <w:gridSpan w:val="3"/>
            <w:tcBorders/>
            <w:shd w:fill="auto" w:val="clear"/>
            <w:vAlign w:val="center"/>
          </w:tcPr>
          <w:p>
            <w:pPr>
              <w:pStyle w:val="TableContents"/>
              <w:spacing w:before="0" w:after="283"/>
              <w:rPr>
                <w:sz w:val="4"/>
                <w:szCs w:val="4"/>
              </w:rPr>
            </w:pPr>
            <w:r>
              <w:rPr>
                <w:sz w:val="4"/>
                <w:szCs w:val="4"/>
              </w:rPr>
            </w:r>
          </w:p>
        </w:tc>
      </w:tr>
      <w:tr>
        <w:trPr/>
        <w:tc>
          <w:tcPr>
            <w:tcW w:w="1078"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5" w:type="dxa"/>
            <w:tcBorders/>
            <w:shd w:fill="auto" w:val="clear"/>
            <w:vAlign w:val="center"/>
          </w:tcPr>
          <w:p>
            <w:pPr>
              <w:pStyle w:val="TableContents"/>
              <w:spacing w:before="0" w:after="283"/>
              <w:rPr>
                <w:sz w:val="4"/>
                <w:szCs w:val="4"/>
              </w:rPr>
            </w:pPr>
            <w:r>
              <w:rPr>
                <w:sz w:val="4"/>
                <w:szCs w:val="4"/>
              </w:rPr>
            </w:r>
          </w:p>
        </w:tc>
        <w:tc>
          <w:tcPr>
            <w:tcW w:w="235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673" w:type="dxa"/>
            <w:gridSpan w:val="3"/>
            <w:tcBorders/>
            <w:shd w:fill="auto" w:val="clear"/>
            <w:vAlign w:val="center"/>
          </w:tcPr>
          <w:p>
            <w:pPr>
              <w:pStyle w:val="TableContents"/>
              <w:spacing w:before="0" w:after="283"/>
              <w:rPr>
                <w:sz w:val="4"/>
                <w:szCs w:val="4"/>
              </w:rPr>
            </w:pPr>
            <w:r>
              <w:rPr>
                <w:sz w:val="4"/>
                <w:szCs w:val="4"/>
              </w:rPr>
            </w:r>
          </w:p>
        </w:tc>
      </w:tr>
      <w:tr>
        <w:trPr/>
        <w:tc>
          <w:tcPr>
            <w:tcW w:w="1078"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5" w:type="dxa"/>
            <w:tcBorders/>
            <w:shd w:fill="auto" w:val="clear"/>
            <w:vAlign w:val="center"/>
          </w:tcPr>
          <w:p>
            <w:pPr>
              <w:pStyle w:val="TableContents"/>
              <w:spacing w:before="0" w:after="283"/>
              <w:rPr>
                <w:sz w:val="4"/>
                <w:szCs w:val="4"/>
              </w:rPr>
            </w:pPr>
            <w:r>
              <w:rPr>
                <w:sz w:val="4"/>
                <w:szCs w:val="4"/>
              </w:rPr>
            </w:r>
          </w:p>
        </w:tc>
        <w:tc>
          <w:tcPr>
            <w:tcW w:w="235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673" w:type="dxa"/>
            <w:gridSpan w:val="3"/>
            <w:tcBorders/>
            <w:shd w:fill="auto" w:val="clear"/>
            <w:vAlign w:val="center"/>
          </w:tcPr>
          <w:p>
            <w:pPr>
              <w:pStyle w:val="TableContents"/>
              <w:spacing w:before="0" w:after="283"/>
              <w:rPr>
                <w:sz w:val="4"/>
                <w:szCs w:val="4"/>
              </w:rPr>
            </w:pPr>
            <w:r>
              <w:rPr>
                <w:sz w:val="4"/>
                <w:szCs w:val="4"/>
              </w:rPr>
            </w:r>
          </w:p>
        </w:tc>
      </w:tr>
      <w:tr>
        <w:trPr/>
        <w:tc>
          <w:tcPr>
            <w:tcW w:w="1078"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5" w:type="dxa"/>
            <w:tcBorders/>
            <w:shd w:fill="auto" w:val="clear"/>
            <w:vAlign w:val="center"/>
          </w:tcPr>
          <w:p>
            <w:pPr>
              <w:pStyle w:val="TableContents"/>
              <w:spacing w:before="0" w:after="283"/>
              <w:rPr>
                <w:sz w:val="4"/>
                <w:szCs w:val="4"/>
              </w:rPr>
            </w:pPr>
            <w:r>
              <w:rPr>
                <w:sz w:val="4"/>
                <w:szCs w:val="4"/>
              </w:rPr>
            </w:r>
          </w:p>
        </w:tc>
        <w:tc>
          <w:tcPr>
            <w:tcW w:w="235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67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Arial;sans-serif" w:hAnsi="Arial;sans-serif"/>
          <w:b/>
          <w:color w:val="00497F"/>
          <w:sz w:val="18"/>
        </w:rPr>
      </w:pPr>
      <w:r>
        <w:rPr>
          <w:rFonts w:ascii="Arial;sans-serif" w:hAnsi="Arial;sans-serif"/>
          <w:b/>
          <w:color w:val="00497F"/>
          <w:sz w:val="18"/>
        </w:rPr>
        <w:t>Options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In connection with our March 2023 offering of preferred shares (see Note 13), we granted options to the Manager related to 248,947 ordinary shares at an exercise price of $26.11, which had a grant date fair value of $2.1 million. The assumptions used in valuing the options were: a 3.471% risk-free rate, a 6.263% dividend yield, a 37.879% volatility and a ten-year term. </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During the three months ended March 31, 2023, the Manager did not transfer any options to employees.</w:t>
      </w:r>
    </w:p>
    <w:p>
      <w:pPr>
        <w:pStyle w:val="TextBody"/>
        <w:spacing w:lineRule="auto" w:line="288" w:before="120" w:after="283"/>
        <w:jc w:val="both"/>
        <w:rPr>
          <w:rFonts w:ascii="Arial;sans-serif" w:hAnsi="Arial;sans-serif"/>
          <w:b/>
          <w:color w:val="00497F"/>
          <w:sz w:val="18"/>
        </w:rPr>
      </w:pPr>
      <w:r>
        <w:rPr>
          <w:rFonts w:ascii="Arial;sans-serif" w:hAnsi="Arial;sans-serif"/>
          <w:b/>
          <w:color w:val="00497F"/>
          <w:sz w:val="18"/>
        </w:rPr>
        <w:t>Restricted Shares</w:t>
      </w:r>
    </w:p>
    <w:p>
      <w:pPr>
        <w:pStyle w:val="TextBody"/>
        <w:spacing w:before="0" w:after="0"/>
        <w:rPr/>
      </w:pPr>
      <w:r>
        <w:rPr/>
      </w:r>
    </w:p>
    <w:p>
      <w:pPr>
        <w:pStyle w:val="TextBody"/>
        <w:spacing w:lineRule="auto" w:line="268" w:before="0" w:after="0"/>
        <w:rPr/>
      </w:pPr>
      <w:r>
        <w:rPr>
          <w:rFonts w:ascii="Arial;sans-serif" w:hAnsi="Arial;sans-serif"/>
          <w:b w:val="false"/>
          <w:color w:val="000000"/>
          <w:sz w:val="18"/>
        </w:rPr>
        <w:t>During the</w:t>
      </w:r>
      <w:r>
        <w:rPr>
          <w:color w:val="00497F"/>
        </w:rPr>
        <w:t xml:space="preserve"> </w:t>
      </w:r>
      <w:r>
        <w:rPr>
          <w:rFonts w:ascii="Arial;sans-serif" w:hAnsi="Arial;sans-serif"/>
          <w:b w:val="false"/>
          <w:color w:val="000000"/>
          <w:sz w:val="18"/>
        </w:rPr>
        <w:t>three months ended March 31, 2023,</w:t>
      </w:r>
      <w:r>
        <w:rPr>
          <w:color w:val="00497F"/>
        </w:rPr>
        <w:t xml:space="preserve"> </w:t>
      </w:r>
      <w:r>
        <w:rPr>
          <w:rFonts w:ascii="Arial;sans-serif" w:hAnsi="Arial;sans-serif"/>
          <w:b w:val="false"/>
          <w:color w:val="000000"/>
          <w:sz w:val="18"/>
        </w:rPr>
        <w:t>we issued restricted shares of the Company to select employees of FTAI Aviation LLC (a wholly owned subsidiary of the Company) that had a grant date fair value of $8.8 million and vest over 4.3 years. These awards are subject to continued employment, and the compensation expense is recognized ratably over the vesting periods, with 50% of the units vesting on June 30, 2026 and the remaining units vesting on June 30, 2027. The fair value of these awards were calculated based on the closing price of FTAI Aviation Ltd.’s ordinary shares on grant date of March 13,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32740"/>
                <wp:effectExtent l="0" t="0" r="0" b="0"/>
                <wp:wrapNone/>
                <wp:docPr id="21" name="Frame20"/>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497F"/>
          <w:sz w:val="20"/>
        </w:rPr>
      </w:pPr>
      <w:r>
        <w:rPr>
          <w:rFonts w:ascii="Arial;sans-serif" w:hAnsi="Arial;sans-serif"/>
          <w:b/>
          <w:color w:val="00497F"/>
          <w:sz w:val="20"/>
        </w:rPr>
        <w:t>FTAI AVIATION LTD.</w:t>
      </w:r>
    </w:p>
    <w:p>
      <w:pPr>
        <w:pStyle w:val="TextBody"/>
        <w:spacing w:lineRule="auto" w:line="288" w:before="0" w:after="0"/>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spacing w:lineRule="auto" w:line="288" w:before="0" w:after="0"/>
        <w:rPr/>
      </w:pPr>
      <w:r>
        <w:rPr>
          <w:rFonts w:ascii="Arial;sans-serif" w:hAnsi="Arial;sans-serif"/>
          <w:b w:val="false"/>
          <w:i/>
          <w:color w:val="00497F"/>
          <w:sz w:val="20"/>
        </w:rPr>
        <w:t>(Dollars in tables in thousands, unless otherwise noted)</w:t>
      </w:r>
      <w:r>
        <w:rPr>
          <w:color w:val="00497F"/>
        </w:rPr>
        <w:t xml:space="preserve"> </w:t>
      </w:r>
    </w:p>
    <w:p>
      <w:pPr>
        <w:pStyle w:val="TextBody"/>
        <w:spacing w:lineRule="auto" w:line="288" w:before="180" w:after="283"/>
        <w:ind w:left="0" w:right="0" w:hanging="360"/>
        <w:rPr>
          <w:rFonts w:ascii="Arial;sans-serif" w:hAnsi="Arial;sans-serif"/>
          <w:b/>
          <w:color w:val="00497F"/>
          <w:sz w:val="20"/>
        </w:rPr>
      </w:pPr>
      <w:r>
        <w:rPr>
          <w:rFonts w:ascii="Arial;sans-serif" w:hAnsi="Arial;sans-serif"/>
          <w:b/>
          <w:color w:val="00497F"/>
          <w:sz w:val="20"/>
        </w:rPr>
        <w:t>10. INCOME TAXES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current and deferred components of the income tax provision included in the Consolidated Statements of Operations are as follows:</w:t>
      </w:r>
    </w:p>
    <w:tbl>
      <w:tblPr>
        <w:tblW w:w="5321" w:type="dxa"/>
        <w:jc w:val="left"/>
        <w:tblInd w:w="0" w:type="dxa"/>
        <w:tblCellMar>
          <w:top w:w="28" w:type="dxa"/>
          <w:left w:w="28" w:type="dxa"/>
          <w:bottom w:w="28" w:type="dxa"/>
          <w:right w:w="28" w:type="dxa"/>
        </w:tblCellMar>
      </w:tblPr>
      <w:tblGrid>
        <w:gridCol w:w="830"/>
        <w:gridCol w:w="729"/>
        <w:gridCol w:w="735"/>
        <w:gridCol w:w="242"/>
        <w:gridCol w:w="705"/>
        <w:gridCol w:w="134"/>
        <w:gridCol w:w="134"/>
        <w:gridCol w:w="134"/>
        <w:gridCol w:w="134"/>
        <w:gridCol w:w="242"/>
        <w:gridCol w:w="687"/>
        <w:gridCol w:w="134"/>
        <w:gridCol w:w="109"/>
        <w:gridCol w:w="109"/>
        <w:gridCol w:w="109"/>
        <w:gridCol w:w="154"/>
      </w:tblGrid>
      <w:tr>
        <w:trPr/>
        <w:tc>
          <w:tcPr>
            <w:tcW w:w="830"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Current:</w:t>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Cayman Islands</w:t>
            </w:r>
          </w:p>
        </w:tc>
        <w:tc>
          <w:tcPr>
            <w:tcW w:w="2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States: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and local</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Non-U.S.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provision</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334</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Deferred:</w:t>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Cayman Islands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States: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and local</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Non-U.S.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deferred provision</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1,692</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Provision for income taxes:</w:t>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2,147 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2,026</w:t>
            </w: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3,486 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 Company is an exempted entity domiciled in the Cayman Islands where income taxes are not imposed. The Company is considered a Passive Foreign Investment Company for U.S. income tax purposes and certain income taxes are imposed on our owners. Taxable income or loss generated by our corporate subsidiaries is subject to U.S. federal, state and foreign corporate income tax in locations where they conduct business. </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effective tax rate differs from the U.S. federal tax rate of 21% primarily due to a significant portion of our income not being subject to U.S. corporate tax rates, or being deemed to be foreign sourced and thus either not taxable or taxable at effectively lower tax rates.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and for the three months ended March 31, 2023, we had not established a liability for uncertain tax positions as no such positions existed. In general, our tax returns and the tax returns of our corporate subsidiaries are subject to U.S. federal, state, local and foreign income tax examinations by tax authorities. Generally, we are not subject to examination by taxing authorities for tax years prior to 2019. We do not believe that it is reasonably possible that the total amount of unrecognized tax benefits will significantly change within 12 months of the reporting date.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ind w:left="0" w:right="0" w:hanging="360"/>
        <w:rPr>
          <w:rFonts w:ascii="Arial;sans-serif" w:hAnsi="Arial;sans-serif"/>
          <w:b/>
          <w:color w:val="00497F"/>
          <w:sz w:val="20"/>
        </w:rPr>
      </w:pPr>
      <w:r>
        <w:rPr>
          <w:rFonts w:ascii="Arial;sans-serif" w:hAnsi="Arial;sans-serif"/>
          <w:b/>
          <w:color w:val="00497F"/>
          <w:sz w:val="20"/>
        </w:rPr>
        <w:t xml:space="preserve">11. MANAGEMENT AGREEMENT AND AFFILIATE TRANSACTIONS </w:t>
      </w:r>
    </w:p>
    <w:p>
      <w:pPr>
        <w:pStyle w:val="TextBody"/>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In connection with the spin-off of FTAI Infrastructure on August 1, 2022, we assigned our then-existing management and advisory agreement, dated as of May 20, 2015, with our Manager to FTAI Infrastructure. On July 31, 2022, we entered into a new management and advisory agreement (the “Management Agreement”), by and among FTAI LLC, FTAI Aviation Ltd., and each of the subsidiaries that are party thereto and the Manager, with substantially similar terms and conditions as the existing management and advisory agreement.</w:t>
      </w:r>
    </w:p>
    <w:p>
      <w:pPr>
        <w:pStyle w:val="TextBody"/>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The Manager is paid annual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 In addition, the Manager may be reimbursed for various expenses incurred by the Manager on our behalf, including the costs of legal, accounting and other administrative activities. Additionally, we have entered into certain incentive allocation arrangements with Master GP, which owns approximately 0.01% of FTAI Aviation Holdco Ltd.</w:t>
      </w:r>
    </w:p>
    <w:p>
      <w:pPr>
        <w:pStyle w:val="TextBody"/>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The Manager is entitled to a management fee and reimbursement of certain expenses. The management fee is determined by taking the average value of total equity (excluding non-controlling interests) determined on a consolidated basis in accordance with U.S. GAAP at the end of the two most recently completed months multiplied by an annual rate of 1.50%, and is payable monthly in arrears in cash.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32740"/>
                <wp:effectExtent l="0" t="0" r="0" b="0"/>
                <wp:wrapNone/>
                <wp:docPr id="22" name="Frame21"/>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497F"/>
          <w:sz w:val="20"/>
        </w:rPr>
      </w:pPr>
      <w:r>
        <w:rPr>
          <w:rFonts w:ascii="Arial;sans-serif" w:hAnsi="Arial;sans-serif"/>
          <w:b/>
          <w:color w:val="00497F"/>
          <w:sz w:val="20"/>
        </w:rPr>
        <w:t>FTAI AVIATION LTD.</w:t>
      </w:r>
    </w:p>
    <w:p>
      <w:pPr>
        <w:pStyle w:val="TextBody"/>
        <w:spacing w:lineRule="auto" w:line="288" w:before="0" w:after="0"/>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spacing w:lineRule="auto" w:line="288" w:before="0" w:after="0"/>
        <w:rPr/>
      </w:pPr>
      <w:r>
        <w:rPr>
          <w:rFonts w:ascii="Arial;sans-serif" w:hAnsi="Arial;sans-serif"/>
          <w:b w:val="false"/>
          <w:i/>
          <w:color w:val="00497F"/>
          <w:sz w:val="20"/>
        </w:rPr>
        <w:t>(Dollars in tables in thousands, unless otherwise noted)</w:t>
      </w:r>
      <w:r>
        <w:rPr>
          <w:color w:val="00497F"/>
        </w:rPr>
        <w:t xml:space="preserve"> </w:t>
      </w:r>
    </w:p>
    <w:p>
      <w:pPr>
        <w:pStyle w:val="TextBody"/>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Master GP is entitled to incentive allocations (comprised of income incentive allocation and capital gains incentive allocation, defined below). 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U.S. GAAP excluding our pro rata share of (1) realized or unrealized gains and losses, and (2) certain non-cash or one-time items, and (3) any other adjustments as may be approved by our independent directors. Pre-incentive allocation net income does not include any Income Incentive Allocation or Capital Gains Incentive Allocation (described below) paid to Master GP during the relevant quarter.</w:t>
      </w:r>
    </w:p>
    <w:p>
      <w:pPr>
        <w:pStyle w:val="TextBody"/>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One of our subsidiaries allocates and distributes to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our net equity capital (excluding non-controlling interests) at the end of the two most recently completed calendar quarters, does not exceed 2% for such quarter (8% annualized); (2) 100% of pre-incentive allocation net income with respect to that portion of such pre-incentive allocation net income, if any, that is equal to or exceeds 2% but does not exceed 2.2223% for such quarter; and (3) 10% of the amount of pre-incentive allocation net income, if any, that exceeds 2.2223% for such quarter. These calculations will be prorated for any period of less than three months. </w:t>
      </w:r>
    </w:p>
    <w:p>
      <w:pPr>
        <w:pStyle w:val="TextBody"/>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Capital Gains Incentive Allocation is calculated and distributable in arrears as of the end of each calendar year and is equal to 10% of our pro rata share of cumulative realized gains from the date of the IPO through the end of the applicable calendar year, net of our pro rata share of cumulative realized or unrealized losses, the cumulative non-cash portion of equity-based compensation expenses and all realized gains upon which prior performance-based Capital Gains Incentive Allocation payments were made to Master GP. </w:t>
      </w:r>
    </w:p>
    <w:p>
      <w:pPr>
        <w:pStyle w:val="TextBody"/>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The following table summarizes the management fees, income incentive allocation and capital gains incentive allocation from continuing operations:</w:t>
      </w:r>
    </w:p>
    <w:tbl>
      <w:tblPr>
        <w:tblW w:w="5483" w:type="dxa"/>
        <w:jc w:val="left"/>
        <w:tblInd w:w="0" w:type="dxa"/>
        <w:tblCellMar>
          <w:top w:w="28" w:type="dxa"/>
          <w:left w:w="28" w:type="dxa"/>
          <w:bottom w:w="28" w:type="dxa"/>
          <w:right w:w="28" w:type="dxa"/>
        </w:tblCellMar>
      </w:tblPr>
      <w:tblGrid>
        <w:gridCol w:w="890"/>
        <w:gridCol w:w="782"/>
        <w:gridCol w:w="787"/>
        <w:gridCol w:w="285"/>
        <w:gridCol w:w="832"/>
        <w:gridCol w:w="158"/>
        <w:gridCol w:w="158"/>
        <w:gridCol w:w="158"/>
        <w:gridCol w:w="158"/>
        <w:gridCol w:w="285"/>
        <w:gridCol w:w="351"/>
        <w:gridCol w:w="158"/>
        <w:gridCol w:w="109"/>
        <w:gridCol w:w="109"/>
        <w:gridCol w:w="109"/>
        <w:gridCol w:w="154"/>
      </w:tblGrid>
      <w:tr>
        <w:trPr/>
        <w:tc>
          <w:tcPr>
            <w:tcW w:w="890"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55</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incentive allocation</w:t>
            </w:r>
          </w:p>
        </w:tc>
        <w:tc>
          <w:tcPr>
            <w:tcW w:w="11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2,942</w:t>
            </w:r>
            <w:r>
              <w:rPr>
                <w:color w:val="000000"/>
              </w:rPr>
              <w:t>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gains incentive allocation</w:t>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2,997</w:t>
            </w:r>
            <w:r>
              <w:rPr>
                <w:color w:val="000000"/>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We pay all of our operating expenses, except those specifically required to be borne by the Manager under the Management Agreement. The expenses required to be paid by us include, but are not limited to, issuance and transaction costs incident to the acquisition, disposition and financing of our assets, legal and auditing fees and expenses, the compensation and expenses of our independent directors, the costs associated with the establishment and maintenance of any credit facilities and other indebtedness of ours (including commitment fees, legal fees, closing costs, etc.), expenses associated with other securities offerings of ours, costs and expenses incurred in contracting with third parties (including affiliates of the Manager), the costs of printing and mailing proxies and reports to our shareholders, costs incurred by the Manager or its affiliates for travel on our behalf, costs associated with any computer software or hardware that is used by us, costs to obtain liability insurance to indemnify our directors and officers and the compensation and expenses of our transfer agent.</w:t>
      </w:r>
    </w:p>
    <w:p>
      <w:pPr>
        <w:pStyle w:val="TextBody"/>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We will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we will not reimburse the Manager for these expenses. </w:t>
      </w:r>
    </w:p>
    <w:p>
      <w:pPr>
        <w:pStyle w:val="TextBody"/>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The following table summarizes our reimbursements to the Manager from continuing operations: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32740"/>
                <wp:effectExtent l="0" t="0" r="0" b="0"/>
                <wp:wrapNone/>
                <wp:docPr id="23" name="Frame22"/>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497F"/>
          <w:sz w:val="20"/>
        </w:rPr>
      </w:pPr>
      <w:r>
        <w:rPr>
          <w:rFonts w:ascii="Arial;sans-serif" w:hAnsi="Arial;sans-serif"/>
          <w:b/>
          <w:color w:val="00497F"/>
          <w:sz w:val="20"/>
        </w:rPr>
        <w:t>FTAI AVIATION LTD.</w:t>
      </w:r>
    </w:p>
    <w:p>
      <w:pPr>
        <w:pStyle w:val="TextBody"/>
        <w:spacing w:lineRule="auto" w:line="288" w:before="0" w:after="0"/>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spacing w:lineRule="auto" w:line="288" w:before="0" w:after="0"/>
        <w:rPr/>
      </w:pPr>
      <w:r>
        <w:rPr>
          <w:rFonts w:ascii="Arial;sans-serif" w:hAnsi="Arial;sans-serif"/>
          <w:b w:val="false"/>
          <w:i/>
          <w:color w:val="00497F"/>
          <w:sz w:val="20"/>
        </w:rPr>
        <w:t>(Dollars in tables in thousands, unless otherwise noted)</w:t>
      </w:r>
      <w:r>
        <w:rPr>
          <w:color w:val="00497F"/>
        </w:rPr>
        <w:t xml:space="preserve"> </w:t>
      </w:r>
    </w:p>
    <w:tbl>
      <w:tblPr>
        <w:tblW w:w="7482" w:type="dxa"/>
        <w:jc w:val="left"/>
        <w:tblInd w:w="0" w:type="dxa"/>
        <w:tblCellMar>
          <w:top w:w="28" w:type="dxa"/>
          <w:left w:w="28" w:type="dxa"/>
          <w:bottom w:w="28" w:type="dxa"/>
          <w:right w:w="28" w:type="dxa"/>
        </w:tblCellMar>
      </w:tblPr>
      <w:tblGrid>
        <w:gridCol w:w="1611"/>
        <w:gridCol w:w="1418"/>
        <w:gridCol w:w="1426"/>
        <w:gridCol w:w="242"/>
        <w:gridCol w:w="705"/>
        <w:gridCol w:w="134"/>
        <w:gridCol w:w="134"/>
        <w:gridCol w:w="134"/>
        <w:gridCol w:w="134"/>
        <w:gridCol w:w="242"/>
        <w:gridCol w:w="687"/>
        <w:gridCol w:w="134"/>
        <w:gridCol w:w="109"/>
        <w:gridCol w:w="109"/>
        <w:gridCol w:w="109"/>
        <w:gridCol w:w="154"/>
      </w:tblGrid>
      <w:tr>
        <w:trPr/>
        <w:tc>
          <w:tcPr>
            <w:tcW w:w="1611" w:type="dxa"/>
            <w:tcBorders/>
            <w:shd w:fill="auto" w:val="clear"/>
            <w:vAlign w:val="center"/>
          </w:tcPr>
          <w:p>
            <w:pPr>
              <w:pStyle w:val="TableContents"/>
              <w:spacing w:before="0" w:after="283"/>
              <w:rPr>
                <w:sz w:val="4"/>
                <w:szCs w:val="4"/>
              </w:rPr>
            </w:pPr>
            <w:r>
              <w:rPr>
                <w:sz w:val="4"/>
                <w:szCs w:val="4"/>
              </w:rPr>
            </w:r>
          </w:p>
        </w:tc>
        <w:tc>
          <w:tcPr>
            <w:tcW w:w="1418"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Classification in the Consolidated Statements of Operations:</w:t>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2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5"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1,905</w:t>
            </w: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1,748 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100</w:t>
            </w: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2,005</w:t>
            </w: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2,096 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If we terminate the Management Agreement, we will generally be required to pay the Manager a termination fee. The termination fee is equal to the amount of the management fee during the 12 months immediately preceding the date of the termination. In addition, an Incentive Allocation Fair Value Amount will be distributable to Master GP if Master GP is removed due to the termination of the Management Agreement in certain specified circumstances. The Incentive Allocation Fair Value Amount is an amount equal to the Income Incentive Allocation and the Capital Gains Incentive Allocation that would be paid to Master GP if our assets were sold for cash at their then current fair market value (as determined by an appraisal, taking into account, among other things, the expected future value of the underlying investments).</w:t>
      </w:r>
    </w:p>
    <w:p>
      <w:pPr>
        <w:pStyle w:val="TextBody"/>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Upon the successful completion of an offering of our ordinary shares or other equity securities (including securities issued as consideration in an acquisition), we grant the Manager options to purchase ordinary shares in an amount equal to 10% of the number of ordinary shares being sold in the offering (or if the issuance relates to equity securities other than our ordinary shares, options to purchase a number of ordinary shares equal to 10% of the gross capital raised in the equity issuance divided by the fair market value of a ordinary share as of the date of issuance), with an exercise price equal to the offering price per share paid by the public or other ultimate purchaser or attributed to such securities in connection with an acquisition (or the fair market value of a ordinary share as of the date of the equity issuance if it relates to equity securities other than our ordinary shares). Any ultimate purchaser of ordinary shares for which such options are granted may be an affiliate of the Manager.</w:t>
      </w:r>
    </w:p>
    <w:p>
      <w:pPr>
        <w:pStyle w:val="TextBody"/>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The following table summarizes amounts due to the Manager, which are included within accounts payable and accrued liabilities in the Consolidated Balance Sheets:</w:t>
      </w:r>
    </w:p>
    <w:tbl>
      <w:tblPr>
        <w:tblW w:w="5292" w:type="dxa"/>
        <w:jc w:val="left"/>
        <w:tblInd w:w="0" w:type="dxa"/>
        <w:tblCellMar>
          <w:top w:w="28" w:type="dxa"/>
          <w:left w:w="28" w:type="dxa"/>
          <w:bottom w:w="28" w:type="dxa"/>
          <w:right w:w="28" w:type="dxa"/>
        </w:tblCellMar>
      </w:tblPr>
      <w:tblGrid>
        <w:gridCol w:w="755"/>
        <w:gridCol w:w="663"/>
        <w:gridCol w:w="667"/>
        <w:gridCol w:w="379"/>
        <w:gridCol w:w="670"/>
        <w:gridCol w:w="211"/>
        <w:gridCol w:w="109"/>
        <w:gridCol w:w="109"/>
        <w:gridCol w:w="109"/>
        <w:gridCol w:w="466"/>
        <w:gridCol w:w="786"/>
        <w:gridCol w:w="368"/>
      </w:tblGrid>
      <w:tr>
        <w:trPr/>
        <w:tc>
          <w:tcPr>
            <w:tcW w:w="755"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management fees</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23</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payables</w:t>
            </w:r>
          </w:p>
        </w:tc>
        <w:tc>
          <w:tcPr>
            <w:tcW w:w="10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4,332</w:t>
            </w: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4,688 </w:t>
            </w:r>
          </w:p>
        </w:tc>
        <w:tc>
          <w:tcPr>
            <w:tcW w:w="3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As of March 31, 2023 and December 31, 2022, there were no receivables from the Manager.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80" w:after="283"/>
        <w:rPr/>
      </w:pPr>
      <w:r>
        <w:rPr/>
      </w:r>
    </w:p>
    <w:p>
      <w:pPr>
        <w:pStyle w:val="TextBody"/>
        <w:spacing w:lineRule="auto" w:line="288" w:before="180" w:after="283"/>
        <w:rPr>
          <w:rFonts w:ascii="Arial;sans-serif" w:hAnsi="Arial;sans-serif"/>
          <w:b/>
          <w:color w:val="00497F"/>
          <w:sz w:val="20"/>
        </w:rPr>
      </w:pPr>
      <w:r>
        <w:rPr>
          <w:rFonts w:ascii="Arial;sans-serif" w:hAnsi="Arial;sans-serif"/>
          <w:b/>
          <w:color w:val="00497F"/>
          <w:sz w:val="20"/>
        </w:rPr>
        <w:t xml:space="preserve">12. SEGMENT INFORMATION </w:t>
      </w:r>
    </w:p>
    <w:p>
      <w:pPr>
        <w:pStyle w:val="TextBody"/>
        <w:spacing w:lineRule="auto" w:line="288" w:before="180" w:after="283"/>
        <w:jc w:val="both"/>
        <w:rPr/>
      </w:pPr>
      <w:r>
        <w:rPr>
          <w:rFonts w:ascii="Arial;sans-serif" w:hAnsi="Arial;sans-serif"/>
          <w:b w:val="false"/>
          <w:color w:val="000000"/>
          <w:sz w:val="18"/>
        </w:rPr>
        <w:t xml:space="preserve">As a result of the spin-off of FTAI Infrastructure effective on August 1, 2022, the Company reevaluated its operating segments. The key factors used to identify the reportable segments are the organization and alignment of our internal operations and the nature of our products and services. Our two reportable segments are (i) Aviation Leasing and (ii) Aerospace Products. The Aviation Leasing segment owns and manages aviation assets, including aircraft and aircraft engines, which it leases and sells to customers. The Aerospace Products segment develops and manufactures through a joint venture, and repairs and sells, through exclusivity arrangements, aftermarket components for aircraft engines. The interim period discloses the reportable segments on this basis, and prior periods have been restated to reflect the change in accordance with the requirements of ASC 280, </w:t>
      </w:r>
      <w:r>
        <w:rPr>
          <w:rFonts w:ascii="Arial;sans-serif" w:hAnsi="Arial;sans-serif"/>
          <w:b w:val="false"/>
          <w:i/>
          <w:color w:val="000000"/>
          <w:sz w:val="18"/>
        </w:rPr>
        <w:t>Segment Reporting</w:t>
      </w:r>
      <w:r>
        <w:rPr>
          <w:rFonts w:ascii="Arial;sans-serif" w:hAnsi="Arial;sans-serif"/>
          <w:b w:val="false"/>
          <w:color w:val="000000"/>
          <w:sz w:val="18"/>
        </w:rPr>
        <w:t>.</w:t>
      </w:r>
    </w:p>
    <w:p>
      <w:pPr>
        <w:pStyle w:val="TextBody"/>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Corporate and Other primarily consists of debt, unallocated corporate general and administrative expenses, shared services costs, and management fees. Additionally, Corporate and Other also includes offshore energy related assets, which consist of vessels and equipment that support offshore oil and gas activities and production which are typically subject to operating leases.</w:t>
      </w:r>
    </w:p>
    <w:p>
      <w:pPr>
        <w:pStyle w:val="TextBody"/>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The accounting policies of the segments are the same as those described in the summary of significant accounting policies; however, financial information presented by segment includes the impact of intercompany eliminations. Our Chief Executive Officer is our Chief Operating Decision Maker (“CODM”). Segment information is presented in the same manner that our CODM reviews the operating results in assessing performance and allocating resources. The CODM evaluates performance for each reportable segment primarily based on Adjusted EBITDA. Historically, the CODM’s assessment of segment performance included asset information. During the third quarter of 2022, the CODM determined that segment asset information is not a key factor in measuring performance or allocating resources. Therefore, segment asset information is not included in the tables below as it is not provided to or reviewed by our CODM.</w:t>
      </w:r>
    </w:p>
    <w:p>
      <w:pPr>
        <w:pStyle w:val="TextBody"/>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During the third quarter of 2022, the Company changed its measure of segment profit to include the add back of dividends on preferred shares in Adjusted EBITDA. Prior period Adjusted EBITDA amounts and the reconciliation to net income (loss) attributable to shareholders from continuing operations have been recast to reflect this change in the measure of segment profit.</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32740"/>
                <wp:effectExtent l="0" t="0" r="0" b="0"/>
                <wp:wrapNone/>
                <wp:docPr id="24" name="Frame23"/>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497F"/>
          <w:sz w:val="20"/>
        </w:rPr>
      </w:pPr>
      <w:r>
        <w:rPr>
          <w:rFonts w:ascii="Arial;sans-serif" w:hAnsi="Arial;sans-serif"/>
          <w:b/>
          <w:color w:val="00497F"/>
          <w:sz w:val="20"/>
        </w:rPr>
        <w:t>FTAI AVIATION LTD.</w:t>
      </w:r>
    </w:p>
    <w:p>
      <w:pPr>
        <w:pStyle w:val="TextBody"/>
        <w:spacing w:lineRule="auto" w:line="288" w:before="0" w:after="0"/>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spacing w:lineRule="auto" w:line="288" w:before="0" w:after="0"/>
        <w:rPr/>
      </w:pPr>
      <w:r>
        <w:rPr>
          <w:rFonts w:ascii="Arial;sans-serif" w:hAnsi="Arial;sans-serif"/>
          <w:b w:val="false"/>
          <w:i/>
          <w:color w:val="00497F"/>
          <w:sz w:val="20"/>
        </w:rPr>
        <w:t>(Dollars in tables in thousands, unless otherwise noted)</w:t>
      </w:r>
      <w:r>
        <w:rPr>
          <w:color w:val="00497F"/>
        </w:rPr>
        <w:t xml:space="preserve"> </w:t>
      </w:r>
    </w:p>
    <w:p>
      <w:pPr>
        <w:pStyle w:val="TextBody"/>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Adjusted EBITDA is defined as net income (loss) attributable to shareholders from continuing operations,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dividends on preferred shares and interest expense, (b) to include the impact of our pro-rata share of Adjusted EBITDA from unconsolidated entities, and (c) to exclude the impact of equity in earnings (losses) of unconsolidated entities and the non-controlling share of Adjusted EBITDA.</w:t>
      </w:r>
    </w:p>
    <w:p>
      <w:pPr>
        <w:pStyle w:val="TextBody"/>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We believe that net income (loss) attributable to shareholders from continuing operations, as defined by U.S. GAAP, is the most appropriate earnings measurement with which to reconcile Adjusted EBITDA. Adjusted EBITDA should not be considered as an alternative to net income (loss) attributable to shareholders as determined in accordance with U.S. GAAP. The following tables set forth certain information for each reportable segment: </w:t>
      </w:r>
    </w:p>
    <w:p>
      <w:pPr>
        <w:pStyle w:val="TextBody"/>
        <w:spacing w:lineRule="auto" w:line="288" w:before="120" w:after="283"/>
        <w:jc w:val="both"/>
        <w:rPr>
          <w:rFonts w:ascii="Arial;sans-serif" w:hAnsi="Arial;sans-serif"/>
          <w:b/>
          <w:color w:val="00497F"/>
          <w:sz w:val="18"/>
        </w:rPr>
      </w:pPr>
      <w:r>
        <w:rPr>
          <w:rFonts w:ascii="Arial;sans-serif" w:hAnsi="Arial;sans-serif"/>
          <w:b/>
          <w:color w:val="00497F"/>
          <w:sz w:val="18"/>
        </w:rPr>
        <w:t>I. For the Three Months Ended March 31, 2023</w:t>
      </w:r>
    </w:p>
    <w:tbl>
      <w:tblPr>
        <w:tblW w:w="10205" w:type="dxa"/>
        <w:jc w:val="left"/>
        <w:tblInd w:w="0" w:type="dxa"/>
        <w:tblCellMar>
          <w:top w:w="28" w:type="dxa"/>
          <w:left w:w="28" w:type="dxa"/>
          <w:bottom w:w="28" w:type="dxa"/>
          <w:right w:w="28" w:type="dxa"/>
        </w:tblCellMar>
      </w:tblPr>
      <w:tblGrid>
        <w:gridCol w:w="1621"/>
        <w:gridCol w:w="1341"/>
        <w:gridCol w:w="1312"/>
        <w:gridCol w:w="228"/>
        <w:gridCol w:w="874"/>
        <w:gridCol w:w="126"/>
        <w:gridCol w:w="109"/>
        <w:gridCol w:w="109"/>
        <w:gridCol w:w="109"/>
        <w:gridCol w:w="264"/>
        <w:gridCol w:w="891"/>
        <w:gridCol w:w="146"/>
        <w:gridCol w:w="109"/>
        <w:gridCol w:w="109"/>
        <w:gridCol w:w="109"/>
        <w:gridCol w:w="257"/>
        <w:gridCol w:w="915"/>
        <w:gridCol w:w="142"/>
        <w:gridCol w:w="109"/>
        <w:gridCol w:w="109"/>
        <w:gridCol w:w="109"/>
        <w:gridCol w:w="196"/>
        <w:gridCol w:w="751"/>
        <w:gridCol w:w="160"/>
      </w:tblGrid>
      <w:tr>
        <w:trPr/>
        <w:tc>
          <w:tcPr>
            <w:tcW w:w="1621"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3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2023</w:t>
            </w:r>
          </w:p>
        </w:tc>
      </w:tr>
      <w:tr>
        <w:trPr/>
        <w:tc>
          <w:tcPr>
            <w:tcW w:w="4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4"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48,830</w:t>
            </w: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15"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7,148</w:t>
            </w: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55,978</w:t>
            </w: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35,141</w:t>
            </w: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35,141</w:t>
            </w: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sales revenue</w:t>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108,691</w:t>
            </w: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108,691</w:t>
            </w: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products revenue</w:t>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85,113</w:t>
            </w: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85,113</w:t>
            </w: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6,378</w:t>
            </w: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1,417</w:t>
            </w: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7,795</w:t>
            </w: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199,040</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85,113</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8,565</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292,718</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2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92,234</w:t>
            </w: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53,436</w:t>
            </w: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145,670</w:t>
            </w: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7,088</w:t>
            </w: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3,655</w:t>
            </w: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11,791</w:t>
            </w: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22,534</w:t>
            </w: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4,067</w:t>
            </w: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4,067</w:t>
            </w: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1,462</w:t>
            </w: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755</w:t>
            </w: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1,045</w:t>
            </w: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3,262</w:t>
            </w: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 and incentive allocation to affiliate</w:t>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2,997</w:t>
            </w: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2,997</w:t>
            </w: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38,140</w:t>
            </w: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86</w:t>
            </w: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2,700</w:t>
            </w: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40,926</w:t>
            </w: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1,220</w:t>
            </w: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1,220</w:t>
            </w: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39,292</w:t>
            </w: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39,292</w:t>
            </w: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expenses</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140,144</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57,932</w:t>
            </w: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61,892</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259,968</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Other income (expense)</w:t>
            </w:r>
          </w:p>
        </w:tc>
        <w:tc>
          <w:tcPr>
            <w:tcW w:w="12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of unconsolidated entities</w:t>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(99)</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(1,236)</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(1,335)</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auto" w:val="clear"/>
            <w:vAlign w:val="center"/>
          </w:tcPr>
          <w:p>
            <w:pPr>
              <w:pStyle w:val="TableContents"/>
              <w:spacing w:before="0" w:after="283"/>
              <w:rPr>
                <w:sz w:val="4"/>
                <w:szCs w:val="4"/>
              </w:rPr>
            </w:pPr>
            <w:r>
              <w:rPr>
                <w:sz w:val="4"/>
                <w:szCs w:val="4"/>
              </w:rPr>
            </w:r>
          </w:p>
        </w:tc>
        <w:tc>
          <w:tcPr>
            <w:tcW w:w="12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r>
      <w:tr>
        <w:trPr/>
        <w:tc>
          <w:tcPr>
            <w:tcW w:w="4274" w:type="dxa"/>
            <w:gridSpan w:val="3"/>
            <w:tcBorders/>
            <w:shd w:fill="auto" w:val="clear"/>
            <w:vAlign w:val="center"/>
          </w:tcPr>
          <w:p>
            <w:pPr>
              <w:pStyle w:val="TableContents"/>
              <w:spacing w:before="0" w:after="283"/>
              <w:rPr>
                <w:sz w:val="4"/>
                <w:szCs w:val="4"/>
              </w:rPr>
            </w:pPr>
            <w:r>
              <w:rPr>
                <w:sz w:val="4"/>
                <w:szCs w:val="4"/>
              </w:rPr>
            </w:r>
          </w:p>
        </w:tc>
        <w:tc>
          <w:tcPr>
            <w:tcW w:w="12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w:t>
            </w: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w:t>
            </w: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expense</w:t>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(91)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(1,236)</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(1,327)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Income (loss) from continuing operations before income taxes</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58,805</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25,945</w:t>
            </w: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(53,327)</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31,423</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995</w:t>
            </w: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916</w:t>
            </w: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115</w:t>
            </w: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2,026</w:t>
            </w: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income (loss) from continuing operations</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57,810</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25,029</w:t>
            </w: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(53,442)</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29,397</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from continuing operations attributable to non-controlling interests in consolidated subsidiaries</w:t>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6,791</w:t>
            </w: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6,791</w:t>
            </w: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 from continuing operations</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57,810</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25,029</w:t>
            </w: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(60,233)</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22,606</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32740"/>
                <wp:effectExtent l="0" t="0" r="0" b="0"/>
                <wp:wrapNone/>
                <wp:docPr id="25" name="Frame24"/>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497F"/>
          <w:sz w:val="20"/>
        </w:rPr>
      </w:pPr>
      <w:r>
        <w:rPr>
          <w:rFonts w:ascii="Arial;sans-serif" w:hAnsi="Arial;sans-serif"/>
          <w:b/>
          <w:color w:val="00497F"/>
          <w:sz w:val="20"/>
        </w:rPr>
        <w:t>FTAI AVIATION LTD.</w:t>
      </w:r>
    </w:p>
    <w:p>
      <w:pPr>
        <w:pStyle w:val="TextBody"/>
        <w:spacing w:lineRule="auto" w:line="288" w:before="0" w:after="0"/>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spacing w:lineRule="auto" w:line="288" w:before="0" w:after="0"/>
        <w:rPr/>
      </w:pPr>
      <w:r>
        <w:rPr>
          <w:rFonts w:ascii="Arial;sans-serif" w:hAnsi="Arial;sans-serif"/>
          <w:b w:val="false"/>
          <w:i/>
          <w:color w:val="00497F"/>
          <w:sz w:val="20"/>
        </w:rPr>
        <w:t>(Dollars in tables in thousands, unless otherwise noted)</w:t>
      </w:r>
      <w:r>
        <w:rPr>
          <w:color w:val="00497F"/>
        </w:rPr>
        <w:t xml:space="preserve"> </w:t>
      </w:r>
    </w:p>
    <w:p>
      <w:pPr>
        <w:pStyle w:val="TextBody"/>
        <w:spacing w:lineRule="auto" w:line="288" w:before="120" w:after="283"/>
        <w:jc w:val="both"/>
        <w:rPr/>
      </w:pPr>
      <w:r>
        <w:rPr>
          <w:rFonts w:ascii="Arial;sans-serif" w:hAnsi="Arial;sans-serif"/>
          <w:b w:val="false"/>
          <w:color w:val="000000"/>
          <w:sz w:val="18"/>
        </w:rPr>
        <w:t>The</w:t>
      </w:r>
      <w:r>
        <w:rPr>
          <w:color w:val="000000"/>
        </w:rPr>
        <w:t xml:space="preserve"> </w:t>
      </w:r>
      <w:r>
        <w:rPr>
          <w:rFonts w:ascii="Arial;sans-serif" w:hAnsi="Arial;sans-serif"/>
          <w:b w:val="false"/>
          <w:color w:val="000000"/>
          <w:sz w:val="18"/>
        </w:rPr>
        <w:t>following table sets forth a reconciliation of Adjusted EBITDA to net income attributable to shareholders:</w:t>
      </w:r>
    </w:p>
    <w:tbl>
      <w:tblPr>
        <w:tblW w:w="10205" w:type="dxa"/>
        <w:jc w:val="left"/>
        <w:tblInd w:w="0" w:type="dxa"/>
        <w:tblCellMar>
          <w:top w:w="28" w:type="dxa"/>
          <w:left w:w="28" w:type="dxa"/>
          <w:bottom w:w="28" w:type="dxa"/>
          <w:right w:w="28" w:type="dxa"/>
        </w:tblCellMar>
      </w:tblPr>
      <w:tblGrid>
        <w:gridCol w:w="1592"/>
        <w:gridCol w:w="1257"/>
        <w:gridCol w:w="1262"/>
        <w:gridCol w:w="235"/>
        <w:gridCol w:w="902"/>
        <w:gridCol w:w="130"/>
        <w:gridCol w:w="109"/>
        <w:gridCol w:w="109"/>
        <w:gridCol w:w="109"/>
        <w:gridCol w:w="279"/>
        <w:gridCol w:w="942"/>
        <w:gridCol w:w="155"/>
        <w:gridCol w:w="109"/>
        <w:gridCol w:w="109"/>
        <w:gridCol w:w="109"/>
        <w:gridCol w:w="288"/>
        <w:gridCol w:w="915"/>
        <w:gridCol w:w="160"/>
        <w:gridCol w:w="109"/>
        <w:gridCol w:w="109"/>
        <w:gridCol w:w="109"/>
        <w:gridCol w:w="196"/>
        <w:gridCol w:w="751"/>
        <w:gridCol w:w="160"/>
      </w:tblGrid>
      <w:tr>
        <w:trPr/>
        <w:tc>
          <w:tcPr>
            <w:tcW w:w="1592" w:type="dxa"/>
            <w:tcBorders/>
            <w:shd w:fill="auto" w:val="clear"/>
            <w:vAlign w:val="center"/>
          </w:tcPr>
          <w:p>
            <w:pPr>
              <w:pStyle w:val="TableContents"/>
              <w:spacing w:before="0" w:after="283"/>
              <w:rPr>
                <w:sz w:val="4"/>
                <w:szCs w:val="4"/>
              </w:rPr>
            </w:pPr>
            <w:r>
              <w:rPr>
                <w:sz w:val="4"/>
                <w:szCs w:val="4"/>
              </w:rPr>
            </w:r>
          </w:p>
        </w:tc>
        <w:tc>
          <w:tcPr>
            <w:tcW w:w="1257"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2023</w:t>
            </w:r>
          </w:p>
        </w:tc>
      </w:tr>
      <w:tr>
        <w:trPr/>
        <w:tc>
          <w:tcPr>
            <w:tcW w:w="4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Adjusted EBITDA</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107,556</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27,377</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(7,277)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127,656</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Non-controlling share of Adjusted EBITDA</w:t>
            </w:r>
          </w:p>
        </w:tc>
        <w:tc>
          <w:tcPr>
            <w:tcW w:w="126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 in losses of unconsolidated entities</w:t>
            </w:r>
          </w:p>
        </w:tc>
        <w:tc>
          <w:tcPr>
            <w:tcW w:w="12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(1,335)</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Pro-rata share of Adjusted EBITDA from unconsolidated entities</w:t>
            </w:r>
          </w:p>
        </w:tc>
        <w:tc>
          <w:tcPr>
            <w:tcW w:w="12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696</w:t>
            </w: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Interest expense and dividends on preferred shares</w:t>
            </w:r>
          </w:p>
        </w:tc>
        <w:tc>
          <w:tcPr>
            <w:tcW w:w="12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(46,083)</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Depreciation and amortization expense</w:t>
            </w:r>
          </w:p>
        </w:tc>
        <w:tc>
          <w:tcPr>
            <w:tcW w:w="12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(48,770)</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Incentive allocations</w:t>
            </w:r>
          </w:p>
        </w:tc>
        <w:tc>
          <w:tcPr>
            <w:tcW w:w="12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(2,942)</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Asset impairment charges</w:t>
            </w:r>
          </w:p>
        </w:tc>
        <w:tc>
          <w:tcPr>
            <w:tcW w:w="12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(1,220)</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Changes in fair value of non-hedge derivative instruments</w:t>
            </w:r>
          </w:p>
        </w:tc>
        <w:tc>
          <w:tcPr>
            <w:tcW w:w="12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Losses on the modification or extinguishment of debt and capital lease obligations</w:t>
            </w:r>
          </w:p>
        </w:tc>
        <w:tc>
          <w:tcPr>
            <w:tcW w:w="12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 and transaction expenses</w:t>
            </w:r>
          </w:p>
        </w:tc>
        <w:tc>
          <w:tcPr>
            <w:tcW w:w="12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(3,262)</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Equity-based compensation expense</w:t>
            </w:r>
          </w:p>
        </w:tc>
        <w:tc>
          <w:tcPr>
            <w:tcW w:w="12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(108)</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Provision for income taxes</w:t>
            </w:r>
          </w:p>
        </w:tc>
        <w:tc>
          <w:tcPr>
            <w:tcW w:w="12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income attributable to shareholders from continuing operations</w:t>
            </w:r>
          </w:p>
        </w:tc>
        <w:tc>
          <w:tcPr>
            <w:tcW w:w="12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22,606</w:t>
            </w: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jc w:val="both"/>
        <w:rPr/>
      </w:pPr>
      <w:r>
        <w:rPr/>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Summary information with respect to our geographic sources of revenue, based on location of customer, is as follows:</w:t>
      </w:r>
    </w:p>
    <w:tbl>
      <w:tblPr>
        <w:tblW w:w="8696" w:type="dxa"/>
        <w:jc w:val="left"/>
        <w:tblInd w:w="0" w:type="dxa"/>
        <w:tblCellMar>
          <w:top w:w="28" w:type="dxa"/>
          <w:left w:w="28" w:type="dxa"/>
          <w:bottom w:w="28" w:type="dxa"/>
          <w:right w:w="28" w:type="dxa"/>
        </w:tblCellMar>
      </w:tblPr>
      <w:tblGrid>
        <w:gridCol w:w="466"/>
        <w:gridCol w:w="411"/>
        <w:gridCol w:w="412"/>
        <w:gridCol w:w="267"/>
        <w:gridCol w:w="1024"/>
        <w:gridCol w:w="148"/>
        <w:gridCol w:w="109"/>
        <w:gridCol w:w="109"/>
        <w:gridCol w:w="109"/>
        <w:gridCol w:w="347"/>
        <w:gridCol w:w="1170"/>
        <w:gridCol w:w="193"/>
        <w:gridCol w:w="109"/>
        <w:gridCol w:w="109"/>
        <w:gridCol w:w="109"/>
        <w:gridCol w:w="109"/>
        <w:gridCol w:w="109"/>
        <w:gridCol w:w="109"/>
        <w:gridCol w:w="109"/>
        <w:gridCol w:w="388"/>
        <w:gridCol w:w="1134"/>
        <w:gridCol w:w="218"/>
        <w:gridCol w:w="109"/>
        <w:gridCol w:w="109"/>
        <w:gridCol w:w="109"/>
        <w:gridCol w:w="196"/>
        <w:gridCol w:w="751"/>
        <w:gridCol w:w="154"/>
      </w:tblGrid>
      <w:tr>
        <w:trPr/>
        <w:tc>
          <w:tcPr>
            <w:tcW w:w="46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2023</w:t>
            </w:r>
          </w:p>
        </w:tc>
        <w:tc>
          <w:tcPr>
            <w:tcW w:w="3277" w:type="dxa"/>
            <w:gridSpan w:val="10"/>
            <w:tcBorders/>
            <w:shd w:fill="auto" w:val="clear"/>
          </w:tcPr>
          <w:p>
            <w:pPr>
              <w:pStyle w:val="TableContents"/>
              <w:spacing w:before="0" w:after="283"/>
              <w:rPr>
                <w:sz w:val="4"/>
                <w:szCs w:val="4"/>
              </w:rPr>
            </w:pPr>
            <w:r>
              <w:rPr>
                <w:sz w:val="4"/>
                <w:szCs w:val="4"/>
              </w:rPr>
            </w:r>
          </w:p>
        </w:tc>
      </w:tr>
      <w:tr>
        <w:trPr/>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Africa</w:t>
            </w:r>
          </w:p>
        </w:tc>
        <w:tc>
          <w:tcPr>
            <w:tcW w:w="2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70"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875</w:t>
            </w: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3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875</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Asia</w:t>
            </w:r>
          </w:p>
        </w:tc>
        <w:tc>
          <w:tcPr>
            <w:tcW w:w="12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17,766</w:t>
            </w: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8,565</w:t>
            </w:r>
            <w:r>
              <w:rPr>
                <w:color w:val="000000"/>
              </w:rPr>
              <w:t>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26,331</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12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52,365</w:t>
            </w: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25,966</w:t>
            </w: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78,331</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12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115,665</w:t>
            </w: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56,996</w:t>
            </w: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172,661</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South America</w:t>
            </w:r>
          </w:p>
        </w:tc>
        <w:tc>
          <w:tcPr>
            <w:tcW w:w="12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13,244</w:t>
            </w: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1,276</w:t>
            </w: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14,520</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revenues</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199,040</w:t>
            </w: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85,113</w:t>
            </w:r>
            <w:r>
              <w:rPr>
                <w:color w:val="000000"/>
              </w:rPr>
              <w:t>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8,565</w:t>
            </w:r>
            <w:r>
              <w:rPr>
                <w:color w:val="000000"/>
              </w:rPr>
              <w:t>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292,718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80" w:after="283"/>
        <w:rPr/>
      </w:pPr>
      <w:r>
        <w:rPr/>
      </w:r>
    </w:p>
    <w:p>
      <w:pPr>
        <w:pStyle w:val="TextBody"/>
        <w:spacing w:lineRule="auto" w:line="288" w:before="180" w:after="283"/>
        <w:rPr>
          <w:rFonts w:ascii="Arial;sans-serif" w:hAnsi="Arial;sans-serif"/>
          <w:b w:val="false"/>
          <w:color w:val="000000"/>
          <w:sz w:val="18"/>
        </w:rPr>
      </w:pPr>
      <w:r>
        <w:rPr>
          <w:rFonts w:ascii="Arial;sans-serif" w:hAnsi="Arial;sans-serif"/>
          <w:b w:val="false"/>
          <w:color w:val="000000"/>
          <w:sz w:val="18"/>
        </w:rPr>
        <w:t>Presented below are the contracted minimum future annual revenues to be received under existing operating leases as of March 31, 2023:</w:t>
      </w:r>
    </w:p>
    <w:tbl>
      <w:tblPr>
        <w:tblW w:w="3262" w:type="dxa"/>
        <w:jc w:val="left"/>
        <w:tblInd w:w="0" w:type="dxa"/>
        <w:tblCellMar>
          <w:top w:w="28" w:type="dxa"/>
          <w:left w:w="28" w:type="dxa"/>
          <w:bottom w:w="28" w:type="dxa"/>
          <w:right w:w="28" w:type="dxa"/>
        </w:tblCellMar>
      </w:tblPr>
      <w:tblGrid>
        <w:gridCol w:w="544"/>
        <w:gridCol w:w="476"/>
        <w:gridCol w:w="480"/>
        <w:gridCol w:w="278"/>
        <w:gridCol w:w="1067"/>
        <w:gridCol w:w="154"/>
        <w:gridCol w:w="109"/>
        <w:gridCol w:w="154"/>
      </w:tblGrid>
      <w:tr>
        <w:trPr/>
        <w:tc>
          <w:tcPr>
            <w:tcW w:w="54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Operating Leases</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Remainder of 2023</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120,738 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96,559 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70,796 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433,167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32740"/>
                <wp:effectExtent l="0" t="0" r="0" b="0"/>
                <wp:wrapNone/>
                <wp:docPr id="26" name="Frame25"/>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497F"/>
          <w:sz w:val="20"/>
        </w:rPr>
      </w:pPr>
      <w:r>
        <w:rPr>
          <w:rFonts w:ascii="Arial;sans-serif" w:hAnsi="Arial;sans-serif"/>
          <w:b/>
          <w:color w:val="00497F"/>
          <w:sz w:val="20"/>
        </w:rPr>
        <w:t>FTAI AVIATION LTD.</w:t>
      </w:r>
    </w:p>
    <w:p>
      <w:pPr>
        <w:pStyle w:val="TextBody"/>
        <w:spacing w:lineRule="auto" w:line="288" w:before="0" w:after="0"/>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spacing w:lineRule="auto" w:line="288" w:before="0" w:after="0"/>
        <w:rPr/>
      </w:pPr>
      <w:r>
        <w:rPr>
          <w:rFonts w:ascii="Arial;sans-serif" w:hAnsi="Arial;sans-serif"/>
          <w:b w:val="false"/>
          <w:i/>
          <w:color w:val="00497F"/>
          <w:sz w:val="20"/>
        </w:rPr>
        <w:t>(Dollars in tables in thousands, unless otherwise noted)</w:t>
      </w:r>
      <w:r>
        <w:rPr>
          <w:color w:val="00497F"/>
        </w:rPr>
        <w:t xml:space="preserve"> </w:t>
      </w:r>
    </w:p>
    <w:p>
      <w:pPr>
        <w:pStyle w:val="TextBody"/>
        <w:spacing w:before="120" w:after="283"/>
        <w:jc w:val="both"/>
        <w:rPr/>
      </w:pPr>
      <w:r>
        <w:rPr/>
      </w:r>
    </w:p>
    <w:p>
      <w:pPr>
        <w:pStyle w:val="TextBody"/>
        <w:spacing w:lineRule="auto" w:line="288" w:before="120" w:after="283"/>
        <w:rPr>
          <w:rFonts w:ascii="Arial;sans-serif" w:hAnsi="Arial;sans-serif"/>
          <w:b/>
          <w:color w:val="00497F"/>
          <w:sz w:val="18"/>
        </w:rPr>
      </w:pPr>
      <w:r>
        <w:rPr>
          <w:rFonts w:ascii="Arial;sans-serif" w:hAnsi="Arial;sans-serif"/>
          <w:b/>
          <w:color w:val="00497F"/>
          <w:sz w:val="18"/>
        </w:rPr>
        <w:t xml:space="preserve">II. For the Three Months Ended March 31, 2022 </w:t>
      </w:r>
    </w:p>
    <w:tbl>
      <w:tblPr>
        <w:tblW w:w="10205" w:type="dxa"/>
        <w:jc w:val="left"/>
        <w:tblInd w:w="0" w:type="dxa"/>
        <w:tblCellMar>
          <w:top w:w="28" w:type="dxa"/>
          <w:left w:w="28" w:type="dxa"/>
          <w:bottom w:w="28" w:type="dxa"/>
          <w:right w:w="28" w:type="dxa"/>
        </w:tblCellMar>
      </w:tblPr>
      <w:tblGrid>
        <w:gridCol w:w="1501"/>
        <w:gridCol w:w="1228"/>
        <w:gridCol w:w="1193"/>
        <w:gridCol w:w="218"/>
        <w:gridCol w:w="869"/>
        <w:gridCol w:w="121"/>
        <w:gridCol w:w="109"/>
        <w:gridCol w:w="109"/>
        <w:gridCol w:w="109"/>
        <w:gridCol w:w="258"/>
        <w:gridCol w:w="852"/>
        <w:gridCol w:w="143"/>
        <w:gridCol w:w="109"/>
        <w:gridCol w:w="109"/>
        <w:gridCol w:w="109"/>
        <w:gridCol w:w="109"/>
        <w:gridCol w:w="109"/>
        <w:gridCol w:w="109"/>
        <w:gridCol w:w="109"/>
        <w:gridCol w:w="250"/>
        <w:gridCol w:w="885"/>
        <w:gridCol w:w="139"/>
        <w:gridCol w:w="109"/>
        <w:gridCol w:w="109"/>
        <w:gridCol w:w="109"/>
        <w:gridCol w:w="196"/>
        <w:gridCol w:w="775"/>
        <w:gridCol w:w="160"/>
      </w:tblGrid>
      <w:tr>
        <w:trPr/>
        <w:tc>
          <w:tcPr>
            <w:tcW w:w="1501"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9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2022</w:t>
            </w:r>
          </w:p>
        </w:tc>
        <w:tc>
          <w:tcPr>
            <w:tcW w:w="2841" w:type="dxa"/>
            <w:gridSpan w:val="10"/>
            <w:tcBorders/>
            <w:shd w:fill="auto" w:val="clear"/>
          </w:tcPr>
          <w:p>
            <w:pPr>
              <w:pStyle w:val="TableContents"/>
              <w:spacing w:before="0" w:after="283"/>
              <w:rPr>
                <w:sz w:val="4"/>
                <w:szCs w:val="4"/>
              </w:rPr>
            </w:pPr>
            <w:r>
              <w:rPr>
                <w:sz w:val="4"/>
                <w:szCs w:val="4"/>
              </w:rPr>
            </w:r>
          </w:p>
        </w:tc>
      </w:tr>
      <w:tr>
        <w:trPr/>
        <w:tc>
          <w:tcPr>
            <w:tcW w:w="39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2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33,958 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5,367 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39,325 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36,732 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36,732 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2" w:type="dxa"/>
            <w:gridSpan w:val="3"/>
            <w:tcBorders/>
            <w:shd w:fill="auto" w:val="clear"/>
            <w:vAlign w:val="center"/>
          </w:tcPr>
          <w:p>
            <w:pPr>
              <w:pStyle w:val="TableContents"/>
              <w:spacing w:before="0" w:after="283"/>
              <w:rPr>
                <w:sz w:val="4"/>
                <w:szCs w:val="4"/>
              </w:rPr>
            </w:pPr>
            <w:r>
              <w:rPr>
                <w:sz w:val="4"/>
                <w:szCs w:val="4"/>
              </w:rPr>
            </w:r>
          </w:p>
        </w:tc>
        <w:tc>
          <w:tcPr>
            <w:tcW w:w="12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products revenue</w:t>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14,313 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14,313 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1,299 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1,321 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70,712 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14,313 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6,666 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91,691 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2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9,050 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9,050 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54,472 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1,623 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5,704 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61,799 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4,561 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4,561 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2,064 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2,273 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Management fees and incentive allocation to affiliate </w:t>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39,228 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2,043 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41,305 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122,790 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122,790 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44,139 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44,139 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expenses</w:t>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216,699 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10,707 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58,514 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285,920 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 xml:space="preserve">Other income (expense) </w:t>
            </w:r>
          </w:p>
        </w:tc>
        <w:tc>
          <w:tcPr>
            <w:tcW w:w="12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earnings (losses) of unconsolidated entities</w:t>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assets, net</w:t>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6,587 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9,701 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16,288 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2" w:type="dxa"/>
            <w:gridSpan w:val="3"/>
            <w:tcBorders/>
            <w:shd w:fill="auto" w:val="clear"/>
            <w:vAlign w:val="center"/>
          </w:tcPr>
          <w:p>
            <w:pPr>
              <w:pStyle w:val="TableContents"/>
              <w:spacing w:before="0" w:after="283"/>
              <w:rPr>
                <w:sz w:val="4"/>
                <w:szCs w:val="4"/>
              </w:rPr>
            </w:pPr>
            <w:r>
              <w:rPr>
                <w:sz w:val="4"/>
                <w:szCs w:val="4"/>
              </w:rPr>
            </w:r>
          </w:p>
        </w:tc>
        <w:tc>
          <w:tcPr>
            <w:tcW w:w="12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 (expense)</w:t>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9,347 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16,614 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(Loss) income from continuing operations before income taxes</w:t>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(138,683)</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12,953 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(51,885)</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(177,615)</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1,339 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(loss) income from continuing operations</w:t>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(139,669)</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12,882 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(52,167)</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(178,954)</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from continuing operations attributable to non-controlling interests in consolidated subsidiaries</w:t>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6,791 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6,791 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(loss) income attributable to shareholders from continuing operations</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(139,669)</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12,882 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(58,958)</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(185,745)</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32740"/>
                <wp:effectExtent l="0" t="0" r="0" b="0"/>
                <wp:wrapNone/>
                <wp:docPr id="27" name="Frame26"/>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497F"/>
          <w:sz w:val="20"/>
        </w:rPr>
      </w:pPr>
      <w:r>
        <w:rPr>
          <w:rFonts w:ascii="Arial;sans-serif" w:hAnsi="Arial;sans-serif"/>
          <w:b/>
          <w:color w:val="00497F"/>
          <w:sz w:val="20"/>
        </w:rPr>
        <w:t>FTAI AVIATION LTD.</w:t>
      </w:r>
    </w:p>
    <w:p>
      <w:pPr>
        <w:pStyle w:val="TextBody"/>
        <w:spacing w:lineRule="auto" w:line="288" w:before="0" w:after="0"/>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spacing w:lineRule="auto" w:line="288" w:before="0" w:after="0"/>
        <w:rPr/>
      </w:pPr>
      <w:r>
        <w:rPr>
          <w:rFonts w:ascii="Arial;sans-serif" w:hAnsi="Arial;sans-serif"/>
          <w:b w:val="false"/>
          <w:i/>
          <w:color w:val="00497F"/>
          <w:sz w:val="20"/>
        </w:rPr>
        <w:t>(Dollars in tables in thousands, unless otherwise noted)</w:t>
      </w:r>
      <w:r>
        <w:rPr>
          <w:color w:val="00497F"/>
        </w:rPr>
        <w:t xml:space="preserve"> </w:t>
      </w:r>
    </w:p>
    <w:p>
      <w:pPr>
        <w:pStyle w:val="TextBody"/>
        <w:spacing w:lineRule="auto" w:line="288" w:before="120" w:after="283"/>
        <w:jc w:val="both"/>
        <w:rPr/>
      </w:pPr>
      <w:r>
        <w:rPr>
          <w:rFonts w:ascii="Arial;sans-serif" w:hAnsi="Arial;sans-serif"/>
          <w:b w:val="false"/>
          <w:color w:val="000000"/>
          <w:sz w:val="18"/>
        </w:rPr>
        <w:t>The</w:t>
      </w:r>
      <w:r>
        <w:rPr>
          <w:color w:val="000000"/>
        </w:rPr>
        <w:t xml:space="preserve"> </w:t>
      </w:r>
      <w:r>
        <w:rPr>
          <w:rFonts w:ascii="Arial;sans-serif" w:hAnsi="Arial;sans-serif"/>
          <w:b w:val="false"/>
          <w:color w:val="000000"/>
          <w:sz w:val="18"/>
        </w:rPr>
        <w:t>following table sets forth a reconciliation of Adjusted EBITDA to net loss attributable to shareholders:</w:t>
      </w:r>
    </w:p>
    <w:tbl>
      <w:tblPr>
        <w:tblW w:w="10205" w:type="dxa"/>
        <w:jc w:val="left"/>
        <w:tblInd w:w="0" w:type="dxa"/>
        <w:tblCellMar>
          <w:top w:w="28" w:type="dxa"/>
          <w:left w:w="28" w:type="dxa"/>
          <w:bottom w:w="28" w:type="dxa"/>
          <w:right w:w="28" w:type="dxa"/>
        </w:tblCellMar>
      </w:tblPr>
      <w:tblGrid>
        <w:gridCol w:w="1627"/>
        <w:gridCol w:w="1247"/>
        <w:gridCol w:w="1252"/>
        <w:gridCol w:w="251"/>
        <w:gridCol w:w="830"/>
        <w:gridCol w:w="140"/>
        <w:gridCol w:w="109"/>
        <w:gridCol w:w="109"/>
        <w:gridCol w:w="109"/>
        <w:gridCol w:w="282"/>
        <w:gridCol w:w="932"/>
        <w:gridCol w:w="157"/>
        <w:gridCol w:w="109"/>
        <w:gridCol w:w="109"/>
        <w:gridCol w:w="109"/>
        <w:gridCol w:w="289"/>
        <w:gridCol w:w="916"/>
        <w:gridCol w:w="160"/>
        <w:gridCol w:w="109"/>
        <w:gridCol w:w="109"/>
        <w:gridCol w:w="109"/>
        <w:gridCol w:w="196"/>
        <w:gridCol w:w="784"/>
        <w:gridCol w:w="161"/>
      </w:tblGrid>
      <w:tr>
        <w:trPr/>
        <w:tc>
          <w:tcPr>
            <w:tcW w:w="1627" w:type="dxa"/>
            <w:tcBorders/>
            <w:shd w:fill="auto" w:val="clear"/>
            <w:vAlign w:val="center"/>
          </w:tcPr>
          <w:p>
            <w:pPr>
              <w:pStyle w:val="TableContents"/>
              <w:spacing w:before="0" w:after="283"/>
              <w:rPr>
                <w:sz w:val="4"/>
                <w:szCs w:val="4"/>
              </w:rPr>
            </w:pPr>
            <w:r>
              <w:rPr>
                <w:sz w:val="4"/>
                <w:szCs w:val="4"/>
              </w:rPr>
            </w:r>
          </w:p>
        </w:tc>
        <w:tc>
          <w:tcPr>
            <w:tcW w:w="1247"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9"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2022</w:t>
            </w:r>
          </w:p>
        </w:tc>
      </w:tr>
      <w:tr>
        <w:trPr/>
        <w:tc>
          <w:tcPr>
            <w:tcW w:w="4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35,556 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13,043 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44,960 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Non-controlling share of Adjusted EBITDA</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 in earnings of unconsolidated entities</w:t>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Pro-rata share of Adjusted EBITDA from unconsolidated entities</w:t>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Interest expense and dividends on preferred shares</w:t>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(50,930)</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Depreciation and amortization expense</w:t>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(53,317)</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Incentive allocations</w:t>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Asset impairment charges</w:t>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(122,790)</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Changes in fair value of non-hedge derivative instruments</w:t>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Losses on the modification or extinguishment of debt and capital lease obligations</w:t>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 and transaction expenses</w:t>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(2,273)</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Equity-based compensation expense</w:t>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Provision for income taxes</w:t>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(1,339)</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shareholders from continuing operations</w:t>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(185,745)</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Summary information with respect to our geographic sources of revenue, based on location of customer, is as follows:</w:t>
      </w:r>
    </w:p>
    <w:tbl>
      <w:tblPr>
        <w:tblW w:w="8051" w:type="dxa"/>
        <w:jc w:val="left"/>
        <w:tblInd w:w="0" w:type="dxa"/>
        <w:tblCellMar>
          <w:top w:w="28" w:type="dxa"/>
          <w:left w:w="28" w:type="dxa"/>
          <w:bottom w:w="28" w:type="dxa"/>
          <w:right w:w="28" w:type="dxa"/>
        </w:tblCellMar>
      </w:tblPr>
      <w:tblGrid>
        <w:gridCol w:w="428"/>
        <w:gridCol w:w="378"/>
        <w:gridCol w:w="379"/>
        <w:gridCol w:w="296"/>
        <w:gridCol w:w="978"/>
        <w:gridCol w:w="165"/>
        <w:gridCol w:w="109"/>
        <w:gridCol w:w="109"/>
        <w:gridCol w:w="109"/>
        <w:gridCol w:w="352"/>
        <w:gridCol w:w="1162"/>
        <w:gridCol w:w="196"/>
        <w:gridCol w:w="109"/>
        <w:gridCol w:w="109"/>
        <w:gridCol w:w="109"/>
        <w:gridCol w:w="396"/>
        <w:gridCol w:w="1122"/>
        <w:gridCol w:w="222"/>
        <w:gridCol w:w="109"/>
        <w:gridCol w:w="109"/>
        <w:gridCol w:w="109"/>
        <w:gridCol w:w="196"/>
        <w:gridCol w:w="646"/>
        <w:gridCol w:w="154"/>
      </w:tblGrid>
      <w:tr>
        <w:trPr/>
        <w:tc>
          <w:tcPr>
            <w:tcW w:w="42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2022</w:t>
            </w:r>
          </w:p>
        </w:tc>
      </w:tr>
      <w:tr>
        <w:trPr/>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Africa</w:t>
            </w:r>
          </w:p>
        </w:tc>
        <w:tc>
          <w:tcPr>
            <w:tcW w:w="2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2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Asia</w:t>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15,662 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1,401 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6,666 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27,402 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4,574 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18,284 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7,488 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South America</w:t>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9,364 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70,712 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14,313 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6,666 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91,691 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Arial;sans-serif" w:hAnsi="Arial;sans-serif"/>
          <w:b/>
          <w:color w:val="00497F"/>
          <w:sz w:val="18"/>
        </w:rPr>
      </w:pPr>
      <w:r>
        <w:rPr>
          <w:rFonts w:ascii="Arial;sans-serif" w:hAnsi="Arial;sans-serif"/>
          <w:b/>
          <w:color w:val="00497F"/>
          <w:sz w:val="18"/>
        </w:rPr>
        <w:t>III. Location of Long-Lived Assets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tables sets forth the geographic location of property, plant and equipment and leasing equipment, net:</w:t>
      </w:r>
    </w:p>
    <w:tbl>
      <w:tblPr>
        <w:tblW w:w="9050" w:type="dxa"/>
        <w:jc w:val="left"/>
        <w:tblInd w:w="0" w:type="dxa"/>
        <w:tblCellMar>
          <w:top w:w="28" w:type="dxa"/>
          <w:left w:w="28" w:type="dxa"/>
          <w:bottom w:w="28" w:type="dxa"/>
          <w:right w:w="28" w:type="dxa"/>
        </w:tblCellMar>
      </w:tblPr>
      <w:tblGrid>
        <w:gridCol w:w="1881"/>
        <w:gridCol w:w="1652"/>
        <w:gridCol w:w="1656"/>
        <w:gridCol w:w="109"/>
        <w:gridCol w:w="109"/>
        <w:gridCol w:w="109"/>
        <w:gridCol w:w="109"/>
        <w:gridCol w:w="109"/>
        <w:gridCol w:w="109"/>
        <w:gridCol w:w="207"/>
        <w:gridCol w:w="938"/>
        <w:gridCol w:w="115"/>
        <w:gridCol w:w="109"/>
        <w:gridCol w:w="109"/>
        <w:gridCol w:w="109"/>
        <w:gridCol w:w="260"/>
        <w:gridCol w:w="1156"/>
        <w:gridCol w:w="204"/>
      </w:tblGrid>
      <w:tr>
        <w:trPr/>
        <w:tc>
          <w:tcPr>
            <w:tcW w:w="1881" w:type="dxa"/>
            <w:tcBorders/>
            <w:shd w:fill="auto" w:val="clear"/>
            <w:vAlign w:val="center"/>
          </w:tcPr>
          <w:p>
            <w:pPr>
              <w:pStyle w:val="TableContents"/>
              <w:spacing w:before="0" w:after="283"/>
              <w:rPr>
                <w:sz w:val="4"/>
                <w:szCs w:val="4"/>
              </w:rPr>
            </w:pPr>
            <w:r>
              <w:rPr>
                <w:sz w:val="4"/>
                <w:szCs w:val="4"/>
              </w:rPr>
            </w:r>
          </w:p>
        </w:tc>
        <w:tc>
          <w:tcPr>
            <w:tcW w:w="1652" w:type="dxa"/>
            <w:tcBorders/>
            <w:shd w:fill="auto" w:val="clear"/>
            <w:vAlign w:val="center"/>
          </w:tcPr>
          <w:p>
            <w:pPr>
              <w:pStyle w:val="TableContents"/>
              <w:spacing w:before="0" w:after="283"/>
              <w:rPr>
                <w:sz w:val="4"/>
                <w:szCs w:val="4"/>
              </w:rPr>
            </w:pPr>
            <w:r>
              <w:rPr>
                <w:sz w:val="4"/>
                <w:szCs w:val="4"/>
              </w:rPr>
            </w:r>
          </w:p>
        </w:tc>
        <w:tc>
          <w:tcPr>
            <w:tcW w:w="16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r>
      <w:tr>
        <w:trPr/>
        <w:tc>
          <w:tcPr>
            <w:tcW w:w="5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5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Property, plant and equipment and leasing equipment,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7" w:type="dxa"/>
            <w:gridSpan w:val="9"/>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Africa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3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7,952 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Asia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375,595</w:t>
            </w: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383,378 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871,581</w:t>
            </w: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821,840 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427,391</w:t>
            </w: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424,617 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South America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186,533</w:t>
            </w: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285,780 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property, plant and equipment and leasing equipment,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1,861,100</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1,923,567 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sans-serif" w:hAnsi="Arial;sans-serif"/>
          <w:b/>
          <w:color w:val="00497F"/>
          <w:sz w:val="20"/>
        </w:rPr>
      </w:pPr>
      <w:r>
        <w:rPr>
          <w:rFonts w:ascii="Arial;sans-serif" w:hAnsi="Arial;sans-serif"/>
          <w:b/>
          <w:color w:val="00497F"/>
          <w:sz w:val="20"/>
        </w:rPr>
        <w:t xml:space="preserve">13. EARNINGS PER SHARE AND EQUITY </w:t>
      </w:r>
    </w:p>
    <w:p>
      <w:pPr>
        <w:pStyle w:val="TextBody"/>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Basic earnings per ordinary share (“EPS”) is calculated by dividing net income (loss) attributable to shareholders by the weighted average number of ordinary shares outstanding, plus any participating securities. Diluted EPS is calculated by dividing net income attributable to shareholders by the weighted average number of ordinary shares outstanding, plus any participating securities and potentially dilutive securities. Potentially dilutive securities are calculated using the treasury stock method.</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32740"/>
                <wp:effectExtent l="0" t="0" r="0" b="0"/>
                <wp:wrapNone/>
                <wp:docPr id="28" name="Frame27"/>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497F"/>
          <w:sz w:val="20"/>
        </w:rPr>
      </w:pPr>
      <w:r>
        <w:rPr>
          <w:rFonts w:ascii="Arial;sans-serif" w:hAnsi="Arial;sans-serif"/>
          <w:b/>
          <w:color w:val="00497F"/>
          <w:sz w:val="20"/>
        </w:rPr>
        <w:t>FTAI AVIATION LTD.</w:t>
      </w:r>
    </w:p>
    <w:p>
      <w:pPr>
        <w:pStyle w:val="TextBody"/>
        <w:spacing w:lineRule="auto" w:line="288" w:before="0" w:after="0"/>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spacing w:lineRule="auto" w:line="288" w:before="0" w:after="0"/>
        <w:rPr/>
      </w:pPr>
      <w:r>
        <w:rPr>
          <w:rFonts w:ascii="Arial;sans-serif" w:hAnsi="Arial;sans-serif"/>
          <w:b w:val="false"/>
          <w:i/>
          <w:color w:val="00497F"/>
          <w:sz w:val="20"/>
        </w:rPr>
        <w:t>(Dollars in tables in thousands, unless otherwise noted)</w:t>
      </w:r>
      <w:r>
        <w:rPr>
          <w:color w:val="00497F"/>
        </w:rPr>
        <w:t xml:space="preserve"> </w:t>
      </w:r>
    </w:p>
    <w:p>
      <w:pPr>
        <w:pStyle w:val="TextBody"/>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The calculation of basic and diluted EPS is presented below: </w:t>
      </w:r>
    </w:p>
    <w:tbl>
      <w:tblPr>
        <w:tblW w:w="9247" w:type="dxa"/>
        <w:jc w:val="left"/>
        <w:tblInd w:w="0" w:type="dxa"/>
        <w:tblCellMar>
          <w:top w:w="28" w:type="dxa"/>
          <w:left w:w="28" w:type="dxa"/>
          <w:bottom w:w="28" w:type="dxa"/>
          <w:right w:w="28" w:type="dxa"/>
        </w:tblCellMar>
      </w:tblPr>
      <w:tblGrid>
        <w:gridCol w:w="2193"/>
        <w:gridCol w:w="1927"/>
        <w:gridCol w:w="1940"/>
        <w:gridCol w:w="243"/>
        <w:gridCol w:w="823"/>
        <w:gridCol w:w="115"/>
        <w:gridCol w:w="115"/>
        <w:gridCol w:w="115"/>
        <w:gridCol w:w="115"/>
        <w:gridCol w:w="207"/>
        <w:gridCol w:w="858"/>
        <w:gridCol w:w="115"/>
        <w:gridCol w:w="109"/>
        <w:gridCol w:w="109"/>
        <w:gridCol w:w="109"/>
        <w:gridCol w:w="154"/>
      </w:tblGrid>
      <w:tr>
        <w:trPr/>
        <w:tc>
          <w:tcPr>
            <w:tcW w:w="2193" w:type="dxa"/>
            <w:tcBorders/>
            <w:shd w:fill="auto" w:val="clear"/>
            <w:vAlign w:val="center"/>
          </w:tcPr>
          <w:p>
            <w:pPr>
              <w:pStyle w:val="TableContents"/>
              <w:spacing w:before="0" w:after="283"/>
              <w:rPr>
                <w:sz w:val="4"/>
                <w:szCs w:val="4"/>
              </w:rPr>
            </w:pPr>
            <w:r>
              <w:rPr>
                <w:sz w:val="4"/>
                <w:szCs w:val="4"/>
              </w:rPr>
            </w:r>
          </w:p>
        </w:tc>
        <w:tc>
          <w:tcPr>
            <w:tcW w:w="1927" w:type="dxa"/>
            <w:tcBorders/>
            <w:shd w:fill="auto" w:val="clear"/>
            <w:vAlign w:val="center"/>
          </w:tcPr>
          <w:p>
            <w:pPr>
              <w:pStyle w:val="TableContents"/>
              <w:spacing w:before="0" w:after="283"/>
              <w:rPr>
                <w:sz w:val="4"/>
                <w:szCs w:val="4"/>
              </w:rPr>
            </w:pPr>
            <w:r>
              <w:rPr>
                <w:sz w:val="4"/>
                <w:szCs w:val="4"/>
              </w:rPr>
            </w:r>
          </w:p>
        </w:tc>
        <w:tc>
          <w:tcPr>
            <w:tcW w:w="1940"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0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share and per share data)</w:t>
            </w:r>
          </w:p>
        </w:tc>
        <w:tc>
          <w:tcPr>
            <w:tcW w:w="11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from continuing operations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29,397</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(178,954)</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from discontinued operations, net of income taxes</w:t>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(50,705)</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 xml:space="preserve">Net income (loss)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29,397</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(229,659)</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interests in consolidated subsidiaries:</w:t>
            </w:r>
          </w:p>
        </w:tc>
        <w:tc>
          <w:tcPr>
            <w:tcW w:w="11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(7,466)</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6,791</w:t>
            </w: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22,606</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(228,984)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 xml:space="preserve">Weighted Average Ordinary Shares Outstanding - Basic </w:t>
            </w:r>
            <w:r>
              <w:rPr>
                <w:rFonts w:ascii="Arial;sans-serif" w:hAnsi="Arial;sans-serif"/>
                <w:b w:val="false"/>
                <w:color w:val="000000"/>
                <w:sz w:val="10"/>
              </w:rPr>
              <w:t>(1)</w:t>
            </w:r>
          </w:p>
        </w:tc>
        <w:tc>
          <w:tcPr>
            <w:tcW w:w="106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99,728,245</w:t>
            </w:r>
            <w:r>
              <w:rPr>
                <w:color w:val="000000"/>
              </w:rPr>
              <w:t>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99,366,877 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 xml:space="preserve">Weighted Average Ordinary Shares Outstanding - Diluted </w:t>
            </w:r>
            <w:r>
              <w:rPr>
                <w:rFonts w:ascii="Arial;sans-serif" w:hAnsi="Arial;sans-serif"/>
                <w:b w:val="false"/>
                <w:color w:val="000000"/>
                <w:sz w:val="10"/>
              </w:rPr>
              <w:t>(1)</w:t>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100,974,100</w:t>
            </w: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99,366,877 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Earnings (loss) per share:</w:t>
            </w:r>
          </w:p>
        </w:tc>
        <w:tc>
          <w:tcPr>
            <w:tcW w:w="11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Basic</w:t>
            </w:r>
          </w:p>
        </w:tc>
        <w:tc>
          <w:tcPr>
            <w:tcW w:w="11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3"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0.23</w:t>
            </w: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(0.43)</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Diluted</w:t>
            </w:r>
          </w:p>
        </w:tc>
        <w:tc>
          <w:tcPr>
            <w:tcW w:w="11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3"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0.22</w:t>
            </w: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(0.43)</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________________________________________________________</w:t>
      </w:r>
    </w:p>
    <w:p>
      <w:pPr>
        <w:pStyle w:val="TextBody"/>
        <w:spacing w:lineRule="auto" w:line="288" w:before="120" w:after="283"/>
        <w:ind w:left="0" w:right="0" w:hanging="180"/>
        <w:jc w:val="both"/>
        <w:rPr/>
      </w:pPr>
      <w:r>
        <w:rPr>
          <w:rFonts w:ascii="Arial;sans-serif" w:hAnsi="Arial;sans-serif"/>
          <w:b w:val="false"/>
          <w:color w:val="000000"/>
          <w:sz w:val="10"/>
        </w:rPr>
        <w:t xml:space="preserve">(1) </w:t>
      </w:r>
      <w:r>
        <w:rPr>
          <w:rFonts w:ascii="Arial;sans-serif" w:hAnsi="Arial;sans-serif"/>
          <w:b w:val="false"/>
          <w:color w:val="000000"/>
          <w:sz w:val="16"/>
        </w:rPr>
        <w:t>Three months ended March 31, 2022</w:t>
      </w:r>
      <w:r>
        <w:rPr>
          <w:color w:val="000000"/>
        </w:rPr>
        <w:t xml:space="preserve"> </w:t>
      </w:r>
      <w:r>
        <w:rPr>
          <w:rFonts w:ascii="Arial;sans-serif" w:hAnsi="Arial;sans-serif"/>
          <w:b w:val="false"/>
          <w:color w:val="000000"/>
          <w:sz w:val="16"/>
        </w:rPr>
        <w:t>include participating securities which can be converted into a fixed amount of our shares.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For the three months ended March 31, 2023 and 2022, 57,175 and 771,689 shares, respectively, have been excluded from the calculation of Diluted EPS because the impact would be anti-dilutive.</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During the three months ended March 31, 2023 and 2022, we issued 12,165 and 8,311 ordinary shares to certain directors as compensation.</w:t>
      </w:r>
    </w:p>
    <w:p>
      <w:pPr>
        <w:pStyle w:val="TextBody"/>
        <w:spacing w:lineRule="auto" w:line="288" w:before="120" w:after="283"/>
        <w:jc w:val="both"/>
        <w:rPr>
          <w:rFonts w:ascii="Arial;sans-serif" w:hAnsi="Arial;sans-serif"/>
          <w:b/>
          <w:color w:val="00497F"/>
          <w:sz w:val="18"/>
        </w:rPr>
      </w:pPr>
      <w:r>
        <w:rPr>
          <w:rFonts w:ascii="Arial;sans-serif" w:hAnsi="Arial;sans-serif"/>
          <w:b/>
          <w:color w:val="00497F"/>
          <w:sz w:val="18"/>
        </w:rPr>
        <w:t>Preferred Shares</w:t>
      </w:r>
    </w:p>
    <w:p>
      <w:pPr>
        <w:pStyle w:val="TextBody"/>
        <w:spacing w:lineRule="auto" w:line="288" w:before="120" w:after="283"/>
        <w:jc w:val="both"/>
        <w:rPr/>
      </w:pPr>
      <w:r>
        <w:rPr>
          <w:rFonts w:ascii="Arial;sans-serif" w:hAnsi="Arial;sans-serif"/>
          <w:b w:val="false"/>
          <w:color w:val="000000"/>
          <w:sz w:val="18"/>
        </w:rPr>
        <w:t xml:space="preserve">In March 2023, in a public offering, we issued </w:t>
      </w:r>
      <w:r>
        <w:rPr>
          <w:rFonts w:ascii="Arial;sans-serif" w:hAnsi="Arial;sans-serif"/>
          <w:b w:val="false"/>
          <w:color w:val="000000"/>
          <w:sz w:val="18"/>
          <w:highlight w:val="white"/>
        </w:rPr>
        <w:t>2,600,000</w:t>
      </w:r>
      <w:r>
        <w:rPr>
          <w:color w:val="000000"/>
        </w:rPr>
        <w:t xml:space="preserve"> </w:t>
      </w:r>
      <w:r>
        <w:rPr>
          <w:rFonts w:ascii="Arial;sans-serif" w:hAnsi="Arial;sans-serif"/>
          <w:b w:val="false"/>
          <w:color w:val="000000"/>
          <w:sz w:val="18"/>
        </w:rPr>
        <w:t>shares of 9.50% Fixed-Rate Reset Series D Cumulative Perpetual Redeemable Preferred Shares (“Series D Preferred Shares”), par value $0.01 per share, with a liquidation preference of</w:t>
      </w:r>
      <w:r>
        <w:rPr>
          <w:color w:val="000000"/>
          <w:highlight w:val="white"/>
        </w:rPr>
        <w:t xml:space="preserve"> </w:t>
      </w:r>
      <w:r>
        <w:rPr>
          <w:rFonts w:ascii="Arial;sans-serif" w:hAnsi="Arial;sans-serif"/>
          <w:b w:val="false"/>
          <w:color w:val="000000"/>
          <w:sz w:val="18"/>
          <w:highlight w:val="white"/>
        </w:rPr>
        <w:t xml:space="preserve">$25.00 </w:t>
      </w:r>
      <w:r>
        <w:rPr>
          <w:rFonts w:ascii="Arial;sans-serif" w:hAnsi="Arial;sans-serif"/>
          <w:b w:val="false"/>
          <w:color w:val="000000"/>
          <w:sz w:val="18"/>
        </w:rPr>
        <w:t>per share for net proceeds before expenses of approximate</w:t>
      </w:r>
      <w:r>
        <w:rPr>
          <w:rFonts w:ascii="Arial;sans-serif" w:hAnsi="Arial;sans-serif"/>
          <w:b w:val="false"/>
          <w:color w:val="000000"/>
          <w:sz w:val="18"/>
          <w:highlight w:val="white"/>
        </w:rPr>
        <w:t>ly $63.0 million</w:t>
      </w:r>
      <w:r>
        <w:rPr>
          <w:rFonts w:ascii="Arial;sans-serif" w:hAnsi="Arial;sans-serif"/>
          <w:b w:val="false"/>
          <w:color w:val="000000"/>
          <w:sz w:val="18"/>
        </w:rPr>
        <w:t>. See Note 9 for information related to options issued to the Manager in connection with such offering.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sans-serif" w:hAnsi="Arial;sans-serif"/>
          <w:b/>
          <w:color w:val="00497F"/>
          <w:sz w:val="20"/>
        </w:rPr>
      </w:pPr>
      <w:r>
        <w:rPr>
          <w:rFonts w:ascii="Arial;sans-serif" w:hAnsi="Arial;sans-serif"/>
          <w:b/>
          <w:color w:val="00497F"/>
          <w:sz w:val="20"/>
        </w:rPr>
        <w:t xml:space="preserve">14. COMMITMENTS AND CONTINGENCIES </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In the normal course of business, the Company and its subsidiaries may be involved in various claims, legal proceedings, or may enter into contracts that contain a variety of representations and warranties and which provide general indemnifications. Within our offshore energy business, a lessee did not fulfill its obligation under its charter arrangement, therefore we are pursuing rights afforded to us under the charter and the range of potential losses against the obligation is $0.0 million to $3.3 million. Our maximum exposure under other arrangements is unknown as no additional claims have been made. We believe the risk of loss in connection with such arrangements is remote. </w:t>
      </w:r>
    </w:p>
    <w:p>
      <w:pPr>
        <w:pStyle w:val="TextBody"/>
        <w:spacing w:lineRule="auto" w:line="288" w:before="120" w:after="283"/>
        <w:jc w:val="both"/>
        <w:rPr/>
      </w:pPr>
      <w:r>
        <w:rPr>
          <w:rFonts w:ascii="Arial;sans-serif" w:hAnsi="Arial;sans-serif"/>
          <w:b w:val="false"/>
          <w:color w:val="000000"/>
          <w:sz w:val="18"/>
        </w:rPr>
        <w:t xml:space="preserve">The Company has contingent obligations under ASC 460, </w:t>
      </w:r>
      <w:r>
        <w:rPr>
          <w:rFonts w:ascii="Arial;sans-serif" w:hAnsi="Arial;sans-serif"/>
          <w:b w:val="false"/>
          <w:i/>
          <w:color w:val="000000"/>
          <w:sz w:val="18"/>
        </w:rPr>
        <w:t>Guarantees</w:t>
      </w:r>
      <w:r>
        <w:rPr>
          <w:rFonts w:ascii="Arial;sans-serif" w:hAnsi="Arial;sans-serif"/>
          <w:b w:val="false"/>
          <w:color w:val="000000"/>
          <w:sz w:val="18"/>
        </w:rPr>
        <w:t>, in connection with certain sales of aircraft on lease. Under the agreements, we provide certain guarantees at the end of the lease term for the condition of the aircraft engines that were sold to the buyer.</w:t>
      </w:r>
      <w:r>
        <w:rPr>
          <w:color w:val="000000"/>
        </w:rPr>
        <w:t xml:space="preserve"> </w:t>
      </w:r>
      <w:r>
        <w:rPr>
          <w:rFonts w:ascii="Arial;sans-serif" w:hAnsi="Arial;sans-serif"/>
          <w:b w:val="false"/>
          <w:color w:val="000000"/>
          <w:sz w:val="18"/>
        </w:rPr>
        <w:t>The guarantees are valued at $6.3 million and $3.8 million as of March 31, 2023 and December 31, 2022, respectively, and are reflected as a component of Other liabilities on the Consolidated Balance Sheets.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Given variability in the condition of the engines at the end of the lease terms, which range from 4 to 10 years, the maximum potential amount of undiscounted future payments that could be required under the guarantees at March 31, 2023 was $33.5 million, which is not reasonably expected.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32740"/>
                <wp:effectExtent l="0" t="0" r="0" b="0"/>
                <wp:wrapNone/>
                <wp:docPr id="29" name="Frame28"/>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497F"/>
          <w:sz w:val="20"/>
        </w:rPr>
      </w:pPr>
      <w:r>
        <w:rPr>
          <w:rFonts w:ascii="Arial;sans-serif" w:hAnsi="Arial;sans-serif"/>
          <w:b/>
          <w:color w:val="00497F"/>
          <w:sz w:val="20"/>
        </w:rPr>
        <w:t>FTAI AVIATION LTD.</w:t>
      </w:r>
    </w:p>
    <w:p>
      <w:pPr>
        <w:pStyle w:val="TextBody"/>
        <w:spacing w:lineRule="auto" w:line="288" w:before="0" w:after="0"/>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spacing w:lineRule="auto" w:line="288" w:before="0" w:after="0"/>
        <w:rPr/>
      </w:pPr>
      <w:r>
        <w:rPr>
          <w:rFonts w:ascii="Arial;sans-serif" w:hAnsi="Arial;sans-serif"/>
          <w:b w:val="false"/>
          <w:i/>
          <w:color w:val="00497F"/>
          <w:sz w:val="20"/>
        </w:rPr>
        <w:t>(Dollars in tables in thousands, unless otherwise noted)</w:t>
      </w:r>
      <w:r>
        <w:rPr>
          <w:color w:val="00497F"/>
        </w:rPr>
        <w:t xml:space="preserve"> </w:t>
      </w:r>
    </w:p>
    <w:p>
      <w:pPr>
        <w:pStyle w:val="TextBody"/>
        <w:spacing w:before="180" w:after="283"/>
        <w:ind w:left="0" w:right="0" w:hanging="720"/>
        <w:rPr/>
      </w:pPr>
      <w:r>
        <w:rPr/>
      </w:r>
    </w:p>
    <w:p>
      <w:pPr>
        <w:pStyle w:val="TextBody"/>
        <w:spacing w:lineRule="auto" w:line="288" w:before="180" w:after="283"/>
        <w:ind w:left="0" w:right="0" w:hanging="720"/>
        <w:rPr>
          <w:rFonts w:ascii="Arial;sans-serif" w:hAnsi="Arial;sans-serif"/>
          <w:b/>
          <w:color w:val="00497F"/>
          <w:sz w:val="20"/>
        </w:rPr>
      </w:pPr>
      <w:r>
        <w:rPr>
          <w:rFonts w:ascii="Arial;sans-serif" w:hAnsi="Arial;sans-serif"/>
          <w:b/>
          <w:color w:val="00497F"/>
          <w:sz w:val="20"/>
        </w:rPr>
        <w:t xml:space="preserve">15. SUBSEQUENT EVENTS </w:t>
      </w:r>
    </w:p>
    <w:p>
      <w:pPr>
        <w:pStyle w:val="TextBody"/>
        <w:spacing w:lineRule="auto" w:line="288" w:before="120" w:after="283"/>
        <w:jc w:val="both"/>
        <w:rPr>
          <w:rFonts w:ascii="Arial;sans-serif" w:hAnsi="Arial;sans-serif"/>
          <w:b/>
          <w:color w:val="00497F"/>
          <w:sz w:val="18"/>
        </w:rPr>
      </w:pPr>
      <w:r>
        <w:rPr>
          <w:rFonts w:ascii="Arial;sans-serif" w:hAnsi="Arial;sans-serif"/>
          <w:b/>
          <w:color w:val="00497F"/>
          <w:sz w:val="18"/>
        </w:rPr>
        <w:t>Dividends</w:t>
      </w:r>
    </w:p>
    <w:p>
      <w:pPr>
        <w:pStyle w:val="TextBody"/>
        <w:spacing w:lineRule="auto" w:line="288" w:before="120" w:after="283"/>
        <w:jc w:val="both"/>
        <w:rPr/>
      </w:pPr>
      <w:r>
        <w:rPr>
          <w:rFonts w:ascii="Arial;sans-serif" w:hAnsi="Arial;sans-serif"/>
          <w:b w:val="false"/>
          <w:color w:val="000000"/>
          <w:sz w:val="18"/>
        </w:rPr>
        <w:t xml:space="preserve">On April 25, 2023, our Board of Directors declared a cash dividend on our ordinary shares and eligible participating securities of </w:t>
      </w:r>
      <w:r>
        <w:rPr>
          <w:rFonts w:ascii="Arial;sans-serif" w:hAnsi="Arial;sans-serif"/>
          <w:b w:val="false"/>
          <w:color w:val="000000"/>
          <w:sz w:val="18"/>
          <w:highlight w:val="yellow"/>
        </w:rPr>
        <w:t>$0.30</w:t>
      </w:r>
      <w:r>
        <w:rPr>
          <w:color w:val="000000"/>
        </w:rPr>
        <w:t xml:space="preserve"> </w:t>
      </w:r>
      <w:r>
        <w:rPr>
          <w:rFonts w:ascii="Arial;sans-serif" w:hAnsi="Arial;sans-serif"/>
          <w:b w:val="false"/>
          <w:color w:val="000000"/>
          <w:sz w:val="18"/>
        </w:rPr>
        <w:t xml:space="preserve">per share for the quarter ended March 31, 2023, payable on </w:t>
      </w:r>
      <w:r>
        <w:rPr>
          <w:rFonts w:ascii="Arial;sans-serif" w:hAnsi="Arial;sans-serif"/>
          <w:b w:val="false"/>
          <w:color w:val="000000"/>
          <w:sz w:val="18"/>
          <w:highlight w:val="yellow"/>
        </w:rPr>
        <w:t>May 23, 2023</w:t>
      </w:r>
      <w:r>
        <w:rPr>
          <w:color w:val="000000"/>
        </w:rPr>
        <w:t xml:space="preserve"> </w:t>
      </w:r>
      <w:r>
        <w:rPr>
          <w:rFonts w:ascii="Arial;sans-serif" w:hAnsi="Arial;sans-serif"/>
          <w:b w:val="false"/>
          <w:color w:val="000000"/>
          <w:sz w:val="18"/>
        </w:rPr>
        <w:t xml:space="preserve">to the holders of record on </w:t>
      </w:r>
      <w:r>
        <w:rPr>
          <w:rFonts w:ascii="Arial;sans-serif" w:hAnsi="Arial;sans-serif"/>
          <w:b w:val="false"/>
          <w:color w:val="000000"/>
          <w:sz w:val="18"/>
          <w:highlight w:val="yellow"/>
        </w:rPr>
        <w:t>May 12, 2023</w:t>
      </w:r>
      <w:r>
        <w:rPr>
          <w:rFonts w:ascii="Arial;sans-serif" w:hAnsi="Arial;sans-serif"/>
          <w:b w:val="false"/>
          <w:color w:val="000000"/>
          <w:sz w:val="18"/>
        </w:rPr>
        <w:t>.</w:t>
      </w:r>
    </w:p>
    <w:p>
      <w:pPr>
        <w:pStyle w:val="TextBody"/>
        <w:spacing w:lineRule="auto" w:line="288" w:before="120" w:after="283"/>
        <w:jc w:val="both"/>
        <w:rPr/>
      </w:pPr>
      <w:r>
        <w:rPr>
          <w:rFonts w:ascii="Arial;sans-serif" w:hAnsi="Arial;sans-serif"/>
          <w:b w:val="false"/>
          <w:color w:val="000000"/>
          <w:sz w:val="18"/>
        </w:rPr>
        <w:t>Additionally, on April 25, 2023, our Board of Directors also declared cash dividends on the Series A Preferred Shares, Series B Preferred Shares, Series C Preferred Shares and Series D Preferred Shares of $</w:t>
      </w:r>
      <w:r>
        <w:rPr>
          <w:rFonts w:ascii="Arial;sans-serif" w:hAnsi="Arial;sans-serif"/>
          <w:b w:val="false"/>
          <w:color w:val="000000"/>
          <w:sz w:val="18"/>
          <w:highlight w:val="yellow"/>
        </w:rPr>
        <w:t>0.52</w:t>
      </w:r>
      <w:r>
        <w:rPr>
          <w:rFonts w:ascii="Arial;sans-serif" w:hAnsi="Arial;sans-serif"/>
          <w:b w:val="false"/>
          <w:color w:val="000000"/>
          <w:sz w:val="18"/>
        </w:rPr>
        <w:t xml:space="preserve">, </w:t>
      </w:r>
      <w:r>
        <w:rPr>
          <w:rFonts w:ascii="Arial;sans-serif" w:hAnsi="Arial;sans-serif"/>
          <w:b w:val="false"/>
          <w:color w:val="000000"/>
          <w:sz w:val="18"/>
          <w:highlight w:val="yellow"/>
        </w:rPr>
        <w:t>$0.50</w:t>
      </w:r>
      <w:r>
        <w:rPr>
          <w:rFonts w:ascii="Arial;sans-serif" w:hAnsi="Arial;sans-serif"/>
          <w:b w:val="false"/>
          <w:color w:val="000000"/>
          <w:sz w:val="18"/>
        </w:rPr>
        <w:t xml:space="preserve">, </w:t>
      </w:r>
      <w:r>
        <w:rPr>
          <w:rFonts w:ascii="Arial;sans-serif" w:hAnsi="Arial;sans-serif"/>
          <w:b w:val="false"/>
          <w:color w:val="000000"/>
          <w:sz w:val="18"/>
          <w:highlight w:val="yellow"/>
        </w:rPr>
        <w:t>$0.52</w:t>
      </w:r>
      <w:r>
        <w:rPr>
          <w:color w:val="000000"/>
        </w:rPr>
        <w:t xml:space="preserve"> </w:t>
      </w:r>
      <w:r>
        <w:rPr>
          <w:rFonts w:ascii="Arial;sans-serif" w:hAnsi="Arial;sans-serif"/>
          <w:b w:val="false"/>
          <w:color w:val="000000"/>
          <w:sz w:val="18"/>
        </w:rPr>
        <w:t xml:space="preserve">and </w:t>
      </w:r>
      <w:r>
        <w:rPr>
          <w:rFonts w:ascii="Arial;sans-serif" w:hAnsi="Arial;sans-serif"/>
          <w:b w:val="false"/>
          <w:color w:val="000000"/>
          <w:sz w:val="18"/>
          <w:highlight w:val="yellow"/>
        </w:rPr>
        <w:t>$0.59</w:t>
      </w:r>
      <w:r>
        <w:rPr>
          <w:color w:val="000000"/>
        </w:rPr>
        <w:t xml:space="preserve"> </w:t>
      </w:r>
      <w:r>
        <w:rPr>
          <w:rFonts w:ascii="Arial;sans-serif" w:hAnsi="Arial;sans-serif"/>
          <w:b w:val="false"/>
          <w:color w:val="000000"/>
          <w:sz w:val="18"/>
        </w:rPr>
        <w:t xml:space="preserve">per share, respectively, payable on </w:t>
      </w:r>
      <w:r>
        <w:rPr>
          <w:rFonts w:ascii="Arial;sans-serif" w:hAnsi="Arial;sans-serif"/>
          <w:b w:val="false"/>
          <w:color w:val="000000"/>
          <w:sz w:val="18"/>
          <w:highlight w:val="yellow"/>
        </w:rPr>
        <w:t>June 15, 2023</w:t>
      </w:r>
      <w:r>
        <w:rPr>
          <w:color w:val="000000"/>
        </w:rPr>
        <w:t xml:space="preserve"> </w:t>
      </w:r>
      <w:r>
        <w:rPr>
          <w:rFonts w:ascii="Arial;sans-serif" w:hAnsi="Arial;sans-serif"/>
          <w:b w:val="false"/>
          <w:color w:val="000000"/>
          <w:sz w:val="18"/>
        </w:rPr>
        <w:t xml:space="preserve">to the holders of record on </w:t>
      </w:r>
      <w:r>
        <w:rPr>
          <w:rFonts w:ascii="Arial;sans-serif" w:hAnsi="Arial;sans-serif"/>
          <w:b w:val="false"/>
          <w:color w:val="000000"/>
          <w:sz w:val="18"/>
          <w:highlight w:val="yellow"/>
        </w:rPr>
        <w:t>June 1, 2023</w:t>
      </w:r>
      <w:r>
        <w:rPr>
          <w:rFonts w:ascii="Arial;sans-serif" w:hAnsi="Arial;sans-serif"/>
          <w:b w:val="false"/>
          <w:color w:val="000000"/>
          <w:sz w:val="18"/>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32740"/>
                <wp:effectExtent l="0" t="0" r="0" b="0"/>
                <wp:wrapNone/>
                <wp:docPr id="30" name="Frame29"/>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p>
                      <w:pPr>
                        <w:pStyle w:val="TextBody"/>
                        <w:spacing w:before="0" w:after="0"/>
                        <w:rPr/>
                      </w:pPr>
                      <w:r>
                        <w:rPr/>
                      </w:r>
                    </w:p>
                  </w:txbxContent>
                </v:textbox>
              </v:rect>
            </w:pict>
          </mc:Fallback>
        </mc:AlternateContent>
      </w:r>
    </w:p>
    <w:p>
      <w:pPr>
        <w:pStyle w:val="TextBody"/>
        <w:spacing w:before="0" w:after="0"/>
        <w:rPr/>
      </w:pPr>
      <w:r>
        <w:rPr/>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6EBF"/>
          <w:sz w:val="20"/>
        </w:rPr>
      </w:pPr>
      <w:r>
        <w:rPr>
          <w:rFonts w:ascii="Arial;sans-serif" w:hAnsi="Arial;sans-serif"/>
          <w:b/>
          <w:color w:val="006EBF"/>
          <w:sz w:val="20"/>
        </w:rPr>
        <w:t>Item 2. Management’s Discussion and Analysis of Financial Condition and Results of Operations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Management’s Discussion and Analysis of Financial Condition and Results of Operations (“MD&amp;A”) is intended to help you understand FTAI Aviation Ltd. (the “Company,” “we,” “our” or “us”). Our MD&amp;A should be read in conjunction with our unaudited consolidated financial statements and the accompanying notes, and with Part II, Item 1A, “Risk Factors” included elsewhere in this Quarterly Report on Form 10-Q.</w:t>
      </w:r>
    </w:p>
    <w:p>
      <w:pPr>
        <w:pStyle w:val="TextBody"/>
        <w:spacing w:lineRule="auto" w:line="288" w:before="120" w:after="283"/>
        <w:rPr>
          <w:rFonts w:ascii="Arial;sans-serif" w:hAnsi="Arial;sans-serif"/>
          <w:b/>
          <w:color w:val="00497F"/>
          <w:sz w:val="18"/>
        </w:rPr>
      </w:pPr>
      <w:r>
        <w:rPr>
          <w:rFonts w:ascii="Arial;sans-serif" w:hAnsi="Arial;sans-serif"/>
          <w:b/>
          <w:color w:val="00497F"/>
          <w:sz w:val="18"/>
        </w:rPr>
        <w:t xml:space="preserve">Overview </w:t>
      </w:r>
    </w:p>
    <w:p>
      <w:pPr>
        <w:pStyle w:val="TextBody"/>
        <w:spacing w:lineRule="auto" w:line="288" w:before="120" w:after="283"/>
        <w:jc w:val="both"/>
        <w:rPr/>
      </w:pPr>
      <w:r>
        <w:rPr>
          <w:rFonts w:ascii="Arial;sans-serif" w:hAnsi="Arial;sans-serif"/>
          <w:b w:val="false"/>
          <w:color w:val="000000"/>
          <w:sz w:val="18"/>
        </w:rPr>
        <w:t>We own, lease and sell aviation equipment. We also develop and manufacture through a joint venture, and repair and sell, through exclusivity arrangements, aftermarket components for aircraft engines. Additionally, we own and lease offshore energy equipment. We target assets that, on a combined basis, generate strong cash flows with potential for earnings growth and asset appreciation. We believe that there is a large number of acquisition opportunities in our markets and that our Manager’s expertise and business and financing relationships, together with our access to capital, will allow us to take advantage of these opportunities. We are externally managed by FIG LLC (the “Manager”), an affiliate of Fortress Investment Group LLC (“Fortress”), which has a dedicated team of experienced professionals focused on the acquisition of transportation assets since 2002. As of March 31, 2023, we had total consolidated assets of $2.4 billion</w:t>
      </w:r>
      <w:r>
        <w:rPr>
          <w:color w:val="000000"/>
          <w:highlight w:val="white"/>
        </w:rPr>
        <w:t xml:space="preserve"> </w:t>
      </w:r>
      <w:r>
        <w:rPr>
          <w:rFonts w:ascii="Arial;sans-serif" w:hAnsi="Arial;sans-serif"/>
          <w:b w:val="false"/>
          <w:color w:val="000000"/>
          <w:sz w:val="18"/>
          <w:highlight w:val="white"/>
        </w:rPr>
        <w:t>and total equity of $74.2 million</w:t>
      </w:r>
      <w:r>
        <w:rPr>
          <w:rFonts w:ascii="Arial;sans-serif" w:hAnsi="Arial;sans-serif"/>
          <w:b w:val="false"/>
          <w:color w:val="000000"/>
          <w:sz w:val="18"/>
        </w:rPr>
        <w:t>.</w:t>
      </w:r>
    </w:p>
    <w:p>
      <w:pPr>
        <w:pStyle w:val="TextBody"/>
        <w:spacing w:lineRule="auto" w:line="288" w:before="120" w:after="283"/>
        <w:jc w:val="both"/>
        <w:rPr>
          <w:rFonts w:ascii="Arial;sans-serif" w:hAnsi="Arial;sans-serif"/>
          <w:b/>
          <w:color w:val="00497F"/>
          <w:sz w:val="18"/>
        </w:rPr>
      </w:pPr>
      <w:r>
        <w:rPr>
          <w:rFonts w:ascii="Arial;sans-serif" w:hAnsi="Arial;sans-serif"/>
          <w:b/>
          <w:color w:val="00497F"/>
          <w:sz w:val="18"/>
        </w:rPr>
        <w:t>Impact of Russia’s Invasion of Ukraine</w:t>
      </w:r>
    </w:p>
    <w:p>
      <w:pPr>
        <w:pStyle w:val="TextBody"/>
        <w:spacing w:lineRule="auto" w:line="288" w:before="120" w:after="283"/>
        <w:jc w:val="both"/>
        <w:rPr/>
      </w:pPr>
      <w:r>
        <w:rPr>
          <w:rFonts w:ascii="Arial;sans-serif" w:hAnsi="Arial;sans-serif"/>
          <w:b w:val="false"/>
          <w:color w:val="000000"/>
          <w:sz w:val="18"/>
          <w:highlight w:val="white"/>
        </w:rPr>
        <w:t xml:space="preserve">Economic sanctions and export controls against Russia and Russia’s aviation industry were imposed due to its invasion of Ukraine during the three months ended March 31, 2022. As a result of the sanctions imposed on Russian airlines, we terminated all lease agreements with Russian airlines. </w:t>
      </w:r>
      <w:r>
        <w:rPr>
          <w:rFonts w:ascii="Arial;sans-serif" w:hAnsi="Arial;sans-serif"/>
          <w:b w:val="false"/>
          <w:color w:val="000000"/>
          <w:sz w:val="18"/>
        </w:rPr>
        <w:t>We determined that it is unlikely that we will regain possession of the aircraft and engines that had not yet been recovered from Ukraine and Russia. As a result, during the three months ended March 31, 2022, we recognized an impairment charge totaling $122.8 million, net of maintenance deposits, to write-off the entire carrying value of leasing equipment assets that we did not expect to recover from Ukraine and Russia. As of March 31, 2023, four aircraft and one engine were still located in Ukraine and eight aircraft and seventeen engines were still located in Russia.</w:t>
      </w:r>
      <w:r>
        <w:rPr>
          <w:color w:val="000000"/>
          <w:highlight w:val="white"/>
        </w:rPr>
        <w:t xml:space="preserve"> </w:t>
      </w:r>
    </w:p>
    <w:p>
      <w:pPr>
        <w:pStyle w:val="TextBody"/>
        <w:spacing w:lineRule="auto" w:line="288" w:before="120" w:after="283"/>
        <w:jc w:val="both"/>
        <w:rPr>
          <w:rFonts w:ascii="Arial;sans-serif" w:hAnsi="Arial;sans-serif"/>
          <w:b w:val="false"/>
          <w:color w:val="000000"/>
          <w:sz w:val="18"/>
          <w:highlight w:val="white"/>
        </w:rPr>
      </w:pPr>
      <w:r>
        <w:rPr>
          <w:rFonts w:ascii="Arial;sans-serif" w:hAnsi="Arial;sans-serif"/>
          <w:b w:val="false"/>
          <w:color w:val="000000"/>
          <w:sz w:val="18"/>
          <w:highlight w:val="white"/>
        </w:rPr>
        <w:t>Our lessees are required to provide insurance coverage with respect to leased aircraft and engines, and we are named as insureds under those policies in the event of a total loss of an aircraft or engine. We also purchase insurance which provides us with coverage when our aircraft or engines are not subject to a lease or where a lessee’s policy fails to indemnify us. The insured value of the aircraft and engines that remain in Ukraine and Russia is approximately $274.0 million. We intend to pursue all our claims under these policies. However, the timing and amount of any recoveries under these policies are uncertain.</w:t>
      </w:r>
    </w:p>
    <w:p>
      <w:pPr>
        <w:pStyle w:val="TextBody"/>
        <w:spacing w:lineRule="auto" w:line="288" w:before="120" w:after="283"/>
        <w:jc w:val="both"/>
        <w:rPr>
          <w:rFonts w:ascii="Arial;sans-serif" w:hAnsi="Arial;sans-serif"/>
          <w:b w:val="false"/>
          <w:color w:val="000000"/>
          <w:sz w:val="18"/>
          <w:highlight w:val="white"/>
        </w:rPr>
      </w:pPr>
      <w:r>
        <w:rPr>
          <w:rFonts w:ascii="Arial;sans-serif" w:hAnsi="Arial;sans-serif"/>
          <w:b w:val="false"/>
          <w:color w:val="000000"/>
          <w:sz w:val="18"/>
          <w:highlight w:val="white"/>
        </w:rPr>
        <w:t>The extent of the impact of Russia’s invasion of Ukraine and the related sanctions on our operational and financial performance, including the ability for us to recover our leasing equipment in the region, will depend on future developments, including the duration of the conflict, sanctions and restrictions imposed by Russian and international governments, all of which remain uncertain.</w:t>
      </w:r>
    </w:p>
    <w:p>
      <w:pPr>
        <w:pStyle w:val="TextBody"/>
        <w:spacing w:lineRule="auto" w:line="288" w:before="120" w:after="283"/>
        <w:jc w:val="both"/>
        <w:rPr>
          <w:rFonts w:ascii="Arial;sans-serif" w:hAnsi="Arial;sans-serif"/>
          <w:b/>
          <w:color w:val="00497F"/>
          <w:sz w:val="18"/>
        </w:rPr>
      </w:pPr>
      <w:r>
        <w:rPr>
          <w:rFonts w:ascii="Arial;sans-serif" w:hAnsi="Arial;sans-serif"/>
          <w:b/>
          <w:color w:val="00497F"/>
          <w:sz w:val="18"/>
        </w:rPr>
        <w:t>Spin-Off of FTAI Infrastructure Inc. (“FTAI Infrastructure”)</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August 1, 2022, we effected a spin-off of our infrastructure business held by FTAI Infrastructure (a wholly-owned subsidiary of the Company) as a distribution of all of the shares owned by the Company of common stock of FTAI Infrastructure to the holders of the Company’s ordinary shares as of July 21, 2022.</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FTAI Infrastructure is a corporation for U.S. federal income tax purposes and holds, among other things, the Company’s previously held interests in the (i) Jefferson Terminal business, (ii) Repauno business, (iii) Long Ridge investment, and (iv) Transtar business. FTAI Infrastructure retained all related project-level debt of those entities. In connection with the spin-off, FTAI Infrastructure paid a dividend of $730.3 million to the Company. The Company used these proceeds to repay all outstanding borrowings under its 2021 bridge loans, $200.0 million of its 6.50% senior unsecured notes due 2025, and approximately $175.0 million of the outstanding borrowings under its revolving credit facility. Fortress Transportation and Infrastructure Investors LLC (“FTAI LLC”) retained the aviation business and certain other assets, and FTAI LLC’s remaining outstanding corporate indebtedness.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In connection with the spin-off, the Company and the Manager assigned the Company’s then-existing management agreement to FTAI Infrastructure, and FTAI Infrastructure and the Manager executed an amended and restated agreement. The Company and certain of its subsidiaries executed a new management agreement with the Manager. The new management agreement has an initial term of six years. The Manager is entitled to a management fee and reimbursement of certain expenses on substantially similar terms as the previous arrangements with the Manager, which were assigned to FTAI Infrastructure. Prior to the Merger described below, our Manager remained entitled to incentive allocations (comprised of income incentive allocation and capital gains incentive allocation) on the same terms as they existed prior to spin-off. Following the Merger, the Company entered into a Services and Profit Sharing Agreement (the “Services and Profit Sharing Agreement”), with a subsidiary of the Company and Fortress Worldwide Transportation and Infrastructure Master GP LLC (“Master GP”), pursuant to which Master GP is entitled to incentive payments on substantially similar terms as the previous arrangements. </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On November 10, 2022, the Company completed the transactions set forth in the Agreement and Plan of Merger (the “Merger”) between FTAI LLC and FTAI Aviation Ltd. and certain other parties, with FTAI LLC becoming a subsidiary of the company. As a result of the merger, FTAI Aviation Ltd. became a Cayman Islands exempted company. Upon merger completion, FTAI LLC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32740"/>
                <wp:effectExtent l="0" t="0" r="0" b="0"/>
                <wp:wrapNone/>
                <wp:docPr id="31" name="Frame30"/>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public common shareholders’ shares of the Company were exchanged automatically for shares of FTAI Aviation Ltd. without any further action from the shareholders.</w:t>
      </w:r>
    </w:p>
    <w:p>
      <w:pPr>
        <w:pStyle w:val="TextBody"/>
        <w:spacing w:lineRule="auto" w:line="288" w:before="120" w:after="283"/>
        <w:jc w:val="both"/>
        <w:rPr>
          <w:rFonts w:ascii="Arial;sans-serif" w:hAnsi="Arial;sans-serif"/>
          <w:b/>
          <w:color w:val="00497F"/>
          <w:sz w:val="18"/>
        </w:rPr>
      </w:pPr>
      <w:r>
        <w:rPr>
          <w:rFonts w:ascii="Arial;sans-serif" w:hAnsi="Arial;sans-serif"/>
          <w:b/>
          <w:color w:val="00497F"/>
          <w:sz w:val="18"/>
        </w:rPr>
        <w:t xml:space="preserve">Operating Segments </w:t>
      </w:r>
    </w:p>
    <w:p>
      <w:pPr>
        <w:pStyle w:val="TextBody"/>
        <w:spacing w:lineRule="auto" w:line="288" w:before="120" w:after="283"/>
        <w:jc w:val="both"/>
        <w:rPr/>
      </w:pPr>
      <w:r>
        <w:rPr>
          <w:rFonts w:ascii="Arial;sans-serif" w:hAnsi="Arial;sans-serif"/>
          <w:b w:val="false"/>
          <w:color w:val="000000"/>
          <w:sz w:val="18"/>
        </w:rPr>
        <w:t xml:space="preserve">As a result of the spin-off of FTAI Infrastructure effective August 1, 2022, the Company reevaluated its operating segments. The key factors used to identify the reportable segments are the organization and alignment of our internal operations and the nature of our products and services. Our two reportable segments are (i) Aviation Leasing and (ii) Aerospace Products. The Aviation Leasing segment owns and manages aviation assets, including aircraft and aircraft engines, which it leases and sells to customers. The Aerospace Products segment develops and manufactures through a joint venture, and repairs and sells, through exclusivity arrangements, aircraft engines and aftermarket components for aircraft engines. The interim period discloses the reportable segments on this basis, and prior periods have been restated to reflect the change in accordance with the requirements of ASC 280, </w:t>
      </w:r>
      <w:r>
        <w:rPr>
          <w:rFonts w:ascii="Arial;sans-serif" w:hAnsi="Arial;sans-serif"/>
          <w:b w:val="false"/>
          <w:i/>
          <w:color w:val="000000"/>
          <w:sz w:val="18"/>
        </w:rPr>
        <w:t>Segment Reporting</w:t>
      </w:r>
      <w:r>
        <w:rPr>
          <w:rFonts w:ascii="Arial;sans-serif" w:hAnsi="Arial;sans-serif"/>
          <w:b w:val="false"/>
          <w:color w:val="000000"/>
          <w:sz w:val="18"/>
        </w:rPr>
        <w:t>.</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Corporate and Other primarily consists of debt, unallocated corporate general and administrative expenses, shared services costs, and management fees. Additionally, Corporate and Other also includes offshore energy related assets, which consist of vessels and equipment that support offshore oil and gas activities and production which are typically subject to operating leases.</w:t>
      </w:r>
    </w:p>
    <w:p>
      <w:pPr>
        <w:pStyle w:val="TextBody"/>
        <w:spacing w:lineRule="auto" w:line="268" w:before="120" w:after="283"/>
        <w:jc w:val="both"/>
        <w:rPr>
          <w:rFonts w:ascii="Arial;sans-serif" w:hAnsi="Arial;sans-serif"/>
          <w:b/>
          <w:color w:val="00497F"/>
          <w:sz w:val="18"/>
        </w:rPr>
      </w:pPr>
      <w:r>
        <w:rPr>
          <w:rFonts w:ascii="Arial;sans-serif" w:hAnsi="Arial;sans-serif"/>
          <w:b/>
          <w:color w:val="00497F"/>
          <w:sz w:val="18"/>
        </w:rPr>
        <w:t>Our Manager</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December 27, 2017, SoftBank Group Corp. (“SoftBank”) completed its acquisition of Fortress (the “SoftBank Merger”). In connection with the Softbank Merger, Fortress operates within SoftBank as an independent business headquartered in New York.</w:t>
      </w:r>
    </w:p>
    <w:p>
      <w:pPr>
        <w:pStyle w:val="TextBody"/>
        <w:spacing w:lineRule="auto" w:line="288" w:before="120" w:after="283"/>
        <w:jc w:val="both"/>
        <w:rPr>
          <w:rFonts w:ascii="Arial;sans-serif" w:hAnsi="Arial;sans-serif"/>
          <w:b/>
          <w:color w:val="00497F"/>
          <w:sz w:val="18"/>
        </w:rPr>
      </w:pPr>
      <w:r>
        <w:rPr>
          <w:rFonts w:ascii="Arial;sans-serif" w:hAnsi="Arial;sans-serif"/>
          <w:b/>
          <w:color w:val="00497F"/>
          <w:sz w:val="18"/>
        </w:rPr>
        <w:t xml:space="preserve">Results of Operations </w:t>
      </w:r>
    </w:p>
    <w:p>
      <w:pPr>
        <w:pStyle w:val="TextBody"/>
        <w:spacing w:lineRule="auto" w:line="288" w:before="120" w:after="283"/>
        <w:jc w:val="both"/>
        <w:rPr>
          <w:rFonts w:ascii="Arial;sans-serif" w:hAnsi="Arial;sans-serif"/>
          <w:b/>
          <w:i/>
          <w:color w:val="00497F"/>
          <w:sz w:val="18"/>
        </w:rPr>
      </w:pPr>
      <w:r>
        <w:rPr>
          <w:rFonts w:ascii="Arial;sans-serif" w:hAnsi="Arial;sans-serif"/>
          <w:b/>
          <w:i/>
          <w:color w:val="00497F"/>
          <w:sz w:val="18"/>
        </w:rPr>
        <w:t>Adjusted EBITDA (Non-GAAP)</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chief operating decision maker (“CODM”) utilizes Adjusted EBITDA as the key performance measure. Adjusted EBITDA is not a financial measure in accordance with U.S. generally accepted accounting principles (“U.S. GAAP”). This performance measure provides the CODM with the information necessary to assess operational performance and make resource and allocation decisions. We believe Adjusted EBITDA is a useful metric for investors and analysts for similar purposes of assessing our operational performance.</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During the third quarter of 2022, the Company updated its measure of segment profit to include the add back of dividends on preferred shares in Adjusted EBITDA. Adjusted EBITDA is defined as net income (loss) attributable to shareholders from continuing operations,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dividends on preferred shares and interest expense, (b) to include the impact of our pro-rata share of Adjusted EBITDA from unconsolidated entities and (c) to exclude the impact of equity in earnings (losses) of unconsolidated entities and the non-controlling share of Adjusted EBITDA.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32740"/>
                <wp:effectExtent l="0" t="0" r="0" b="0"/>
                <wp:wrapNone/>
                <wp:docPr id="32" name="Frame31"/>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color w:val="00497F"/>
          <w:sz w:val="18"/>
        </w:rPr>
      </w:pPr>
      <w:r>
        <w:rPr>
          <w:rFonts w:ascii="Arial;sans-serif" w:hAnsi="Arial;sans-serif"/>
          <w:b/>
          <w:color w:val="00497F"/>
          <w:sz w:val="18"/>
        </w:rPr>
        <w:t>Comparison of the three months ended March 31, 2023 and 2022</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our consolidated results of operations:</w:t>
      </w:r>
    </w:p>
    <w:tbl>
      <w:tblPr>
        <w:tblW w:w="10205" w:type="dxa"/>
        <w:jc w:val="left"/>
        <w:tblInd w:w="0" w:type="dxa"/>
        <w:tblCellMar>
          <w:top w:w="28" w:type="dxa"/>
          <w:left w:w="28" w:type="dxa"/>
          <w:bottom w:w="28" w:type="dxa"/>
          <w:right w:w="28" w:type="dxa"/>
        </w:tblCellMar>
      </w:tblPr>
      <w:tblGrid>
        <w:gridCol w:w="2043"/>
        <w:gridCol w:w="1779"/>
        <w:gridCol w:w="1784"/>
        <w:gridCol w:w="206"/>
        <w:gridCol w:w="696"/>
        <w:gridCol w:w="114"/>
        <w:gridCol w:w="114"/>
        <w:gridCol w:w="114"/>
        <w:gridCol w:w="114"/>
        <w:gridCol w:w="206"/>
        <w:gridCol w:w="849"/>
        <w:gridCol w:w="114"/>
        <w:gridCol w:w="109"/>
        <w:gridCol w:w="109"/>
        <w:gridCol w:w="109"/>
        <w:gridCol w:w="196"/>
        <w:gridCol w:w="736"/>
        <w:gridCol w:w="109"/>
        <w:gridCol w:w="109"/>
        <w:gridCol w:w="109"/>
        <w:gridCol w:w="109"/>
        <w:gridCol w:w="109"/>
        <w:gridCol w:w="109"/>
        <w:gridCol w:w="159"/>
      </w:tblGrid>
      <w:tr>
        <w:trPr/>
        <w:tc>
          <w:tcPr>
            <w:tcW w:w="2043" w:type="dxa"/>
            <w:tcBorders/>
            <w:shd w:fill="auto" w:val="clear"/>
            <w:vAlign w:val="center"/>
          </w:tcPr>
          <w:p>
            <w:pPr>
              <w:pStyle w:val="TableContents"/>
              <w:spacing w:before="0" w:after="283"/>
              <w:rPr>
                <w:sz w:val="4"/>
                <w:szCs w:val="4"/>
              </w:rPr>
            </w:pPr>
            <w:r>
              <w:rPr>
                <w:sz w:val="4"/>
                <w:szCs w:val="4"/>
              </w:rPr>
            </w:r>
          </w:p>
        </w:tc>
        <w:tc>
          <w:tcPr>
            <w:tcW w:w="1779" w:type="dxa"/>
            <w:tcBorders/>
            <w:shd w:fill="auto" w:val="clear"/>
            <w:vAlign w:val="center"/>
          </w:tcPr>
          <w:p>
            <w:pPr>
              <w:pStyle w:val="TableContents"/>
              <w:spacing w:before="0" w:after="283"/>
              <w:rPr>
                <w:sz w:val="4"/>
                <w:szCs w:val="4"/>
              </w:rPr>
            </w:pPr>
            <w:r>
              <w:rPr>
                <w:sz w:val="4"/>
                <w:szCs w:val="4"/>
              </w:rPr>
            </w:r>
          </w:p>
        </w:tc>
        <w:tc>
          <w:tcPr>
            <w:tcW w:w="178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gridSpan w:val="2"/>
            <w:tcBorders/>
            <w:shd w:fill="auto" w:val="clear"/>
          </w:tcPr>
          <w:p>
            <w:pPr>
              <w:pStyle w:val="TableContents"/>
              <w:spacing w:before="0" w:after="283"/>
              <w:rPr>
                <w:sz w:val="4"/>
                <w:szCs w:val="4"/>
              </w:rPr>
            </w:pPr>
            <w:r>
              <w:rPr>
                <w:sz w:val="4"/>
                <w:szCs w:val="4"/>
              </w:rPr>
            </w:r>
          </w:p>
        </w:tc>
      </w:tr>
      <w:tr>
        <w:trPr/>
        <w:tc>
          <w:tcPr>
            <w:tcW w:w="56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tcPr>
          <w:p>
            <w:pPr>
              <w:pStyle w:val="TableContents"/>
              <w:spacing w:before="0" w:after="283"/>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2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55,978</w:t>
            </w: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39,325 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35,141</w:t>
            </w: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36,732 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sales revenue</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108,691</w:t>
            </w: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108,691 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products revenue</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85,113</w:t>
            </w: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14,313 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70,800 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7,795</w:t>
            </w: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1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1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1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1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1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1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1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1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revenues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292,718</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91,691 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0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145,670</w:t>
            </w: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136,620 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22,534</w:t>
            </w: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61,799 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4,067</w:t>
            </w: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3,262</w:t>
            </w: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 and incentive allocation to affiliate</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2,997</w:t>
            </w: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40,926</w:t>
            </w: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41,305 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1,220</w:t>
            </w: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122,790 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39,292</w:t>
            </w: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44,139 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expenses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259,968</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285,920 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Other (expense) income</w:t>
            </w:r>
          </w:p>
        </w:tc>
        <w:tc>
          <w:tcPr>
            <w:tcW w:w="10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earnings of unconsolidated entities</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(1,335)</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assets, net</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16,288 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(16,288)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1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w:t>
            </w: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other (expense) income</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(1,327)</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16,614 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Income (loss) from before income taxes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31,423</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(177,615)</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2,026</w:t>
            </w: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from continued operations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29,397</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(178,954)</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from discontinued operations, net of income taxes</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(50,705)</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29,397</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(229,659)</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 in consolidated subsidiaries:</w:t>
            </w:r>
          </w:p>
        </w:tc>
        <w:tc>
          <w:tcPr>
            <w:tcW w:w="10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Continued operations</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(7,466)</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6,791</w:t>
            </w: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22,606</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(228,984)</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251,590 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before="120" w:after="283"/>
        <w:ind w:left="0" w:right="0" w:hanging="180"/>
        <w:jc w:val="both"/>
        <w:rPr/>
      </w:pPr>
      <w:r>
        <w:rPr/>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32740"/>
                <wp:effectExtent l="0" t="0" r="0" b="0"/>
                <wp:wrapNone/>
                <wp:docPr id="33" name="Frame32"/>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sets forth a reconciliation of net income (loss) attributable to shareholders from continuing operations to Adjusted EBITDA:</w:t>
      </w:r>
    </w:p>
    <w:tbl>
      <w:tblPr>
        <w:tblW w:w="10205" w:type="dxa"/>
        <w:jc w:val="left"/>
        <w:tblInd w:w="0" w:type="dxa"/>
        <w:tblCellMar>
          <w:top w:w="28" w:type="dxa"/>
          <w:left w:w="28" w:type="dxa"/>
          <w:bottom w:w="28" w:type="dxa"/>
          <w:right w:w="28" w:type="dxa"/>
        </w:tblCellMar>
      </w:tblPr>
      <w:tblGrid>
        <w:gridCol w:w="2037"/>
        <w:gridCol w:w="1780"/>
        <w:gridCol w:w="1787"/>
        <w:gridCol w:w="199"/>
        <w:gridCol w:w="763"/>
        <w:gridCol w:w="110"/>
        <w:gridCol w:w="110"/>
        <w:gridCol w:w="110"/>
        <w:gridCol w:w="110"/>
        <w:gridCol w:w="199"/>
        <w:gridCol w:w="815"/>
        <w:gridCol w:w="110"/>
        <w:gridCol w:w="109"/>
        <w:gridCol w:w="109"/>
        <w:gridCol w:w="109"/>
        <w:gridCol w:w="196"/>
        <w:gridCol w:w="736"/>
        <w:gridCol w:w="109"/>
        <w:gridCol w:w="109"/>
        <w:gridCol w:w="109"/>
        <w:gridCol w:w="109"/>
        <w:gridCol w:w="109"/>
        <w:gridCol w:w="109"/>
        <w:gridCol w:w="162"/>
      </w:tblGrid>
      <w:tr>
        <w:trPr/>
        <w:tc>
          <w:tcPr>
            <w:tcW w:w="2037" w:type="dxa"/>
            <w:tcBorders/>
            <w:shd w:fill="auto" w:val="clear"/>
            <w:vAlign w:val="center"/>
          </w:tcPr>
          <w:p>
            <w:pPr>
              <w:pStyle w:val="TableContents"/>
              <w:spacing w:before="0" w:after="283"/>
              <w:rPr>
                <w:sz w:val="4"/>
                <w:szCs w:val="4"/>
              </w:rPr>
            </w:pPr>
            <w:r>
              <w:rPr>
                <w:sz w:val="4"/>
                <w:szCs w:val="4"/>
              </w:rPr>
            </w:r>
          </w:p>
        </w:tc>
        <w:tc>
          <w:tcPr>
            <w:tcW w:w="1780" w:type="dxa"/>
            <w:tcBorders/>
            <w:shd w:fill="auto" w:val="clear"/>
            <w:vAlign w:val="center"/>
          </w:tcPr>
          <w:p>
            <w:pPr>
              <w:pStyle w:val="TableContents"/>
              <w:spacing w:before="0" w:after="283"/>
              <w:rPr>
                <w:sz w:val="4"/>
                <w:szCs w:val="4"/>
              </w:rPr>
            </w:pPr>
            <w:r>
              <w:rPr>
                <w:sz w:val="4"/>
                <w:szCs w:val="4"/>
              </w:rPr>
            </w:r>
          </w:p>
        </w:tc>
        <w:tc>
          <w:tcPr>
            <w:tcW w:w="1787"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gridSpan w:val="2"/>
            <w:tcBorders/>
            <w:shd w:fill="auto" w:val="clear"/>
          </w:tcPr>
          <w:p>
            <w:pPr>
              <w:pStyle w:val="TableContents"/>
              <w:spacing w:before="0" w:after="283"/>
              <w:rPr>
                <w:sz w:val="4"/>
                <w:szCs w:val="4"/>
              </w:rPr>
            </w:pPr>
            <w:r>
              <w:rPr>
                <w:sz w:val="4"/>
                <w:szCs w:val="4"/>
              </w:rPr>
            </w:r>
          </w:p>
        </w:tc>
      </w:tr>
      <w:tr>
        <w:trPr/>
        <w:tc>
          <w:tcPr>
            <w:tcW w:w="56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tcPr>
          <w:p>
            <w:pPr>
              <w:pStyle w:val="TableContents"/>
              <w:spacing w:before="0" w:after="283"/>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 from continuing operations</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22,606</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(185,745)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income taxes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2,026</w:t>
            </w: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Equity-based compensation expense</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108</w:t>
            </w: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Acquisition and transaction expenses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3,262</w:t>
            </w: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2,273 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Losses on the modification or extinguishment of debt and capital lease obligations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Changes in fair value of non-hedge derivative instruments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Asset impairment charges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1,220</w:t>
            </w: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122,790 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Incentive allocations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2,942</w:t>
            </w: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 xml:space="preserve">Add: Depreciation and amortization expense </w:t>
            </w:r>
            <w:r>
              <w:rPr>
                <w:rFonts w:ascii="Arial;sans-serif" w:hAnsi="Arial;sans-serif"/>
                <w:b w:val="false"/>
                <w:color w:val="000000"/>
                <w:sz w:val="10"/>
              </w:rPr>
              <w:t>(1)</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48,770</w:t>
            </w: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53,317 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expense and dividends on preferred shares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46,083</w:t>
            </w: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50,930 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 xml:space="preserve">Add: Pro-rata share of Adjusted EBITDA from unconsolidated entities </w:t>
            </w:r>
            <w:r>
              <w:rPr>
                <w:rFonts w:ascii="Arial;sans-serif" w:hAnsi="Arial;sans-serif"/>
                <w:b w:val="false"/>
                <w:color w:val="000000"/>
                <w:sz w:val="10"/>
              </w:rPr>
              <w:t>(2)</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(696)</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 in losses (earnings) of unconsolidated entities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1,335</w:t>
            </w: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Non-controlling share of Adjusted EBITDA</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Adjusted EBITDA (non-GAAP)</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127,656</w:t>
            </w: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44,960 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82,696 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________________________________________________________</w:t>
      </w:r>
    </w:p>
    <w:p>
      <w:pPr>
        <w:pStyle w:val="TextBody"/>
        <w:spacing w:lineRule="auto" w:line="288" w:before="120" w:after="283"/>
        <w:ind w:left="0" w:right="0" w:hanging="180"/>
        <w:jc w:val="both"/>
        <w:rPr/>
      </w:pPr>
      <w:r>
        <w:rPr>
          <w:rFonts w:ascii="Arial;sans-serif" w:hAnsi="Arial;sans-serif"/>
          <w:b w:val="false"/>
          <w:color w:val="000000"/>
          <w:sz w:val="10"/>
        </w:rPr>
        <w:t xml:space="preserve">(1) </w:t>
      </w:r>
      <w:r>
        <w:rPr>
          <w:rFonts w:ascii="Arial;sans-serif" w:hAnsi="Arial;sans-serif"/>
          <w:b w:val="false"/>
          <w:color w:val="000000"/>
          <w:sz w:val="16"/>
        </w:rPr>
        <w:t xml:space="preserve">Includes the following items for the three months ended March 31, 2023 and 2022: (i) depreciation and amortization expense of $40,926 and </w:t>
      </w:r>
      <w:r>
        <w:rPr>
          <w:rFonts w:ascii="Arial;sans-serif" w:hAnsi="Arial;sans-serif"/>
          <w:b w:val="false"/>
          <w:color w:val="000000"/>
          <w:sz w:val="16"/>
          <w:highlight w:val="white"/>
        </w:rPr>
        <w:t>$41,305</w:t>
      </w:r>
      <w:r>
        <w:rPr>
          <w:rFonts w:ascii="Arial;sans-serif" w:hAnsi="Arial;sans-serif"/>
          <w:b w:val="false"/>
          <w:color w:val="000000"/>
          <w:sz w:val="16"/>
        </w:rPr>
        <w:t xml:space="preserve">, (ii) lease intangible amortization of $3,983 and </w:t>
      </w:r>
      <w:r>
        <w:rPr>
          <w:rFonts w:ascii="Arial;sans-serif" w:hAnsi="Arial;sans-serif"/>
          <w:b w:val="false"/>
          <w:color w:val="000000"/>
          <w:sz w:val="16"/>
          <w:highlight w:val="white"/>
        </w:rPr>
        <w:t>$3,658</w:t>
      </w:r>
      <w:r>
        <w:rPr>
          <w:color w:val="000000"/>
        </w:rPr>
        <w:t xml:space="preserve"> </w:t>
      </w:r>
      <w:r>
        <w:rPr>
          <w:rFonts w:ascii="Arial;sans-serif" w:hAnsi="Arial;sans-serif"/>
          <w:b w:val="false"/>
          <w:color w:val="000000"/>
          <w:sz w:val="16"/>
        </w:rPr>
        <w:t xml:space="preserve">and (iii) amortization for lease incentives of $3,861 and </w:t>
      </w:r>
      <w:r>
        <w:rPr>
          <w:rFonts w:ascii="Arial;sans-serif" w:hAnsi="Arial;sans-serif"/>
          <w:b w:val="false"/>
          <w:color w:val="000000"/>
          <w:sz w:val="16"/>
          <w:highlight w:val="white"/>
        </w:rPr>
        <w:t>$8,354</w:t>
      </w:r>
      <w:r>
        <w:rPr>
          <w:rFonts w:ascii="Arial;sans-serif" w:hAnsi="Arial;sans-serif"/>
          <w:b w:val="false"/>
          <w:color w:val="000000"/>
          <w:sz w:val="16"/>
        </w:rPr>
        <w:t>, respectively.</w:t>
      </w:r>
    </w:p>
    <w:p>
      <w:pPr>
        <w:pStyle w:val="TextBody"/>
        <w:spacing w:lineRule="auto" w:line="288" w:before="120" w:after="283"/>
        <w:ind w:left="0" w:right="0" w:hanging="180"/>
        <w:jc w:val="both"/>
        <w:rPr/>
      </w:pPr>
      <w:r>
        <w:rPr>
          <w:rFonts w:ascii="Arial;sans-serif" w:hAnsi="Arial;sans-serif"/>
          <w:b w:val="false"/>
          <w:color w:val="000000"/>
          <w:sz w:val="10"/>
        </w:rPr>
        <w:t xml:space="preserve">(2) </w:t>
      </w:r>
      <w:r>
        <w:rPr>
          <w:rFonts w:ascii="Arial;sans-serif" w:hAnsi="Arial;sans-serif"/>
          <w:b w:val="false"/>
          <w:color w:val="000000"/>
          <w:sz w:val="16"/>
        </w:rPr>
        <w:t xml:space="preserve">Includes the following items for the three months ended March 31, 2023 and 2022: (i) net (loss) income of $(1,335) and </w:t>
      </w:r>
      <w:r>
        <w:rPr>
          <w:rFonts w:ascii="Arial;sans-serif" w:hAnsi="Arial;sans-serif"/>
          <w:b w:val="false"/>
          <w:color w:val="000000"/>
          <w:sz w:val="16"/>
          <w:highlight w:val="white"/>
        </w:rPr>
        <w:t>$198</w:t>
      </w:r>
      <w:r>
        <w:rPr>
          <w:rFonts w:ascii="Arial;sans-serif" w:hAnsi="Arial;sans-serif"/>
          <w:b w:val="false"/>
          <w:color w:val="000000"/>
          <w:sz w:val="16"/>
        </w:rPr>
        <w:t xml:space="preserve">, (ii) depreciation and amortization expense of $400 and </w:t>
      </w:r>
      <w:r>
        <w:rPr>
          <w:rFonts w:ascii="Arial;sans-serif" w:hAnsi="Arial;sans-serif"/>
          <w:b w:val="false"/>
          <w:color w:val="000000"/>
          <w:sz w:val="16"/>
          <w:highlight w:val="white"/>
        </w:rPr>
        <w:t>$56</w:t>
      </w:r>
      <w:r>
        <w:rPr>
          <w:rFonts w:ascii="Arial;sans-serif" w:hAnsi="Arial;sans-serif"/>
          <w:b w:val="false"/>
          <w:color w:val="000000"/>
          <w:sz w:val="16"/>
        </w:rPr>
        <w:t>, and (iii) acquisition and transaction expenses of $239 and $0, respectively.</w:t>
      </w:r>
    </w:p>
    <w:p>
      <w:pPr>
        <w:pStyle w:val="TextBody"/>
        <w:spacing w:lineRule="auto" w:line="288" w:before="120" w:after="283"/>
        <w:ind w:left="0" w:right="0" w:hanging="180"/>
        <w:jc w:val="both"/>
        <w:rPr>
          <w:rFonts w:ascii="Arial;sans-serif" w:hAnsi="Arial;sans-serif"/>
          <w:b/>
          <w:i/>
          <w:color w:val="00497F"/>
          <w:sz w:val="18"/>
        </w:rPr>
      </w:pPr>
      <w:r>
        <w:rPr>
          <w:rFonts w:ascii="Arial;sans-serif" w:hAnsi="Arial;sans-serif"/>
          <w:b/>
          <w:i/>
          <w:color w:val="00497F"/>
          <w:sz w:val="18"/>
        </w:rPr>
        <w:t>Revenues</w:t>
      </w:r>
    </w:p>
    <w:p>
      <w:pPr>
        <w:pStyle w:val="TextBody"/>
        <w:spacing w:lineRule="auto" w:line="256" w:before="180" w:after="283"/>
        <w:jc w:val="both"/>
        <w:rPr>
          <w:rFonts w:ascii="Arial;sans-serif" w:hAnsi="Arial;sans-serif"/>
          <w:b/>
          <w:color w:val="00497F"/>
          <w:sz w:val="18"/>
          <w:highlight w:val="white"/>
        </w:rPr>
      </w:pPr>
      <w:r>
        <w:rPr>
          <w:rFonts w:ascii="Arial;sans-serif" w:hAnsi="Arial;sans-serif"/>
          <w:b/>
          <w:color w:val="00497F"/>
          <w:sz w:val="18"/>
          <w:highlight w:val="white"/>
        </w:rPr>
        <w:t>Presentation of assets sales</w:t>
      </w:r>
    </w:p>
    <w:p>
      <w:pPr>
        <w:pStyle w:val="TextBody"/>
        <w:spacing w:lineRule="auto" w:line="288" w:before="120" w:after="283"/>
        <w:jc w:val="both"/>
        <w:rPr/>
      </w:pPr>
      <w:r>
        <w:rPr>
          <w:rFonts w:ascii="Arial;sans-serif" w:hAnsi="Arial;sans-serif"/>
          <w:b w:val="false"/>
          <w:color w:val="000000"/>
          <w:sz w:val="18"/>
        </w:rPr>
        <w:t xml:space="preserve">During the third quarter of 2022, we updated our corporate strategy based on the opportunities available in the market such that the sale of aircraft and engines is now an output of our recurring, ordinary activities. As a result of this update, the transaction price allocated to the sale of assets is included in Revenues in the Consolidated Statement of Operations beginning in the third quarter of 2022 and are accounted for in accordance with ASC 606. The corresponding net book values of the assets sold are recorded in Cost of sales in the Consolidated Statement of Operations beginning in the third quarter of 2022. Sales transactions of aircraft and engines prior to the third quarter of 2022 were accounted for in accordance with ASC 610-20, </w:t>
      </w:r>
      <w:r>
        <w:rPr>
          <w:rFonts w:ascii="Arial;sans-serif" w:hAnsi="Arial;sans-serif"/>
          <w:b w:val="false"/>
          <w:i/>
          <w:color w:val="000000"/>
          <w:sz w:val="18"/>
        </w:rPr>
        <w:t>Gains and losses from the derecognition of nonfinancial assets</w:t>
      </w:r>
      <w:r>
        <w:rPr>
          <w:color w:val="000000"/>
        </w:rPr>
        <w:t xml:space="preserve"> </w:t>
      </w:r>
      <w:r>
        <w:rPr>
          <w:rFonts w:ascii="Arial;sans-serif" w:hAnsi="Arial;sans-serif"/>
          <w:b w:val="false"/>
          <w:color w:val="000000"/>
          <w:sz w:val="18"/>
        </w:rPr>
        <w:t>and were included in Gain (loss) on sale of assets, net on the Consolidated Statement of Operations, as we were previously only occasionally selling these assets. Generally, assets sold were included in Leasing equipment, net, on the Consolidated Balance Sheets.</w:t>
      </w:r>
    </w:p>
    <w:p>
      <w:pPr>
        <w:pStyle w:val="TextBody"/>
        <w:spacing w:lineRule="auto" w:line="288" w:before="120" w:after="283"/>
        <w:ind w:left="0" w:right="0" w:hanging="180"/>
        <w:rPr>
          <w:rFonts w:ascii="Arial;sans-serif" w:hAnsi="Arial;sans-serif"/>
          <w:b/>
          <w:color w:val="00497F"/>
          <w:sz w:val="18"/>
        </w:rPr>
      </w:pPr>
      <w:r>
        <w:rPr>
          <w:rFonts w:ascii="Arial;sans-serif" w:hAnsi="Arial;sans-serif"/>
          <w:b/>
          <w:color w:val="00497F"/>
          <w:sz w:val="18"/>
        </w:rPr>
        <w:t>Comparison of the three months ended March 31, 2023 and 2022</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revenues increased $201.0 million primarily due to an increase in asset sales revenue, aerospace products revenue, lease income and other revenue.</w:t>
      </w:r>
    </w:p>
    <w:p>
      <w:pPr>
        <w:pStyle w:val="TextBody"/>
        <w:spacing w:lineRule="auto" w:line="288" w:before="120" w:after="283"/>
        <w:jc w:val="both"/>
        <w:rPr/>
      </w:pPr>
      <w:r>
        <w:rPr>
          <w:rFonts w:ascii="Arial;sans-serif" w:hAnsi="Arial;sans-serif"/>
          <w:b w:val="false"/>
          <w:color w:val="000000"/>
          <w:sz w:val="18"/>
        </w:rPr>
        <w:t>Asset sales reven</w:t>
      </w:r>
      <w:r>
        <w:rPr>
          <w:rFonts w:ascii="Arial;sans-serif" w:hAnsi="Arial;sans-serif"/>
          <w:b w:val="false"/>
          <w:color w:val="000000"/>
          <w:sz w:val="18"/>
          <w:highlight w:val="white"/>
        </w:rPr>
        <w:t>ue</w:t>
      </w:r>
      <w:r>
        <w:rPr>
          <w:color w:val="000000"/>
        </w:rPr>
        <w:t xml:space="preserve"> </w:t>
      </w:r>
      <w:r>
        <w:rPr>
          <w:rFonts w:ascii="Arial;sans-serif" w:hAnsi="Arial;sans-serif"/>
          <w:b w:val="false"/>
          <w:color w:val="000000"/>
          <w:sz w:val="18"/>
        </w:rPr>
        <w:t>increased $108.7 million primarily due to an increase in the sale of commercial aircraft and engines in our Aviation Leasing segment during 2023. See above discussion regarding presentation of asset sales.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Aerospace products revenue increased $70.8 million primarily driven by an increase in sales relating to the CFM56-7B and CFM56-5B engines, engine modules, spare parts and used material inventory as operations continued to ramp-up in 2023. </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Lease income increased $16.7 million primarily due to an increase in the number of aircraft placed on lease and an increase in the Offshore Energy business as the daily charter rate on one of our vessels increased.</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Other revenue increased $6.5 million primarily due to an increase in end-of lease redelivery compensation.</w:t>
      </w:r>
    </w:p>
    <w:p>
      <w:pPr>
        <w:pStyle w:val="TextBody"/>
        <w:spacing w:lineRule="auto" w:line="288" w:before="120" w:after="283"/>
        <w:jc w:val="both"/>
        <w:rPr>
          <w:rFonts w:ascii="Arial;sans-serif" w:hAnsi="Arial;sans-serif"/>
          <w:b/>
          <w:i/>
          <w:color w:val="00497F"/>
          <w:sz w:val="18"/>
        </w:rPr>
      </w:pPr>
      <w:r>
        <w:rPr>
          <w:rFonts w:ascii="Arial;sans-serif" w:hAnsi="Arial;sans-serif"/>
          <w:b/>
          <w:i/>
          <w:color w:val="00497F"/>
          <w:sz w:val="18"/>
        </w:rPr>
        <w:t>Expenses</w:t>
      </w:r>
    </w:p>
    <w:p>
      <w:pPr>
        <w:pStyle w:val="TextBody"/>
        <w:spacing w:lineRule="auto" w:line="288" w:before="120" w:after="283"/>
        <w:ind w:left="0" w:right="0" w:hanging="180"/>
        <w:rPr>
          <w:rFonts w:ascii="Arial;sans-serif" w:hAnsi="Arial;sans-serif"/>
          <w:b/>
          <w:color w:val="00497F"/>
          <w:sz w:val="18"/>
        </w:rPr>
      </w:pPr>
      <w:r>
        <w:rPr>
          <w:rFonts w:ascii="Arial;sans-serif" w:hAnsi="Arial;sans-serif"/>
          <w:b/>
          <w:color w:val="00497F"/>
          <w:sz w:val="18"/>
        </w:rPr>
        <w:t>Comparison of the three months ended March 31, 2023 and 2022</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expenses decreased $26.0 million, primarily due to lower (i) asset impairment charges, (ii) operating expenses and (iii) interest expense, partially offset by higher (iv) cost of sales and (v) management fees and incentive allocation to affiliate.</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32740"/>
                <wp:effectExtent l="0" t="0" r="0" b="0"/>
                <wp:wrapNone/>
                <wp:docPr id="34" name="Frame33"/>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jc w:val="both"/>
        <w:rPr/>
      </w:pPr>
      <w:r>
        <w:rPr>
          <w:rFonts w:ascii="Arial;sans-serif" w:hAnsi="Arial;sans-serif"/>
          <w:b w:val="false"/>
          <w:color w:val="000000"/>
          <w:sz w:val="18"/>
        </w:rPr>
        <w:t>Asset impairme</w:t>
      </w:r>
      <w:r>
        <w:rPr>
          <w:rFonts w:ascii="Arial;sans-serif" w:hAnsi="Arial;sans-serif"/>
          <w:b w:val="false"/>
          <w:color w:val="000000"/>
          <w:sz w:val="18"/>
          <w:highlight w:val="white"/>
        </w:rPr>
        <w:t>nt d</w:t>
      </w:r>
      <w:r>
        <w:rPr>
          <w:rFonts w:ascii="Arial;sans-serif" w:hAnsi="Arial;sans-serif"/>
          <w:b w:val="false"/>
          <w:color w:val="000000"/>
          <w:sz w:val="18"/>
        </w:rPr>
        <w:t>ecreased $121.6 million primarily due to the write down in 2022 of aircraft and engines located in Ukraine and Russia that may not be recoverable. See Note 4 to the consolidated financial statements for additional information.</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Operating expenses decreased $39.3 million which primarily reflects: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a decrease of $47.4 million in the Aviation Leasing segment primarily as a result of decreases in provision for credit losses as a result of the sanctions imposed on Russian airlines in 2022, professional fees and repairs and maintenance expenses, partially offset by increases in insurance expense and shipping and storage fees.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an increase of $6.1 million in the Offshore Energy business which reflects increases in offshore crew expenses, project costs and other operating expenses for one of our vessels driven by increased cost of operations based on the operating location of the vessel and crane repairs on one of our vessels.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an increase of $2.0 million in the Aerospace Products segment primarily due to an increase in commission expenses due to the increase in sales from the used material program as well as an increase in professional fees and other operating expenses due to the ramp-up of Aerospace Products.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Interest expense decreased $4.8 million which reflects a decrease in the average outstanding debt of approximately $426.0 million due to decreases in (i) the 2021 Bridge Loans of $260.0 million and (ii) the Senior Notes due 2025 of $199.2 million, which were partially redeemed in August 2022, partially offset by an increase in (iii) the Revolving Credit Facility of $33.2 million.</w:t>
      </w:r>
    </w:p>
    <w:p>
      <w:pPr>
        <w:pStyle w:val="TextBody"/>
        <w:spacing w:lineRule="auto" w:line="288" w:before="120" w:after="283"/>
        <w:jc w:val="both"/>
        <w:rPr/>
      </w:pPr>
      <w:r>
        <w:rPr>
          <w:rFonts w:ascii="Arial;sans-serif" w:hAnsi="Arial;sans-serif"/>
          <w:b w:val="false"/>
          <w:color w:val="000000"/>
          <w:sz w:val="18"/>
        </w:rPr>
        <w:t xml:space="preserve">Cost of </w:t>
      </w:r>
      <w:r>
        <w:rPr>
          <w:rFonts w:ascii="Arial;sans-serif" w:hAnsi="Arial;sans-serif"/>
          <w:b w:val="false"/>
          <w:color w:val="000000"/>
          <w:sz w:val="18"/>
          <w:highlight w:val="white"/>
        </w:rPr>
        <w:t>sales</w:t>
      </w:r>
      <w:r>
        <w:rPr>
          <w:color w:val="000000"/>
        </w:rPr>
        <w:t xml:space="preserve"> </w:t>
      </w:r>
      <w:r>
        <w:rPr>
          <w:rFonts w:ascii="Arial;sans-serif" w:hAnsi="Arial;sans-serif"/>
          <w:b w:val="false"/>
          <w:color w:val="000000"/>
          <w:sz w:val="18"/>
        </w:rPr>
        <w:t>increased $136.6 million primarily as a result of an increase in asset sales and aerospace product sales and the gross presentation of asset sales revenue and Aerospace Product revenues as described above.</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Management fees and incentive allocation to affiliate increased $3.0 million primarily due to an increase in incentive fee due to the Manager.</w:t>
      </w:r>
    </w:p>
    <w:p>
      <w:pPr>
        <w:pStyle w:val="TextBody"/>
        <w:spacing w:lineRule="auto" w:line="288" w:before="120" w:after="283"/>
        <w:jc w:val="both"/>
        <w:rPr>
          <w:rFonts w:ascii="Arial;sans-serif" w:hAnsi="Arial;sans-serif"/>
          <w:b/>
          <w:i/>
          <w:color w:val="00497F"/>
          <w:sz w:val="18"/>
        </w:rPr>
      </w:pPr>
      <w:r>
        <w:rPr>
          <w:rFonts w:ascii="Arial;sans-serif" w:hAnsi="Arial;sans-serif"/>
          <w:b/>
          <w:i/>
          <w:color w:val="00497F"/>
          <w:sz w:val="18"/>
        </w:rPr>
        <w:t>Other income (expense)</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other income decreased $17.9 million which primarily reflects (i) a decrease of $16.3 million in gain on sale of assets, net in the Aviation Leasing and Aerospace Products segments due to the change in presentation of asset sales as described above and (ii) an increase of $1.5 million in Aviation Leasing’s and Aerospace Products’ proportionate share of unconsolidated entities’ net loss. See above discussion regarding presentation of asset sales and impact on gain on sales of assets, net.</w:t>
      </w:r>
    </w:p>
    <w:p>
      <w:pPr>
        <w:pStyle w:val="TextBody"/>
        <w:spacing w:lineRule="auto" w:line="288" w:before="120" w:after="283"/>
        <w:jc w:val="both"/>
        <w:rPr>
          <w:rFonts w:ascii="Arial;sans-serif" w:hAnsi="Arial;sans-serif"/>
          <w:b/>
          <w:i/>
          <w:color w:val="00497F"/>
          <w:sz w:val="18"/>
        </w:rPr>
      </w:pPr>
      <w:r>
        <w:rPr>
          <w:rFonts w:ascii="Arial;sans-serif" w:hAnsi="Arial;sans-serif"/>
          <w:b/>
          <w:i/>
          <w:color w:val="00497F"/>
          <w:sz w:val="18"/>
        </w:rPr>
        <w:t>Net income from continuing operations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Net income from continuing operations increased $208.4 million primarily due to the changes noted above.</w:t>
      </w:r>
    </w:p>
    <w:p>
      <w:pPr>
        <w:pStyle w:val="TextBody"/>
        <w:spacing w:lineRule="auto" w:line="288" w:before="120" w:after="283"/>
        <w:jc w:val="both"/>
        <w:rPr>
          <w:rFonts w:ascii="Arial;sans-serif" w:hAnsi="Arial;sans-serif"/>
          <w:b/>
          <w:i/>
          <w:color w:val="00497F"/>
          <w:sz w:val="18"/>
        </w:rPr>
      </w:pPr>
      <w:r>
        <w:rPr>
          <w:rFonts w:ascii="Arial;sans-serif" w:hAnsi="Arial;sans-serif"/>
          <w:b/>
          <w:i/>
          <w:color w:val="00497F"/>
          <w:sz w:val="18"/>
        </w:rPr>
        <w:t>Net loss from discontinued operations</w:t>
      </w:r>
    </w:p>
    <w:p>
      <w:pPr>
        <w:pStyle w:val="TextBody"/>
        <w:spacing w:lineRule="auto" w:line="288" w:before="120" w:after="283"/>
        <w:jc w:val="both"/>
        <w:rPr>
          <w:rFonts w:ascii="Arial;sans-serif" w:hAnsi="Arial;sans-serif"/>
          <w:b w:val="false"/>
          <w:color w:val="000000"/>
          <w:sz w:val="18"/>
          <w:highlight w:val="white"/>
        </w:rPr>
      </w:pPr>
      <w:r>
        <w:rPr>
          <w:rFonts w:ascii="Arial;sans-serif" w:hAnsi="Arial;sans-serif"/>
          <w:b w:val="false"/>
          <w:color w:val="000000"/>
          <w:sz w:val="18"/>
          <w:highlight w:val="white"/>
        </w:rPr>
        <w:t>Net loss from discontinued operations decreased $50.7 million primarily due to:</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A decrease in net loss of $32.1 million in the Ports and Terminals business in Q1 2022 of which $23.6 million relates to our equity pick-up in net losses for the Long Ridge investment;</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A decrease in net loss of $16.1 million in the Jefferson business which is primarily driven by no activity in Q1 2023 compared to three months of activity during Q1 2022; and</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A decrease in acquisition and transaction expense of $3.6 million and management fees due to affiliate of $4.2 million, both due to the spin-off of the infrastructure business; all offset by</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A decrease in net income of $7.5 million from the Transtar business during Q1 2022.</w:t>
      </w:r>
    </w:p>
    <w:p>
      <w:pPr>
        <w:pStyle w:val="TextBody"/>
        <w:spacing w:lineRule="auto" w:line="288" w:before="120" w:after="283"/>
        <w:jc w:val="both"/>
        <w:rPr>
          <w:rFonts w:ascii="Arial;sans-serif" w:hAnsi="Arial;sans-serif"/>
          <w:b/>
          <w:i/>
          <w:color w:val="00497F"/>
          <w:sz w:val="18"/>
        </w:rPr>
      </w:pPr>
      <w:r>
        <w:rPr>
          <w:rFonts w:ascii="Arial;sans-serif" w:hAnsi="Arial;sans-serif"/>
          <w:b/>
          <w:i/>
          <w:color w:val="00497F"/>
          <w:sz w:val="18"/>
        </w:rPr>
        <w:t>Adjusted EBITDA (Non-GAAP)</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Adjusted EBITDA increased $82.7 million primarily due to the changes noted above.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32740"/>
                <wp:effectExtent l="0" t="0" r="0" b="0"/>
                <wp:wrapNone/>
                <wp:docPr id="35" name="Frame34"/>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color w:val="00497F"/>
          <w:sz w:val="18"/>
        </w:rPr>
      </w:pPr>
      <w:r>
        <w:rPr>
          <w:rFonts w:ascii="Arial;sans-serif" w:hAnsi="Arial;sans-serif"/>
          <w:b/>
          <w:color w:val="00497F"/>
          <w:sz w:val="18"/>
        </w:rPr>
        <w:t xml:space="preserve">Aviation Leasing Segment </w:t>
      </w:r>
    </w:p>
    <w:p>
      <w:pPr>
        <w:pStyle w:val="TextBody"/>
        <w:spacing w:before="0" w:after="0"/>
        <w:rPr/>
      </w:pPr>
      <w:r>
        <w:rPr/>
      </w:r>
    </w:p>
    <w:p>
      <w:pPr>
        <w:pStyle w:val="TextBody"/>
        <w:spacing w:lineRule="auto" w:line="268" w:before="0" w:after="0"/>
        <w:rPr/>
      </w:pPr>
      <w:r>
        <w:rPr>
          <w:rFonts w:ascii="Arial;sans-serif" w:hAnsi="Arial;sans-serif"/>
          <w:b w:val="false"/>
          <w:color w:val="000000"/>
          <w:sz w:val="18"/>
        </w:rPr>
        <w:t>As of March 31, 2023, in our Aviation Leasing segment, we own and manage 334 aviation assets, consisting of 93 commercial aircraft</w:t>
      </w:r>
      <w:r>
        <w:rPr>
          <w:color w:val="000000"/>
        </w:rPr>
        <w:t xml:space="preserve"> </w:t>
      </w:r>
      <w:r>
        <w:rPr>
          <w:rFonts w:ascii="Arial;sans-serif" w:hAnsi="Arial;sans-serif"/>
          <w:b w:val="false"/>
          <w:color w:val="000000"/>
          <w:sz w:val="18"/>
        </w:rPr>
        <w:t>and 241 engines, including four aircraft and one engine that were still located in Ukraine and eight aircraft and seventeen engines that were still located in Russia.</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As of March 31, 2023, 76 of our commercial aircraft and 137 of our engines were leased to operators or other third parties. Aviation assets currently off lease are either undergoing repair and/or maintenance, being prepared to go on lease or held in short term storage awaiting a future lease. Our aviation equipment was approximately 75% utilized during the three months ended March 31, 2023, based on the percent of days on-lease in the quarter weighted by the monthly average equity value of our aviation leasing equipment, excluding airframes. Our aircraft currently have a weighted average remaining lease term of 44 months, and our engines currently on-lease have an average remaining lease term of 10 months. The table below provides additional information on the assets in our Aviation Leasing segment: </w:t>
      </w:r>
    </w:p>
    <w:tbl>
      <w:tblPr>
        <w:tblW w:w="5418" w:type="dxa"/>
        <w:jc w:val="left"/>
        <w:tblInd w:w="0" w:type="dxa"/>
        <w:tblCellMar>
          <w:top w:w="28" w:type="dxa"/>
          <w:left w:w="28" w:type="dxa"/>
          <w:bottom w:w="28" w:type="dxa"/>
          <w:right w:w="28" w:type="dxa"/>
        </w:tblCellMar>
      </w:tblPr>
      <w:tblGrid>
        <w:gridCol w:w="766"/>
        <w:gridCol w:w="671"/>
        <w:gridCol w:w="677"/>
        <w:gridCol w:w="300"/>
        <w:gridCol w:w="300"/>
        <w:gridCol w:w="301"/>
        <w:gridCol w:w="109"/>
        <w:gridCol w:w="109"/>
        <w:gridCol w:w="109"/>
        <w:gridCol w:w="360"/>
        <w:gridCol w:w="360"/>
        <w:gridCol w:w="361"/>
        <w:gridCol w:w="109"/>
        <w:gridCol w:w="109"/>
        <w:gridCol w:w="109"/>
        <w:gridCol w:w="218"/>
        <w:gridCol w:w="218"/>
        <w:gridCol w:w="232"/>
      </w:tblGrid>
      <w:tr>
        <w:trPr/>
        <w:tc>
          <w:tcPr>
            <w:tcW w:w="7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00497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FFFFFF"/>
                <w:sz w:val="16"/>
              </w:rPr>
            </w:pPr>
            <w:r>
              <w:rPr>
                <w:rFonts w:ascii="Arial;sans-serif" w:hAnsi="Arial;sans-serif"/>
                <w:b/>
                <w:color w:val="FFFFFF"/>
                <w:sz w:val="16"/>
              </w:rPr>
              <w:t>Aviation Assets</w:t>
            </w:r>
          </w:p>
        </w:tc>
        <w:tc>
          <w:tcPr>
            <w:tcW w:w="901" w:type="dxa"/>
            <w:gridSpan w:val="3"/>
            <w:tcBorders/>
            <w:shd w:fill="00497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FFFFFF"/>
                <w:sz w:val="16"/>
              </w:rPr>
            </w:pPr>
            <w:r>
              <w:rPr>
                <w:rFonts w:ascii="Arial;sans-serif" w:hAnsi="Arial;sans-serif"/>
                <w:b/>
                <w:color w:val="FFFFFF"/>
                <w:sz w:val="16"/>
              </w:rPr>
              <w:t>Widebody</w:t>
            </w:r>
          </w:p>
        </w:tc>
        <w:tc>
          <w:tcPr>
            <w:tcW w:w="327" w:type="dxa"/>
            <w:gridSpan w:val="3"/>
            <w:tcBorders/>
            <w:shd w:fill="00497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00497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FFFFFF"/>
                <w:sz w:val="16"/>
              </w:rPr>
            </w:pPr>
            <w:r>
              <w:rPr>
                <w:rFonts w:ascii="Arial;sans-serif" w:hAnsi="Arial;sans-serif"/>
                <w:b/>
                <w:color w:val="FFFFFF"/>
                <w:sz w:val="16"/>
              </w:rPr>
              <w:t>Narrowbody</w:t>
            </w:r>
          </w:p>
        </w:tc>
        <w:tc>
          <w:tcPr>
            <w:tcW w:w="327" w:type="dxa"/>
            <w:gridSpan w:val="3"/>
            <w:tcBorders/>
            <w:shd w:fill="00497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00497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FFFFFF"/>
                <w:sz w:val="16"/>
              </w:rPr>
            </w:pPr>
            <w:r>
              <w:rPr>
                <w:rFonts w:ascii="Arial;sans-serif" w:hAnsi="Arial;sans-serif"/>
                <w:b/>
                <w:color w:val="FFFFFF"/>
                <w:sz w:val="16"/>
              </w:rPr>
              <w:t>Total</w:t>
            </w:r>
          </w:p>
        </w:tc>
      </w:tr>
      <w:tr>
        <w:trPr/>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i/>
                <w:color w:val="000000"/>
                <w:sz w:val="16"/>
                <w:u w:val="single"/>
              </w:rPr>
            </w:pPr>
            <w:r>
              <w:rPr>
                <w:rFonts w:ascii="Arial;sans-serif" w:hAnsi="Arial;sans-serif"/>
                <w:b/>
                <w:i/>
                <w:color w:val="000000"/>
                <w:sz w:val="16"/>
                <w:u w:val="single"/>
              </w:rPr>
              <w:t>Aircraft</w:t>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Assets at January 1, 2023</w:t>
            </w:r>
          </w:p>
        </w:tc>
        <w:tc>
          <w:tcPr>
            <w:tcW w:w="6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w:t>
            </w:r>
            <w:r>
              <w:rPr>
                <w:color w:val="000000"/>
              </w:rPr>
              <w:t>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98</w:t>
            </w:r>
            <w:r>
              <w:rPr>
                <w:color w:val="000000"/>
              </w:rPr>
              <w:t> </w:t>
            </w:r>
          </w:p>
        </w:tc>
        <w:tc>
          <w:tcPr>
            <w:tcW w:w="3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106</w:t>
            </w:r>
            <w:r>
              <w:rPr>
                <w:color w:val="000000"/>
              </w:rPr>
              <w:t>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w:t>
            </w:r>
          </w:p>
        </w:tc>
        <w:tc>
          <w:tcPr>
            <w:tcW w:w="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w:t>
            </w:r>
          </w:p>
        </w:tc>
        <w:tc>
          <w:tcPr>
            <w:tcW w:w="6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3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Transfers</w:t>
            </w:r>
          </w:p>
        </w:tc>
        <w:tc>
          <w:tcPr>
            <w:tcW w:w="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3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Assets at March 31, 2023</w:t>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87</w:t>
            </w:r>
            <w:r>
              <w:rPr>
                <w:color w:val="000000"/>
              </w:rPr>
              <w:t>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93</w:t>
            </w: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i/>
                <w:color w:val="000000"/>
                <w:sz w:val="16"/>
                <w:u w:val="single"/>
              </w:rPr>
            </w:pPr>
            <w:r>
              <w:rPr>
                <w:rFonts w:ascii="Arial;sans-serif" w:hAnsi="Arial;sans-serif"/>
                <w:b/>
                <w:i/>
                <w:color w:val="000000"/>
                <w:sz w:val="16"/>
                <w:u w:val="single"/>
              </w:rPr>
              <w:t>Engines</w:t>
            </w:r>
          </w:p>
        </w:tc>
        <w:tc>
          <w:tcPr>
            <w:tcW w:w="9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Assets at January 1, 2023</w:t>
            </w:r>
          </w:p>
        </w:tc>
        <w:tc>
          <w:tcPr>
            <w:tcW w:w="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40</w:t>
            </w:r>
            <w:r>
              <w:rPr>
                <w:color w:val="000000"/>
              </w:rPr>
              <w:t>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184</w:t>
            </w:r>
            <w:r>
              <w:rPr>
                <w:color w:val="000000"/>
              </w:rPr>
              <w:t> </w:t>
            </w:r>
          </w:p>
        </w:tc>
        <w:tc>
          <w:tcPr>
            <w:tcW w:w="3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224</w:t>
            </w:r>
            <w:r>
              <w:rPr>
                <w:color w:val="000000"/>
              </w:rPr>
              <w:t>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w:t>
            </w:r>
          </w:p>
        </w:tc>
        <w:tc>
          <w:tcPr>
            <w:tcW w:w="6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3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w:t>
            </w:r>
          </w:p>
        </w:tc>
        <w:tc>
          <w:tcPr>
            <w:tcW w:w="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3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Transfers</w:t>
            </w:r>
          </w:p>
        </w:tc>
        <w:tc>
          <w:tcPr>
            <w:tcW w:w="6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3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Assets at March 31, 2023</w:t>
            </w:r>
          </w:p>
        </w:tc>
        <w:tc>
          <w:tcPr>
            <w:tcW w:w="60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38</w:t>
            </w:r>
            <w:r>
              <w:rPr>
                <w:color w:val="000000"/>
              </w:rPr>
              <w:t> </w:t>
            </w:r>
          </w:p>
        </w:tc>
        <w:tc>
          <w:tcPr>
            <w:tcW w:w="3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203</w:t>
            </w:r>
            <w:r>
              <w:rPr>
                <w:color w:val="000000"/>
              </w:rPr>
              <w:t> </w:t>
            </w:r>
          </w:p>
        </w:tc>
        <w:tc>
          <w:tcPr>
            <w:tcW w:w="3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241</w:t>
            </w:r>
            <w:r>
              <w:rPr>
                <w:color w:val="000000"/>
              </w:rPr>
              <w:t> </w:t>
            </w:r>
          </w:p>
        </w:tc>
        <w:tc>
          <w:tcPr>
            <w:tcW w:w="2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32740"/>
                <wp:effectExtent l="0" t="0" r="0" b="0"/>
                <wp:wrapNone/>
                <wp:docPr id="36" name="Frame35"/>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 following table presents our results of operations for our Aviation Leasing segment: </w:t>
      </w:r>
    </w:p>
    <w:tbl>
      <w:tblPr>
        <w:tblW w:w="10205" w:type="dxa"/>
        <w:jc w:val="left"/>
        <w:tblInd w:w="0" w:type="dxa"/>
        <w:tblCellMar>
          <w:top w:w="28" w:type="dxa"/>
          <w:left w:w="28" w:type="dxa"/>
          <w:bottom w:w="28" w:type="dxa"/>
          <w:right w:w="28" w:type="dxa"/>
        </w:tblCellMar>
      </w:tblPr>
      <w:tblGrid>
        <w:gridCol w:w="2041"/>
        <w:gridCol w:w="1778"/>
        <w:gridCol w:w="1784"/>
        <w:gridCol w:w="206"/>
        <w:gridCol w:w="696"/>
        <w:gridCol w:w="114"/>
        <w:gridCol w:w="114"/>
        <w:gridCol w:w="114"/>
        <w:gridCol w:w="114"/>
        <w:gridCol w:w="206"/>
        <w:gridCol w:w="850"/>
        <w:gridCol w:w="114"/>
        <w:gridCol w:w="109"/>
        <w:gridCol w:w="109"/>
        <w:gridCol w:w="109"/>
        <w:gridCol w:w="196"/>
        <w:gridCol w:w="736"/>
        <w:gridCol w:w="109"/>
        <w:gridCol w:w="109"/>
        <w:gridCol w:w="109"/>
        <w:gridCol w:w="109"/>
        <w:gridCol w:w="109"/>
        <w:gridCol w:w="109"/>
        <w:gridCol w:w="161"/>
      </w:tblGrid>
      <w:tr>
        <w:trPr/>
        <w:tc>
          <w:tcPr>
            <w:tcW w:w="2041" w:type="dxa"/>
            <w:tcBorders/>
            <w:shd w:fill="auto" w:val="clear"/>
            <w:vAlign w:val="center"/>
          </w:tcPr>
          <w:p>
            <w:pPr>
              <w:pStyle w:val="TableContents"/>
              <w:spacing w:before="0" w:after="283"/>
              <w:rPr>
                <w:sz w:val="4"/>
                <w:szCs w:val="4"/>
              </w:rPr>
            </w:pPr>
            <w:r>
              <w:rPr>
                <w:sz w:val="4"/>
                <w:szCs w:val="4"/>
              </w:rPr>
            </w:r>
          </w:p>
        </w:tc>
        <w:tc>
          <w:tcPr>
            <w:tcW w:w="1778" w:type="dxa"/>
            <w:tcBorders/>
            <w:shd w:fill="auto" w:val="clear"/>
            <w:vAlign w:val="center"/>
          </w:tcPr>
          <w:p>
            <w:pPr>
              <w:pStyle w:val="TableContents"/>
              <w:spacing w:before="0" w:after="283"/>
              <w:rPr>
                <w:sz w:val="4"/>
                <w:szCs w:val="4"/>
              </w:rPr>
            </w:pPr>
            <w:r>
              <w:rPr>
                <w:sz w:val="4"/>
                <w:szCs w:val="4"/>
              </w:rPr>
            </w:r>
          </w:p>
        </w:tc>
        <w:tc>
          <w:tcPr>
            <w:tcW w:w="178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gridSpan w:val="2"/>
            <w:tcBorders/>
            <w:shd w:fill="auto" w:val="clear"/>
          </w:tcPr>
          <w:p>
            <w:pPr>
              <w:pStyle w:val="TableContents"/>
              <w:spacing w:before="0" w:after="283"/>
              <w:rPr>
                <w:sz w:val="4"/>
                <w:szCs w:val="4"/>
              </w:rPr>
            </w:pPr>
            <w:r>
              <w:rPr>
                <w:sz w:val="4"/>
                <w:szCs w:val="4"/>
              </w:rPr>
            </w:r>
          </w:p>
        </w:tc>
      </w:tr>
      <w:tr>
        <w:trPr/>
        <w:tc>
          <w:tcPr>
            <w:tcW w:w="56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603"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1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2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48,830</w:t>
            </w: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33,958 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35,141</w:t>
            </w: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36,732 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sales revenue</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108,691</w:t>
            </w: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108,691 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6,378</w:t>
            </w: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1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1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1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1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1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1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revenues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199,040</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70,712 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128,328 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0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92,234</w:t>
            </w: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92,234 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7,088</w:t>
            </w: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54,472 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1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1,462</w:t>
            </w: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1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38,140</w:t>
            </w: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39,228 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1,220</w:t>
            </w: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122,790 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1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expenses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140,144</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216,699 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Other (expense) income</w:t>
            </w:r>
          </w:p>
        </w:tc>
        <w:tc>
          <w:tcPr>
            <w:tcW w:w="10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earnings of unconsolidated entities</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(99)</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assets, net</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w:t>
            </w: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other (expense) income</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(91)</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58,805</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(138,683)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995</w:t>
            </w: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57,810</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(139,669)</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 in consolidated subsidiaries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57,810</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(139,669)</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197,479 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before="120" w:after="283"/>
        <w:ind w:left="0" w:right="0" w:hanging="180"/>
        <w:jc w:val="both"/>
        <w:rPr/>
      </w:pPr>
      <w:r>
        <w:rPr/>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32740"/>
                <wp:effectExtent l="0" t="0" r="0" b="0"/>
                <wp:wrapNone/>
                <wp:docPr id="37" name="Frame36"/>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sets forth a reconciliation of net income (loss) attributable to shareholders from continuing operations to Adjusted EBITDA:</w:t>
      </w:r>
    </w:p>
    <w:tbl>
      <w:tblPr>
        <w:tblW w:w="10205" w:type="dxa"/>
        <w:jc w:val="left"/>
        <w:tblInd w:w="0" w:type="dxa"/>
        <w:tblCellMar>
          <w:top w:w="28" w:type="dxa"/>
          <w:left w:w="28" w:type="dxa"/>
          <w:bottom w:w="28" w:type="dxa"/>
          <w:right w:w="28" w:type="dxa"/>
        </w:tblCellMar>
      </w:tblPr>
      <w:tblGrid>
        <w:gridCol w:w="2037"/>
        <w:gridCol w:w="1780"/>
        <w:gridCol w:w="1787"/>
        <w:gridCol w:w="199"/>
        <w:gridCol w:w="763"/>
        <w:gridCol w:w="110"/>
        <w:gridCol w:w="110"/>
        <w:gridCol w:w="110"/>
        <w:gridCol w:w="110"/>
        <w:gridCol w:w="199"/>
        <w:gridCol w:w="815"/>
        <w:gridCol w:w="110"/>
        <w:gridCol w:w="109"/>
        <w:gridCol w:w="109"/>
        <w:gridCol w:w="109"/>
        <w:gridCol w:w="196"/>
        <w:gridCol w:w="736"/>
        <w:gridCol w:w="109"/>
        <w:gridCol w:w="109"/>
        <w:gridCol w:w="109"/>
        <w:gridCol w:w="109"/>
        <w:gridCol w:w="109"/>
        <w:gridCol w:w="109"/>
        <w:gridCol w:w="162"/>
      </w:tblGrid>
      <w:tr>
        <w:trPr/>
        <w:tc>
          <w:tcPr>
            <w:tcW w:w="2037" w:type="dxa"/>
            <w:tcBorders/>
            <w:shd w:fill="auto" w:val="clear"/>
            <w:vAlign w:val="center"/>
          </w:tcPr>
          <w:p>
            <w:pPr>
              <w:pStyle w:val="TableContents"/>
              <w:spacing w:before="0" w:after="283"/>
              <w:rPr>
                <w:sz w:val="4"/>
                <w:szCs w:val="4"/>
              </w:rPr>
            </w:pPr>
            <w:r>
              <w:rPr>
                <w:sz w:val="4"/>
                <w:szCs w:val="4"/>
              </w:rPr>
            </w:r>
          </w:p>
        </w:tc>
        <w:tc>
          <w:tcPr>
            <w:tcW w:w="1780" w:type="dxa"/>
            <w:tcBorders/>
            <w:shd w:fill="auto" w:val="clear"/>
            <w:vAlign w:val="center"/>
          </w:tcPr>
          <w:p>
            <w:pPr>
              <w:pStyle w:val="TableContents"/>
              <w:spacing w:before="0" w:after="283"/>
              <w:rPr>
                <w:sz w:val="4"/>
                <w:szCs w:val="4"/>
              </w:rPr>
            </w:pPr>
            <w:r>
              <w:rPr>
                <w:sz w:val="4"/>
                <w:szCs w:val="4"/>
              </w:rPr>
            </w:r>
          </w:p>
        </w:tc>
        <w:tc>
          <w:tcPr>
            <w:tcW w:w="1787"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gridSpan w:val="2"/>
            <w:tcBorders/>
            <w:shd w:fill="auto" w:val="clear"/>
          </w:tcPr>
          <w:p>
            <w:pPr>
              <w:pStyle w:val="TableContents"/>
              <w:spacing w:before="0" w:after="283"/>
              <w:rPr>
                <w:sz w:val="4"/>
                <w:szCs w:val="4"/>
              </w:rPr>
            </w:pPr>
            <w:r>
              <w:rPr>
                <w:sz w:val="4"/>
                <w:szCs w:val="4"/>
              </w:rPr>
            </w:r>
          </w:p>
        </w:tc>
      </w:tr>
      <w:tr>
        <w:trPr/>
        <w:tc>
          <w:tcPr>
            <w:tcW w:w="56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tcPr>
          <w:p>
            <w:pPr>
              <w:pStyle w:val="TableContents"/>
              <w:spacing w:before="0" w:after="283"/>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 from continuing operations</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57,810</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(139,669)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(benefit from) income taxes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995</w:t>
            </w: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Equity-based compensation expense</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22</w:t>
            </w: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Acquisition and transaction expenses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1,462</w:t>
            </w: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Losses on the modification or extinguishment of debt and capital lease obligations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Changes in fair value of non-hedge derivative instruments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Asset impairment charges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1,220</w:t>
            </w: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122,790 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Incentive allocations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 xml:space="preserve">Add: Depreciation and amortization expense </w:t>
            </w:r>
            <w:r>
              <w:rPr>
                <w:rFonts w:ascii="Arial;sans-serif" w:hAnsi="Arial;sans-serif"/>
                <w:b w:val="false"/>
                <w:color w:val="000000"/>
                <w:sz w:val="10"/>
              </w:rPr>
              <w:t>(1)</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45,984</w:t>
            </w: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51,240 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expense and dividends on preferred shares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 xml:space="preserve">Add: Pro-rata share of Adjusted EBITDA from unconsolidated entities </w:t>
            </w:r>
            <w:r>
              <w:rPr>
                <w:rFonts w:ascii="Arial;sans-serif" w:hAnsi="Arial;sans-serif"/>
                <w:b w:val="false"/>
                <w:color w:val="000000"/>
                <w:sz w:val="10"/>
              </w:rPr>
              <w:t>(2)</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(36)</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 in (earnings) losses of unconsolidated entities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99</w:t>
            </w: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Non-controlling share of Adjusted EBITDA</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Adjusted EBITDA (non-GAAP)</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107,556</w:t>
            </w: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35,556 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________________________________________________________</w:t>
      </w:r>
    </w:p>
    <w:p>
      <w:pPr>
        <w:pStyle w:val="TextBody"/>
        <w:spacing w:lineRule="auto" w:line="288" w:before="120" w:after="283"/>
        <w:ind w:left="0" w:right="0" w:hanging="180"/>
        <w:jc w:val="both"/>
        <w:rPr/>
      </w:pPr>
      <w:r>
        <w:rPr>
          <w:rFonts w:ascii="Arial;sans-serif" w:hAnsi="Arial;sans-serif"/>
          <w:b w:val="false"/>
          <w:color w:val="000000"/>
          <w:sz w:val="10"/>
        </w:rPr>
        <w:t xml:space="preserve">(1) </w:t>
      </w:r>
      <w:r>
        <w:rPr>
          <w:rFonts w:ascii="Arial;sans-serif" w:hAnsi="Arial;sans-serif"/>
          <w:b w:val="false"/>
          <w:color w:val="000000"/>
          <w:sz w:val="16"/>
        </w:rPr>
        <w:t xml:space="preserve">Includes the following items for the three months ended March 31, 2023 and 2022: (i) depreciation expense of $38,140 and $39,228, (ii) lease intangible amortization of $3,983 and $3,658 and (iii) amortization for lease incentives of $3,861 and $8,354, respectively. </w:t>
      </w:r>
    </w:p>
    <w:p>
      <w:pPr>
        <w:pStyle w:val="TextBody"/>
        <w:spacing w:lineRule="auto" w:line="288" w:before="120" w:after="283"/>
        <w:ind w:left="0" w:right="0" w:hanging="180"/>
        <w:jc w:val="both"/>
        <w:rPr/>
      </w:pPr>
      <w:r>
        <w:rPr>
          <w:rFonts w:ascii="Arial;sans-serif" w:hAnsi="Arial;sans-serif"/>
          <w:b w:val="false"/>
          <w:color w:val="000000"/>
          <w:sz w:val="10"/>
        </w:rPr>
        <w:t xml:space="preserve">(2) </w:t>
      </w:r>
      <w:r>
        <w:rPr>
          <w:rFonts w:ascii="Arial;sans-serif" w:hAnsi="Arial;sans-serif"/>
          <w:b w:val="false"/>
          <w:color w:val="000000"/>
          <w:sz w:val="16"/>
        </w:rPr>
        <w:t xml:space="preserve">Includes the following items for the three months ended March 31, 2023 and 2022: (i) net (loss) income of $(99) and $552 and (ii) depreciation and amortization of $63 and $0, respectively. </w:t>
      </w:r>
    </w:p>
    <w:p>
      <w:pPr>
        <w:pStyle w:val="TextBody"/>
        <w:spacing w:lineRule="auto" w:line="288" w:before="120" w:after="283"/>
        <w:ind w:left="0" w:right="0" w:hanging="540"/>
        <w:jc w:val="both"/>
        <w:rPr>
          <w:rFonts w:ascii="Arial;sans-serif" w:hAnsi="Arial;sans-serif"/>
          <w:b/>
          <w:color w:val="00497F"/>
          <w:sz w:val="18"/>
        </w:rPr>
      </w:pPr>
      <w:r>
        <w:rPr>
          <w:rFonts w:ascii="Arial;sans-serif" w:hAnsi="Arial;sans-serif"/>
          <w:b/>
          <w:color w:val="00497F"/>
          <w:sz w:val="18"/>
        </w:rPr>
        <w:t>Comparison of the three months ended March 31, 2023 and 2022</w:t>
      </w:r>
    </w:p>
    <w:p>
      <w:pPr>
        <w:pStyle w:val="TextBody"/>
        <w:spacing w:lineRule="auto" w:line="288" w:before="120" w:after="283"/>
        <w:ind w:left="0" w:right="0" w:hanging="540"/>
        <w:jc w:val="both"/>
        <w:rPr>
          <w:rFonts w:ascii="Arial;sans-serif" w:hAnsi="Arial;sans-serif"/>
          <w:b/>
          <w:i/>
          <w:color w:val="00497F"/>
          <w:sz w:val="18"/>
        </w:rPr>
      </w:pPr>
      <w:r>
        <w:rPr>
          <w:rFonts w:ascii="Arial;sans-serif" w:hAnsi="Arial;sans-serif"/>
          <w:b/>
          <w:i/>
          <w:color w:val="00497F"/>
          <w:sz w:val="18"/>
        </w:rPr>
        <w:t>Revenues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revenue increased $128.3 million driven by an increase in asset sales revenue, lease income and other revenue, partially offset by a decrease in maintenance revenue.</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Asset sales revenue increased $108.7 million primarily due to an increase in the sale of commercial aircraft and engines. See above discussion regarding presentation of asset sales.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Lease income increased $14.9 million primarily due an increase in the number of aircraft placed on lease.</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Other revenue increased $6.4 million primarily due to an increase in end-of-lease redelivery compensation.</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Maintenance revenue decreased $1.6 million primarily due to the recognition of maintenance deposits in 2022 related to the early termination of aircraft leases with Russian airlines as a result of the sanctions imposed on Russian airlines, partially offset by an increase in the number of aircraft and engines placed on lease, and higher aircraft and engine utilization.</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32740"/>
                <wp:effectExtent l="0" t="0" r="0" b="0"/>
                <wp:wrapNone/>
                <wp:docPr id="38" name="Frame37"/>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jc w:val="both"/>
        <w:rPr>
          <w:rFonts w:ascii="Arial;sans-serif" w:hAnsi="Arial;sans-serif"/>
          <w:b/>
          <w:i/>
          <w:color w:val="00497F"/>
          <w:sz w:val="18"/>
        </w:rPr>
      </w:pPr>
      <w:r>
        <w:rPr>
          <w:rFonts w:ascii="Arial;sans-serif" w:hAnsi="Arial;sans-serif"/>
          <w:b/>
          <w:i/>
          <w:color w:val="00497F"/>
          <w:sz w:val="18"/>
        </w:rPr>
        <w:t>Expenses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expenses decreased $76.6 million primarily driven by a decrease in asset impairment expense and operating expenses, partially offset by an increase in cost of sales.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Asset impairment decreased $121.6 million primarily due to the write down in 2022 of aircraft and engines located in Ukraine and Russia that may not be recoverable. See Note 4 to the consolidated financial statements for additional information.</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Operating expenses decreased $47.4 million primarily as a result of decreases in provision for credit losses as a result of the sanctions imposed on Russian airlines in 2022, professional fees and repairs and maintenance expenses, partially offset by increases in insurance expense and shipping and storage fees.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Cost of sales increased $92.2 million primarily as a result of an increase in asset sales and the gross presentation of asset sales revenues and related costs of sales as described above.</w:t>
      </w:r>
    </w:p>
    <w:p>
      <w:pPr>
        <w:pStyle w:val="TextBody"/>
        <w:spacing w:lineRule="auto" w:line="288" w:before="120" w:after="283"/>
        <w:ind w:left="0" w:right="0" w:hanging="540"/>
        <w:jc w:val="both"/>
        <w:rPr>
          <w:rFonts w:ascii="Arial;sans-serif" w:hAnsi="Arial;sans-serif"/>
          <w:b/>
          <w:i/>
          <w:color w:val="00497F"/>
          <w:sz w:val="18"/>
        </w:rPr>
      </w:pPr>
      <w:r>
        <w:rPr>
          <w:rFonts w:ascii="Arial;sans-serif" w:hAnsi="Arial;sans-serif"/>
          <w:b/>
          <w:i/>
          <w:color w:val="00497F"/>
          <w:sz w:val="18"/>
        </w:rPr>
        <w:t>Other income (expense)</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other income decreased $7.4 million primarily due to a decrease of $6.6 million in gain on the sale of leasing equipment in 2022 due to the change in presentation of asset sales as described above and a decrease of $0.7 million in Aviation Leasing’s proportionate share of unconsolidated entities’ net income.</w:t>
      </w:r>
    </w:p>
    <w:p>
      <w:pPr>
        <w:pStyle w:val="TextBody"/>
        <w:spacing w:lineRule="auto" w:line="288" w:before="120" w:after="283"/>
        <w:ind w:left="0" w:right="0" w:hanging="540"/>
        <w:jc w:val="both"/>
        <w:rPr>
          <w:rFonts w:ascii="Arial;sans-serif" w:hAnsi="Arial;sans-serif"/>
          <w:b/>
          <w:i/>
          <w:color w:val="00497F"/>
          <w:sz w:val="18"/>
        </w:rPr>
      </w:pPr>
      <w:r>
        <w:rPr>
          <w:rFonts w:ascii="Arial;sans-serif" w:hAnsi="Arial;sans-serif"/>
          <w:b/>
          <w:i/>
          <w:color w:val="00497F"/>
          <w:sz w:val="18"/>
        </w:rPr>
        <w:t>Adjusted EBITDA (Non-GAAP)</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Adjusted EBITDA increased $72.0 million primarily due to the changes noted above.</w:t>
      </w:r>
    </w:p>
    <w:p>
      <w:pPr>
        <w:pStyle w:val="TextBody"/>
        <w:spacing w:before="12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497F"/>
          <w:sz w:val="18"/>
        </w:rPr>
      </w:pPr>
      <w:r>
        <w:rPr>
          <w:rFonts w:ascii="Arial;sans-serif" w:hAnsi="Arial;sans-serif"/>
          <w:b/>
          <w:color w:val="00497F"/>
          <w:sz w:val="18"/>
        </w:rPr>
        <w:t xml:space="preserve">Aerospace Products Segment </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Aerospace Products segment develops and manufactures through a joint venture, and repairs and sells, through exclusivity arrangements, aircraft engines and aftermarket components primarily for the CFM56-7B and CFM56-5B commercial aircraft engines. Our engine and module sales are facilitated through The Module Factory, a dedicated commercial maintenance program, designed to focus on modular repair and refurbishment of CFM56-7B and CFM56-5B engines, performed by a third party. Used serviceable material is sold through our exclusive partnership with AAR Corp, who is responsible for the teardown, repair, marketing and sales of spare parts from our CFM56 engine pool. We also hold a 25% interest in the Advanced Engine Repair JV which focuses on developing new cost savings programs for engine repairs and a 50% interest in Quick Turn Engine Center LLC or “Quick Turn” (previously iAero Thrust LLC), a hospital maintenance and testing facility dedicated to the CFM56 engine.</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our results of operations:</w:t>
      </w:r>
    </w:p>
    <w:tbl>
      <w:tblPr>
        <w:tblW w:w="10205" w:type="dxa"/>
        <w:jc w:val="left"/>
        <w:tblInd w:w="0" w:type="dxa"/>
        <w:tblCellMar>
          <w:top w:w="28" w:type="dxa"/>
          <w:left w:w="28" w:type="dxa"/>
          <w:bottom w:w="28" w:type="dxa"/>
          <w:right w:w="28" w:type="dxa"/>
        </w:tblCellMar>
      </w:tblPr>
      <w:tblGrid>
        <w:gridCol w:w="2076"/>
        <w:gridCol w:w="1805"/>
        <w:gridCol w:w="1816"/>
        <w:gridCol w:w="220"/>
        <w:gridCol w:w="746"/>
        <w:gridCol w:w="122"/>
        <w:gridCol w:w="122"/>
        <w:gridCol w:w="122"/>
        <w:gridCol w:w="122"/>
        <w:gridCol w:w="220"/>
        <w:gridCol w:w="729"/>
        <w:gridCol w:w="122"/>
        <w:gridCol w:w="109"/>
        <w:gridCol w:w="109"/>
        <w:gridCol w:w="109"/>
        <w:gridCol w:w="196"/>
        <w:gridCol w:w="646"/>
        <w:gridCol w:w="109"/>
        <w:gridCol w:w="109"/>
        <w:gridCol w:w="109"/>
        <w:gridCol w:w="109"/>
        <w:gridCol w:w="109"/>
        <w:gridCol w:w="109"/>
        <w:gridCol w:w="160"/>
      </w:tblGrid>
      <w:tr>
        <w:trPr/>
        <w:tc>
          <w:tcPr>
            <w:tcW w:w="2076" w:type="dxa"/>
            <w:tcBorders/>
            <w:shd w:fill="auto" w:val="clear"/>
            <w:vAlign w:val="center"/>
          </w:tcPr>
          <w:p>
            <w:pPr>
              <w:pStyle w:val="TableContents"/>
              <w:spacing w:before="0" w:after="283"/>
              <w:rPr>
                <w:sz w:val="4"/>
                <w:szCs w:val="4"/>
              </w:rPr>
            </w:pPr>
            <w:r>
              <w:rPr>
                <w:sz w:val="4"/>
                <w:szCs w:val="4"/>
              </w:rPr>
            </w:r>
          </w:p>
        </w:tc>
        <w:tc>
          <w:tcPr>
            <w:tcW w:w="1805" w:type="dxa"/>
            <w:tcBorders/>
            <w:shd w:fill="auto" w:val="clear"/>
            <w:vAlign w:val="center"/>
          </w:tcPr>
          <w:p>
            <w:pPr>
              <w:pStyle w:val="TableContents"/>
              <w:spacing w:before="0" w:after="283"/>
              <w:rPr>
                <w:sz w:val="4"/>
                <w:szCs w:val="4"/>
              </w:rPr>
            </w:pPr>
            <w:r>
              <w:rPr>
                <w:sz w:val="4"/>
                <w:szCs w:val="4"/>
              </w:rPr>
            </w:r>
          </w:p>
        </w:tc>
        <w:tc>
          <w:tcPr>
            <w:tcW w:w="181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gridSpan w:val="2"/>
            <w:tcBorders/>
            <w:shd w:fill="auto" w:val="clear"/>
          </w:tcPr>
          <w:p>
            <w:pPr>
              <w:pStyle w:val="TableContents"/>
              <w:spacing w:before="0" w:after="283"/>
              <w:rPr>
                <w:sz w:val="4"/>
                <w:szCs w:val="4"/>
              </w:rPr>
            </w:pPr>
            <w:r>
              <w:rPr>
                <w:sz w:val="4"/>
                <w:szCs w:val="4"/>
              </w:rPr>
            </w:r>
          </w:p>
        </w:tc>
      </w:tr>
      <w:tr>
        <w:trPr/>
        <w:tc>
          <w:tcPr>
            <w:tcW w:w="56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tcPr>
          <w:p>
            <w:pPr>
              <w:pStyle w:val="TableContents"/>
              <w:spacing w:before="0" w:after="283"/>
              <w:rPr>
                <w:sz w:val="4"/>
                <w:szCs w:val="4"/>
              </w:rPr>
            </w:pPr>
            <w:r>
              <w:rPr>
                <w:sz w:val="4"/>
                <w:szCs w:val="4"/>
              </w:rPr>
            </w:r>
          </w:p>
        </w:tc>
      </w:tr>
      <w:tr>
        <w:trPr/>
        <w:tc>
          <w:tcPr>
            <w:tcW w:w="569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9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9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9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9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9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9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Aerospace products revenue</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85,113</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14,313 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53,436</w:t>
            </w: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9,050 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3,655</w:t>
            </w: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1,623 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9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755</w:t>
            </w: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9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86</w:t>
            </w: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9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expenses</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57,932</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10,707 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 xml:space="preserve">Other (expense) income </w:t>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of unconsolidated entities</w:t>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(1,236)</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assets, net</w:t>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9,701 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9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9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other (expense) income</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(1,236)</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9,347 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Income before income taxes</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25,945</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12,953 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916</w:t>
            </w: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income</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25,029</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 in consolidated subsidiaries</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income attributable to shareholders</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25,029</w:t>
            </w:r>
            <w:r>
              <w:rPr>
                <w:color w:val="000000"/>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32740"/>
                <wp:effectExtent l="0" t="0" r="0" b="0"/>
                <wp:wrapNone/>
                <wp:docPr id="39" name="Frame38"/>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 following table sets forth a reconciliation of net income attributable to shareholders from continuing operations to Adjusted EBITDA: </w:t>
      </w:r>
    </w:p>
    <w:tbl>
      <w:tblPr>
        <w:tblW w:w="10205" w:type="dxa"/>
        <w:jc w:val="left"/>
        <w:tblInd w:w="0" w:type="dxa"/>
        <w:tblCellMar>
          <w:top w:w="28" w:type="dxa"/>
          <w:left w:w="28" w:type="dxa"/>
          <w:bottom w:w="28" w:type="dxa"/>
          <w:right w:w="28" w:type="dxa"/>
        </w:tblCellMar>
      </w:tblPr>
      <w:tblGrid>
        <w:gridCol w:w="2079"/>
        <w:gridCol w:w="1817"/>
        <w:gridCol w:w="1824"/>
        <w:gridCol w:w="218"/>
        <w:gridCol w:w="739"/>
        <w:gridCol w:w="121"/>
        <w:gridCol w:w="121"/>
        <w:gridCol w:w="121"/>
        <w:gridCol w:w="121"/>
        <w:gridCol w:w="218"/>
        <w:gridCol w:w="722"/>
        <w:gridCol w:w="121"/>
        <w:gridCol w:w="109"/>
        <w:gridCol w:w="109"/>
        <w:gridCol w:w="109"/>
        <w:gridCol w:w="196"/>
        <w:gridCol w:w="646"/>
        <w:gridCol w:w="109"/>
        <w:gridCol w:w="109"/>
        <w:gridCol w:w="109"/>
        <w:gridCol w:w="109"/>
        <w:gridCol w:w="109"/>
        <w:gridCol w:w="109"/>
        <w:gridCol w:w="160"/>
      </w:tblGrid>
      <w:tr>
        <w:trPr/>
        <w:tc>
          <w:tcPr>
            <w:tcW w:w="2079" w:type="dxa"/>
            <w:tcBorders/>
            <w:shd w:fill="auto" w:val="clear"/>
            <w:vAlign w:val="center"/>
          </w:tcPr>
          <w:p>
            <w:pPr>
              <w:pStyle w:val="TableContents"/>
              <w:spacing w:before="0" w:after="283"/>
              <w:rPr>
                <w:sz w:val="4"/>
                <w:szCs w:val="4"/>
              </w:rPr>
            </w:pPr>
            <w:r>
              <w:rPr>
                <w:sz w:val="4"/>
                <w:szCs w:val="4"/>
              </w:rPr>
            </w:r>
          </w:p>
        </w:tc>
        <w:tc>
          <w:tcPr>
            <w:tcW w:w="1817" w:type="dxa"/>
            <w:tcBorders/>
            <w:shd w:fill="auto" w:val="clear"/>
            <w:vAlign w:val="center"/>
          </w:tcPr>
          <w:p>
            <w:pPr>
              <w:pStyle w:val="TableContents"/>
              <w:spacing w:before="0" w:after="283"/>
              <w:rPr>
                <w:sz w:val="4"/>
                <w:szCs w:val="4"/>
              </w:rPr>
            </w:pPr>
            <w:r>
              <w:rPr>
                <w:sz w:val="4"/>
                <w:szCs w:val="4"/>
              </w:rPr>
            </w:r>
          </w:p>
        </w:tc>
        <w:tc>
          <w:tcPr>
            <w:tcW w:w="182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gridSpan w:val="2"/>
            <w:tcBorders/>
            <w:shd w:fill="auto" w:val="clear"/>
          </w:tcPr>
          <w:p>
            <w:pPr>
              <w:pStyle w:val="TableContents"/>
              <w:spacing w:before="0" w:after="283"/>
              <w:rPr>
                <w:sz w:val="4"/>
                <w:szCs w:val="4"/>
              </w:rPr>
            </w:pPr>
            <w:r>
              <w:rPr>
                <w:sz w:val="4"/>
                <w:szCs w:val="4"/>
              </w:rPr>
            </w:r>
          </w:p>
        </w:tc>
      </w:tr>
      <w:tr>
        <w:trPr/>
        <w:tc>
          <w:tcPr>
            <w:tcW w:w="57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tcPr>
          <w:p>
            <w:pPr>
              <w:pStyle w:val="TableContents"/>
              <w:spacing w:before="0" w:after="283"/>
              <w:rPr>
                <w:sz w:val="4"/>
                <w:szCs w:val="4"/>
              </w:rPr>
            </w:pPr>
            <w:r>
              <w:rPr>
                <w:sz w:val="4"/>
                <w:szCs w:val="4"/>
              </w:rPr>
            </w:r>
          </w:p>
        </w:tc>
      </w:tr>
      <w:tr>
        <w:trPr/>
        <w:tc>
          <w:tcPr>
            <w:tcW w:w="5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income attributable to shareholders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25,029</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income taxes</w:t>
            </w:r>
          </w:p>
        </w:tc>
        <w:tc>
          <w:tcPr>
            <w:tcW w:w="9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916</w:t>
            </w: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Equity-based compensation expense</w:t>
            </w:r>
          </w:p>
        </w:tc>
        <w:tc>
          <w:tcPr>
            <w:tcW w:w="9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15</w:t>
            </w: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Acquisition and transaction expenses</w:t>
            </w:r>
          </w:p>
        </w:tc>
        <w:tc>
          <w:tcPr>
            <w:tcW w:w="9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755</w:t>
            </w: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Losses on the modification or extinguishment of debt and capital lease obligations</w:t>
            </w:r>
          </w:p>
        </w:tc>
        <w:tc>
          <w:tcPr>
            <w:tcW w:w="9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Changes in fair value of non-hedge derivative instruments</w:t>
            </w:r>
          </w:p>
        </w:tc>
        <w:tc>
          <w:tcPr>
            <w:tcW w:w="9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Asset impairment charges</w:t>
            </w:r>
          </w:p>
        </w:tc>
        <w:tc>
          <w:tcPr>
            <w:tcW w:w="9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Incentive allocations</w:t>
            </w:r>
          </w:p>
        </w:tc>
        <w:tc>
          <w:tcPr>
            <w:tcW w:w="9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Depreciation and amortization expense</w:t>
            </w:r>
          </w:p>
        </w:tc>
        <w:tc>
          <w:tcPr>
            <w:tcW w:w="9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86</w:t>
            </w: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expense and dividends on preferred shares</w:t>
            </w:r>
          </w:p>
        </w:tc>
        <w:tc>
          <w:tcPr>
            <w:tcW w:w="9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 xml:space="preserve">Add: Pro-rata share of Adjusted EBITDA from unconsolidated entities </w:t>
            </w:r>
            <w:r>
              <w:rPr>
                <w:rFonts w:ascii="Arial;sans-serif" w:hAnsi="Arial;sans-serif"/>
                <w:b w:val="false"/>
                <w:color w:val="000000"/>
                <w:sz w:val="10"/>
              </w:rPr>
              <w:t>(1)</w:t>
            </w:r>
          </w:p>
        </w:tc>
        <w:tc>
          <w:tcPr>
            <w:tcW w:w="9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(660)</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 in losses of unconsolidated entities</w:t>
            </w:r>
          </w:p>
        </w:tc>
        <w:tc>
          <w:tcPr>
            <w:tcW w:w="9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1,236</w:t>
            </w: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Less: Non-controlling share of Adjusted EBITDA </w:t>
            </w:r>
          </w:p>
        </w:tc>
        <w:tc>
          <w:tcPr>
            <w:tcW w:w="9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Adjusted EBITDA (non-GAAP)</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27,377</w:t>
            </w: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13,043 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________________________________________________________</w:t>
      </w:r>
    </w:p>
    <w:p>
      <w:pPr>
        <w:pStyle w:val="TextBody"/>
        <w:spacing w:lineRule="auto" w:line="288" w:before="120" w:after="283"/>
        <w:ind w:left="0" w:right="0" w:hanging="18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Includes the following items for the three months ended March 31, 2023 and 2022: (i) net loss of $1,236 and $354, (ii) depreciation and amortization expense of $337 and $56, and (iii) acquisition and transaction expenses of $239 and $0, respectively.</w:t>
      </w:r>
    </w:p>
    <w:p>
      <w:pPr>
        <w:pStyle w:val="TextBody"/>
        <w:spacing w:before="120" w:after="283"/>
        <w:ind w:left="0" w:right="0" w:hanging="180"/>
        <w:jc w:val="both"/>
        <w:rPr/>
      </w:pPr>
      <w:r>
        <w:rPr/>
      </w:r>
    </w:p>
    <w:p>
      <w:pPr>
        <w:pStyle w:val="TextBody"/>
        <w:spacing w:lineRule="auto" w:line="288" w:before="120" w:after="283"/>
        <w:ind w:left="0" w:right="0" w:hanging="180"/>
        <w:rPr>
          <w:rFonts w:ascii="Arial;sans-serif" w:hAnsi="Arial;sans-serif"/>
          <w:b/>
          <w:color w:val="00497F"/>
          <w:sz w:val="18"/>
        </w:rPr>
      </w:pPr>
      <w:r>
        <w:rPr>
          <w:rFonts w:ascii="Arial;sans-serif" w:hAnsi="Arial;sans-serif"/>
          <w:b/>
          <w:color w:val="00497F"/>
          <w:sz w:val="18"/>
        </w:rPr>
        <w:t>Comparison of the three months ended March 31, 2023 and 2022</w:t>
      </w:r>
    </w:p>
    <w:p>
      <w:pPr>
        <w:pStyle w:val="TextBody"/>
        <w:spacing w:lineRule="auto" w:line="288" w:before="120" w:after="283"/>
        <w:jc w:val="both"/>
        <w:rPr>
          <w:rFonts w:ascii="Arial;sans-serif" w:hAnsi="Arial;sans-serif"/>
          <w:b/>
          <w:i/>
          <w:color w:val="00497F"/>
          <w:sz w:val="18"/>
        </w:rPr>
      </w:pPr>
      <w:r>
        <w:rPr>
          <w:rFonts w:ascii="Arial;sans-serif" w:hAnsi="Arial;sans-serif"/>
          <w:b/>
          <w:i/>
          <w:color w:val="00497F"/>
          <w:sz w:val="18"/>
        </w:rPr>
        <w:t>Revenues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Aerospace Products revenue increased $70.8 million primarily driven by an increase in sales relating to the CFM56-7B and CFM56-5B engines, engine modules, spare parts and used material inventory as operations continued to ramp-up in 2023.</w:t>
      </w:r>
    </w:p>
    <w:p>
      <w:pPr>
        <w:pStyle w:val="TextBody"/>
        <w:spacing w:lineRule="auto" w:line="288" w:before="120" w:after="283"/>
        <w:jc w:val="both"/>
        <w:rPr>
          <w:rFonts w:ascii="Arial;sans-serif" w:hAnsi="Arial;sans-serif"/>
          <w:b/>
          <w:i/>
          <w:color w:val="00497F"/>
          <w:sz w:val="18"/>
        </w:rPr>
      </w:pPr>
      <w:r>
        <w:rPr>
          <w:rFonts w:ascii="Arial;sans-serif" w:hAnsi="Arial;sans-serif"/>
          <w:b/>
          <w:i/>
          <w:color w:val="00497F"/>
          <w:sz w:val="18"/>
        </w:rPr>
        <w:t>Expenses</w:t>
      </w:r>
    </w:p>
    <w:p>
      <w:pPr>
        <w:pStyle w:val="TextBody"/>
        <w:spacing w:lineRule="auto" w:line="288" w:before="120" w:after="283"/>
        <w:jc w:val="both"/>
        <w:rPr/>
      </w:pPr>
      <w:r>
        <w:rPr>
          <w:rFonts w:ascii="Arial;sans-serif" w:hAnsi="Arial;sans-serif"/>
          <w:b w:val="false"/>
          <w:color w:val="000000"/>
          <w:sz w:val="18"/>
        </w:rPr>
        <w:t>Total expenses increased $47.2 million primarily due to an increase in costs of sales and operating expenses</w:t>
      </w:r>
      <w:r>
        <w:rPr>
          <w:rFonts w:ascii="Times New Roman;sans-serif" w:hAnsi="Times New Roman;sans-serif"/>
          <w:b w:val="false"/>
          <w:color w:val="000000"/>
          <w:sz w:val="18"/>
        </w:rPr>
        <w:t>.</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Cost of sales increased $44.4 million primarily as a result of an increase in Aerospace Product sales and the gross presentation described above.</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Operating expenses increased $2.0 million primarily due to an increase in commission expenses due to the increase in sales from the used material program as well as an increase in professional fees and other operating expenses due to the ramp-up of Aerospace Products.</w:t>
      </w:r>
    </w:p>
    <w:p>
      <w:pPr>
        <w:pStyle w:val="TextBody"/>
        <w:spacing w:lineRule="auto" w:line="288" w:before="120" w:after="283"/>
        <w:jc w:val="both"/>
        <w:rPr>
          <w:rFonts w:ascii="Arial;sans-serif" w:hAnsi="Arial;sans-serif"/>
          <w:b/>
          <w:i/>
          <w:color w:val="00497F"/>
          <w:sz w:val="18"/>
        </w:rPr>
      </w:pPr>
      <w:r>
        <w:rPr>
          <w:rFonts w:ascii="Arial;sans-serif" w:hAnsi="Arial;sans-serif"/>
          <w:b/>
          <w:i/>
          <w:color w:val="00497F"/>
          <w:sz w:val="18"/>
        </w:rPr>
        <w:t>Other income (expense)</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other income (expense) decreased $10.6 million primarily due to a decrease of $9.7 million in gain on sale of assets, net and an increase of $0.9 million in our proportionate share of unconsolidated entities’ net loss. See above discussion regarding presentation of asset sales.</w:t>
      </w:r>
    </w:p>
    <w:p>
      <w:pPr>
        <w:pStyle w:val="TextBody"/>
        <w:spacing w:lineRule="auto" w:line="288" w:before="120" w:after="283"/>
        <w:jc w:val="both"/>
        <w:rPr>
          <w:rFonts w:ascii="Arial;sans-serif" w:hAnsi="Arial;sans-serif"/>
          <w:b/>
          <w:i/>
          <w:color w:val="00497F"/>
          <w:sz w:val="18"/>
          <w:highlight w:val="white"/>
        </w:rPr>
      </w:pPr>
      <w:r>
        <w:rPr>
          <w:rFonts w:ascii="Arial;sans-serif" w:hAnsi="Arial;sans-serif"/>
          <w:b/>
          <w:i/>
          <w:color w:val="00497F"/>
          <w:sz w:val="18"/>
          <w:highlight w:val="white"/>
        </w:rPr>
        <w:t xml:space="preserve">Adjusted EBITDA (Non-GAAP) </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Adjusted EBITDA increased $14.3 million primarily due to the changes noted above.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32740"/>
                <wp:effectExtent l="0" t="0" r="0" b="0"/>
                <wp:wrapNone/>
                <wp:docPr id="40" name="Frame39"/>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color w:val="00497F"/>
          <w:sz w:val="18"/>
        </w:rPr>
      </w:pPr>
      <w:r>
        <w:rPr>
          <w:rFonts w:ascii="Arial;sans-serif" w:hAnsi="Arial;sans-serif"/>
          <w:b/>
          <w:color w:val="00497F"/>
          <w:sz w:val="18"/>
        </w:rPr>
        <w:t>Corporate and Other</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our results of operations:</w:t>
      </w:r>
    </w:p>
    <w:tbl>
      <w:tblPr>
        <w:tblW w:w="10205" w:type="dxa"/>
        <w:jc w:val="left"/>
        <w:tblInd w:w="0" w:type="dxa"/>
        <w:tblCellMar>
          <w:top w:w="28" w:type="dxa"/>
          <w:left w:w="28" w:type="dxa"/>
          <w:bottom w:w="28" w:type="dxa"/>
          <w:right w:w="28" w:type="dxa"/>
        </w:tblCellMar>
      </w:tblPr>
      <w:tblGrid>
        <w:gridCol w:w="2078"/>
        <w:gridCol w:w="1811"/>
        <w:gridCol w:w="1822"/>
        <w:gridCol w:w="209"/>
        <w:gridCol w:w="768"/>
        <w:gridCol w:w="115"/>
        <w:gridCol w:w="115"/>
        <w:gridCol w:w="115"/>
        <w:gridCol w:w="115"/>
        <w:gridCol w:w="209"/>
        <w:gridCol w:w="768"/>
        <w:gridCol w:w="115"/>
        <w:gridCol w:w="109"/>
        <w:gridCol w:w="109"/>
        <w:gridCol w:w="109"/>
        <w:gridCol w:w="196"/>
        <w:gridCol w:w="628"/>
        <w:gridCol w:w="109"/>
        <w:gridCol w:w="109"/>
        <w:gridCol w:w="109"/>
        <w:gridCol w:w="109"/>
        <w:gridCol w:w="109"/>
        <w:gridCol w:w="109"/>
        <w:gridCol w:w="160"/>
      </w:tblGrid>
      <w:tr>
        <w:trPr/>
        <w:tc>
          <w:tcPr>
            <w:tcW w:w="2078" w:type="dxa"/>
            <w:tcBorders/>
            <w:shd w:fill="auto" w:val="clear"/>
            <w:vAlign w:val="center"/>
          </w:tcPr>
          <w:p>
            <w:pPr>
              <w:pStyle w:val="TableContents"/>
              <w:spacing w:before="0" w:after="283"/>
              <w:rPr>
                <w:sz w:val="4"/>
                <w:szCs w:val="4"/>
              </w:rPr>
            </w:pPr>
            <w:r>
              <w:rPr>
                <w:sz w:val="4"/>
                <w:szCs w:val="4"/>
              </w:rPr>
            </w:r>
          </w:p>
        </w:tc>
        <w:tc>
          <w:tcPr>
            <w:tcW w:w="1811" w:type="dxa"/>
            <w:tcBorders/>
            <w:shd w:fill="auto" w:val="clear"/>
            <w:vAlign w:val="center"/>
          </w:tcPr>
          <w:p>
            <w:pPr>
              <w:pStyle w:val="TableContents"/>
              <w:spacing w:before="0" w:after="283"/>
              <w:rPr>
                <w:sz w:val="4"/>
                <w:szCs w:val="4"/>
              </w:rPr>
            </w:pPr>
            <w:r>
              <w:rPr>
                <w:sz w:val="4"/>
                <w:szCs w:val="4"/>
              </w:rPr>
            </w:r>
          </w:p>
        </w:tc>
        <w:tc>
          <w:tcPr>
            <w:tcW w:w="1822"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gridSpan w:val="2"/>
            <w:tcBorders/>
            <w:shd w:fill="auto" w:val="clear"/>
          </w:tcPr>
          <w:p>
            <w:pPr>
              <w:pStyle w:val="TableContents"/>
              <w:spacing w:before="0" w:after="283"/>
              <w:rPr>
                <w:sz w:val="4"/>
                <w:szCs w:val="4"/>
              </w:rPr>
            </w:pPr>
            <w:r>
              <w:rPr>
                <w:sz w:val="4"/>
                <w:szCs w:val="4"/>
              </w:rPr>
            </w:r>
          </w:p>
        </w:tc>
      </w:tr>
      <w:tr>
        <w:trPr/>
        <w:tc>
          <w:tcPr>
            <w:tcW w:w="57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tcPr>
          <w:p>
            <w:pPr>
              <w:pStyle w:val="TableContents"/>
              <w:spacing w:before="0" w:after="283"/>
              <w:rPr>
                <w:sz w:val="4"/>
                <w:szCs w:val="4"/>
              </w:rPr>
            </w:pPr>
            <w:r>
              <w:rPr>
                <w:sz w:val="4"/>
                <w:szCs w:val="4"/>
              </w:rPr>
            </w:r>
          </w:p>
        </w:tc>
      </w:tr>
      <w:tr>
        <w:trPr/>
        <w:tc>
          <w:tcPr>
            <w:tcW w:w="5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1"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2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8"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7,148</w:t>
            </w: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1"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1"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1,417</w:t>
            </w: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1"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1"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1"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1"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revenues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8,565</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6,666 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0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11,791</w:t>
            </w: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4,067</w:t>
            </w: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1,045</w:t>
            </w: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 and incentive allocation to affiliate</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2,997</w:t>
            </w: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2,700</w:t>
            </w: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2,043 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39,292</w:t>
            </w: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44,139 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expenses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61,892</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58,514 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Other expense</w:t>
            </w:r>
          </w:p>
        </w:tc>
        <w:tc>
          <w:tcPr>
            <w:tcW w:w="10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1"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1"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1"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other expense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Loss before income taxes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(53,327)</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(51,885)</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115</w:t>
            </w: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loss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(53,442)</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(52,167)</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 in consolidated subsidiaries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6,791</w:t>
            </w: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loss attributable to shareholders from continuing operations</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(60,233)</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(58,958)</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Arial;sans-serif" w:hAnsi="Arial;sans-serif"/>
          <w:b w:val="false"/>
          <w:color w:val="000000"/>
          <w:sz w:val="18"/>
        </w:rPr>
      </w:pPr>
      <w:r>
        <w:rPr>
          <w:rFonts w:ascii="Arial;sans-serif" w:hAnsi="Arial;sans-serif"/>
          <w:b w:val="false"/>
          <w:color w:val="000000"/>
          <w:sz w:val="18"/>
        </w:rPr>
        <w:t>The following table sets forth a reconciliation of net loss attributable to shareholders to Adjusted EBITDA:</w:t>
      </w:r>
    </w:p>
    <w:tbl>
      <w:tblPr>
        <w:tblW w:w="10205" w:type="dxa"/>
        <w:jc w:val="left"/>
        <w:tblInd w:w="0" w:type="dxa"/>
        <w:tblCellMar>
          <w:top w:w="28" w:type="dxa"/>
          <w:left w:w="28" w:type="dxa"/>
          <w:bottom w:w="28" w:type="dxa"/>
          <w:right w:w="28" w:type="dxa"/>
        </w:tblCellMar>
      </w:tblPr>
      <w:tblGrid>
        <w:gridCol w:w="2085"/>
        <w:gridCol w:w="1823"/>
        <w:gridCol w:w="1831"/>
        <w:gridCol w:w="208"/>
        <w:gridCol w:w="759"/>
        <w:gridCol w:w="115"/>
        <w:gridCol w:w="115"/>
        <w:gridCol w:w="115"/>
        <w:gridCol w:w="115"/>
        <w:gridCol w:w="208"/>
        <w:gridCol w:w="759"/>
        <w:gridCol w:w="115"/>
        <w:gridCol w:w="109"/>
        <w:gridCol w:w="109"/>
        <w:gridCol w:w="109"/>
        <w:gridCol w:w="196"/>
        <w:gridCol w:w="623"/>
        <w:gridCol w:w="109"/>
        <w:gridCol w:w="109"/>
        <w:gridCol w:w="109"/>
        <w:gridCol w:w="109"/>
        <w:gridCol w:w="109"/>
        <w:gridCol w:w="109"/>
        <w:gridCol w:w="157"/>
      </w:tblGrid>
      <w:tr>
        <w:trPr/>
        <w:tc>
          <w:tcPr>
            <w:tcW w:w="2085" w:type="dxa"/>
            <w:tcBorders/>
            <w:shd w:fill="auto" w:val="clear"/>
            <w:vAlign w:val="center"/>
          </w:tcPr>
          <w:p>
            <w:pPr>
              <w:pStyle w:val="TableContents"/>
              <w:spacing w:before="0" w:after="283"/>
              <w:rPr>
                <w:sz w:val="4"/>
                <w:szCs w:val="4"/>
              </w:rPr>
            </w:pPr>
            <w:r>
              <w:rPr>
                <w:sz w:val="4"/>
                <w:szCs w:val="4"/>
              </w:rPr>
            </w:r>
          </w:p>
        </w:tc>
        <w:tc>
          <w:tcPr>
            <w:tcW w:w="1823" w:type="dxa"/>
            <w:tcBorders/>
            <w:shd w:fill="auto" w:val="clear"/>
            <w:vAlign w:val="center"/>
          </w:tcPr>
          <w:p>
            <w:pPr>
              <w:pStyle w:val="TableContents"/>
              <w:spacing w:before="0" w:after="283"/>
              <w:rPr>
                <w:sz w:val="4"/>
                <w:szCs w:val="4"/>
              </w:rPr>
            </w:pPr>
            <w:r>
              <w:rPr>
                <w:sz w:val="4"/>
                <w:szCs w:val="4"/>
              </w:rPr>
            </w:r>
          </w:p>
        </w:tc>
        <w:tc>
          <w:tcPr>
            <w:tcW w:w="1831"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gridSpan w:val="2"/>
            <w:tcBorders/>
            <w:shd w:fill="auto" w:val="clear"/>
          </w:tcPr>
          <w:p>
            <w:pPr>
              <w:pStyle w:val="TableContents"/>
              <w:spacing w:before="0" w:after="283"/>
              <w:rPr>
                <w:sz w:val="4"/>
                <w:szCs w:val="4"/>
              </w:rPr>
            </w:pPr>
            <w:r>
              <w:rPr>
                <w:sz w:val="4"/>
                <w:szCs w:val="4"/>
              </w:rPr>
            </w:r>
          </w:p>
        </w:tc>
      </w:tr>
      <w:tr>
        <w:trPr/>
        <w:tc>
          <w:tcPr>
            <w:tcW w:w="5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tcPr>
          <w:p>
            <w:pPr>
              <w:pStyle w:val="TableContents"/>
              <w:spacing w:before="0" w:after="283"/>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loss attributable to shareholders from continuing operations</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(60,233)</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(58,958)</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income taxes</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115</w:t>
            </w: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Equity-based compensation expense</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71</w:t>
            </w: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Acquisition and transaction expenses</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1,045</w:t>
            </w: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Losses on the modification or extinguishment of debt and capital lease obligations</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Changes in fair value of non-hedge derivative instruments</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Asset impairment charges</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Incentive allocations</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2,942</w:t>
            </w: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Depreciation and amortization expense</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2,700</w:t>
            </w: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2,043 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expense and dividends on preferred shares</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46,083</w:t>
            </w: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50,930 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Pro-rata share of Adjusted EBITDA from unconsolidated entities</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 in losses (earnings) of unconsolidated entities</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Non-controlling share of Adjusted EBITDA</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Adjusted EBITDA (non-GAAP)</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(7,277)</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(3,639)</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before="120" w:after="283"/>
        <w:rPr/>
      </w:pPr>
      <w:r>
        <w:rPr/>
      </w:r>
    </w:p>
    <w:p>
      <w:pPr>
        <w:pStyle w:val="TextBody"/>
        <w:spacing w:before="120" w:after="283"/>
        <w:rPr/>
      </w:pPr>
      <w:r>
        <w:rPr/>
      </w: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32740"/>
                <wp:effectExtent l="0" t="0" r="0" b="0"/>
                <wp:wrapNone/>
                <wp:docPr id="41" name="Frame40"/>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color w:val="00497F"/>
          <w:sz w:val="18"/>
        </w:rPr>
      </w:pPr>
      <w:r>
        <w:rPr>
          <w:rFonts w:ascii="Arial;sans-serif" w:hAnsi="Arial;sans-serif"/>
          <w:b/>
          <w:color w:val="00497F"/>
          <w:sz w:val="18"/>
        </w:rPr>
        <w:t>Comparison of the three months ended March 31, 2023 and 2022</w:t>
      </w:r>
    </w:p>
    <w:p>
      <w:pPr>
        <w:pStyle w:val="TextBody"/>
        <w:spacing w:lineRule="auto" w:line="288" w:before="120" w:after="283"/>
        <w:jc w:val="both"/>
        <w:rPr>
          <w:rFonts w:ascii="Arial;sans-serif" w:hAnsi="Arial;sans-serif"/>
          <w:b/>
          <w:i/>
          <w:color w:val="00497F"/>
          <w:sz w:val="18"/>
        </w:rPr>
      </w:pPr>
      <w:r>
        <w:rPr>
          <w:rFonts w:ascii="Arial;sans-serif" w:hAnsi="Arial;sans-serif"/>
          <w:b/>
          <w:i/>
          <w:color w:val="00497F"/>
          <w:sz w:val="18"/>
        </w:rPr>
        <w:t>Revenues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Total revenues increased $1.9 million primarily due to an increase in the Offshore Energy business as the daily charter rate on one of our vessels increased. </w:t>
      </w:r>
    </w:p>
    <w:p>
      <w:pPr>
        <w:pStyle w:val="TextBody"/>
        <w:spacing w:lineRule="auto" w:line="288" w:before="120" w:after="283"/>
        <w:jc w:val="both"/>
        <w:rPr>
          <w:rFonts w:ascii="Arial;sans-serif" w:hAnsi="Arial;sans-serif"/>
          <w:b/>
          <w:i/>
          <w:color w:val="00497F"/>
          <w:sz w:val="18"/>
        </w:rPr>
      </w:pPr>
      <w:r>
        <w:rPr>
          <w:rFonts w:ascii="Arial;sans-serif" w:hAnsi="Arial;sans-serif"/>
          <w:b/>
          <w:i/>
          <w:color w:val="00497F"/>
          <w:sz w:val="18"/>
        </w:rPr>
        <w:t>Expenses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expenses increased $3.4 million primarily due to higher operating expenses, management fees and incentive allocation to affiliate, and depreciation expense, partially offset by lower interest expense and acquisition and transaction expenses.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Operating expenses increased $6.1 million which reflects increases in offshore crew expenses, project costs and other operating expenses for one of our vessels driven by increased cost of operations based on the operating location of the vessel and crane repairs on one of our vessels.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Management fees and incentive allocation to affiliate increased $3.0 million primarily due to an increase in incentive fee due to the Manager.</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Depreciation and amortization expense increased $0.7 million primarily due to the Well Intervention Tower being placed into service on one of our offshore vessels in December 2022.</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Interest expense</w:t>
      </w:r>
      <w:r>
        <w:rPr>
          <w:color w:val="000000"/>
          <w:highlight w:val="white"/>
        </w:rPr>
        <w:t xml:space="preserve"> </w:t>
      </w:r>
      <w:r>
        <w:rPr>
          <w:rFonts w:ascii="Arial;sans-serif" w:hAnsi="Arial;sans-serif"/>
          <w:b w:val="false"/>
          <w:color w:val="000000"/>
          <w:sz w:val="18"/>
        </w:rPr>
        <w:t>decreased $4.8 million, which reflects a decrease in the average outstanding debt of approximately $426.0 million due to decreases in (i) the 2021 Bridge Loans of $260.0 million and (ii) the Senior Notes due 2025 of $199.2 million, which were partially redeemed in August 2022, partially offset by an increase in (iii) the Revolving Credit Facility of $33.2 million.</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Acquisition and transaction expense decreased $1.0 million primarily due to lower professional fees related to strategic transactions.</w:t>
      </w:r>
    </w:p>
    <w:p>
      <w:pPr>
        <w:pStyle w:val="TextBody"/>
        <w:spacing w:lineRule="auto" w:line="288" w:before="120" w:after="283"/>
        <w:jc w:val="both"/>
        <w:rPr>
          <w:rFonts w:ascii="Arial;sans-serif" w:hAnsi="Arial;sans-serif"/>
          <w:b/>
          <w:i/>
          <w:color w:val="00497F"/>
          <w:sz w:val="18"/>
        </w:rPr>
      </w:pPr>
      <w:r>
        <w:rPr>
          <w:rFonts w:ascii="Arial;sans-serif" w:hAnsi="Arial;sans-serif"/>
          <w:b/>
          <w:i/>
          <w:color w:val="00497F"/>
          <w:sz w:val="18"/>
        </w:rPr>
        <w:t>Adjusted EBITDA (Non-GAAP)</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Adjusted EBITDA decreased $3.6 million primarily due to the changes noted above.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497F"/>
          <w:sz w:val="18"/>
        </w:rPr>
      </w:pPr>
      <w:r>
        <w:rPr>
          <w:rFonts w:ascii="Arial;sans-serif" w:hAnsi="Arial;sans-serif"/>
          <w:b/>
          <w:color w:val="00497F"/>
          <w:sz w:val="18"/>
        </w:rPr>
        <w:t xml:space="preserve">Liquidity and Capital Resources </w:t>
      </w:r>
    </w:p>
    <w:p>
      <w:pPr>
        <w:pStyle w:val="TextBody"/>
        <w:spacing w:lineRule="auto" w:line="288" w:before="120" w:after="283"/>
        <w:jc w:val="both"/>
        <w:rPr/>
      </w:pPr>
      <w:r>
        <w:rPr>
          <w:rFonts w:ascii="Arial;sans-serif" w:hAnsi="Arial;sans-serif"/>
          <w:b w:val="false"/>
          <w:color w:val="000000"/>
          <w:sz w:val="18"/>
        </w:rPr>
        <w:t xml:space="preserve">We believe we have sufficient liquidity to satisfy our cash needs, however, we continue to evaluate and take action, as necessary, to preserve adequate liquidity and ensure that our business can continue to operate during these uncertain times. </w:t>
      </w:r>
      <w:r>
        <w:rPr>
          <w:rFonts w:ascii="Arial;sans-serif" w:hAnsi="Arial;sans-serif"/>
          <w:b w:val="false"/>
          <w:color w:val="000000"/>
          <w:sz w:val="18"/>
          <w:highlight w:val="white"/>
        </w:rPr>
        <w:t>This includes limiting discretionary spending across the organization and re-prioritizing our investments amid market volatility.</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principal uses of liquidity have been and continue to be (i) acquisitions of aircraft and engines, (ii) dividends to our ordinary and preferred shareholders, (iii) expenses associated with our operating activities, and (iv) debt service obligations associated with our investments.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Cash used for the purpose of making investments was $167.0 million and $284.4 million during the three months ended March 31, 2023 and 2022, respectively.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Dividends to shareholders and holders of eligible participating securities were $36.7 million and $39.5 million during the three months ended March 31, 2023 and 2022, respectively.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Uses of liquidity associated with our operating expenses are captured on a net basis in our cash flows from operating activities. Uses of liquidity associated with our debt obligations are captured in our cash flows from financing activities. </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principal sources of liquidity to fund these uses have been and continue to be (i) revenues from our aviation assets (including maintenance reserve collections) net of operating expenses, (ii) proceeds from borrowings or the issuance of securities and (iii) proceeds from asset sales.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Cash flows from operating activities, plus maintenance reserve collections were $48.8 million and $12.8 million during the three months ended March 31, 2023 and 2022, respectively.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During the three months ended March 31, 2023, additional borrowings and total principal repayments in connection with the Revolving Credit Facility were $145.0 million and $220.0 million, respectively. During the three months ended March 31, 2022, additional borrowings were obtained in connection with the (i) 2021 Bridge Loans of $239.5 million, (ii) Revolving Credit Facility of $160.0 million and (iii) EB-5 Loan Agreement of $9.5 million. We made total principal repayments of $224.5 million relating to the Revolving Credit Facility.</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 xml:space="preserve">Proceeds from the sale of assets were $153.7 million and $54.4 million during the three months ended March 31, 2023 and 2022, respectively.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Proceeds from the issuance of preferred shares, net of underwriter’s discount and issuance costs were $61.7 million and $0.0 million during the three months ended March 31, 2023 and 2022, respectively.</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32740"/>
                <wp:effectExtent l="0" t="0" r="0" b="0"/>
                <wp:wrapNone/>
                <wp:docPr id="42" name="Frame41"/>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are currently evaluating several potential transactions and related financings, which could occur within the next 12 months. None of these potential transactions, negotiations, or financings are definitive or included within our planned liquidity needs. We cannot assure if or when any such transaction will be consummated or the terms of any such transaction or related financing.</w:t>
      </w:r>
    </w:p>
    <w:p>
      <w:pPr>
        <w:pStyle w:val="TextBody"/>
        <w:spacing w:lineRule="auto" w:line="288" w:before="120" w:after="283"/>
        <w:rPr>
          <w:rFonts w:ascii="Arial;sans-serif" w:hAnsi="Arial;sans-serif"/>
          <w:b/>
          <w:color w:val="00497F"/>
          <w:sz w:val="18"/>
        </w:rPr>
      </w:pPr>
      <w:r>
        <w:rPr>
          <w:rFonts w:ascii="Arial;sans-serif" w:hAnsi="Arial;sans-serif"/>
          <w:b/>
          <w:color w:val="00497F"/>
          <w:sz w:val="18"/>
        </w:rPr>
        <w:t xml:space="preserve">Historical Cash Flow </w:t>
      </w:r>
    </w:p>
    <w:p>
      <w:pPr>
        <w:pStyle w:val="TextBody"/>
        <w:spacing w:lineRule="auto" w:line="288" w:before="120" w:after="283"/>
        <w:rPr>
          <w:rFonts w:ascii="Arial;sans-serif" w:hAnsi="Arial;sans-serif"/>
          <w:b/>
          <w:i/>
          <w:color w:val="00497F"/>
          <w:sz w:val="18"/>
        </w:rPr>
      </w:pPr>
      <w:r>
        <w:rPr>
          <w:rFonts w:ascii="Arial;sans-serif" w:hAnsi="Arial;sans-serif"/>
          <w:b/>
          <w:i/>
          <w:color w:val="00497F"/>
          <w:sz w:val="18"/>
        </w:rPr>
        <w:t>Comparison of the three months ended March 31, 2023 and 2022</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The following table compares the historical cash flow from continuing and discontinued operations for the three months ended March 31, 2023 and 2022:</w:t>
      </w:r>
    </w:p>
    <w:tbl>
      <w:tblPr>
        <w:tblW w:w="6325" w:type="dxa"/>
        <w:jc w:val="left"/>
        <w:tblInd w:w="0" w:type="dxa"/>
        <w:tblCellMar>
          <w:top w:w="28" w:type="dxa"/>
          <w:left w:w="28" w:type="dxa"/>
          <w:bottom w:w="28" w:type="dxa"/>
          <w:right w:w="28" w:type="dxa"/>
        </w:tblCellMar>
      </w:tblPr>
      <w:tblGrid>
        <w:gridCol w:w="1353"/>
        <w:gridCol w:w="1188"/>
        <w:gridCol w:w="1193"/>
        <w:gridCol w:w="231"/>
        <w:gridCol w:w="780"/>
        <w:gridCol w:w="128"/>
        <w:gridCol w:w="128"/>
        <w:gridCol w:w="128"/>
        <w:gridCol w:w="128"/>
        <w:gridCol w:w="231"/>
        <w:gridCol w:w="656"/>
        <w:gridCol w:w="181"/>
      </w:tblGrid>
      <w:tr>
        <w:trPr/>
        <w:tc>
          <w:tcPr>
            <w:tcW w:w="1353"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1"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37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1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Cash Flow Data:</w:t>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0"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38,697</w:t>
            </w: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1,923 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10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(12,323)</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(228,127)</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provided by financing activities</w:t>
            </w:r>
          </w:p>
        </w:tc>
        <w:tc>
          <w:tcPr>
            <w:tcW w:w="10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(38,445)</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145,810 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rPr>
          <w:rFonts w:ascii="Arial;sans-serif" w:hAnsi="Arial;sans-serif"/>
          <w:b w:val="false"/>
          <w:color w:val="000000"/>
          <w:sz w:val="18"/>
        </w:rPr>
      </w:pPr>
      <w:r>
        <w:rPr>
          <w:rFonts w:ascii="Arial;sans-serif" w:hAnsi="Arial;sans-serif"/>
          <w:b w:val="false"/>
          <w:color w:val="000000"/>
          <w:sz w:val="18"/>
        </w:rPr>
        <w:t xml:space="preserve">Net cash provided by operating activities increased $36.8 million, which primarily reflects an increase in net income of $259.1 million, partially offset by certain adjustments to reconcile net income to cash provided by operating activities including (i) asset impairment of $121.6 million, (ii) provision for credit losses of $47.4 million, (iii) equity in losses of unconsolidated entities of $22.7 million, (iv) depreciation and amortization of $17.4 million and (v) gain on sale of assets, net of $15.4 million. </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Net cash used in investing activities decreased $215.8 million, primarily due to (i) higher proceeds from the sale of leasing equipment of $102.2 million, (ii) a decrease in acquisitions of leasing equipment of $91.9 million, and (iii) a decrease in acquisitions of property, plant and equipment of $53.2 million, partially offset by an increase in investment in unconsolidated subsidiaries of $17.9 million. </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Net cash used in financing activities increased $184.3 million, primarily due to a decrease in proceeds from debt of $264.0 million, partially offset by an increase in proceeds from the issuance of preferred shares, net of underwriter’s discount and issuance costs of $61.7 million.</w:t>
      </w:r>
    </w:p>
    <w:p>
      <w:pPr>
        <w:pStyle w:val="TextBody"/>
        <w:spacing w:lineRule="auto" w:line="288" w:before="120" w:after="283"/>
        <w:jc w:val="both"/>
        <w:rPr>
          <w:rFonts w:ascii="Arial;sans-serif" w:hAnsi="Arial;sans-serif"/>
          <w:b/>
          <w:color w:val="00497F"/>
          <w:sz w:val="18"/>
        </w:rPr>
      </w:pPr>
      <w:r>
        <w:rPr>
          <w:rFonts w:ascii="Arial;sans-serif" w:hAnsi="Arial;sans-serif"/>
          <w:b/>
          <w:color w:val="00497F"/>
          <w:sz w:val="18"/>
        </w:rPr>
        <w:t>Cash Flows of Discontinued Operations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cash flows related to discontinued operations have not been segregated and are included in the Consolidated Statements of Cash Flows for all periods presented.</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 absence of cash flows from discontinued operations is not expected to adversely affect our liquidity or our ability to fund capital expenditures or working capital needs. The discontinued operations historically generate negative operating and investing cash flows. We also have current availability for borrowing of up to $225.0 million.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497F"/>
          <w:sz w:val="18"/>
        </w:rPr>
      </w:pPr>
      <w:r>
        <w:rPr>
          <w:rFonts w:ascii="Arial;sans-serif" w:hAnsi="Arial;sans-serif"/>
          <w:b/>
          <w:color w:val="00497F"/>
          <w:sz w:val="18"/>
        </w:rPr>
        <w:t xml:space="preserve">Debt Obligations </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Refer to Note 7 of the Consolidated Financial Statements for additional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497F"/>
          <w:sz w:val="18"/>
        </w:rPr>
      </w:pPr>
      <w:r>
        <w:rPr>
          <w:rFonts w:ascii="Arial;sans-serif" w:hAnsi="Arial;sans-serif"/>
          <w:b/>
          <w:color w:val="00497F"/>
          <w:sz w:val="18"/>
        </w:rPr>
        <w:t xml:space="preserve">Contractual Obligations </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material cash requirements include the following contractual and other obligations:</w:t>
      </w:r>
    </w:p>
    <w:p>
      <w:pPr>
        <w:pStyle w:val="TextBody"/>
        <w:spacing w:lineRule="auto" w:line="288" w:before="120" w:after="283"/>
        <w:jc w:val="both"/>
        <w:rPr/>
      </w:pPr>
      <w:r>
        <w:rPr>
          <w:rFonts w:ascii="Arial;sans-serif" w:hAnsi="Arial;sans-serif"/>
          <w:b/>
          <w:i/>
          <w:color w:val="00497F"/>
          <w:sz w:val="18"/>
        </w:rPr>
        <w:t>Debt Obligations</w:t>
      </w:r>
      <w:r>
        <w:rPr>
          <w:color w:val="00497F"/>
        </w:rPr>
        <w:t>—</w:t>
      </w:r>
      <w:r>
        <w:rPr>
          <w:rFonts w:ascii="Arial;sans-serif" w:hAnsi="Arial;sans-serif"/>
          <w:b w:val="false"/>
          <w:color w:val="000000"/>
          <w:sz w:val="18"/>
        </w:rPr>
        <w:t>As of March 31, 2023, we had outstanding principal and interest payment obligations of $2.1 billion and $0.6 billion, respectively, of which only interest payments of $142.1 million are due in the next twelve months. See Note 7 to the consolidated financial statements for additional information about our debt obligations.</w:t>
      </w:r>
    </w:p>
    <w:p>
      <w:pPr>
        <w:pStyle w:val="TextBody"/>
        <w:spacing w:lineRule="auto" w:line="288" w:before="120" w:after="283"/>
        <w:jc w:val="both"/>
        <w:rPr/>
      </w:pPr>
      <w:r>
        <w:rPr>
          <w:rFonts w:ascii="Arial;sans-serif" w:hAnsi="Arial;sans-serif"/>
          <w:b/>
          <w:i/>
          <w:color w:val="00497F"/>
          <w:sz w:val="18"/>
        </w:rPr>
        <w:t>Lease Obligations</w:t>
      </w:r>
      <w:r>
        <w:rPr>
          <w:color w:val="000000"/>
        </w:rPr>
        <w:t>—</w:t>
      </w:r>
      <w:r>
        <w:rPr>
          <w:rFonts w:ascii="Arial;sans-serif" w:hAnsi="Arial;sans-serif"/>
          <w:b w:val="false"/>
          <w:color w:val="000000"/>
          <w:sz w:val="18"/>
        </w:rPr>
        <w:t>As of March 31, 2023, we had outstanding operating and finance lease obligations of $2.7 million, of which $0.8 million is due in the next twelve months.</w:t>
      </w:r>
    </w:p>
    <w:p>
      <w:pPr>
        <w:pStyle w:val="TextBody"/>
        <w:spacing w:lineRule="auto" w:line="288" w:before="120" w:after="283"/>
        <w:jc w:val="both"/>
        <w:rPr/>
      </w:pPr>
      <w:r>
        <w:rPr>
          <w:rFonts w:ascii="Arial;sans-serif" w:hAnsi="Arial;sans-serif"/>
          <w:b/>
          <w:i/>
          <w:color w:val="00497F"/>
          <w:sz w:val="18"/>
        </w:rPr>
        <w:t>Other Cash Requirements</w:t>
      </w:r>
      <w:r>
        <w:rPr>
          <w:color w:val="000000"/>
        </w:rPr>
        <w:t>—</w:t>
      </w:r>
      <w:r>
        <w:rPr>
          <w:rFonts w:ascii="Arial;sans-serif" w:hAnsi="Arial;sans-serif"/>
          <w:b w:val="false"/>
          <w:color w:val="000000"/>
          <w:sz w:val="18"/>
        </w:rPr>
        <w:t>In addition to our contractual obligations, we pay quarterly cash dividends on our ordinary shares and preferred shares, which are subject to change at the discretion of our Board of Directors. During the last twelve months, we declared cash dividends of $125.7 million and $27.2 million on our ordinary shares and preferred shares, respectively.</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expect to meet our future short-term liquidity requirements through cash on hand, unused borrowing capacity or future financings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Arial;sans-serif" w:hAnsi="Arial;sans-serif"/>
          <w:b/>
          <w:color w:val="00497F"/>
          <w:sz w:val="18"/>
        </w:rPr>
      </w:pPr>
      <w:r>
        <w:rPr>
          <w:rFonts w:ascii="Arial;sans-serif" w:hAnsi="Arial;sans-serif"/>
          <w:b/>
          <w:color w:val="00497F"/>
          <w:sz w:val="18"/>
        </w:rPr>
        <w:t>Critical Accounting Estimates and Policies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There were no material changes to our critical accounting estimates described in our Annual Report on Form 10-K for the year ended December 31, 2022.</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32740"/>
                <wp:effectExtent l="0" t="0" r="0" b="0"/>
                <wp:wrapNone/>
                <wp:docPr id="43" name="Frame42"/>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jc w:val="both"/>
        <w:rPr>
          <w:rFonts w:ascii="Arial;sans-serif" w:hAnsi="Arial;sans-serif"/>
          <w:b/>
          <w:color w:val="00497F"/>
          <w:sz w:val="18"/>
        </w:rPr>
      </w:pPr>
      <w:r>
        <w:rPr>
          <w:rFonts w:ascii="Arial;sans-serif" w:hAnsi="Arial;sans-serif"/>
          <w:b/>
          <w:color w:val="00497F"/>
          <w:sz w:val="18"/>
        </w:rPr>
        <w:t>Recent Accounting Pronouncements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See Note 2 to our Consolidated Financial Statements for recent accounting pronouncements.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6EBF"/>
          <w:sz w:val="20"/>
        </w:rPr>
      </w:pPr>
      <w:r>
        <w:rPr>
          <w:rFonts w:ascii="Arial;sans-serif" w:hAnsi="Arial;sans-serif"/>
          <w:b/>
          <w:color w:val="006EBF"/>
          <w:sz w:val="20"/>
        </w:rPr>
        <w:t xml:space="preserve">Item 3. Quantitative and Qualitative Disclosures About Market Risk </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 </w:t>
      </w:r>
    </w:p>
    <w:p>
      <w:pPr>
        <w:pStyle w:val="TextBody"/>
        <w:spacing w:lineRule="auto" w:line="288" w:before="120" w:after="283"/>
        <w:jc w:val="both"/>
        <w:rPr>
          <w:rFonts w:ascii="Arial;sans-serif" w:hAnsi="Arial;sans-serif"/>
          <w:b/>
          <w:i/>
          <w:color w:val="00497F"/>
          <w:sz w:val="18"/>
        </w:rPr>
      </w:pPr>
      <w:r>
        <w:rPr>
          <w:rFonts w:ascii="Arial;sans-serif" w:hAnsi="Arial;sans-serif"/>
          <w:b/>
          <w:i/>
          <w:color w:val="00497F"/>
          <w:sz w:val="18"/>
        </w:rPr>
        <w:t xml:space="preserve">Interest Rate Risk </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 </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LIBOR and other indices which are deemed “benchmarks” are the subject of recent national, international, and other regulatory guidance and proposals for reform. The ICE Benchmark Administration ceased publication of one-week and two-month USD LIBOR settings after December 31, 2021 and intends to cease publishing the remaining USD LIBOR settings after June 30, 2023. We are monitoring related reform proposals and evaluating the related risks and, as a result of LIBOR’s phase out, amended our revolving credit facility to incorporate SOFR as the successor rate to LIBOR; however, it is not possible to predict the effects of any of these developments, and any future initiatives to regulate, reform or change the manner of administration of LIBOR, SOFR or other benchmark indices could result in adverse consequences to the rate of interest payable and receivable on, market value of and market liquidity for financial instruments tied to variable interest rate indices.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borrowing agreements generally require payments based on a variable interest rate index, such as SOFR. Therefore, to the extent our borrowing costs are not fixed, increases in interest rates may reduce our net income by increasing the cost of our debt without any corresponding increase in rents or cash flow from our leases. We may elect to manage our exposure to interest rate movements through the use of interest rate derivatives (interest rate swaps and caps).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if any. It also does not include a variety of other potential factors that could affect our business as a result of changes in interest rates. In addition, the following discussion does not take into account our Series A and Series B preferred shares, on which distributions currently accrue interest at a fixed rate but will accrue interest at a floating rate based on a certain variable interest rate index plus a spread from and after September 15, 2024.</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As of March 31, 2023, assuming we do not hedge our exposure to interest rate fluctuations related to our outstanding floating rate debt, a hypothetical 100-basis point increase/decrease in our variable interest rate on our borrowings would result in an increase of approximately $0.8 million or a decrease of approximately $0.8 million in interest expense over the next 12 months.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6EBF"/>
          <w:sz w:val="20"/>
        </w:rPr>
      </w:pPr>
      <w:r>
        <w:rPr>
          <w:rFonts w:ascii="Arial;sans-serif" w:hAnsi="Arial;sans-serif"/>
          <w:b/>
          <w:color w:val="006EBF"/>
          <w:sz w:val="20"/>
        </w:rPr>
        <w:t>Item 4. Controls and Procedures</w:t>
      </w:r>
    </w:p>
    <w:p>
      <w:pPr>
        <w:pStyle w:val="TextBody"/>
        <w:spacing w:lineRule="auto" w:line="288" w:before="120" w:after="283"/>
        <w:rPr>
          <w:rFonts w:ascii="Arial;sans-serif" w:hAnsi="Arial;sans-serif"/>
          <w:b/>
          <w:i/>
          <w:color w:val="00497F"/>
          <w:sz w:val="18"/>
        </w:rPr>
      </w:pPr>
      <w:r>
        <w:rPr>
          <w:rFonts w:ascii="Arial;sans-serif" w:hAnsi="Arial;sans-serif"/>
          <w:b/>
          <w:i/>
          <w:color w:val="00497F"/>
          <w:sz w:val="18"/>
        </w:rPr>
        <w:t>Disclosure Controls and Procedures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the end of the period covered by this report, an evaluation was carried out under the supervision and with the participation of our management, including our Chief Executive Officer and Chief Financial Officer, of the effectiveness of our disclosure controls and procedures (as defined in Rule 13a-15(e) under the Securities Exchange Act of 1934 (the “Exchange Act”)). Based upon that evaluation, our Chief Executive Officer and Chief Financial Officer have concluded that our disclosure controls and procedures were effective as of and for the period covered by this report.</w:t>
      </w:r>
    </w:p>
    <w:p>
      <w:pPr>
        <w:pStyle w:val="TextBody"/>
        <w:spacing w:lineRule="auto" w:line="288" w:before="120" w:after="283"/>
        <w:jc w:val="both"/>
        <w:rPr>
          <w:rFonts w:ascii="Arial;sans-serif" w:hAnsi="Arial;sans-serif"/>
          <w:b/>
          <w:i/>
          <w:color w:val="00497F"/>
          <w:sz w:val="18"/>
        </w:rPr>
      </w:pPr>
      <w:r>
        <w:rPr>
          <w:rFonts w:ascii="Arial;sans-serif" w:hAnsi="Arial;sans-serif"/>
          <w:b/>
          <w:i/>
          <w:color w:val="00497F"/>
          <w:sz w:val="18"/>
        </w:rPr>
        <w:t>Internal Control over Financial Reporting</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There have been no changes in our internal control over financial reporting (as such term is defined in Rules 13a-15(f) and 15d-15(f) under the Exchange Act) during the fiscal quarter to which this report relates that have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32740"/>
                <wp:effectExtent l="0" t="0" r="0" b="0"/>
                <wp:wrapNone/>
                <wp:docPr id="44" name="Frame43"/>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300" w:after="283"/>
        <w:jc w:val="center"/>
        <w:rPr>
          <w:rFonts w:ascii="Arial;sans-serif" w:hAnsi="Arial;sans-serif"/>
          <w:b/>
          <w:color w:val="006EBF"/>
          <w:sz w:val="20"/>
        </w:rPr>
      </w:pPr>
      <w:r>
        <w:rPr>
          <w:rFonts w:ascii="Arial;sans-serif" w:hAnsi="Arial;sans-serif"/>
          <w:b/>
          <w:color w:val="006EBF"/>
          <w:sz w:val="20"/>
        </w:rPr>
        <w:t>PART II—OTHER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6EBF"/>
          <w:sz w:val="20"/>
        </w:rPr>
      </w:pPr>
      <w:r>
        <w:rPr>
          <w:rFonts w:ascii="Arial;sans-serif" w:hAnsi="Arial;sans-serif"/>
          <w:b/>
          <w:color w:val="006EBF"/>
          <w:sz w:val="20"/>
        </w:rPr>
        <w:t xml:space="preserve">Item 1. Legal Proceedings </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pPr>
      <w:r>
        <w:rPr>
          <w:rFonts w:ascii="Arial;sans-serif" w:hAnsi="Arial;sans-serif"/>
          <w:b/>
          <w:color w:val="006EBF"/>
          <w:sz w:val="20"/>
        </w:rPr>
        <w:t>Item 1A. Risk Factors</w:t>
      </w:r>
      <w:r>
        <w:rPr>
          <w:color w:val="000000"/>
        </w:rPr>
        <w:t xml:space="preserve"> </w:t>
      </w:r>
    </w:p>
    <w:p>
      <w:pPr>
        <w:pStyle w:val="TextBody"/>
        <w:spacing w:lineRule="auto" w:line="288" w:before="120" w:after="283"/>
        <w:jc w:val="both"/>
        <w:rPr>
          <w:rFonts w:ascii="Arial;sans-serif" w:hAnsi="Arial;sans-serif"/>
          <w:b w:val="false"/>
          <w:i/>
          <w:color w:val="000000"/>
          <w:sz w:val="18"/>
        </w:rPr>
      </w:pPr>
      <w:r>
        <w:rPr>
          <w:rFonts w:ascii="Arial;sans-serif" w:hAnsi="Arial;sans-serif"/>
          <w:b w:val="false"/>
          <w:i/>
          <w:color w:val="000000"/>
          <w:sz w:val="18"/>
        </w:rPr>
        <w:t>You should carefully consider the following risks and other information in this Form 10-Q in evaluating us and our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our Manager, risks related to taxation and risks related to the Company’s shares. However, these categories do overlap and should not be considered exclusive.</w:t>
      </w:r>
    </w:p>
    <w:p>
      <w:pPr>
        <w:pStyle w:val="TextBody"/>
        <w:spacing w:lineRule="auto" w:line="288" w:before="120" w:after="283"/>
        <w:jc w:val="both"/>
        <w:rPr>
          <w:rFonts w:ascii="Arial;sans-serif" w:hAnsi="Arial;sans-serif"/>
          <w:b/>
          <w:color w:val="006EBF"/>
          <w:sz w:val="18"/>
        </w:rPr>
      </w:pPr>
      <w:r>
        <w:rPr>
          <w:rFonts w:ascii="Arial;sans-serif" w:hAnsi="Arial;sans-serif"/>
          <w:b/>
          <w:color w:val="006EBF"/>
          <w:sz w:val="18"/>
        </w:rPr>
        <w:t>Risks Related to Our Business</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industries.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Excess supply in oil and gas markets can put significant downward pressure on prices for these commodities, and may affect demand for assets used in production, refining and transportation of oil and gas. In the past, a significant decline in oil prices has led to lower offshore exploration and production budgets worldwide.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Further, demand for our assets is related to passenger and cargo traffic growth, which in turn is dependent on general business and economic conditions. Global economic downturns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have in the past been exposed to increased credit risk from our customers and third parties who have obligations to us, which resulted in non-performance of contracts by our lessees and adversely impacted our business, financial condition, results of operations and cash flows. We cannot assure you that similar loss events may not occur in the future.</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Instability in geographies where we have assets or where we derive revenue could have a material adverse effect on our business, customers, operations and financial results.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Economic, civil, military and political uncertainty exists and may increase in regions where we operate and derive our revenue. Various countries in which we operate are experiencing and may continue to experience military action and civil and political unrest. We have assets in the emerging market economies of Eastern Europe, including some assets in Russia and Ukraine. In late February 2022, Russian military forces launched significant military action against Ukraine. Sustained conflict and disruption in the region is likely. The impact to Russia and Ukraine, as well as actions taken by other countries, including new and stricter export controls and sanctions by Canada, the United Kingdom, the European Union, the U.S. and other countries and organizations against officials, individuals, regions, and industries in Russia and Ukraine, and each country’s potential response to such sanctions, tensions and military actions, could have a material adverse effect on our business and delay or prevent us from accessing certain of our assets. We are actively monitoring the security of our remaining assets in the region.</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The aviation industry has experienced periods of oversupply during which lease rates and asset values have declined, particularly during the most recent economic downturn, and any future oversupply could materially adversely affect our results of operations and cash flows.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most recent economic downturn. Factors that could lead to such oversupply include, without limitation:</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general demand for the type of assets that we purchase;</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general macroeconomic conditions, including market prices for commodities that our assets may serve;</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32740"/>
                <wp:effectExtent l="0" t="0" r="0" b="0"/>
                <wp:wrapNone/>
                <wp:docPr id="45" name="Frame44"/>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geopolitical events, including war, prolonged armed conflict and acts of terrorism;</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outbreaks of communicable diseases and natural disasters;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governmental regulation;</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interest rates;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the availability of credit;</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potential reduced cash flows and financial condition, including potential liquidity restraints;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restructurings and bankruptcies of companies in the industries in which we operate, including our customers;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manufacturer production levels and technological innovation;</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manufacturers merging or exiting the industry or ceasing to produce certain asset types;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retirement and obsolescence of the assets that we own;</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increases in supply levels of assets in the market due to the sale or merging of operating lessors; and</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reintroduction of previously unused or dormant assets into the industries in which we operate.</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aviation lessees may redeliver our assets to locations where there is oversupply, which may lead to additional repositioning costs for us if we move them to areas with higher demand. Positioning expenses vary depending on geographic location, distance,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flows.</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The airline industry is heavily regulated, and if we fail to comply with applicable requirements, our results of operations could suffer.</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Federal Aviation Administration (“FAA”) and equivalent regulatory agencies have increasingly focused on the need to assure that airline industry products are designed with sufficient cybersecurity controls to protect against unauthorized access or other unwanted compromise. A failure to meet these evolving expectations could negatively impact sales into the industry and expose us to legal or contractual liability.</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Governmental agencies throughout the world, including the FAA, prescribe standards and qualification requirements for aircraft components, including virtually all commercial airline and general aviation products. Specific regulations vary from country to country, although compliance with FAA requirements generally satisfies regulatory requirements in other countries. If any material authorization or approval qualifying us to supply our products is revoked or suspended, then sale of the product would be prohibited by law, which would have an adverse effect on our business, financial condition and results of operations.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From time to time, the FAA or equivalent regulatory agencies in other countries propose new regulations or changes to existing regulations, which often are more stringent than existing regulations. If such proposals are adopted and enacted, we may incur significant additional costs to achieve compliance, which could have a material adverse effect on our business, financial condition and results of operations.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Recent trends by China’s aviation authority to relax restrictions on airspace may be reversed, and anticipated new regulations loosening airspace restrictions may not materialize, which could impact sales prospects in China for our commercial aerospace businesses.</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The retirement or prolonged grounding of commercial aircraft could reduce our revenues and the value of any related inventory.</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sell aircraft components and replacement parts. If aircraft or engines for which we offer aircraft components and replacement parts are retired or grounded for prolonged periods of time and there are fewer aircraft that require these components or parts, our revenues may decline as well as the value of any related inventory.</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Contractual defaults may adversely affect our business, prospects, financial condition, results of operations and cash flows by decreasing revenues and increasing storage, positioning, collection, recovery and lost equipment expenses.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whom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32740"/>
                <wp:effectExtent l="0" t="0" r="0" b="0"/>
                <wp:wrapNone/>
                <wp:docPr id="46" name="Frame45"/>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Depending on the specific sector, the risk of contractual defaults may be elevated due to excess capacity as a result of oversupply during the most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We acquire a high concentration of a particular type of asset, or concentrate our investments in a particular sector, and our business, prospects, financial condition, results of operations and cash flows could be adversely affected by changes in market demand or problems specific to that asset or sector.</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If we acquire a high concentration of a particular asset, or concentrate our investments in a particular sector, and our business and financial results could be adversely affected by sector-specific or asset-specific factors. If the market demand for a particular asset declines, it is redesigned or replaced by its manufacturer or it experiences design or technical problems, the value and rates relating to such asset may decline, and we may be unable to lease such asset on favorable terms, if at all. Any decrease in the value and rates of our assets may have a material adverse effect on our business, prospects, financial condition, results of operations and cash flows.</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We operate in highly competitive markets.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business of acquiring aviation assets is highly competitive. Market competition for opportunities includes traditional transportation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Certain liens may arise on our assets.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Certain of our assets are currently subject to liens under separate financing arrangements entered into by certain subsidiaries in connection with acquisitions of assets. In the event of a default under such arrangements by the applicable subsidiary, the lenders thereunder would be permitted to take possession of or sell such assets.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The values of our assets may fluctuate due to various factors.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32740"/>
                <wp:effectExtent l="0" t="0" r="0" b="0"/>
                <wp:wrapNone/>
                <wp:docPr id="47" name="Frame46"/>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We may not generate a sufficient amount of cash or generate sufficient free cash flow to fund our operations or repay our indebtedness.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ability to make payments on our indebtedness as required depends on our ability to generate cash flow in the future. This ability, to a certain extent, is subject to general economic, financial, competitive, legislative, regulatory and other factors that are beyond our control. If we do not generate sufficient free cash flow to satisfy our debt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finance and credit markets. Our inability to generate sufficient free cash flow to satisfy our debt obligations, or to refinance our obligations on commercially reasonable terms or on a timely basis, would materially affect our business, financial condition and results of operations.</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Our use of joint ventures or partnerships, and our Manager’s outsourcing of certain functions, may present unforeseen obstacles or costs.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addition, our Manager expects to utilize third-party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third-party contractors to perform in accordance with our expectations could materially adversely affect our business, prospects, financial condition, results of operations and cash flows.</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We are subject to the risks and costs of obsolescence of our assets.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Technological and other improvements expose us to the risk that certain of our assets may become technologically or commercially obsolete. For example,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business,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The inability to obtain certain components from suppliers could harm our business.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business is affected by the availability and price of the component parts that we use to maintain our products or to manufacture products. Our ability to manage inventory and meet delivery requirements may be constrained by our suppliers’ ability to adjust delivery of long-lead time products during times of volatile demand. The supply chains for our business could also be disrupted by external events such as natural disasters, extreme weather events, pandemics, labor disputes, governmental actions and legislative or regulatory changes. As a result, our suppliers may fail to perform according to specifications when required and we may be unable to identify alternate suppliers or to otherwise mitigate the consequences of their non-performance.</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Transitions to new suppliers may result in significant costs and delays, including those related to the required recertification of parts obtained from new suppliers with our customers and/or regulatory agencies. Our inability to fill our supply needs could jeopardize our ability to fulfill obligations under customer contracts, which could result in reduced revenues and profits, contract penalties or terminations, and damage to customer relationships. Further, increased costs of such components could reduce our profits if we were unable to pass along such price in-creases to our customers.</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We could be negatively impacted by environmental, social, and governance (ESG) and sustainability-related matters.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Governments, investors, customers, employees and other stakeholders are increasingly focusing on corporate ESG practices and disclosures, and expectations in this area are rapidly evolving. We have announced, and may in the future announce, sustainability-focused investments, partnerships and other initiatives and goals. These initiatives, aspirations, targets or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32740"/>
                <wp:effectExtent l="0" t="0" r="0" b="0"/>
                <wp:wrapNone/>
                <wp:docPr id="48" name="Frame47"/>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If we fail or are perceived to have failed to achieve previously announced initiatives or goals or to accurately disclose our progress on such initiatives or goals, our reputation, business, financial condition and results of operations could be adversely impacted.</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We may be affected by fluctuating prices for fuel and energy.</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Volatility in energy prices could have a significant effect on a variety of items including, but not limited to, the economy and demand for transportation services.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International, political, and economic factors, events and conditions, including current sanctions against Russia related to its invasion of Ukraine, affect the volatility of fuel prices and supplies. Weather can also affect fuel supplies and limit domestic refining capacity. A severe shortage of, or disruption to, domestic fuel supplies could have a material adverse effect on our results of operations, financial condition, and liquidity.</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Our assets generally require routine maintenance, and we may be exposed to unforeseen maintenance costs.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Some of our customers operate in highly regulated industries and changes in laws or regulations, including laws with respect to international trade, may adversely affect our ability to lease, charter or sell our assets.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Certain of our assets are subject to purchase options held by the charterer or lessee of the asset which, if exercised, could reduce the size of our asset base and our future revenues.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32740"/>
                <wp:effectExtent l="0" t="0" r="0" b="0"/>
                <wp:wrapNone/>
                <wp:docPr id="49" name="Frame48"/>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The profitability of our offshore energy assets may be impacted by the profitability of the offshore oil and gas industry generally, which is significantly affected by, among other things, volatile oil and gas prices.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Demand for assets in the offshore energy business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are affected by numerous factors beyond our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or trade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We may not be able to renew or obtain new or favorable charters or leases, which could adversely affect our business, prospects, financial condition, results of operations and cash flows.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Litigation to enforce our contracts and recover our assets has inherent uncertainties that are increased by the location of our assets in jurisdictions that have less developed legal systems.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aviation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Asia and the Middle East, it may become more difficult and expensive to enforce our rights and recover our assets.</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Our international operations involve additional risks, which could adversely affect our business, prospects, financial condition, results of operations and cash flows.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and our customers operate in various regions throughout the world. As a result, we may, directly or indirectly, be exposed to political and other uncertainties, including risks of:</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terrorist acts, armed hostilities, war and civil disturbances;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acts of piracy;</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potential cybersecurity attacks;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significant governmental influence over many aspects of local economies;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seizure, nationalization or expropriation of property or equipment;</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repudiation, nullification, modification or renegotiation of contracts;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limitations on insurance coverage, such as war risk coverage, in certain areas;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political unrest;</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32740"/>
                <wp:effectExtent l="0" t="0" r="0" b="0"/>
                <wp:wrapNone/>
                <wp:docPr id="50" name="Frame49"/>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foreign and U.S. monetary policy and foreign currency fluctuations and devaluations;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the inability to repatriate income or capital;</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complications associated with repairing and replacing equipment in remote locations;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import-export quotas, wage and price controls, imposition of trade barriers;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U.S. and foreign sanctions or trade embargoes;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restrictions on the transfer of funds into or out of countries in which we operate;</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compliance with U.S. Treasury sanctions regulations restricting doing business with certain nations or specially designated nationals;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regulatory or financial requirements to comply with foreign bureaucratic actions;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compliance with applicable anti-corruption laws and regulations;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changing taxation policies, including confiscatory taxation;</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other forms of government regulation and economic conditions that are beyond our control; and</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governmental corruption.</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Any of these or other risks could adversely impact our customers’ international operations which could materially adversely impact our operating results and growth opportunities.</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we have and may continue to acquire assets located in emerging markets throughout the world, we may be exposed to any one or a combination of these risks, which could adversely affect our operating results.</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We are actively evaluating potential acquisitions of assets and operating companies in other aviation sectors which could result in additional risks and uncertainties for our business and unexpected regulatory compliance costs.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While our existing portfolio primarily consists of assets in the aviation sector, we are actively evaluating potential acquisitions of assets and operating companies in sectors of the aviation market in which we do not currently operate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aviation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32740"/>
                <wp:effectExtent l="0" t="0" r="0" b="0"/>
                <wp:wrapNone/>
                <wp:docPr id="51" name="Frame50"/>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The agreements governing our indebtedness place restrictions on us and our subsidiaries, reducing operational flexibility and creating default risks.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agreements governing our indebtedness, including, but not limited to, the indentures governing our Senior Notes and the second amended and restated revolving credit facility entered into on September 20, 2022, as amended by Amendment No. 1, dated as of November 22, 2022 (the “Revolving Credit Facility”), contain covenants that place restrictions on us and our subsidiaries. The indentures governing our Senior Notes and the Revolving Credit Facility restrict among other things, our and certain of our subsidiaries’ ability to:</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merge, consolidate or transfer all, or substantially all, of our assets;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incur additional debt or issue preferred shares;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make certain investments or acquisitions;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create liens on our or our subsidiaries’ assets;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sell assets;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make distributions on or repurchase our shares;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enter into transactions with affiliates; and</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create dividend restrictions and other payment restrictions that affect our subsidiaries.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These covenants could impair our ability to grow our business, take advantage of attractive business opportunities, pay dividends on our ordinary shares or successfully compete.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Terrorist attacks or other hostilities could negatively impact our operations and our profitability and may expose us to liability and reputational damage.</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or our physical facilities or those of our customers. In addition, it is also possible that our assets could be involved in a terrorist attack or other hostilities.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Our leases and charters typically require payments in U.S. dollars, but many of our customers operate in other currencies; if foreign currencies devalue against the U.S. dollar, our lessees or charterers may be unable to meet their payment obligations to us in a timely manner.</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current leases and charters typically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Our inability to obtain sufficient capital would constrain our ability to grow our portfolio and to increase our revenues.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meet the terms and maturities of our existing and future debt facilities;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purchase new assets or refinance existing assets;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fund our working capital needs and maintain adequate liquidity; and</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finance other growth initiatives.</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32740"/>
                <wp:effectExtent l="0" t="0" r="0" b="0"/>
                <wp:wrapNone/>
                <wp:docPr id="52" name="Frame51"/>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 If we are deemed an “investment company” under the Investment Company Act, it could have a material adverse effect on our business, prospects, financial condition, results of operations and cash flows.”</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The effects of various environmental regulations may negatively affect the industries in which we operate which could have a material adverse effect on our financial condition, results of operations and cash flows.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and greenhouse gas emissions. Legislative and regulatory measures currently under consideration or being implemented by government authorities to address climate change could require reductions in our greenhouse gas or other emissions, establish a carbon tax or increase fuel or energy taxes. These legal requirements are expected to result in increased capital expenditures and compliance costs, and could result in higher costs and may require us to acquire emission credits or carbon offsets. These costs and restrictions could harm our business and results of operations by increasing our expenses or requiring us to alter our operations. The inconsistent international, regional and/or national requirements associated with climate change regulations also create economic and regulatory uncertainty.</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In addition, a variety of new legislation is being enacted, or considered for enactment, at the federal, state and local levels relating to greenhouse gas emissions and climate change. While there has historically been a lack of consistent climate change legislation, as climate change concerns continue to grow, further legislation and regulations are expected to continue in areas such as greenhouse gas emissions control, emission disclosure requirements and building codes or other infrastructure requirements that impose energy efficiency standards. Government mandates, standards or regulations intended to mitigate or reduce greenhouse gas emissions or projected climate change impacts could result in increased energy and transportation costs, and increased compliance expenses and other financial obligations to meet permitting or development requirements that we may be unable to fully recover (due to market conditions or other factors), any of which could result in reduced profits and adversely affect our results of operations.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The discontinuation of the LIBOR benchmark interest rate may have an impact on our business.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July 27, 2017, the U.K. Financial Conduct Authority (the "FCA"), which regulates LIBOR, announced that it will no longer persuade or compel banks to submit rates for the calculation of LIBOR rates after 2021. On November 30, 2020, ICE Benchmark Administration, or the IBA, the administrator of LIBOR, with the support of the United States Federal Reserve and the FCA, announced plans to consult on ceasing publication of LIBOR on December 31, 2021, for only the one-week and two-month LIBOR tenors, and on June 30, 2023, for all other LIBOR tenors. The U.S. Federal Reserve concurrently issued a statement advising banks to stop new LIBOR issuances by the end of 2021. The IBA ceased publication of one-week and two-month USD LIBOR settings after December 31, 2021, and intends to cease publishing the remaining USD LIBOR settings after June 30, 2023.</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the United States, the Alternative Reference Rate Committee (“ARRC”), a group of diverse private-market participants assembled by the Federal Reserve Board and the Federal Reserve Bank of New York, was tasked with identifying alternative reference rates to replace LIBOR. The Secured Overnight Finance Rate (“SOFR”) has emerged as the ARRC's preferred alternative rate for LIBOR. SOFR is a broad measure of the cost of borrowing cash overnight collateralized by Treasury securities in the repurchase agreement market. At this time, it is not possible to predict how markets will respond to SOFR or other alternative reference rates.</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A cyberattack that bypasses our information technology (“IT”), security systems or the IT security systems of our third-party providers, causing an IT security breach, may lead to a disruption of our IT systems and the loss of business information which may hinder our ability to conduct our business effectively and may result in lost revenues and additional costs.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Parts of our business depend on the secure operation of our IT systems and the IT systems of our third-party providers to manage, process, store, and transmit information associated with aircraft leasing. We have, from time to time, experienced threats to our data and systems, including malware and computer virus attacks. A cyberattack that bypasses our IT security systems or the IT security systems of our third-party providers, causing an IT security breach, could adversely impact our daily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32740"/>
                <wp:effectExtent l="0" t="0" r="0" b="0"/>
                <wp:wrapNone/>
                <wp:docPr id="53" name="Frame52"/>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operations and lead to the loss of sensitive information, including our own proprietary information and that of our customers, suppliers and employees. Such losses could harm our reputation and result in competitive disadvantages, litigation, regulatory enforcement actions, lost revenues, additional costs and liabilities. While we devote substantial resources to maintaining adequate levels of cyber-security, our resources and technical sophistication may not be adequate to prevent all types of cyberattacks.</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If we are deemed an “investment company” under the Investment Company Act, it could have a material adverse effect on our business, prospects, financial condition, results of operations and cash flows.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 xml:space="preserve">Because we are incorporated under the laws of the Cayman Islands, you may face difficulties in protecting your interests, and your ability to protect your rights through the U.S. federal courts may be limited. </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 </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Our corporate affairs are governed by our Articles, the Companies Act (As Revised) of the Cayman Islands (the ‘‘Cayman Companies Act’’)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 </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We have been advised by Maples and Calder (Cayman) LLP,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32740"/>
                <wp:effectExtent l="0" t="0" r="0" b="0"/>
                <wp:wrapNone/>
                <wp:docPr id="54" name="Frame53"/>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As a result of all of the above, public shareholders may have more difficulty in protecting their interests in the face of actions taken by management, members of the board of directors or controlling shareholders than they would as public shareholders of a United States company. </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 xml:space="preserve">The Financial Action Task Force has increased monitoring of the Cayman Islands. </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February 2021, the Cayman Islands was added to the Financial Action Task Force (‘‘FATF’’) list of jurisdictions whose anti-money laundering/counter-terrorist and proliferation financing practices are under increased monitoring, commonly referred to as the ‘‘FATF grey list.’’ The FATF was established in July 1989 by a Group of Seven (G-7) Summit and is a task force composed of member governments who agree to fund the FATF on temporary basis with specific goals and projects– it is an international policy-making body that sets international anti-money laundering standards and counter-terrorist financing measures. The FATF monitors countries to ensure they implement the FATF Standards fully and effectively and holds countries to account that do not comply. When the FATF places a jurisdiction under increased monitoring, it means the country has committed to resolve swiftly the identified strategic deficiencies within agreed timeframes and is subject to increased monitoring during that timeframe. Following its October 2022 plenary, it has been confirmed that the Cayman Islands has fully satisfied 62 out of 63 FATF recommendations and must now only demonstrate that it is prosecuting all types of money laundering cases in line with the jurisdiction’s risk profile. The Cayman Islands' progress towards satisfying this final recommended action will be assessed at the next FATF Plenary meeting in February 2023. Despite the progress the Cayman Islands has made on satisfying the final outstanding recommendation, it is still unclear how long this designation will remain in place and what ramifications, if any, the designation will have for the Company.</w:t>
      </w:r>
    </w:p>
    <w:p>
      <w:pPr>
        <w:pStyle w:val="TextBody"/>
        <w:spacing w:lineRule="auto" w:line="288" w:before="120" w:after="283"/>
        <w:jc w:val="both"/>
        <w:rPr>
          <w:rFonts w:ascii="Arial;sans-serif" w:hAnsi="Arial;sans-serif"/>
          <w:b/>
          <w:i/>
          <w:color w:val="000000"/>
          <w:sz w:val="18"/>
          <w:highlight w:val="white"/>
        </w:rPr>
      </w:pPr>
      <w:r>
        <w:rPr>
          <w:rFonts w:ascii="Arial;sans-serif" w:hAnsi="Arial;sans-serif"/>
          <w:b/>
          <w:i/>
          <w:color w:val="000000"/>
          <w:sz w:val="18"/>
          <w:highlight w:val="white"/>
        </w:rPr>
        <w:t>The Cayman Islands are included in the EU AML High-Risk Third Countries List.</w:t>
      </w:r>
    </w:p>
    <w:p>
      <w:pPr>
        <w:pStyle w:val="TextBody"/>
        <w:spacing w:lineRule="auto" w:line="288" w:before="120" w:after="283"/>
        <w:jc w:val="both"/>
        <w:rPr>
          <w:rFonts w:ascii="Arial;sans-serif" w:hAnsi="Arial;sans-serif"/>
          <w:b w:val="false"/>
          <w:color w:val="000000"/>
          <w:sz w:val="18"/>
          <w:highlight w:val="white"/>
        </w:rPr>
      </w:pPr>
      <w:r>
        <w:rPr>
          <w:rFonts w:ascii="Arial;sans-serif" w:hAnsi="Arial;sans-serif"/>
          <w:b w:val="false"/>
          <w:color w:val="000000"/>
          <w:sz w:val="18"/>
          <w:highlight w:val="white"/>
        </w:rPr>
        <w:t xml:space="preserve">On March 13, 2022, the European Commission (‘‘EC’’) updated its list of ’high-risk third countries’ (‘‘EU AML List’’) identified as having strategic deficiencies in their anti-money laundering/counter-terrorist financing regimes to add nine countries, including the Cayman Islands. The EC has noted it is committed to there being a greater alignment between the EU AML List and the FATF listing process. The addition of the Cayman Islands to the EU AML List is a direct result of the inclusion of the Cayman Islands on the FATF grey list in February 2021. It is unclear how long this designation will remain in place and what ramifications, if any, the designation will have for the Company. Our assets are exposed to unplanned interruptions caused by events outside of our control which may disrupt our business and cause damage or losses that may not be adequately covered by insurance. </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Projects in the aerospace products and services sector are exposed to a variety of unplanned interruptions which could cause our results of operations to suffer.</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Projects in the aerospace products and services sector are exposed to unplanned interruptions caused by breakdown or failure of equipment, aging infrastructure, employee error or contractor or subcontractor failure, limitations that may be imposed by equipment conditions or environmental, safety or other regulatory requirements, fuel supply or fuel transportation reductions or interruptions, labor disputes, difficulties with the implementation or operation of information systems, power outages, pipeline or electricity line ruptures, catastrophic events, such as hurricanes, cyclones, earthquakes, landslides, floods, explosions, fires, or other disasters. Any equipment or system outage or constraint can, among other things, reduce sales, increase costs and affect the ability to meet regulatory service metrics, customer expectations and regulatory reliability and security requirements. Operational disruption, as well as supply disruption, and increased government oversight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no assurance can be given that the occurrence of any such event will not materially adversely affect us.</w:t>
      </w:r>
    </w:p>
    <w:p>
      <w:pPr>
        <w:pStyle w:val="TextBody"/>
        <w:spacing w:lineRule="auto" w:line="288" w:before="120" w:after="283"/>
        <w:jc w:val="both"/>
        <w:rPr>
          <w:rFonts w:ascii="Arial;sans-serif" w:hAnsi="Arial;sans-serif"/>
          <w:b/>
          <w:color w:val="006EBF"/>
          <w:sz w:val="18"/>
        </w:rPr>
      </w:pPr>
      <w:r>
        <w:rPr>
          <w:rFonts w:ascii="Arial;sans-serif" w:hAnsi="Arial;sans-serif"/>
          <w:b/>
          <w:color w:val="006EBF"/>
          <w:sz w:val="18"/>
        </w:rPr>
        <w:t>Risks Related to Our Manager</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We are dependent on our Manager and other key personnel at Fortress and may not find suitable replacements if our Manager terminates the Management Agreement or if other key personnel depart.</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officers and other individuals who perform services for us are employees of our Manager or other Fortress entities.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entities whose compensation is partially or entirely dependent upon the amount of management fees earned by our Manager or the incentive payments distributed to Master GP and whose continued service is not guaranteed, and the loss of such personnel or services could materially adversely affect our operations. We do not have key man insurance for any of the personnel of the Manager or other Fortress entities that are key to us. An inability to find a suitable replacement for any departing employee of our Manager or Fortress entities on a timely basis could materially adversely affect our ability to operate and grow our business.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In addition, our Manager may assign our Management Agreement to an entity whose business and operations are managed or supervised by Mr. Wesley R. Edens, who is a principal, Co-Chief Executive Officer and a member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32740"/>
                <wp:effectExtent l="0" t="0" r="0" b="0"/>
                <wp:wrapNone/>
                <wp:docPr id="55" name="Frame54"/>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54</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connection with the SoftBank Merger, Fortress operates within SoftBank as an independent business headquartered in New York.</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There are conflicts of interest in our relationship with our Manager.</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Management Agreement and the Services and Profit Sharing Agreement and our Articles were negotiated among affiliated parties, and their terms, including fees and other amounts payable, may not be as favorable to us as if they had been negotiated with an unaffiliated third-party.</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There are conflicts of interest inherent in our relationship with our Manager insofar as our Manager and its affiliates invest in aviation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some of our directors and officers are also directors or officers of FTAI Infrastructure, Inc. (“FTAI Infrastructure”). Although we have the same Manager, we may compete with entities affiliated with our Manager or Fortress for certain target assets. From time to time, entities affiliated with or managed by our Manager or Fortress may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have previously purchased and may in the future purchase assets from these funds, and have previously co-invested and may in the future co-invest with these funds in aviation assets. Fortress funds generally have a fee structure similar to ours, but the fees actually paid will vary depending on the size, terms and performance of each fund.</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Management Agreement generally does not limit or restrict our Manager or its affiliates from engaging in any business or managing other operating companies similar to us or pooled investment vehicles that invest in assets that meet our asset acquisition objectives. Our Manager has also engaged in additional transportation and infrastructure related management with FTAI Infrastructure in our recent spin-off of our infrastructure assets, and may be involved in other investment opportunities in the future, any of which may compete with us for investments or result in a change in our current investment strategy. In addition, our Articles provide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Aviation Ltd.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Actual, potential or perceived conflicts have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structure of our Manager’s and Master GP’s compensation arrangements may have unintended consequences for us. We have agreed to pay our Manager a management fee and Master GP is entitled to receive incentive payments from the Company or its subsidiaries that are each based on different measures of performance. Consequently, there may be conflicts in the incentives of our Manager to generate attractive risk-adjusted returns for us. In addition, because Master GP and our Manager are both affiliates of Fortress, the income incentive payment paid to Master GP may cause our Manager to place undue emphasis on the maximization of earnings, including through the use of leverage, at the expense of other objectives, such as preservation of capital, to achieve higher incentive payments. Investments with higher yield potential are generally riskier or more speculative than investments with lower yield potential. This could result in increased risk to the value of our portfolio of assets and our ordinary shares.</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32740"/>
                <wp:effectExtent l="0" t="0" r="0" b="0"/>
                <wp:wrapNone/>
                <wp:docPr id="56" name="Frame55"/>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Our directors have approved a broad asset acquisition strategy for our Manager and will not approve each acquisition we make at the direction of our Manager. In addition, we may change our strategy without a shareholder vote, which may result in our acquiring assets that are different, riskier or less profitable than our current assets.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will not review or pre-approve each proposed acquisition or our related financing arrangements. In addition, in conducting periodic reviews, the directors will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ordinary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Our Manager will not be liable to us for any acts or omissions performed in accordance with the Management Agreement, including with respect to the performance of our assets.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employees, sub-advisers and any other person controlling or Manager, will not be liable to us or any of our subsidiaries, to our board of directors, or our or any subsidiary’s shareholders or partners for any acts or omissions by our Manager, its members, managers, officers, employees, sub-advisers and any other person controlling or Manager, except liability to us,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Our Manager’s due diligence of potential asset acquisitions or other transactions may not identify all pertinent risks, which could materially affect our business, financial condition, liquidity and results of operations.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32740"/>
                <wp:effectExtent l="0" t="0" r="0" b="0"/>
                <wp:wrapNone/>
                <wp:docPr id="57" name="Frame56"/>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56</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jc w:val="both"/>
        <w:rPr>
          <w:rFonts w:ascii="Arial;sans-serif" w:hAnsi="Arial;sans-serif"/>
          <w:b/>
          <w:color w:val="006EBF"/>
          <w:sz w:val="18"/>
        </w:rPr>
      </w:pPr>
      <w:r>
        <w:rPr>
          <w:rFonts w:ascii="Arial;sans-serif" w:hAnsi="Arial;sans-serif"/>
          <w:b/>
          <w:color w:val="006EBF"/>
          <w:sz w:val="18"/>
        </w:rPr>
        <w:t>Risks Related to Taxation</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We expect the Company to be a passive foreign investment company (“PFIC”) and it could be a controlled foreign corporation (“CFC”) for U.S. federal income tax purposes, which may result in adverse tax considerations for U.S. shareholders.</w:t>
      </w:r>
    </w:p>
    <w:p>
      <w:pPr>
        <w:pStyle w:val="TextBody"/>
        <w:spacing w:lineRule="auto" w:line="288" w:before="120" w:after="283"/>
        <w:jc w:val="both"/>
        <w:rPr/>
      </w:pPr>
      <w:r>
        <w:rPr>
          <w:rFonts w:ascii="Arial;sans-serif" w:hAnsi="Arial;sans-serif"/>
          <w:b w:val="false"/>
          <w:color w:val="000000"/>
          <w:sz w:val="18"/>
        </w:rPr>
        <w:t>We expect the Company to be treated as a PFIC and it could be treated as a CFC for U.S. federal income tax purposes. If you are a U.S. person and do not make a valid qualified electing fund (“QEF”) election with respect to us and each of our PFIC subsidiaries, then, unless we are a CFC and you own 10% or more of our shares (by vote or value), you would generally be subject to special deferred tax with respect to certain distributions on our shares, any gain realized on a disposition of our shares, and certain other events. The effect of this deferred tax could be materially adverse to you. Alternatively, if you are such a shareholder and make a valid QEF election for us and each of our PFIC subsidiaries, or if we are a CFC and you own 10% or more of our shares (by vote or value), you will generally not be subject to those taxes, but could recognize taxable income in a taxable year with respect to our shares in excess of any distributions that we make to you in that year, thus giving rise to so called “phantom income” and to a potential out-of-pocket tax liability. No assurances can be given that any given shareholder will be able to make a valid QEF election with respect to us or our PFIC subsidiaries. See</w:t>
      </w:r>
      <w:r>
        <w:rPr>
          <w:color w:val="000000"/>
        </w:rPr>
        <w:t xml:space="preserve"> “</w:t>
      </w:r>
      <w:r>
        <w:rPr>
          <w:rFonts w:ascii="Arial;sans-serif" w:hAnsi="Arial;sans-serif"/>
          <w:b w:val="false"/>
          <w:i/>
          <w:color w:val="000000"/>
          <w:sz w:val="18"/>
        </w:rPr>
        <w:t>U.S. Federal Income Tax Considerations —Considerations for U.S. Holders—PFIC Status and Related Tax Considerations.”</w:t>
      </w:r>
      <w:r>
        <w:rPr>
          <w:color w:val="000000"/>
        </w:rPr>
        <w:t xml:space="preserve"> </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Assuming we are a PFIC, distributions made by us to a U.S. person will generally not be eligible for taxation at reduced tax rates generally applicable to “qualified dividends” paid by certain U.S. corporations and “qualified foreign corporations” to individuals. The more favorable rates applicable to other corporate dividends could cause individuals to perceive investment in our shares to be relatively less attractive than investment in the shares of other corporations, which could adversely affect the value of our shares. </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Investors should consult their tax advisors regarding the potential impact of these rules on their investment in us.</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To the extent we recognize income treated as effectively connected with a trade or business in the United States, we would be subject to U.S. federal income taxation on a net income basis, which could adversely affect our business and result in decreased cash available for distribution to our shareholders.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If we are treated as engaged in a trade or business in the United States, the portion of our net income, if any, that is “effectively connected” with such trade or business would be subject to U.S. federal income taxation at maximum corporate rates, currently 21%. In addition, we may be subject to an additional U.S. federal branch profits tax on our effectively connected earnings and profits at a rate of 30%. The imposition of such taxes could adversely affect our business and would result in decreased cash available for distribution to our shareholders. Although we (or one or more of our non-U.S. corporate subsidiaries) are expected to be treated as engaged in a U.S. trade or business, it is currently expected that only a small portion of our taxable income will be treated as effectively connected with such U.S. trade or business. However, no assurance can be given that the amount of effectively connected income will not be greater than currently expected, whether due to a change in our operations or otherwise. </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If there is not sufficient trading in our shares, or if 50% of our shares are held by certain 5% shareholders, we could lose our eligibility for an exemption from U.S. federal income taxation on rental income from our aircraft or ships used in “international traffic” and could be subject to U.S. federal income taxation which would adversely affect our business and result in decreased cash available for distribution to our shareholders.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We expect that we will be eligible for an exemption under Section 883 of the Internal Revenue Code of 1986, as amended (the “Code”), which provides an exemption from U.S. federal income taxation with respect to rental income derived from aircraft and ships used in international traffic by certain foreign corporations. No assurances can be given that we will continue to be eligible for this exemption as changes in our ownership or the amount of our shares that are traded could cause us to cease to be eligible for such exemption. To qualify for this exemption in respect of rental income, the lessor of the aircraft or ships must be organized in a country that grants a comparable exemption to U.S. lessors. The Cayman Islands and the Marshall Islands grant such exemptions. Additionally, certain other requirements must be satisfied. We can satisfy these requirements in any year if, for more than half the days of such year, our shares are primarily and regularly traded on a recognized exchange and certain shareholders, each of whom owns 5% or more of our shares (applying certain attribution rules), do not collectively own more than 50% of our shares. Our shares will be considered to be primarily and regularly traded on a recognized exchange in any year if: (i) the number of trades in our shares effected on such recognized stock exchanges exceed the number of our shares (or direct interests in our shares) that are traded during the year on all securities markets; (ii) trades in our shares are effected on such stock exchanges in more than de minimis quantities on at least 60 days during every calendar quarter in the year; and (iii) the aggregate number of our shares traded on such stock exchanges during the taxable year is at least 10% of the average number of our shares outstanding in that class during that year. If we were not eligible for the exemption under Section 883 of the Code, we expect that our U.S. source rental income would generally be subject to U.S. federal taxation, on a gross income basis, at a rate of not in excess of 4% as provided in Section 887 of the Code. If, contrary to expectations, we or certain of our non-U.S. subsidiaries did not comply with certain administrative guidelines of the U.S. Internal Revenue Service (the “IRS”), such that 90% or more of the U.S. source rental income of the Company or any of such subsidiaries were attributable to the activities of personnel based in the United States (in the case of bareboat leases), or from “regularly scheduled transportation” as defined in such administrative guidelines (in the case of time charter leases), our, or such subsidiary’s, U.S. source rental income would be treated as income effectively connected with the conduct of a trade or business in the United States. In such case, such U.S. source rental income would be subject to U.S. federal income taxation at the maximum corporate rate as well as state and local taxation. In addition, the Company or such subsidiary would be subject to the U.S. federal branch profits tax on its effectively </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32740"/>
                <wp:effectExtent l="0" t="0" r="0" b="0"/>
                <wp:wrapNone/>
                <wp:docPr id="58" name="Frame57"/>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57</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connected earnings and profits at a rate of 30%. The imposition of such taxes could adversely affect our business and would result in decreased cash available for distribution to our shareholders.</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We or our subsidiaries may become subject to unanticipated tax liabilities that may have a material adverse effect on our results of operations.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Some of our subsidiaries are subject to income, withholding or other taxes in certain non-U.S. jurisdictions by reason of their jurisdiction of incorporation, activities and operations, where their assets are used or where the lessees of their assets (or others in possession of their assets) are located, and it is also possible that taxing authorities in any such jurisdictions could assert that we or our subsidiaries are subject to greater taxation than we currently anticipate. Further, the Organisation for Economic Co-operation and Development (the “OECD”) is conducting a project focused on base erosion and profit shifting in international structures, which seeks to establish certain international standards for taxing the worldwide income of multinational companies. In addition, the OECD is working on a “BEPS 2.0” initiative, which is aimed at (i) shifting taxing rights to the jurisdiction of the consumer and (ii) ensuring all companies pay a global minimum tax. On October 8, 2021, the OECD announced an agreement among over 140 countries delineating an implementation plan, on December 20, 2021, the OECD released model rules for the domestic implementation of a 15% global minimum tax, on December 15, 2022, the member states of the European Union unanimously voted to adopt the OECD’s minimum tax rules and phase them into national law, and on February 2, 2023 the OECD released technical guidance on the global minimum tax which was agreed by consensus of the BEPS 2.0 signatory jurisdictions. Legislatures in multiple countries outside of the EU have also drafted legislation consistent with the OECD’s minimum tax proposal. As a result of these developments, the tax laws of certain countries in which we and our affiliates do business could change on a prospective or retroactive basis, and any such changes could increase our liabilities for taxes, interest and penalties, and therefore could harm our business, cash flows, results of operations and financial position. In addition, a portion of certain of our or our non-U.S. corporate subsidiaries’ income is treated as effectively connected with a U.S. trade or business and is accordingly subject to U.S. federal income tax or may be subject to gross-basis U.S. withholding tax. It is possible that the IRS could assert that a greater portion of our or any such non-U.S. subsidiaries’ income is effectively connected income that should be subject to U.S. federal income tax or subject to withholding tax.</w:t>
      </w:r>
    </w:p>
    <w:p>
      <w:pPr>
        <w:pStyle w:val="TextBody"/>
        <w:spacing w:lineRule="auto" w:line="288" w:before="120" w:after="283"/>
        <w:jc w:val="both"/>
        <w:rPr>
          <w:rFonts w:ascii="Arial;sans-serif" w:hAnsi="Arial;sans-serif"/>
          <w:b/>
          <w:color w:val="006EBF"/>
          <w:sz w:val="18"/>
        </w:rPr>
      </w:pPr>
      <w:r>
        <w:rPr>
          <w:rFonts w:ascii="Arial;sans-serif" w:hAnsi="Arial;sans-serif"/>
          <w:b/>
          <w:color w:val="006EBF"/>
          <w:sz w:val="18"/>
        </w:rPr>
        <w:t>Risks Related to Our Shares</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The market price and trading volume of our ordinary and preferred shares may be volatile, which could result in rapid and substantial losses for our shareholders.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market price of our ordinary and preferred shares may be highly volatile and could be subject to wide fluctuations. In addition, the trading volume in our ordinary and preferred shares may fluctuate and cause significant price variations to occur. If the market price of our ordinary or preferred shares declines significantly, you may be unable to resell your shares at or above your purchase price, if at all. The market price of our ordinary and preferred shares may fluctuate or decline significantly in the future. Some of the factors that could negatively affect our share price or result in fluctuations in the price or trading volume of our shares include:</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a shift in our investor base;</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our quarterly or annual earnings, or those of other comparable companies;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actual or anticipated fluctuations in our operating results;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changes in accounting standards, policies, guidance, interpretations or principles;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announcements by us or our competitors of significant investments, acquisitions or dispositions;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the failure of securities analysts to cover our ordinary shares;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changes in earnings estimates by securities analysts or our ability to meet those estimates;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the operating and share price performance of other comparable companies;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prevailing interest rates or rates of return being paid by other comparable companies and the market for securities similar to our preferred shares;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additional issuances of preferred shares;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 xml:space="preserve">whether we declare distributions on our preferred shares; </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overall market fluctuations;</w:t>
      </w:r>
    </w:p>
    <w:p>
      <w:pPr>
        <w:pStyle w:val="TextBody"/>
        <w:spacing w:lineRule="auto" w:line="288" w:before="60" w:after="283"/>
        <w:ind w:left="0" w:right="0" w:hanging="360"/>
        <w:jc w:val="both"/>
        <w:rPr/>
      </w:pPr>
      <w:r>
        <w:rPr>
          <w:color w:val="000000"/>
        </w:rPr>
        <w:t>•</w:t>
      </w:r>
      <w:r>
        <w:rPr>
          <w:rFonts w:ascii="Arial;sans-serif" w:hAnsi="Arial;sans-serif"/>
          <w:b w:val="false"/>
          <w:color w:val="000000"/>
          <w:sz w:val="18"/>
        </w:rPr>
        <w:t>general economic conditions; and</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18"/>
        </w:rPr>
        <w:t>developments in the markets and market sectors in which we participate.</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ordinary and preferred shares.</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An increase in market interest rates may have an adverse effect on the market price of our shares.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One of the factors that investors may consider in deciding whether to buy or sell our shares is our distribution rate as a percentage of our share price relative to market interest rates. If the market price of our shares is based primarily on the earnings and return that we derive from our investments and income with respect to our investments and our related distributions to shareholders, and not from the market value of the investments themselves, then interest rate fluctuations and capital market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32740"/>
                <wp:effectExtent l="0" t="0" r="0" b="0"/>
                <wp:wrapNone/>
                <wp:docPr id="59" name="Frame58"/>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58</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conditions will likely affect the market price of our shares. For instance, if market interest rates rise without an increase in our distribution rate, the market price of our shares could decrease, as potential investors may require a higher distribution yield on our shares or seek other securities paying higher distributions or interest. In addition, rising interest rates would result in increased interest expense on our outstanding and future (variable and fixed) rate debt, thereby adversely affecting cash flows and our ability to service our indebtedness and pay distributions.</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We are required by Section 404 of the Sarbanes-Oxley Act to evaluate the effectiveness of our internal controls, and the outcome of that effort may adversely affect our results of operations, financial condition and liquidity.</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a public company, we are required to comply with Section 404 (“Section 404”) of the Sarbanes-Oxley Act. Section 404 requires that we evaluate the effectiveness of our internal control over financial reporting at the end of each fiscal year and to include a management report assessing the effectiveness of our internal controls over financial reporting in our Annual Report on Form 10-K for that fiscal year. Section 404 also requires an independent registered public accounting firm to attest to, and report on, management’s assessment of our internal controls over financial reporting. The outcome of our review and the report of our independent registered public accounting firm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If we discover a material weakness in our internal control over financial reporting, our share price could decline and our ability to raise capital could be impaired.</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Your percentage ownership in us may be diluted in the future.</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Your percentage ownership in FTAI Aviation Ltd. may be diluted in the future because of equity awards granted and may be granted to our Manager pursuant to the Management Agreement and the Incentive Plan. Since 2015, we granted our Manager an option to acquire 3,903,010 ordinary shares in connection with equity offerings. In the future, upon the successful completion of additional offerings of our ordinary shares or other equity securities (including securities issued as consideration in an acquisition), we will grant to our Manager options to purchase ordinary shares in an amount equal to 10% of the number of ordinary shares being sold in such offerings (or if the issuance relates to equity securities other than our ordinary shares, options to purchase a number of ordinary shares equal to 10% of the gross capital raised in the equity issuance divided by the fair market value of an ordinary share as of the date of the issuance), with an exercise price equal to the offering price per share paid by the public or other ultimate purchaser or attributed to such securities in connection with an acquisition (or the fair market value of an ordinary share as of the date of the equity issuance if it relates to equity securities other than our ordinary shares), and any such offering or the exercise of the option in connection with such offering would cause dilution.</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board of directors has adopted the Incentive Plan, which provides for the grant of equity-based awards, including restricted shares, stock options, stock appreciation rights, performance awards, restricted share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ordinary shares for issuance under the Incentive Plan. As of March 31, 2023, rights relating to 1,969,263 of our ordinary shares were outstanding under the Incentive Plan. In the future on the date of any equity issuance by us during the remaining portion of the ten-year term of the Incentive Plan (including in respect of securities issued as consideration in an acquisition), the maximum number of shares available for issuance under the Plan will be increased to include an additional number of ordinary shares equal to ten percent (10%) of either (i) the total number of ordinary shares newly issued by us in such equity issuance or (ii) if such equity issuance relates to equity securities other than our ordinary shares, a number of our ordinary shares equal to 10% of (A) the gross capital raised in an equity issuance of equity securities other than ordinary shares during the ten-year term of the Incentive Plan, divided by (B) the fair market value of an ordinary share as of the date of such equity issuance.</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Sales or issuances of our ordinary shares could adversely affect the market price of our ordinary shares.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Sales of substantial amounts of our ordinary shares in the public market, or the perception that such sales might occur, could adversely affect the market price of our ordinary shares. The issuance of our ordinary shares in connection with property, portfolio or business acquisitions or the exercise of outstanding options or otherwise could also have an adverse effect on the market price of our ordinary shares.</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32740"/>
                <wp:effectExtent l="0" t="0" r="0" b="0"/>
                <wp:wrapNone/>
                <wp:docPr id="60" name="Frame59"/>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59</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The incurrence or issuance of debt, which ranks senior to our ordinary shares upon our liquidation, and future issuances of equity or equity-related securities, which would dilute the holdings of our existing ordinary shareholders and may be senior to our ordinary shares for the purposes of making distributions, periodically or upon liquidation, may negatively affect the market price of our ordinary shares.</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have incurred and may in the future incur or issue debt or issue equity or equity-related securities to finance our operations, acquisitions or investments. Upon our liquidation, lenders and holders of our debt and holders of our preferred shares (if any) would receive a distribution of our available assets before ordinary shareholders. Any future incurrence or issuance of debt would increase our interest cost and could adversely affect our results of operations and cash flows. We are not required to offer any additional equity securities to existing ordinary shareholders on a preemptive basis. Therefore, additional issuances of ordinary shares, directly or through convertible or exchangeable securities warrants or options, will dilute the holdings of our existing ordinary shareholders and such issuances, or the perception of such issuances, may reduce the market price of our ordinary shares. Any preferred shares issued by us would likely have a preference on distribution payments, periodically or upon liquidation, which could eliminate or otherwise limit our ability to make distributions to ordinary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ordinary shareholders bear the risk that our future incurrence or issuance of debt or issuance of equity or equity-related securities will adversely affect the market price of our ordinary shares.</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Our determination of how much leverage to use to finance our acquisitions may adversely affect our return on our assets and may reduce funds available for distribution.</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While we currently intend to pay regular quarterly dividends to our shareholders, we may change our dividend policy at any time.</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Although we currently intend to pay regular quarterly dividends to holders of our ordinary shares, we may change our dividend policy at any time. Our net cash provided by operating activities has been less than the amount of distributions to our shareholders. The declaration and payment of dividends to holders of our ordinary shares are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 addition, our existing indebtedness does, and our future indebtedness may, limit our ability to pay dividends on our ordinary and preferred shares. Moreover, pursuant to the Services and Profit Sharing Agreement, Master GP is entitled to receive incentive payments before any amounts are distributed by us based both on our consolidated net income and capital gains income in each fiscal quarter and for each fiscal year, respectively. Furthermore, the terms of our preferred shares generally prevent us from declaring or paying dividends on or repurchasing our ordinary shares or other junior capital unless all accrued distributions on such preferred shares have been paid in full.</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Anti-takeover provisions in our Articles could delay or prevent a change in control.</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Provisions in our Articles may make it more difficult and expensive for a third party to acquire control of us even if a change of control would be beneficial to the interests of our shareholders. For example, our Articles provides for a staggered board, requires advance notice for proposals by shareholders and nominations, places limitations on convening shareholder meetings, and authorizes the issuance of preferred shares that could be issued by our board of directors to thwart a takeover attempt. The market price of our shares could be adversely affected to the extent that provisions of our operating agreement discourage potential takeover attempts that our shareholders may favor.</w:t>
      </w:r>
    </w:p>
    <w:p>
      <w:pPr>
        <w:pStyle w:val="TextBody"/>
        <w:spacing w:lineRule="auto" w:line="288" w:before="120" w:after="283"/>
        <w:jc w:val="both"/>
        <w:rPr>
          <w:rFonts w:ascii="Arial;sans-serif" w:hAnsi="Arial;sans-serif"/>
          <w:b/>
          <w:i/>
          <w:color w:val="000000"/>
          <w:sz w:val="18"/>
        </w:rPr>
      </w:pPr>
      <w:r>
        <w:rPr>
          <w:rFonts w:ascii="Arial;sans-serif" w:hAnsi="Arial;sans-serif"/>
          <w:b/>
          <w:i/>
          <w:color w:val="000000"/>
          <w:sz w:val="18"/>
        </w:rPr>
        <w:t>If securities or industry analysts do not publish research or reports about our business, or if they downgrade their recommendations regarding our ordinary shares, our share price and trading volume could decline.</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trading market for our ordinary shares are influenced by the research and reports that industry or securities analysts publish about us or our business. If any of the analysts who cover us downgrades our ordinary units or publishes inaccurate or unfavorable research about our business, our ordinary share price may decline. If analysts cease coverage of us or fail to regularly publish reports on us, we could lose visibility in the financial markets, which in turn could cause our ordinary share price or trading volume to decline and our ordinary shares to be less liquid.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6EBF"/>
          <w:sz w:val="20"/>
        </w:rPr>
      </w:pPr>
      <w:r>
        <w:rPr>
          <w:rFonts w:ascii="Arial;sans-serif" w:hAnsi="Arial;sans-serif"/>
          <w:b/>
          <w:color w:val="006EBF"/>
          <w:sz w:val="20"/>
        </w:rPr>
        <w:t>Item 2. Unregistered Sales of Equity Securities and Use of Proceeds</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32740"/>
                <wp:effectExtent l="0" t="0" r="0" b="0"/>
                <wp:wrapNone/>
                <wp:docPr id="61" name="Frame60"/>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60</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color w:val="006EBF"/>
          <w:sz w:val="20"/>
        </w:rPr>
      </w:pPr>
      <w:r>
        <w:rPr>
          <w:rFonts w:ascii="Arial;sans-serif" w:hAnsi="Arial;sans-serif"/>
          <w:b/>
          <w:color w:val="006EBF"/>
          <w:sz w:val="20"/>
        </w:rPr>
        <w:t>Item 3. Defaults Upon Senior Securities</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6EBF"/>
          <w:sz w:val="20"/>
        </w:rPr>
      </w:pPr>
      <w:r>
        <w:rPr>
          <w:rFonts w:ascii="Arial;sans-serif" w:hAnsi="Arial;sans-serif"/>
          <w:b/>
          <w:color w:val="006EBF"/>
          <w:sz w:val="20"/>
        </w:rPr>
        <w:t>Item 4. Mine Safety Disclosures</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6EBF"/>
          <w:sz w:val="20"/>
        </w:rPr>
      </w:pPr>
      <w:r>
        <w:rPr>
          <w:rFonts w:ascii="Arial;sans-serif" w:hAnsi="Arial;sans-serif"/>
          <w:b/>
          <w:color w:val="006EBF"/>
          <w:sz w:val="20"/>
        </w:rPr>
        <w:t>Item 5. Other Information</w:t>
      </w:r>
    </w:p>
    <w:p>
      <w:pPr>
        <w:pStyle w:val="TextBody"/>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32740"/>
                <wp:effectExtent l="0" t="0" r="0" b="0"/>
                <wp:wrapNone/>
                <wp:docPr id="62" name="Frame61"/>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61</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color w:val="006EBF"/>
          <w:sz w:val="20"/>
        </w:rPr>
      </w:pPr>
      <w:r>
        <w:rPr>
          <w:rFonts w:ascii="Arial;sans-serif" w:hAnsi="Arial;sans-serif"/>
          <w:b/>
          <w:color w:val="006EBF"/>
          <w:sz w:val="20"/>
        </w:rPr>
        <w:t>Item 6. Exhibits</w:t>
      </w:r>
    </w:p>
    <w:tbl>
      <w:tblPr>
        <w:tblW w:w="10205" w:type="dxa"/>
        <w:jc w:val="left"/>
        <w:tblInd w:w="0" w:type="dxa"/>
        <w:tblCellMar>
          <w:top w:w="28" w:type="dxa"/>
          <w:left w:w="28" w:type="dxa"/>
          <w:bottom w:w="28" w:type="dxa"/>
          <w:right w:w="28" w:type="dxa"/>
        </w:tblCellMar>
      </w:tblPr>
      <w:tblGrid>
        <w:gridCol w:w="124"/>
        <w:gridCol w:w="109"/>
        <w:gridCol w:w="109"/>
        <w:gridCol w:w="325"/>
        <w:gridCol w:w="325"/>
        <w:gridCol w:w="326"/>
        <w:gridCol w:w="109"/>
        <w:gridCol w:w="109"/>
        <w:gridCol w:w="109"/>
        <w:gridCol w:w="2551"/>
        <w:gridCol w:w="2480"/>
        <w:gridCol w:w="352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1" w:type="dxa"/>
            <w:tcBorders/>
            <w:shd w:fill="auto" w:val="clear"/>
            <w:vAlign w:val="center"/>
          </w:tcPr>
          <w:p>
            <w:pPr>
              <w:pStyle w:val="TableContents"/>
              <w:spacing w:before="0" w:after="283"/>
              <w:rPr>
                <w:sz w:val="4"/>
                <w:szCs w:val="4"/>
              </w:rPr>
            </w:pPr>
            <w:r>
              <w:rPr>
                <w:sz w:val="4"/>
                <w:szCs w:val="4"/>
              </w:rPr>
            </w:r>
          </w:p>
        </w:tc>
        <w:tc>
          <w:tcPr>
            <w:tcW w:w="2480" w:type="dxa"/>
            <w:tcBorders/>
            <w:shd w:fill="auto" w:val="clear"/>
            <w:vAlign w:val="center"/>
          </w:tcPr>
          <w:p>
            <w:pPr>
              <w:pStyle w:val="TableContents"/>
              <w:spacing w:before="0" w:after="283"/>
              <w:rPr>
                <w:sz w:val="4"/>
                <w:szCs w:val="4"/>
              </w:rPr>
            </w:pPr>
            <w:r>
              <w:rPr>
                <w:sz w:val="4"/>
                <w:szCs w:val="4"/>
              </w:rPr>
            </w:r>
          </w:p>
        </w:tc>
        <w:tc>
          <w:tcPr>
            <w:tcW w:w="352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Exhibit No.</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56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right"/>
              <w:rPr/>
            </w:pPr>
            <w:r>
              <w:fldChar w:fldCharType="begin"/>
            </w:r>
            <w:r>
              <w:rPr>
                <w:rStyle w:val="InternetLink"/>
                <w:sz w:val="16"/>
                <w:u w:val="single"/>
                <w:b w:val="false"/>
                <w:rFonts w:ascii="Arial;sans-serif" w:hAnsi="Arial;sans-serif"/>
              </w:rPr>
              <w:instrText> HYPERLINK "https://www.sec.gov/Archives/edgar/data/1590364/000114036122036824/ny20005522x1_defm14a.htm" \l "tANNEXA"</w:instrText>
            </w:r>
            <w:r>
              <w:rPr>
                <w:rStyle w:val="InternetLink"/>
                <w:sz w:val="16"/>
                <w:u w:val="single"/>
                <w:b w:val="false"/>
                <w:rFonts w:ascii="Arial;sans-serif" w:hAnsi="Arial;sans-serif"/>
              </w:rPr>
              <w:fldChar w:fldCharType="separate"/>
            </w:r>
            <w:r>
              <w:rPr>
                <w:rStyle w:val="InternetLink"/>
                <w:rFonts w:ascii="Arial;sans-serif" w:hAnsi="Arial;sans-serif"/>
                <w:b w:val="false"/>
                <w:color w:val="0000FF"/>
                <w:sz w:val="16"/>
                <w:u w:val="single"/>
              </w:rPr>
              <w:t>2.1</w:t>
            </w:r>
            <w:r>
              <w:rPr>
                <w:rStyle w:val="InternetLink"/>
                <w:sz w:val="16"/>
                <w:u w:val="single"/>
                <w:b w:val="false"/>
                <w:rFonts w:ascii="Arial;sans-serif" w:hAnsi="Arial;sans-serif"/>
              </w:rPr>
              <w:fldChar w:fldCharType="end"/>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16"/>
              </w:rPr>
            </w:pPr>
            <w:r>
              <w:rPr>
                <w:rFonts w:ascii="Arial;sans-serif" w:hAnsi="Arial;sans-serif"/>
                <w:b w:val="false"/>
                <w:color w:val="000000"/>
                <w:sz w:val="16"/>
              </w:rPr>
              <w:t>Agreement and Plan of Merger, dated as of August 12, 2022, by and among, FTAI, the Company and FTAI Aviation Merger Sub LLC (incorporated by reference to Annex A to FTAI’s Registration Statement on Form S-4, filed on October 11, 2022).</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r:id="rId3">
              <w:r>
                <w:rPr>
                  <w:rStyle w:val="InternetLink"/>
                  <w:rFonts w:ascii="Arial;sans-serif" w:hAnsi="Arial;sans-serif"/>
                  <w:b w:val="false"/>
                  <w:color w:val="0000FF"/>
                  <w:sz w:val="16"/>
                  <w:u w:val="single"/>
                </w:rPr>
                <w:t>2.2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Separation and Distribution Agreement, dated as of August 1, 2022, between FTAI Infrastructure Inc. and the Company (incorporated by reference to Exhibit 2.1 of the Company’s Current Report on Form 8-K, filed on August 1, 2022).</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r:id="rId4">
              <w:r>
                <w:rPr>
                  <w:rStyle w:val="InternetLink"/>
                  <w:rFonts w:ascii="Arial;sans-serif" w:hAnsi="Arial;sans-serif"/>
                  <w:b w:val="false"/>
                  <w:color w:val="0000FF"/>
                  <w:sz w:val="16"/>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Amended and Restated Memorandum and Articles of Association of the Company (incorporated by reference to Exhibit 3.1 of the Company’s Current Report on Form 8-K, filed on November 14, 2022).</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r:id="rId5">
              <w:r>
                <w:rPr>
                  <w:rStyle w:val="InternetLink"/>
                  <w:rFonts w:ascii="Arial;sans-serif" w:hAnsi="Arial;sans-serif"/>
                  <w:b w:val="false"/>
                  <w:color w:val="0000FF"/>
                  <w:sz w:val="16"/>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Designation with respect to the 8.25% Fixed-to-Floating Series A Cumulative Perpetual Redeemable Preferred Shares (included as part of Exhibit 3.1 hereto).</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r:id="rId6">
              <w:r>
                <w:rPr>
                  <w:rStyle w:val="InternetLink"/>
                  <w:rFonts w:ascii="Arial;sans-serif" w:hAnsi="Arial;sans-serif"/>
                  <w:b w:val="false"/>
                  <w:color w:val="0000FF"/>
                  <w:sz w:val="16"/>
                  <w:u w:val="single"/>
                </w:rPr>
                <w:t>3.3</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Designation with respect to the 8.00% Fixed-to-Floating Series B Cumulative Perpetual Redeemable Preferred Shares (included as part of Exhibit 3.1 hereto).</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r:id="rId7">
              <w:r>
                <w:rPr>
                  <w:rStyle w:val="InternetLink"/>
                  <w:rFonts w:ascii="Arial;sans-serif" w:hAnsi="Arial;sans-serif"/>
                  <w:b w:val="false"/>
                  <w:color w:val="0000FF"/>
                  <w:sz w:val="16"/>
                  <w:u w:val="single"/>
                </w:rPr>
                <w:t>3.4</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Designation with respect to the 8.25% Fixed-Rate Reset Series C Cumulative Perpetual Redeemable Preferred Shares (included as part of Exhibit 3.1 hereto).</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r:id="rId8">
              <w:r>
                <w:rPr>
                  <w:rStyle w:val="InternetLink"/>
                  <w:rFonts w:ascii="Arial;sans-serif" w:hAnsi="Arial;sans-serif"/>
                  <w:b w:val="false"/>
                  <w:color w:val="0000FF"/>
                  <w:sz w:val="16"/>
                  <w:u w:val="single"/>
                </w:rPr>
                <w:t>3.5</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Certificate representing the 8.25% Fixed-to-Floating Rate Series A Cumulative Perpetual Redeemable Preferred Shares of FTAI Aviation Ltd. (included as part of Exhibit 3.1 hereto).</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r:id="rId9">
              <w:r>
                <w:rPr>
                  <w:rStyle w:val="InternetLink"/>
                  <w:rFonts w:ascii="Arial;sans-serif" w:hAnsi="Arial;sans-serif"/>
                  <w:b w:val="false"/>
                  <w:color w:val="0000FF"/>
                  <w:sz w:val="16"/>
                  <w:u w:val="single"/>
                </w:rPr>
                <w:t>3.6</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Certificate representing the 8.00% Fixed-to-Floating Rate Series B Cumulative Perpetual Redeemable Preferred Shares of FTAI Aviation Ltd. (included as part of Exhibit 3.1 hereto).</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r:id="rId10">
              <w:r>
                <w:rPr>
                  <w:rStyle w:val="InternetLink"/>
                  <w:rFonts w:ascii="Arial;sans-serif" w:hAnsi="Arial;sans-serif"/>
                  <w:b w:val="false"/>
                  <w:color w:val="0000FF"/>
                  <w:sz w:val="16"/>
                  <w:u w:val="single"/>
                </w:rPr>
                <w:t>3.7</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Certificate representing the 8.25% Fixed-Rate Reset Series C Cumulative Perpetual Redeemable Preferred Shares of FTAI Aviation Ltd. (included as part of Exhibit 3.1 hereto).</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r:id="rId11">
              <w:r>
                <w:rPr>
                  <w:rStyle w:val="InternetLink"/>
                  <w:rFonts w:ascii="Arial;sans-serif" w:hAnsi="Arial;sans-serif"/>
                  <w:b w:val="false"/>
                  <w:color w:val="0000FF"/>
                  <w:sz w:val="16"/>
                  <w:u w:val="single"/>
                </w:rPr>
                <w:t>4.1</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Indenture, dated September 18, 2018, between the Company and U.S. Bank National Association, as trustee, relating to the Company’s 6.50% senior unsecured notes due 2025 (incorporated by reference to Exhibit 4.1 of the Company’s Current Report on Form 8-K, filed on September 18, 2018).</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r:id="rId12">
              <w:r>
                <w:rPr>
                  <w:rStyle w:val="InternetLink"/>
                  <w:rFonts w:ascii="Arial;sans-serif" w:hAnsi="Arial;sans-serif"/>
                  <w:b w:val="false"/>
                  <w:color w:val="0000FF"/>
                  <w:sz w:val="16"/>
                  <w:u w:val="single"/>
                </w:rPr>
                <w:t>4.2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global note representing the Company’s 6.50% senior unsecured notes due 2025 (included in Exhibit 4.1).</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r:id="rId13">
              <w:r>
                <w:rPr>
                  <w:rStyle w:val="InternetLink"/>
                  <w:rFonts w:ascii="Arial;sans-serif" w:hAnsi="Arial;sans-serif"/>
                  <w:b w:val="false"/>
                  <w:color w:val="0000FF"/>
                  <w:sz w:val="16"/>
                  <w:u w:val="single"/>
                </w:rPr>
                <w:t>4.3</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First Supplemental Indenture, dated May 21, 2019, between the Company and U.S. Bank National Association, as trustee, relating to the Company’s 6.50% senior unsecured notes due 2025 (incorporated by reference to Exhibit 4.1 of the Company’s Current Report on Form 8-K, filed on May 21, 2019).</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r:id="rId14">
              <w:r>
                <w:rPr>
                  <w:rStyle w:val="InternetLink"/>
                  <w:rFonts w:ascii="Arial;sans-serif" w:hAnsi="Arial;sans-serif"/>
                  <w:b w:val="false"/>
                  <w:color w:val="0000FF"/>
                  <w:sz w:val="16"/>
                  <w:u w:val="single"/>
                </w:rPr>
                <w:t>4.4</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Second Supplemental Indenture, dated December 23, 2020, between the Company and U.S. Bank National Association, as trustee, relating to the Company’s 6.50% senior unsecured notes due 2025 (incorporated by reference to Exhibit 4.1 of the Company’s Current Report on Form 8-K, filed on December 23, 2020).</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r:id="rId15">
              <w:r>
                <w:rPr>
                  <w:rStyle w:val="InternetLink"/>
                  <w:rFonts w:ascii="Arial;sans-serif" w:hAnsi="Arial;sans-serif"/>
                  <w:b w:val="false"/>
                  <w:color w:val="0000FF"/>
                  <w:sz w:val="16"/>
                  <w:u w:val="single"/>
                </w:rPr>
                <w:t>4.5</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 Notes Guarantee, dated November 10, 2022 (incorporated by reference to Exhibit 4.1 of the Company’s Current Report on Form 8-K, filed on November 14, 2022).</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r:id="rId16">
              <w:r>
                <w:rPr>
                  <w:rStyle w:val="InternetLink"/>
                  <w:rFonts w:ascii="Arial;sans-serif" w:hAnsi="Arial;sans-serif"/>
                  <w:b w:val="false"/>
                  <w:color w:val="0000FF"/>
                  <w:sz w:val="16"/>
                  <w:u w:val="single"/>
                </w:rPr>
                <w:t>4.6</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Indenture, dated April 12, 2021, between the Company and U.S. Bank National Association, as trustee, relating to the Company’s 5.50% senior unsecured notes due 2028 (incorporated by reference to Exhibit 4.1 to the Company’s Form 8-K, filed April 12, 2021).</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r:id="rId17">
              <w:r>
                <w:rPr>
                  <w:rStyle w:val="InternetLink"/>
                  <w:rFonts w:ascii="Arial;sans-serif" w:hAnsi="Arial;sans-serif"/>
                  <w:b w:val="false"/>
                  <w:color w:val="0000FF"/>
                  <w:sz w:val="16"/>
                  <w:u w:val="single"/>
                </w:rPr>
                <w:t>4.7</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global note representing the Company’s 5.50% senior unsecured notes due 2028 (included in Exhibit 4.6).</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r:id="rId18">
              <w:r>
                <w:rPr>
                  <w:rStyle w:val="InternetLink"/>
                  <w:rFonts w:ascii="Arial;sans-serif" w:hAnsi="Arial;sans-serif"/>
                  <w:b w:val="false"/>
                  <w:color w:val="0000FF"/>
                  <w:sz w:val="16"/>
                  <w:u w:val="single"/>
                </w:rPr>
                <w:t>4.8</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First Supplemental Indenture, dated as of September 24, 2021, between the Company and U.S. Bank National Association, as trustee, relating to the Company’s 5.50% senior unsecured notes due 2028 (incorporated by reference to Exhibit 4.1 of the Company’s Current Report on Form 8-K, filed on September 24, 2021).</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r:id="rId19">
              <w:r>
                <w:rPr>
                  <w:rStyle w:val="InternetLink"/>
                  <w:rFonts w:ascii="Arial;sans-serif" w:hAnsi="Arial;sans-serif"/>
                  <w:b w:val="false"/>
                  <w:color w:val="0000FF"/>
                  <w:sz w:val="16"/>
                  <w:u w:val="single"/>
                </w:rPr>
                <w:t>4.9</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 Notes Guarantee, dated November 10, 2022 (incorporated by reference to Exhibit 4.3 of the Company’s Current Report on Form 8-K, filed on November 14, 2022).</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r:id="rId20">
              <w:r>
                <w:rPr>
                  <w:rStyle w:val="InternetLink"/>
                  <w:rFonts w:ascii="Arial;sans-serif" w:hAnsi="Arial;sans-serif"/>
                  <w:b w:val="false"/>
                  <w:color w:val="0000FF"/>
                  <w:sz w:val="16"/>
                  <w:u w:val="single"/>
                </w:rPr>
                <w:t>4.10</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Indenture, dated July 28, 2020, between the Company and U.S. Bank National Association, as trustee, relating to the Company’s 9.75% senior unsecured notes due 2027 (incorporated by reference to Exhibit 4.1 of the Company’s Current Report on Form 8-K, filed on July 28, 2020).</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r:id="rId21">
              <w:r>
                <w:rPr>
                  <w:rStyle w:val="InternetLink"/>
                  <w:rFonts w:ascii="Arial;sans-serif" w:hAnsi="Arial;sans-serif"/>
                  <w:b w:val="false"/>
                  <w:color w:val="0000FF"/>
                  <w:sz w:val="16"/>
                  <w:u w:val="single"/>
                </w:rPr>
                <w:t>4.11</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global note representing the Company’s 9.75% senior unsecured notes due 2027 (included in Exhibit 4.10).</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r:id="rId22">
              <w:r>
                <w:rPr>
                  <w:rStyle w:val="InternetLink"/>
                  <w:rFonts w:ascii="Arial;sans-serif" w:hAnsi="Arial;sans-serif"/>
                  <w:b w:val="false"/>
                  <w:color w:val="0000FF"/>
                  <w:sz w:val="16"/>
                  <w:u w:val="single"/>
                </w:rPr>
                <w:t>4.12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 Notes Guarantee, dated November 10, 2022 (incorporated by reference to Exhibit 4.2 of the Company’s Current Report on Form 8-K, filed on November 14, 2022).</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r:id="rId23">
              <w:r>
                <w:rPr>
                  <w:rStyle w:val="InternetLink"/>
                  <w:rFonts w:ascii="Arial;sans-serif" w:hAnsi="Arial;sans-serif"/>
                  <w:b w:val="false"/>
                  <w:color w:val="0000FF"/>
                  <w:sz w:val="16"/>
                  <w:u w:val="single"/>
                </w:rPr>
                <w:t>4.13</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Revolver Guarantee, dated November 10, 2022 (incorporated by reference to Exhibit 4.4 of the Company’s Current Report on Form 8-K, filed on November 14, 2022).</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r:id="rId24">
              <w:r>
                <w:rPr>
                  <w:rStyle w:val="InternetLink"/>
                  <w:rFonts w:ascii="Arial;sans-serif" w:hAnsi="Arial;sans-serif"/>
                  <w:b w:val="false"/>
                  <w:color w:val="0000FF"/>
                  <w:sz w:val="16"/>
                  <w:u w:val="single"/>
                </w:rPr>
                <w:t>4.14</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Description of Securities Registered under Section 12 of the Exchange Act.</w:t>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r:id="rId25">
              <w:r>
                <w:rPr>
                  <w:rStyle w:val="InternetLink"/>
                  <w:rFonts w:ascii="Arial;sans-serif" w:hAnsi="Arial;sans-serif"/>
                  <w:b w:val="false"/>
                  <w:color w:val="0000FF"/>
                  <w:sz w:val="16"/>
                  <w:u w:val="single"/>
                </w:rPr>
                <w:t>10.1</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and Advisory Agreement, dated as of July 31, 2022, between the Company, FTAI Aviation Ltd., the Subsidiaries that are party thereto and FIG LLC (incorporated by reference to Exhibit 10.1 of the Company’s Current Report on Form 8-K, filed on August 1, 2022).</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r:id="rId26">
              <w:r>
                <w:rPr>
                  <w:rStyle w:val="InternetLink"/>
                  <w:rFonts w:ascii="Arial;sans-serif" w:hAnsi="Arial;sans-serif"/>
                  <w:b w:val="false"/>
                  <w:color w:val="0000FF"/>
                  <w:sz w:val="16"/>
                  <w:u w:val="single"/>
                </w:rPr>
                <w:t>10.2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 and Profit Sharing Agreement, dated November 10, 2022, by and among FTAI Aviation Holdco Ltd., the Company and Fortress Worldwide Transportation and Infrastructure Master GP LLC (incorporated by reference to Exhibit 10.1 of the Company’s Current Report on Form 8-K, filed on November 14, 2022).</w:t>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r:id="rId27">
              <w:r>
                <w:rPr>
                  <w:rStyle w:val="InternetLink"/>
                  <w:rFonts w:ascii="Arial;sans-serif" w:hAnsi="Arial;sans-serif"/>
                  <w:b w:val="false"/>
                  <w:color w:val="0000FF"/>
                  <w:sz w:val="16"/>
                  <w:u w:val="single"/>
                </w:rPr>
                <w:t>10.3</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Amended and Restated Registration Rights Agreement, dated November 10, 2022, by and among FTAI Aviation Ltd., the Company, Fortress Worldwide Transportation and Infrastructure Master GP LLC and FIG LLC (incorporated by reference to Exhibit 10.2 of the Company’s Current Report on Form 8-K, filed on November 14, 2022).</w:t>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r:id="rId28">
              <w:r>
                <w:rPr>
                  <w:rStyle w:val="InternetLink"/>
                  <w:rFonts w:ascii="Arial;sans-serif" w:hAnsi="Arial;sans-serif"/>
                  <w:b w:val="false"/>
                  <w:color w:val="0000FF"/>
                  <w:sz w:val="16"/>
                  <w:u w:val="single"/>
                </w:rPr>
                <w:t>10.4</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FTAI Aviation Ltd. Nonqualified Stock Option and Incentive Award Plan, dated as of February 23, 2023.</w:t>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r:id="rId29">
              <w:r>
                <w:rPr>
                  <w:rStyle w:val="InternetLink"/>
                  <w:rFonts w:ascii="Arial;sans-serif" w:hAnsi="Arial;sans-serif"/>
                  <w:b w:val="false"/>
                  <w:color w:val="0000FF"/>
                  <w:sz w:val="16"/>
                  <w:u w:val="single"/>
                </w:rPr>
                <w:t>10.5</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FTAI Aviation Ltd. Director and Officer Indemnification Agreement (incorporated by reference to Exhibit 10.6 to the Company’s Registration Statement on Form S-4, filed on October 4, 2022).</w:t>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r:id="rId30">
              <w:r>
                <w:rPr>
                  <w:rStyle w:val="InternetLink"/>
                  <w:rFonts w:ascii="Arial;sans-serif" w:hAnsi="Arial;sans-serif"/>
                  <w:b w:val="false"/>
                  <w:color w:val="0000FF"/>
                  <w:sz w:val="16"/>
                  <w:u w:val="single"/>
                </w:rPr>
                <w:t>10.6</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Director Award Agreement pursuant to the FTAI Aviation Ltd. Nonqualified Stock Option and Incentive Plan (incorporated by reference to Exhibit 10.7 to the Company’s Registration Statement on Form S-4, filed on October 4, 2022).</w:t>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r:id="rId31">
              <w:r>
                <w:rPr>
                  <w:rStyle w:val="InternetLink"/>
                  <w:rFonts w:ascii="Arial;sans-serif" w:hAnsi="Arial;sans-serif"/>
                  <w:b w:val="false"/>
                  <w:color w:val="0000FF"/>
                  <w:sz w:val="16"/>
                  <w:u w:val="single"/>
                </w:rPr>
                <w:t>10.7</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Award Agreement under the FTAI Aviation Ltd. Nonqualified Stock Option and Incentive Award Plan (incorporated by reference to Exhibit 10.8 to the Company’s Registration Statement on Form S-4, filed on October 4, 2022).</w:t>
            </w:r>
          </w:p>
        </w:tc>
      </w:tr>
    </w:tbl>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32740"/>
                <wp:effectExtent l="0" t="0" r="0" b="0"/>
                <wp:wrapNone/>
                <wp:docPr id="63" name="Frame62"/>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62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62</w:t>
                      </w:r>
                    </w:p>
                    <w:p>
                      <w:pPr>
                        <w:pStyle w:val="TextBody"/>
                        <w:spacing w:before="0" w:after="0"/>
                        <w:rPr/>
                      </w:pPr>
                      <w:r>
                        <w:rPr/>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325"/>
        <w:gridCol w:w="325"/>
        <w:gridCol w:w="326"/>
        <w:gridCol w:w="109"/>
        <w:gridCol w:w="109"/>
        <w:gridCol w:w="109"/>
        <w:gridCol w:w="2574"/>
        <w:gridCol w:w="2467"/>
        <w:gridCol w:w="351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4" w:type="dxa"/>
            <w:tcBorders/>
            <w:shd w:fill="auto" w:val="clear"/>
            <w:vAlign w:val="center"/>
          </w:tcPr>
          <w:p>
            <w:pPr>
              <w:pStyle w:val="TableContents"/>
              <w:spacing w:before="0" w:after="283"/>
              <w:rPr>
                <w:sz w:val="4"/>
                <w:szCs w:val="4"/>
              </w:rPr>
            </w:pPr>
            <w:r>
              <w:rPr>
                <w:sz w:val="4"/>
                <w:szCs w:val="4"/>
              </w:rPr>
            </w:r>
          </w:p>
        </w:tc>
        <w:tc>
          <w:tcPr>
            <w:tcW w:w="2467" w:type="dxa"/>
            <w:tcBorders/>
            <w:shd w:fill="auto" w:val="clear"/>
            <w:vAlign w:val="center"/>
          </w:tcPr>
          <w:p>
            <w:pPr>
              <w:pStyle w:val="TableContents"/>
              <w:spacing w:before="0" w:after="283"/>
              <w:rPr>
                <w:sz w:val="4"/>
                <w:szCs w:val="4"/>
              </w:rPr>
            </w:pPr>
            <w:r>
              <w:rPr>
                <w:sz w:val="4"/>
                <w:szCs w:val="4"/>
              </w:rPr>
            </w:r>
          </w:p>
        </w:tc>
        <w:tc>
          <w:tcPr>
            <w:tcW w:w="351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Exhibit No.</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56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r:id="rId32">
              <w:r>
                <w:rPr>
                  <w:rStyle w:val="InternetLink"/>
                  <w:rFonts w:ascii="Arial;sans-serif" w:hAnsi="Arial;sans-serif"/>
                  <w:b w:val="false"/>
                  <w:color w:val="0000FF"/>
                  <w:sz w:val="16"/>
                  <w:u w:val="single"/>
                </w:rPr>
                <w:t>10.8</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Trademark License Agreement, dated as of August 1, 2022, between Fortress Transportation and Infrastructure Investors LLC and FTAI Infrastructure Inc. (incorporated by reference to Exhibit 10.3 of the Company’s Current Report on Form 8-K, filed August 1, 2022).</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r:id="rId33">
              <w:r>
                <w:rPr>
                  <w:rStyle w:val="InternetLink"/>
                  <w:rFonts w:ascii="Arial;sans-serif" w:hAnsi="Arial;sans-serif"/>
                  <w:b w:val="false"/>
                  <w:color w:val="0000FF"/>
                  <w:sz w:val="16"/>
                  <w:u w:val="single"/>
                </w:rPr>
                <w:t>10.9</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Second Amended and Restated Credit Agreement, dated as of September 20, 2022, between the Company, the lenders and issuing banks from time to time party thereto and JPMorgan Chase Bank, N.A., as administrative agent (incorporated by reference to Exhibit 10.1 of the Company's Current Report on Form 8-K, filed September 21, 2022).</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r:id="rId34">
              <w:r>
                <w:rPr>
                  <w:rStyle w:val="InternetLink"/>
                  <w:rFonts w:ascii="Arial;sans-serif" w:hAnsi="Arial;sans-serif"/>
                  <w:b w:val="false"/>
                  <w:color w:val="0000FF"/>
                  <w:sz w:val="16"/>
                  <w:u w:val="single"/>
                </w:rPr>
                <w:t>10.10</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Amendment No. 1 to the Second Amended and Restated Credit Agreement, dated as of November 22, 2022, between the Company, the lenders and issuing banks from time to time party thereto and JPMorgan Chase Bank, N.A., as administrative agent (incorporated by reference to Exhibit 10.10 of the Company’s Annual Report on Form 10-K, filed February 27, 2023).</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ftai3312023exhibit1011.htm">
              <w:r>
                <w:rPr>
                  <w:rStyle w:val="InternetLink"/>
                  <w:rFonts w:ascii="Arial;sans-serif" w:hAnsi="Arial;sans-serif"/>
                  <w:b w:val="false"/>
                  <w:color w:val="0000FF"/>
                  <w:sz w:val="16"/>
                  <w:u w:val="single"/>
                </w:rPr>
                <w:t>10.11</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Amendment No. 2 to the Second Amended and Restated Credit Agreement, dated as of April 10, 2023, between the Company, the lenders and issuing banks from time to time party thereto and JPMorgan Chase Bank, N.A., as administrative agent.</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ftai3312023exhibit311.htm">
              <w:r>
                <w:rPr>
                  <w:rStyle w:val="InternetLink"/>
                  <w:rFonts w:ascii="Arial;sans-serif" w:hAnsi="Arial;sans-serif"/>
                  <w:b w:val="false"/>
                  <w:color w:val="0000FF"/>
                  <w:sz w:val="16"/>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Certification of Chief Executive Officer pursuant to Rule 13a-14(a)/15d-14(a), as adopted pursuant to Section 302 of the Sarbanes-Oxley Act of 2002.</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ftai3312023exhibit312.htm">
              <w:r>
                <w:rPr>
                  <w:rStyle w:val="InternetLink"/>
                  <w:rFonts w:ascii="Arial;sans-serif" w:hAnsi="Arial;sans-serif"/>
                  <w:b w:val="false"/>
                  <w:color w:val="0000FF"/>
                  <w:sz w:val="16"/>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Certification of Chief Financial Officer pursuant to Rule 13a-14(a)/15d-14(a), as adopted pursuant to Section 302 of the Sarbanes-Oxley Act of 2002.</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ftai3312023exhibit321.htm">
              <w:r>
                <w:rPr>
                  <w:rStyle w:val="InternetLink"/>
                  <w:rFonts w:ascii="Arial;sans-serif" w:hAnsi="Arial;sans-serif"/>
                  <w:b w:val="false"/>
                  <w:color w:val="0000FF"/>
                  <w:sz w:val="16"/>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Certification of Chief Executive Officer pursuant to 18 U.S.C. Section 1350, as adopted pursuant to Section 906 of the Sarbanes-Oxley Act of 2002.</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ftai3312023exhibit322.htm">
              <w:r>
                <w:rPr>
                  <w:rStyle w:val="InternetLink"/>
                  <w:rFonts w:ascii="Arial;sans-serif" w:hAnsi="Arial;sans-serif"/>
                  <w:b w:val="false"/>
                  <w:color w:val="0000FF"/>
                  <w:sz w:val="16"/>
                  <w:u w:val="single"/>
                </w:rPr>
                <w:t>32.2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Certification of Chief Financial Officer pursuant to 18 U.S.C. Section 1350, as adopted pursuant to Section 906 of the Sarbanes-Oxley Act of 2002.</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following financial information from the Company’s Quarterly Report on Form 10-Q for the quarter ended March 31, 2023, formatted in iXBRL (Inline Extensible Business Reporting Language): (i) Consolidated Balance Sheets; (ii) Consolidated Statements of Operations; (iii) Consolidated Statements of Comprehensive Income (Loss); (iv) Consolidated Statements of Changes in Equity; (v) Consolidated Statements of Cash Flows; and (vi) Notes to Consolidated Financial Statements.</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Cover Page Interactive Data File (formatted as Inline XBRL and contained in Exhibit 101)</w:t>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Management contracts and compensatory plans or arrangements.</w:t>
            </w:r>
          </w:p>
        </w:tc>
      </w:tr>
    </w:tbl>
    <w:p>
      <w:pPr>
        <w:pStyle w:val="TextBody"/>
        <w:spacing w:before="12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32740"/>
                <wp:effectExtent l="0" t="0" r="0" b="0"/>
                <wp:wrapNone/>
                <wp:docPr id="64" name="Frame63"/>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63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63</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jc w:val="center"/>
        <w:rPr>
          <w:rFonts w:ascii="Arial;sans-serif" w:hAnsi="Arial;sans-serif"/>
          <w:b/>
          <w:color w:val="00497F"/>
          <w:sz w:val="18"/>
        </w:rPr>
      </w:pPr>
      <w:r>
        <w:rPr>
          <w:rFonts w:ascii="Arial;sans-serif" w:hAnsi="Arial;sans-serif"/>
          <w:b/>
          <w:color w:val="00497F"/>
          <w:sz w:val="18"/>
        </w:rPr>
        <w:t>SIGNATURES</w:t>
      </w:r>
    </w:p>
    <w:p>
      <w:pPr>
        <w:pStyle w:val="TextBody"/>
        <w:spacing w:lineRule="auto" w:line="288" w:before="120" w:after="283"/>
        <w:jc w:val="center"/>
        <w:rPr>
          <w:color w:val="000000"/>
        </w:rPr>
      </w:pPr>
      <w:r>
        <w:rPr>
          <w:color w:val="000000"/>
        </w:rPr>
        <w:t> </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FTAI Aviation Ltd.</w:t>
      </w:r>
    </w:p>
    <w:tbl>
      <w:tblPr>
        <w:tblW w:w="5693" w:type="dxa"/>
        <w:jc w:val="left"/>
        <w:tblInd w:w="0" w:type="dxa"/>
        <w:tblCellMar>
          <w:top w:w="28" w:type="dxa"/>
          <w:left w:w="28" w:type="dxa"/>
          <w:bottom w:w="28" w:type="dxa"/>
          <w:right w:w="28" w:type="dxa"/>
        </w:tblCellMar>
      </w:tblPr>
      <w:tblGrid>
        <w:gridCol w:w="136"/>
        <w:gridCol w:w="119"/>
        <w:gridCol w:w="119"/>
        <w:gridCol w:w="1053"/>
        <w:gridCol w:w="1053"/>
        <w:gridCol w:w="1058"/>
        <w:gridCol w:w="109"/>
        <w:gridCol w:w="109"/>
        <w:gridCol w:w="109"/>
        <w:gridCol w:w="179"/>
        <w:gridCol w:w="179"/>
        <w:gridCol w:w="181"/>
        <w:gridCol w:w="377"/>
        <w:gridCol w:w="377"/>
        <w:gridCol w:w="535"/>
      </w:tblGrid>
      <w:tr>
        <w:trPr/>
        <w:tc>
          <w:tcPr>
            <w:tcW w:w="13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r>
      <w:tr>
        <w:trPr/>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1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Joseph P. Adams, Jr.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27, 2023</w:t>
            </w:r>
          </w:p>
        </w:tc>
      </w:tr>
      <w:tr>
        <w:trPr/>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Joseph P. Adams, Jr.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Chairman and Chief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6803" w:type="dxa"/>
        <w:jc w:val="center"/>
        <w:tblInd w:w="0" w:type="dxa"/>
        <w:tblCellMar>
          <w:top w:w="28" w:type="dxa"/>
          <w:left w:w="28" w:type="dxa"/>
          <w:bottom w:w="28" w:type="dxa"/>
          <w:right w:w="28" w:type="dxa"/>
        </w:tblCellMar>
      </w:tblPr>
      <w:tblGrid>
        <w:gridCol w:w="136"/>
        <w:gridCol w:w="119"/>
        <w:gridCol w:w="119"/>
        <w:gridCol w:w="1423"/>
        <w:gridCol w:w="1423"/>
        <w:gridCol w:w="1428"/>
        <w:gridCol w:w="109"/>
        <w:gridCol w:w="109"/>
        <w:gridCol w:w="109"/>
        <w:gridCol w:w="179"/>
        <w:gridCol w:w="179"/>
        <w:gridCol w:w="181"/>
        <w:gridCol w:w="377"/>
        <w:gridCol w:w="377"/>
        <w:gridCol w:w="535"/>
      </w:tblGrid>
      <w:tr>
        <w:trPr/>
        <w:tc>
          <w:tcPr>
            <w:tcW w:w="13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423" w:type="dxa"/>
            <w:tcBorders/>
            <w:shd w:fill="auto" w:val="clear"/>
            <w:vAlign w:val="center"/>
          </w:tcPr>
          <w:p>
            <w:pPr>
              <w:pStyle w:val="TableContents"/>
              <w:spacing w:before="0" w:after="283"/>
              <w:rPr>
                <w:sz w:val="4"/>
                <w:szCs w:val="4"/>
              </w:rPr>
            </w:pPr>
            <w:r>
              <w:rPr>
                <w:sz w:val="4"/>
                <w:szCs w:val="4"/>
              </w:rPr>
            </w:r>
          </w:p>
        </w:tc>
        <w:tc>
          <w:tcPr>
            <w:tcW w:w="1423" w:type="dxa"/>
            <w:tcBorders/>
            <w:shd w:fill="auto" w:val="clear"/>
            <w:vAlign w:val="center"/>
          </w:tcPr>
          <w:p>
            <w:pPr>
              <w:pStyle w:val="TableContents"/>
              <w:spacing w:before="0" w:after="283"/>
              <w:rPr>
                <w:sz w:val="4"/>
                <w:szCs w:val="4"/>
              </w:rPr>
            </w:pPr>
            <w:r>
              <w:rPr>
                <w:sz w:val="4"/>
                <w:szCs w:val="4"/>
              </w:rPr>
            </w:r>
          </w:p>
        </w:tc>
        <w:tc>
          <w:tcPr>
            <w:tcW w:w="14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r>
      <w:tr>
        <w:trPr/>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42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Eun (Angela) Nam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27, 2023</w:t>
            </w:r>
          </w:p>
        </w:tc>
      </w:tr>
      <w:tr>
        <w:trPr/>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Eun (Angela) Nam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 and Chief Accounting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20" w:after="283"/>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04"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10.11</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32740"/>
                <wp:effectExtent l="0" t="0" r="0" b="0"/>
                <wp:wrapNone/>
                <wp:docPr id="65" name="Frame64"/>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64</w:t>
                      </w:r>
                    </w:p>
                    <w:p>
                      <w:pPr>
                        <w:pStyle w:val="TextBody"/>
                        <w:spacing w:before="0" w:after="0"/>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AMENDMENT NO. 2 TO SECOND AMENDED &amp; RESTATED CREDIT AGREEMENT</w:t>
      </w:r>
    </w:p>
    <w:p>
      <w:pPr>
        <w:pStyle w:val="TextBody"/>
        <w:spacing w:lineRule="auto" w:line="304" w:before="0" w:after="360"/>
        <w:ind w:left="0" w:right="0" w:firstLine="720"/>
        <w:jc w:val="both"/>
        <w:rPr/>
      </w:pPr>
      <w:r>
        <w:rPr>
          <w:rFonts w:ascii="Times New Roman;sans-serif" w:hAnsi="Times New Roman;sans-serif"/>
          <w:b w:val="false"/>
          <w:color w:val="000000"/>
          <w:sz w:val="22"/>
        </w:rPr>
        <w:t>AMENDMENT NO. 2, dated as of April 10, 2023 (this “</w:t>
      </w:r>
      <w:r>
        <w:rPr>
          <w:rFonts w:ascii="Times New Roman;sans-serif" w:hAnsi="Times New Roman;sans-serif"/>
          <w:b w:val="false"/>
          <w:color w:val="000000"/>
          <w:sz w:val="22"/>
          <w:u w:val="single"/>
        </w:rPr>
        <w:t>Amendment</w:t>
      </w:r>
      <w:r>
        <w:rPr>
          <w:color w:val="000000"/>
        </w:rPr>
        <w:t>”</w:t>
      </w:r>
      <w:r>
        <w:rPr>
          <w:rFonts w:ascii="Times New Roman;sans-serif" w:hAnsi="Times New Roman;sans-serif"/>
          <w:b w:val="false"/>
          <w:color w:val="000000"/>
          <w:sz w:val="22"/>
        </w:rPr>
        <w:t>), to the SECOND AMENDED &amp; RESTATED CREDIT AGREEMENT, dated as of September 20, 2022 (as amended, restated, amended and restated, supplemented or otherwise modified from time to time prior to the date hereof, the “</w:t>
      </w:r>
      <w:r>
        <w:rPr>
          <w:rFonts w:ascii="Times New Roman;sans-serif" w:hAnsi="Times New Roman;sans-serif"/>
          <w:b w:val="false"/>
          <w:color w:val="000000"/>
          <w:sz w:val="22"/>
          <w:u w:val="single"/>
        </w:rPr>
        <w:t>Existing Credit Agreement</w:t>
      </w:r>
      <w:r>
        <w:rPr>
          <w:color w:val="000000"/>
        </w:rPr>
        <w:t xml:space="preserve">” </w:t>
      </w:r>
      <w:r>
        <w:rPr>
          <w:rFonts w:ascii="Times New Roman;sans-serif" w:hAnsi="Times New Roman;sans-serif"/>
          <w:b w:val="false"/>
          <w:color w:val="000000"/>
          <w:sz w:val="22"/>
        </w:rPr>
        <w:t>and, as amended by this Amendment, the “</w:t>
      </w:r>
      <w:r>
        <w:rPr>
          <w:rFonts w:ascii="Times New Roman;sans-serif" w:hAnsi="Times New Roman;sans-serif"/>
          <w:b w:val="false"/>
          <w:color w:val="000000"/>
          <w:sz w:val="22"/>
          <w:u w:val="single"/>
        </w:rPr>
        <w:t>Amended Credit Agreement</w:t>
      </w:r>
      <w:r>
        <w:rPr>
          <w:color w:val="000000"/>
        </w:rPr>
        <w:t>”</w:t>
      </w:r>
      <w:r>
        <w:rPr>
          <w:rFonts w:ascii="Times New Roman;sans-serif" w:hAnsi="Times New Roman;sans-serif"/>
          <w:b w:val="false"/>
          <w:color w:val="000000"/>
          <w:sz w:val="22"/>
        </w:rPr>
        <w:t>), by and among FORTRESS TRANSPORTATION AND INFRASTRUCTURE INVESTORS LLC, a Delaware limited liability company (the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the lenders from time to time party thereto (the “</w:t>
      </w:r>
      <w:r>
        <w:rPr>
          <w:rFonts w:ascii="Times New Roman;sans-serif" w:hAnsi="Times New Roman;sans-serif"/>
          <w:b w:val="false"/>
          <w:color w:val="000000"/>
          <w:sz w:val="22"/>
          <w:u w:val="single"/>
        </w:rPr>
        <w:t>Lenders</w:t>
      </w:r>
      <w:r>
        <w:rPr>
          <w:color w:val="000000"/>
        </w:rPr>
        <w:t>”</w:t>
      </w:r>
      <w:r>
        <w:rPr>
          <w:rFonts w:ascii="Times New Roman;sans-serif" w:hAnsi="Times New Roman;sans-serif"/>
          <w:b w:val="false"/>
          <w:color w:val="000000"/>
          <w:sz w:val="22"/>
        </w:rPr>
        <w:t>), the issuing banks from time to time party thereto and JPMorgan Chase Bank, N.A., as administrative agent (the “</w:t>
      </w:r>
      <w:r>
        <w:rPr>
          <w:rFonts w:ascii="Times New Roman;sans-serif" w:hAnsi="Times New Roman;sans-serif"/>
          <w:b w:val="false"/>
          <w:color w:val="000000"/>
          <w:sz w:val="22"/>
          <w:u w:val="single"/>
        </w:rPr>
        <w:t>Administrative Agent</w:t>
      </w:r>
      <w:r>
        <w:rPr>
          <w:color w:val="000000"/>
        </w:rPr>
        <w:t>”</w:t>
      </w:r>
      <w:r>
        <w:rPr>
          <w:rFonts w:ascii="Times New Roman;sans-serif" w:hAnsi="Times New Roman;sans-serif"/>
          <w:b w:val="false"/>
          <w:color w:val="000000"/>
          <w:sz w:val="22"/>
        </w:rPr>
        <w:t>).</w:t>
      </w:r>
    </w:p>
    <w:p>
      <w:pPr>
        <w:pStyle w:val="TextBody"/>
        <w:spacing w:lineRule="auto" w:line="304" w:before="0" w:after="360"/>
        <w:jc w:val="center"/>
        <w:rPr>
          <w:rFonts w:ascii="Times New Roman;sans-serif" w:hAnsi="Times New Roman;sans-serif"/>
          <w:b/>
          <w:color w:val="000000"/>
          <w:sz w:val="22"/>
        </w:rPr>
      </w:pPr>
      <w:r>
        <w:rPr>
          <w:rFonts w:ascii="Times New Roman;sans-serif" w:hAnsi="Times New Roman;sans-serif"/>
          <w:b/>
          <w:color w:val="000000"/>
          <w:sz w:val="22"/>
        </w:rPr>
        <w:t>RECITALS: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Borrower has requested that the Existing Credit Agreement be amended as set forth herein;</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WHEREAS, the Lenders party hereto are willing to so amend the Existing Credit Agreement on the terms and subject to the conditions set forth herein; </w:t>
      </w:r>
    </w:p>
    <w:p>
      <w:pPr>
        <w:pStyle w:val="TextBody"/>
        <w:spacing w:lineRule="auto" w:line="304"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mutual agreements herein contained and other good and valuable consideration, the sufficiency and receipt of which are hereby acknowledged, the parties hereto agree as follows:</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SECTION 1. </w:t>
      </w:r>
      <w:r>
        <w:rPr>
          <w:rFonts w:ascii="Times New Roman;sans-serif" w:hAnsi="Times New Roman;sans-serif"/>
          <w:b w:val="false"/>
          <w:color w:val="000000"/>
          <w:sz w:val="22"/>
          <w:u w:val="single"/>
        </w:rPr>
        <w:t>Defined Terms.</w:t>
      </w:r>
      <w:r>
        <w:rPr>
          <w:color w:val="000000"/>
        </w:rPr>
        <w:t xml:space="preserve"> </w:t>
      </w:r>
      <w:r>
        <w:rPr>
          <w:rFonts w:ascii="Times New Roman;sans-serif" w:hAnsi="Times New Roman;sans-serif"/>
          <w:b w:val="false"/>
          <w:color w:val="000000"/>
          <w:sz w:val="22"/>
        </w:rPr>
        <w:t xml:space="preserve">Capitalized terms used and not defined herein shall have the meanings assigned to such terms in the Existing Credit Agreement. The rules of interpretation set forth in Section 1.2 of the Existing Credit Agreement are hereby incorporated by reference herein,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SECTION 2. </w:t>
      </w:r>
      <w:r>
        <w:rPr>
          <w:rFonts w:ascii="Times New Roman;sans-serif" w:hAnsi="Times New Roman;sans-serif"/>
          <w:b w:val="false"/>
          <w:color w:val="000000"/>
          <w:sz w:val="22"/>
          <w:u w:val="single"/>
        </w:rPr>
        <w:t>Amendments to the Existing Credit Agreement</w:t>
      </w:r>
      <w:r>
        <w:rPr>
          <w:rFonts w:ascii="Times New Roman;sans-serif" w:hAnsi="Times New Roman;sans-serif"/>
          <w:b w:val="false"/>
          <w:color w:val="000000"/>
          <w:sz w:val="22"/>
        </w:rPr>
        <w:t xml:space="preserve">. Subject to the terms and conditions of this Amendment, including, without limitation, the conditions to effectiveness set forth in </w:t>
      </w:r>
      <w:r>
        <w:rPr>
          <w:rFonts w:ascii="Times New Roman;sans-serif" w:hAnsi="Times New Roman;sans-serif"/>
          <w:b w:val="false"/>
          <w:color w:val="000000"/>
          <w:sz w:val="22"/>
          <w:u w:val="single"/>
        </w:rPr>
        <w:t>Section 4</w:t>
      </w:r>
      <w:r>
        <w:rPr>
          <w:color w:val="000000"/>
        </w:rPr>
        <w:t xml:space="preserve"> </w:t>
      </w:r>
      <w:r>
        <w:rPr>
          <w:rFonts w:ascii="Times New Roman;sans-serif" w:hAnsi="Times New Roman;sans-serif"/>
          <w:b w:val="false"/>
          <w:color w:val="000000"/>
          <w:sz w:val="22"/>
        </w:rPr>
        <w:t>below, the Administrative Agent, the Lenders party hereto and the Borrower hereby agree as follows:</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(a)Section 1.1 of the Existing Credit Agreement, is hereby amended by adding the following new definitions, each in proper alphabetical order:</w:t>
      </w:r>
    </w:p>
    <w:p>
      <w:pPr>
        <w:pStyle w:val="TextBody"/>
        <w:spacing w:lineRule="auto" w:line="240" w:before="0" w:after="240"/>
        <w:jc w:val="both"/>
        <w:rPr/>
      </w:pPr>
      <w:r>
        <w:rPr>
          <w:color w:val="000000"/>
        </w:rPr>
        <w:t>“</w:t>
      </w:r>
      <w:r>
        <w:rPr>
          <w:rFonts w:ascii="Times New Roman;sans-serif" w:hAnsi="Times New Roman;sans-serif"/>
          <w:b w:val="false"/>
          <w:color w:val="000000"/>
          <w:sz w:val="22"/>
          <w:u w:val="single"/>
        </w:rPr>
        <w:t>Amendment No. 2</w:t>
      </w:r>
      <w:r>
        <w:rPr>
          <w:color w:val="000000"/>
        </w:rPr>
        <w:t>”</w:t>
      </w:r>
      <w:r>
        <w:rPr>
          <w:rFonts w:ascii="Times New Roman;sans-serif" w:hAnsi="Times New Roman;sans-serif"/>
          <w:b w:val="false"/>
          <w:color w:val="000000"/>
          <w:sz w:val="22"/>
        </w:rPr>
        <w:t>: Amendment No. 2 to Second Amended &amp; Restated Credit Agreement, dated as of the Amendment No. 2 Effective Date, by and among the Borrower, the Administrative Agent and the Lenders party thereto.</w:t>
      </w:r>
    </w:p>
    <w:p>
      <w:pPr>
        <w:pStyle w:val="TextBody"/>
        <w:spacing w:lineRule="auto" w:line="240" w:before="0" w:after="240"/>
        <w:jc w:val="both"/>
        <w:rPr/>
      </w:pPr>
      <w:r>
        <w:rPr>
          <w:color w:val="000000"/>
        </w:rPr>
        <w:t>“</w:t>
      </w:r>
      <w:r>
        <w:rPr>
          <w:rFonts w:ascii="Times New Roman;sans-serif" w:hAnsi="Times New Roman;sans-serif"/>
          <w:b w:val="false"/>
          <w:color w:val="000000"/>
          <w:sz w:val="22"/>
          <w:u w:val="single"/>
        </w:rPr>
        <w:t>Amendment No. 2 Effective Date</w:t>
      </w:r>
      <w:r>
        <w:rPr>
          <w:color w:val="000000"/>
        </w:rPr>
        <w:t>”</w:t>
      </w:r>
      <w:r>
        <w:rPr>
          <w:rFonts w:ascii="Times New Roman;sans-serif" w:hAnsi="Times New Roman;sans-serif"/>
          <w:b w:val="false"/>
          <w:color w:val="000000"/>
          <w:sz w:val="22"/>
        </w:rPr>
        <w:t>: April 10, 2023.</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(b)Section 1.1 of the Existing Credit Agreement, is hereby amended by amending and restating the following definition in its entirety as follows:</w:t>
      </w:r>
    </w:p>
    <w:p>
      <w:pPr>
        <w:pStyle w:val="TextBody"/>
        <w:spacing w:lineRule="auto" w:line="240" w:before="0" w:after="240"/>
        <w:jc w:val="both"/>
        <w:rPr/>
      </w:pPr>
      <w:r>
        <w:rPr>
          <w:color w:val="000000"/>
        </w:rPr>
        <w:t>“</w:t>
      </w:r>
      <w:r>
        <w:rPr>
          <w:rFonts w:ascii="Times New Roman;sans-serif" w:hAnsi="Times New Roman;sans-serif"/>
          <w:b w:val="false"/>
          <w:color w:val="000000"/>
          <w:sz w:val="22"/>
          <w:u w:val="single"/>
        </w:rPr>
        <w:t>Loan Documents</w:t>
      </w:r>
      <w:r>
        <w:rPr>
          <w:color w:val="000000"/>
        </w:rPr>
        <w:t>”</w:t>
      </w:r>
      <w:r>
        <w:rPr>
          <w:rFonts w:ascii="Times New Roman;sans-serif" w:hAnsi="Times New Roman;sans-serif"/>
          <w:b w:val="false"/>
          <w:color w:val="000000"/>
          <w:sz w:val="22"/>
        </w:rPr>
        <w:t xml:space="preserve">: this Agreement, the Security Documents, the Guarantee Agreements, the Loan Notes, any Incremental Amendment, Amendment No. 1 and Amendment No. 2.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0520"/>
                <wp:effectExtent l="0" t="0" r="0" b="0"/>
                <wp:wrapNone/>
                <wp:docPr id="66" name="Frame6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both"/>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p>
                      <w:pPr>
                        <w:pStyle w:val="TextBody"/>
                        <w:spacing w:before="0" w:after="0"/>
                        <w:rPr/>
                      </w:pPr>
                      <w:r>
                        <w:rPr/>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(c)Section 6.1 of the Existing Credit Agreement, is hereby amended by adding following sentence as a new paragraph at the end thereof:</w:t>
      </w:r>
    </w:p>
    <w:p>
      <w:pPr>
        <w:pStyle w:val="TextBody"/>
        <w:spacing w:lineRule="auto" w:line="240" w:before="0" w:after="240"/>
        <w:jc w:val="both"/>
        <w:rPr/>
      </w:pPr>
      <w:r>
        <w:rPr>
          <w:color w:val="000000"/>
        </w:rPr>
        <w:t>“</w:t>
      </w:r>
      <w:r>
        <w:rPr>
          <w:rFonts w:ascii="Times New Roman;sans-serif" w:hAnsi="Times New Roman;sans-serif"/>
          <w:b w:val="false"/>
          <w:color w:val="000000"/>
          <w:sz w:val="22"/>
        </w:rPr>
        <w:t xml:space="preserve">Notwithstanding anything to the contrary in this Section 6.1, from the Amendment No. 2 Effective Date until the date that the Borrower delivers a Compliance Certificate setting forth that the Borrower is in compliance with the covenants set forth in </w:t>
      </w:r>
      <w:r>
        <w:rPr>
          <w:rFonts w:ascii="Times New Roman;sans-serif" w:hAnsi="Times New Roman;sans-serif"/>
          <w:b w:val="false"/>
          <w:color w:val="000000"/>
          <w:sz w:val="22"/>
          <w:u w:val="single"/>
        </w:rPr>
        <w:t>Section 6.10</w:t>
      </w:r>
      <w:r>
        <w:rPr>
          <w:color w:val="000000"/>
        </w:rPr>
        <w:t xml:space="preserve"> </w:t>
      </w:r>
      <w:r>
        <w:rPr>
          <w:rFonts w:ascii="Times New Roman;sans-serif" w:hAnsi="Times New Roman;sans-serif"/>
          <w:b w:val="false"/>
          <w:color w:val="000000"/>
          <w:sz w:val="22"/>
        </w:rPr>
        <w:t xml:space="preserve">as of the last day of the Test Period ending December 31, 2023, the Borrower shall not, and shall not permit any of the Restricted Subsidiaries to, directly or indirectly make any Restricted Payment (other than (A) Restricted Payments made (x) pursuant to Section 6.1(b)(5), Section 6.1(b)(10) or Section 6.1(b)(19) or (y) by a Restricted Subsidiary to the Borrower or another Restricted Subsidiary to the extent such Restricted Payment would be otherwise permitted by Section 6.1 and (B) dividends and distributions made on account of the Borrower’s Class C preferred stock in a manner consistent with past practice to the extent such Restricted Payment would be otherwise permitted by Section 6.1) unless, at the time of such Restricted Payment and after giving </w:t>
      </w:r>
      <w:r>
        <w:rPr>
          <w:rFonts w:ascii="Times New Roman;sans-serif" w:hAnsi="Times New Roman;sans-serif"/>
          <w:b w:val="false"/>
          <w:i/>
          <w:color w:val="000000"/>
          <w:sz w:val="22"/>
        </w:rPr>
        <w:t>pro forma</w:t>
      </w:r>
      <w:r>
        <w:rPr>
          <w:color w:val="000000"/>
        </w:rPr>
        <w:t xml:space="preserve"> </w:t>
      </w:r>
      <w:r>
        <w:rPr>
          <w:rFonts w:ascii="Times New Roman;sans-serif" w:hAnsi="Times New Roman;sans-serif"/>
          <w:b w:val="false"/>
          <w:color w:val="000000"/>
          <w:sz w:val="22"/>
        </w:rPr>
        <w:t xml:space="preserve">effect to such Restricted Payment, the Debt to EBITDA Ratio would be less than or equal to 4.25 to 1.00 (it being understood that the foregoing shall not prohibit any Permitted Investment).”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(d)Section 5.14 of the Existing Credit Agreement is hereby amended and restated in its entirety as follows:</w:t>
      </w:r>
    </w:p>
    <w:p>
      <w:pPr>
        <w:pStyle w:val="TextBody"/>
        <w:spacing w:lineRule="auto" w:line="240" w:before="0" w:after="240"/>
        <w:jc w:val="both"/>
        <w:rPr/>
      </w:pPr>
      <w:r>
        <w:rPr>
          <w:color w:val="000000"/>
        </w:rPr>
        <w:t>“</w:t>
      </w:r>
      <w:r>
        <w:rPr>
          <w:rFonts w:ascii="Times New Roman;sans-serif" w:hAnsi="Times New Roman;sans-serif"/>
          <w:b w:val="false"/>
          <w:color w:val="000000"/>
          <w:sz w:val="22"/>
          <w:u w:val="single"/>
        </w:rPr>
        <w:t>Aircraft Mortgage and Security Agreement</w:t>
      </w:r>
      <w:r>
        <w:rPr>
          <w:rFonts w:ascii="Times New Roman;sans-serif" w:hAnsi="Times New Roman;sans-serif"/>
          <w:b w:val="false"/>
          <w:color w:val="000000"/>
          <w:sz w:val="22"/>
        </w:rPr>
        <w:t>. If at any time the Eligible Aviation Assets that are subject to an Aircraft Mortgage and Security Agreement as of the Closing Date (the “</w:t>
      </w:r>
      <w:r>
        <w:rPr>
          <w:rFonts w:ascii="Times New Roman;sans-serif" w:hAnsi="Times New Roman;sans-serif"/>
          <w:b w:val="false"/>
          <w:color w:val="000000"/>
          <w:sz w:val="22"/>
          <w:u w:val="single"/>
        </w:rPr>
        <w:t>Mortgaged Aviation Assets</w:t>
      </w:r>
      <w:r>
        <w:rPr>
          <w:color w:val="000000"/>
        </w:rPr>
        <w:t>”</w:t>
      </w:r>
      <w:r>
        <w:rPr>
          <w:rFonts w:ascii="Times New Roman;sans-serif" w:hAnsi="Times New Roman;sans-serif"/>
          <w:b w:val="false"/>
          <w:color w:val="000000"/>
          <w:sz w:val="22"/>
        </w:rPr>
        <w:t xml:space="preserve">) are Disposed of or otherwise cease to be Mortgaged Aviation Assets, then the Borrower shall within 10 Business Days either (i) prepay the Loans in an amount equal to the Appraised Value of the Mortgaged Aviation Assets so Disposed or (ii) execute and deliver an additional Aircraft Mortgage and Security Agreement (or amend or supplement an existing Aircraft Mortgage and Security Agreement) to add thereto additional Eligible Aviation Assets with an Appraised Value equal to or greater than such difference (it being understood and agreed that if the Borrower cannot produce a customary insurance certificate naming the Administrative Agent in its role as collateral agent or security trustee as additional insured and loss payee on the general and liability insurance of the lessee of the applicable Eligible Aviation Assets on such timeframe the Administrative Agent may extend such timeframe for such additional Aircraft Mortgage and Security Agreement for an additional 10 Business Days so the Borrower can find other Eligible Aviation Assets with respect to which such an insurance certificate can be provided and that if after such additional 10 Business Day timeframe the Borrower cannot find such other Eligible Aviation Assets the Administrative Agent may extend the timeframe for such additional Aircraft Mortgage and Security Agreement by an additional 10 Business Days and may elect to hire a third party security trustee reasonably acceptable to it to hold such Aircraft Mortgage and Security Agreement and any or all existing or future Aircraft Mortgage and Security Agreements all at the expense of the Borrower);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from the Amendment No. 2 Effective Date until the date that the Borrower delivers a Compliance Certificate setting forth that the Borrower is in compliance with the covenants set forth in </w:t>
      </w:r>
      <w:r>
        <w:rPr>
          <w:rFonts w:ascii="Times New Roman;sans-serif" w:hAnsi="Times New Roman;sans-serif"/>
          <w:b w:val="false"/>
          <w:color w:val="000000"/>
          <w:sz w:val="22"/>
          <w:u w:val="single"/>
        </w:rPr>
        <w:t>Section 6.10</w:t>
      </w:r>
      <w:r>
        <w:rPr>
          <w:color w:val="000000"/>
        </w:rPr>
        <w:t xml:space="preserve"> </w:t>
      </w:r>
      <w:r>
        <w:rPr>
          <w:rFonts w:ascii="Times New Roman;sans-serif" w:hAnsi="Times New Roman;sans-serif"/>
          <w:b w:val="false"/>
          <w:color w:val="000000"/>
          <w:sz w:val="22"/>
        </w:rPr>
        <w:t xml:space="preserve">as of the last day of the Test Period ending December 31, 2023, the Borrower may not prepay the Loans in accordance with clause (i) and must add additional Eligible Aviation Assets in accordance with clause (ii); </w:t>
      </w:r>
      <w:r>
        <w:rPr>
          <w:rFonts w:ascii="Times New Roman;sans-serif" w:hAnsi="Times New Roman;sans-serif"/>
          <w:b w:val="false"/>
          <w:i/>
          <w:color w:val="000000"/>
          <w:sz w:val="22"/>
        </w:rPr>
        <w:t>provided</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further</w:t>
      </w:r>
      <w:r>
        <w:rPr>
          <w:rFonts w:ascii="Times New Roman;sans-serif" w:hAnsi="Times New Roman;sans-serif"/>
          <w:b w:val="false"/>
          <w:color w:val="000000"/>
          <w:sz w:val="22"/>
        </w:rPr>
        <w:t>, that if any Mortgaged Aviation Assets were Disposed of or otherwise cease to be Mortgaged Aviation Assets prior to the Amendment No. 2 Effective Date, the Borrower must add additional Eligible Aviation Assets in accordance with clause (ii) with respect to such Mortgaged Aviation Assets.  On each twelve month anniversary of any Eligible Aviation Asset becoming a Mortgaged Aviation Asset, the Borrower shall provide an updated appraisal of the Appraised Value.”</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(e)Section 6.10(b) of the Existing Credit Agreement is hereby amended and restated in its entirety as follows (for the avoidance of doubt without affecting the operation of Section 6.10(b) of the Existing Credit Agreement with respect to periods prior to March 31, 2023):</w:t>
      </w:r>
      <w:r>
        <w:br w:type="page"/>
      </w:r>
    </w:p>
    <w:p>
      <w:pPr>
        <w:pStyle w:val="TextBody"/>
        <w:spacing w:before="0" w:after="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525780"/>
                <wp:effectExtent l="0" t="0" r="0" b="0"/>
                <wp:wrapNone/>
                <wp:docPr id="67" name="Frame66"/>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before="0" w:after="0"/>
                              <w:jc w:val="center"/>
                              <w:rPr/>
                            </w:pPr>
                            <w:r>
                              <w:rPr/>
                            </w:r>
                          </w:p>
                          <w:p>
                            <w:pPr>
                              <w:pStyle w:val="TextBody"/>
                              <w:spacing w:before="0" w:after="0"/>
                              <w:jc w:val="both"/>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both"/>
                        <w:rPr/>
                      </w:pPr>
                      <w:r>
                        <w:rPr/>
                      </w:r>
                    </w:p>
                    <w:p>
                      <w:pPr>
                        <w:pStyle w:val="TextBody"/>
                        <w:spacing w:before="0" w:after="0"/>
                        <w:rPr/>
                      </w:pPr>
                      <w:r>
                        <w:rPr/>
                      </w:r>
                    </w:p>
                  </w:txbxContent>
                </v:textbox>
              </v:rect>
            </w:pict>
          </mc:Fallback>
        </mc:AlternateContent>
      </w:r>
    </w:p>
    <w:p>
      <w:pPr>
        <w:pStyle w:val="TextBody"/>
        <w:spacing w:lineRule="auto" w:line="240" w:before="0" w:after="240"/>
        <w:jc w:val="both"/>
        <w:rPr/>
      </w:pPr>
      <w:r>
        <w:rPr>
          <w:color w:val="000000"/>
        </w:rPr>
        <w:t>“</w:t>
      </w:r>
      <w:r>
        <w:rPr>
          <w:rFonts w:ascii="Times New Roman;sans-serif" w:hAnsi="Times New Roman;sans-serif"/>
          <w:b w:val="false"/>
          <w:color w:val="000000"/>
          <w:sz w:val="22"/>
        </w:rPr>
        <w:t>(b)    </w:t>
      </w:r>
      <w:r>
        <w:rPr>
          <w:rFonts w:ascii="Times New Roman;sans-serif" w:hAnsi="Times New Roman;sans-serif"/>
          <w:b w:val="false"/>
          <w:color w:val="000000"/>
          <w:sz w:val="22"/>
          <w:u w:val="single"/>
        </w:rPr>
        <w:t>Debt to EBITDA</w:t>
      </w:r>
      <w:r>
        <w:rPr>
          <w:rFonts w:ascii="Times New Roman;sans-serif" w:hAnsi="Times New Roman;sans-serif"/>
          <w:b w:val="false"/>
          <w:color w:val="000000"/>
          <w:sz w:val="22"/>
        </w:rPr>
        <w:t>. The Borrower shall not permit the Debt to EBITDA Ratio for the Borrower and the Restricted Subsidiaries as of the last day of each of the Test Periods ending September 30, 2022, and December 31, 2022, to be greater than 5.00 to 1.00; as of the last day of each of the Test Periods ending March 31, 2023, June 30, 2023, and September 30, 2023, to be greater than 4.50 to 1.00; and as of the last day of any Test Period thereafter to be greater than 4.00 to 1.00. For the avoidance of doubt this covenant shall not be tested for the Test Period ended June 30, 2022.”</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SECTION 3. </w:t>
      </w:r>
      <w:r>
        <w:rPr>
          <w:rFonts w:ascii="Times New Roman;sans-serif" w:hAnsi="Times New Roman;sans-serif"/>
          <w:b w:val="false"/>
          <w:color w:val="000000"/>
          <w:sz w:val="22"/>
          <w:u w:val="single"/>
        </w:rPr>
        <w:t>Representations and Warranties.</w:t>
      </w:r>
      <w:r>
        <w:rPr>
          <w:color w:val="000000"/>
        </w:rPr>
        <w:t xml:space="preserve"> </w:t>
      </w:r>
      <w:r>
        <w:rPr>
          <w:rFonts w:ascii="Times New Roman;sans-serif" w:hAnsi="Times New Roman;sans-serif"/>
          <w:b w:val="false"/>
          <w:color w:val="000000"/>
          <w:sz w:val="22"/>
        </w:rPr>
        <w:t>To induce the other parties hereto to enter into this Agreement, the Borrower hereby represents and warrants to the Administrative Agent and each of the other parties hereto that: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(a)The Borrower has the requisite corporate or other organizational power and authority to make, deliver and perform this Amendment. The Borrower has taken all necessary corporate or other organizational action to authorize the execution, delivery and performance of this Amendment. This Amendment has been duly executed and delivered by the Borrower and constitutes a legal, valid and binding obligation of the Borrower, enforceable against the Borrower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(b)As of the Amendment No. 2 Effective Date, (i) the representations and warranties set forth in the Amended Credit Agreement and in the other Loan Documents are true and correct in all material respects, except to the extent such representations and warranties specifically relate to an earlier date, in which case such representations and warranties were true and correct in all material respects on and as of such earlier date;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in each case, such materiality qualifier is not applicable to any representations and warranties that already are qualified or modified by materiality in the text thereof and (ii) no Default or Event of Default has occurred and is continuing.</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SECTION 4. </w:t>
      </w:r>
      <w:r>
        <w:rPr>
          <w:rFonts w:ascii="Times New Roman;sans-serif" w:hAnsi="Times New Roman;sans-serif"/>
          <w:b w:val="false"/>
          <w:color w:val="000000"/>
          <w:sz w:val="22"/>
          <w:u w:val="single"/>
        </w:rPr>
        <w:t>Conditions to Effectiveness.</w:t>
      </w:r>
      <w:r>
        <w:rPr>
          <w:color w:val="000000"/>
        </w:rPr>
        <w:t xml:space="preserve"> </w:t>
      </w:r>
      <w:r>
        <w:rPr>
          <w:rFonts w:ascii="Times New Roman;sans-serif" w:hAnsi="Times New Roman;sans-serif"/>
          <w:b w:val="false"/>
          <w:color w:val="000000"/>
          <w:sz w:val="22"/>
        </w:rPr>
        <w:t>The effectiveness of this Amendment is subject to the satisfaction or waiver of the following conditions precedent (the date on which all such conditions are satisfied or waived, the “</w:t>
      </w:r>
      <w:r>
        <w:rPr>
          <w:rFonts w:ascii="Times New Roman;sans-serif" w:hAnsi="Times New Roman;sans-serif"/>
          <w:b w:val="false"/>
          <w:color w:val="000000"/>
          <w:sz w:val="22"/>
          <w:u w:val="single"/>
        </w:rPr>
        <w:t>Amendment No. 2 Effective Date</w:t>
      </w:r>
      <w:r>
        <w:rPr>
          <w:color w:val="000000"/>
        </w:rPr>
        <w:t>”</w:t>
      </w:r>
      <w:r>
        <w:rPr>
          <w:rFonts w:ascii="Times New Roman;sans-serif" w:hAnsi="Times New Roman;sans-serif"/>
          <w:b w:val="false"/>
          <w:color w:val="000000"/>
          <w:sz w:val="22"/>
        </w:rPr>
        <w: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(a)The Administrative Agent shall have received from the Borrower and the Required Lenders either (i) a counterpart of this Amendment signed on behalf of such parties or (ii) written evidence satisfactory to the Administrative Agent (which may include facsimile or other electronic transmission of a signed signature page of this Amendment) that such parties have signed a counterpart of this Amendment.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(b)Prior to and after giving effect to this Amendment, no Default or Event of Default shall exist.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(c)The Borrower shall have paid to the Administrative Agent all reasonable and documented out-of-pocket costs and expenses of the Administrative Agent incurred in connection with this Amendment, any other documents prepared in connection herewith and the transactions contemplated hereby and any fees then due and payable to the Administrative Agent.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(d)The Borrower shall have paid to the Administrative Agent, for the account of each Lender that has delivered a counterpart to this Amendment prior to the Amendment No. 2 Effective Date, a consent fee equal to 0.125% of the aggregate principal amount of the Commitments held by such Lender immediately prior to the Amendment No. 2 Effective Date.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Administrative Agent shall notify the Borrower and the Lenders of the Amendment No. 2 Effective Date, and such notice shall be conclusive and binding.</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SECTION 5. </w:t>
      </w:r>
      <w:r>
        <w:rPr>
          <w:rFonts w:ascii="Times New Roman;sans-serif" w:hAnsi="Times New Roman;sans-serif"/>
          <w:b w:val="false"/>
          <w:color w:val="000000"/>
          <w:sz w:val="22"/>
          <w:u w:val="single"/>
        </w:rPr>
        <w:t>Consent and Reaffirmation; Liens Unimpaired.</w:t>
      </w:r>
      <w:r>
        <w:rPr>
          <w:color w:val="000000"/>
        </w:rPr>
        <w:t xml:space="preserv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25780"/>
                <wp:effectExtent l="0" t="0" r="0" b="0"/>
                <wp:wrapNone/>
                <wp:docPr id="68" name="Frame67"/>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before="0" w:after="0"/>
                              <w:jc w:val="center"/>
                              <w:rPr/>
                            </w:pPr>
                            <w:r>
                              <w:rPr/>
                            </w:r>
                          </w:p>
                          <w:p>
                            <w:pPr>
                              <w:pStyle w:val="TextBody"/>
                              <w:spacing w:before="0" w:after="0"/>
                              <w:jc w:val="both"/>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both"/>
                        <w:rPr/>
                      </w:pPr>
                      <w:r>
                        <w:rPr/>
                      </w:r>
                    </w:p>
                    <w:p>
                      <w:pPr>
                        <w:pStyle w:val="TextBody"/>
                        <w:spacing w:before="0" w:after="0"/>
                        <w:rPr/>
                      </w:pPr>
                      <w:r>
                        <w:rPr/>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(a)The Borrower hereby (i) consents to this Amendment and the transactions contemplated hereby and (ii) agrees that, notwithstanding the effectiveness of this Amendment, its Obligations under each of the Loan Documents to which it is a party continues to be in full force and effect. The parties hereto expressly acknowledge that it is not their intention that this Amendment or any of the other Loan Documents executed or delivered pursuant hereto constitute a novation of any of the obligations, covenants or agreements contained in the Amended Credit Agreement or any other Loan Document, but a modification thereof pursuant to the terms contained herein.</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(b)The Borrower, on behalf of itself and the other Loan Parties, confirms that, after giving effect to this Amendment, neither the modification of the Existing Credit Agreement effected pursuant to this Amendment nor the execution, delivery, performance or effectiveness of this Amendment:</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(i)impairs the validity, effectiveness or priority of the Liens granted pursuant to any Loan Document, and such Liens continue unimpaired with the same priority to secure repayment of all Obligations, whether heretofore or hereafter incurred; or</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(ii)requires that any new filings be made or other action taken to perfect or to maintain the perfection of such Liens.</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SECTION 6. </w:t>
      </w:r>
      <w:r>
        <w:rPr>
          <w:rFonts w:ascii="Times New Roman;sans-serif" w:hAnsi="Times New Roman;sans-serif"/>
          <w:b w:val="false"/>
          <w:color w:val="000000"/>
          <w:sz w:val="22"/>
          <w:u w:val="single"/>
        </w:rPr>
        <w:t>Loan Documents.</w:t>
      </w:r>
      <w:r>
        <w:rPr>
          <w:color w:val="000000"/>
        </w:rPr>
        <w:t xml:space="preserve"> </w:t>
      </w:r>
      <w:r>
        <w:rPr>
          <w:rFonts w:ascii="Times New Roman;sans-serif" w:hAnsi="Times New Roman;sans-serif"/>
          <w:b w:val="false"/>
          <w:color w:val="000000"/>
          <w:sz w:val="22"/>
        </w:rPr>
        <w:t>This Amendment shall constitute a “Loan Document” for all purposes of the Credit Agreement and the other Loan Documents.</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SECTION 7. </w:t>
      </w:r>
      <w:r>
        <w:rPr>
          <w:rFonts w:ascii="Times New Roman;sans-serif" w:hAnsi="Times New Roman;sans-serif"/>
          <w:b w:val="false"/>
          <w:color w:val="000000"/>
          <w:sz w:val="22"/>
          <w:u w:val="single"/>
        </w:rPr>
        <w:t>Counterparts.</w:t>
      </w:r>
      <w:r>
        <w:rPr>
          <w:color w:val="000000"/>
        </w:rPr>
        <w:t xml:space="preserve"> </w:t>
      </w:r>
      <w:r>
        <w:rPr>
          <w:rFonts w:ascii="Times New Roman;sans-serif" w:hAnsi="Times New Roman;sans-serif"/>
          <w:b w:val="false"/>
          <w:color w:val="000000"/>
          <w:sz w:val="22"/>
        </w:rPr>
        <w:t xml:space="preserve">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facsimile or other electronic transmission shall be as effective as delivery of an original executed counterpart of this Amendment. The words “execution,” “signed,” “signature,” “delivery,” and words of like import in or relating to any document to be signed in connection with this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nothing herein shall require the Administrative Agent to accept electronic signatures in any form or format without its prior written consent.</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SECTION 8. </w:t>
      </w:r>
      <w:r>
        <w:rPr>
          <w:rFonts w:ascii="Times New Roman;sans-serif" w:hAnsi="Times New Roman;sans-serif"/>
          <w:b w:val="false"/>
          <w:color w:val="000000"/>
          <w:sz w:val="22"/>
          <w:u w:val="single"/>
        </w:rPr>
        <w:t>Governing Law.</w:t>
      </w:r>
      <w:r>
        <w:rPr>
          <w:color w:val="000000"/>
        </w:rPr>
        <w:t xml:space="preserve"> </w:t>
      </w:r>
      <w:r>
        <w:rPr>
          <w:rFonts w:ascii="Times New Roman;sans-serif" w:hAnsi="Times New Roman;sans-serif"/>
          <w:b w:val="false"/>
          <w:color w:val="000000"/>
          <w:sz w:val="22"/>
        </w:rPr>
        <w:t>THIS AMENDMENT AND THE RIGHTS AND OBLIGATIONS OF THE PARTIES UNDER THIS AMENDMENT SHALL BE GOVERNED BY, AND CONSTRUED AND INTERPRETED IN ACCORDANCE WITH, THE LAW OF THE STATE OF NEW YORK.</w:t>
      </w:r>
    </w:p>
    <w:p>
      <w:pPr>
        <w:pStyle w:val="TextBody"/>
        <w:spacing w:lineRule="auto" w:line="240" w:before="0" w:after="240"/>
        <w:ind w:left="0" w:right="0" w:firstLine="720"/>
        <w:jc w:val="both"/>
        <w:rPr/>
      </w:pPr>
      <w:r>
        <w:rPr>
          <w:rFonts w:ascii="Times New Roman;sans-serif" w:hAnsi="Times New Roman;sans-serif"/>
          <w:b w:val="false"/>
          <w:color w:val="000000"/>
          <w:sz w:val="22"/>
        </w:rPr>
        <w:t xml:space="preserve">SECTION 9. </w:t>
      </w:r>
      <w:r>
        <w:rPr>
          <w:rFonts w:ascii="Times New Roman;sans-serif" w:hAnsi="Times New Roman;sans-serif"/>
          <w:b w:val="false"/>
          <w:color w:val="000000"/>
          <w:sz w:val="22"/>
          <w:u w:val="single"/>
        </w:rPr>
        <w:t>Headings.</w:t>
      </w:r>
      <w:r>
        <w:rPr>
          <w:color w:val="000000"/>
        </w:rPr>
        <w:t xml:space="preserve"> </w:t>
      </w:r>
      <w:r>
        <w:rPr>
          <w:rFonts w:ascii="Times New Roman;sans-serif" w:hAnsi="Times New Roman;sans-serif"/>
          <w:b w:val="false"/>
          <w:color w:val="000000"/>
          <w:sz w:val="22"/>
        </w:rPr>
        <w:t>Section headings used herein are for convenience of reference only, are not part of this Amendment and shall not affect the construction of, or be taken into consideration in interpreting, this Amendment.</w:t>
      </w:r>
    </w:p>
    <w:p>
      <w:pPr>
        <w:pStyle w:val="TextBody"/>
        <w:spacing w:lineRule="auto" w:line="240" w:before="0" w:after="240"/>
        <w:jc w:val="center"/>
        <w:rPr>
          <w:rFonts w:ascii="Times New Roman;sans-serif" w:hAnsi="Times New Roman;sans-serif"/>
          <w:b w:val="false"/>
          <w:i/>
          <w:color w:val="000000"/>
          <w:sz w:val="22"/>
        </w:rPr>
      </w:pPr>
      <w:r>
        <w:rPr>
          <w:rFonts w:ascii="Times New Roman;sans-serif" w:hAnsi="Times New Roman;sans-serif"/>
          <w:b w:val="false"/>
          <w:i/>
          <w:color w:val="000000"/>
          <w:sz w:val="22"/>
        </w:rPr>
        <w:t>[Remainder of page intentionally left blank]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25780"/>
                <wp:effectExtent l="0" t="0" r="0" b="0"/>
                <wp:wrapNone/>
                <wp:docPr id="69" name="Frame68"/>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before="0" w:after="0"/>
                              <w:jc w:val="center"/>
                              <w:rPr/>
                            </w:pPr>
                            <w:r>
                              <w:rPr/>
                            </w:r>
                          </w:p>
                          <w:p>
                            <w:pPr>
                              <w:pStyle w:val="TextBody"/>
                              <w:spacing w:before="0" w:after="0"/>
                              <w:jc w:val="both"/>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p>
                      <w:pPr>
                        <w:pStyle w:val="TextBody"/>
                        <w:spacing w:before="0" w:after="0"/>
                        <w:jc w:val="both"/>
                        <w:rPr/>
                      </w:pPr>
                      <w:r>
                        <w:rPr/>
                      </w:r>
                    </w:p>
                    <w:p>
                      <w:pPr>
                        <w:pStyle w:val="TextBody"/>
                        <w:spacing w:before="0" w:after="0"/>
                        <w:rPr/>
                      </w:pPr>
                      <w:r>
                        <w:rPr/>
                      </w:r>
                    </w:p>
                  </w:txbxContent>
                </v:textbox>
              </v:rect>
            </w:pict>
          </mc:Fallback>
        </mc:AlternateContent>
      </w:r>
    </w:p>
    <w:p>
      <w:pPr>
        <w:pStyle w:val="TextBody"/>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this Amendment to be duly executed by their respective authorized officers or representatives as of the day and year first above written.</w:t>
      </w:r>
    </w:p>
    <w:tbl>
      <w:tblPr>
        <w:tblW w:w="7813" w:type="dxa"/>
        <w:jc w:val="left"/>
        <w:tblInd w:w="0" w:type="dxa"/>
        <w:tblCellMar>
          <w:top w:w="28" w:type="dxa"/>
          <w:left w:w="28" w:type="dxa"/>
          <w:bottom w:w="28" w:type="dxa"/>
          <w:right w:w="28" w:type="dxa"/>
        </w:tblCellMar>
      </w:tblPr>
      <w:tblGrid>
        <w:gridCol w:w="1354"/>
        <w:gridCol w:w="1192"/>
        <w:gridCol w:w="1192"/>
        <w:gridCol w:w="1192"/>
        <w:gridCol w:w="1192"/>
        <w:gridCol w:w="1691"/>
      </w:tblGrid>
      <w:tr>
        <w:trPr/>
        <w:tc>
          <w:tcPr>
            <w:tcW w:w="1354"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1691" w:type="dxa"/>
            <w:tcBorders/>
            <w:shd w:fill="auto" w:val="clear"/>
            <w:vAlign w:val="center"/>
          </w:tcPr>
          <w:p>
            <w:pPr>
              <w:pStyle w:val="TableContents"/>
              <w:spacing w:before="0" w:after="283"/>
              <w:rPr>
                <w:sz w:val="4"/>
                <w:szCs w:val="4"/>
              </w:rPr>
            </w:pPr>
            <w:r>
              <w:rPr>
                <w:sz w:val="4"/>
                <w:szCs w:val="4"/>
              </w:rPr>
            </w:r>
          </w:p>
        </w:tc>
      </w:tr>
      <w:tr>
        <w:trPr/>
        <w:tc>
          <w:tcPr>
            <w:tcW w:w="7813" w:type="dxa"/>
            <w:gridSpan w:val="6"/>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FORTRESS TRANSPORTATION AND INFRASTRUCTURE INVESTORS LLC, </w:t>
            </w:r>
          </w:p>
          <w:p>
            <w:pPr>
              <w:pStyle w:val="TableContents"/>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the Borrower</w:t>
            </w:r>
          </w:p>
        </w:tc>
      </w:tr>
      <w:tr>
        <w:trPr/>
        <w:tc>
          <w:tcPr>
            <w:tcW w:w="373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07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 Joseph P. Adams Jr.</w:t>
            </w:r>
          </w:p>
        </w:tc>
      </w:tr>
      <w:tr>
        <w:trPr/>
        <w:tc>
          <w:tcPr>
            <w:tcW w:w="37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7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Joseph P. Adams, Jr.</w:t>
            </w:r>
          </w:p>
        </w:tc>
      </w:tr>
      <w:tr>
        <w:trPr/>
        <w:tc>
          <w:tcPr>
            <w:tcW w:w="37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7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tc>
      </w:tr>
    </w:tbl>
    <w:p>
      <w:pPr>
        <w:pStyle w:val="TextBody"/>
        <w:jc w:val="both"/>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jc w:val="both"/>
        <w:rPr/>
      </w:pPr>
      <w:r>
        <w:rPr/>
      </w:r>
    </w:p>
    <w:tbl>
      <w:tblPr>
        <w:tblW w:w="4859" w:type="dxa"/>
        <w:jc w:val="left"/>
        <w:tblInd w:w="0" w:type="dxa"/>
        <w:tblCellMar>
          <w:top w:w="28" w:type="dxa"/>
          <w:left w:w="28" w:type="dxa"/>
          <w:bottom w:w="28" w:type="dxa"/>
          <w:right w:w="28" w:type="dxa"/>
        </w:tblCellMar>
      </w:tblPr>
      <w:tblGrid>
        <w:gridCol w:w="450"/>
        <w:gridCol w:w="393"/>
        <w:gridCol w:w="393"/>
        <w:gridCol w:w="393"/>
        <w:gridCol w:w="393"/>
        <w:gridCol w:w="393"/>
        <w:gridCol w:w="706"/>
        <w:gridCol w:w="706"/>
        <w:gridCol w:w="1032"/>
      </w:tblGrid>
      <w:tr>
        <w:trPr/>
        <w:tc>
          <w:tcPr>
            <w:tcW w:w="450"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r>
      <w:tr>
        <w:trPr/>
        <w:tc>
          <w:tcPr>
            <w:tcW w:w="4859"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w:t>
            </w:r>
          </w:p>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as Administrative Agent and a Lender </w:t>
            </w:r>
          </w:p>
        </w:tc>
      </w:tr>
      <w:tr>
        <w:trPr/>
        <w:tc>
          <w:tcPr>
            <w:tcW w:w="12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62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 Cristina Caviness</w:t>
            </w:r>
          </w:p>
        </w:tc>
      </w:tr>
      <w:tr>
        <w:trPr/>
        <w:tc>
          <w:tcPr>
            <w:tcW w:w="241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Cristina Caviness</w:t>
            </w:r>
          </w:p>
        </w:tc>
      </w:tr>
      <w:tr>
        <w:trPr/>
        <w:tc>
          <w:tcPr>
            <w:tcW w:w="241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 Executive Director</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jc w:val="both"/>
        <w:rPr/>
      </w:pPr>
      <w:r>
        <w:rPr/>
      </w:r>
    </w:p>
    <w:tbl>
      <w:tblPr>
        <w:tblW w:w="4654" w:type="dxa"/>
        <w:jc w:val="left"/>
        <w:tblInd w:w="0" w:type="dxa"/>
        <w:tblCellMar>
          <w:top w:w="28" w:type="dxa"/>
          <w:left w:w="28" w:type="dxa"/>
          <w:bottom w:w="28" w:type="dxa"/>
          <w:right w:w="28" w:type="dxa"/>
        </w:tblCellMar>
      </w:tblPr>
      <w:tblGrid>
        <w:gridCol w:w="384"/>
        <w:gridCol w:w="337"/>
        <w:gridCol w:w="337"/>
        <w:gridCol w:w="339"/>
        <w:gridCol w:w="339"/>
        <w:gridCol w:w="339"/>
        <w:gridCol w:w="755"/>
        <w:gridCol w:w="755"/>
        <w:gridCol w:w="1069"/>
      </w:tblGrid>
      <w:tr>
        <w:trPr/>
        <w:tc>
          <w:tcPr>
            <w:tcW w:w="384"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r>
      <w:tr>
        <w:trPr/>
        <w:tc>
          <w:tcPr>
            <w:tcW w:w="4654"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Barclays Bank PLC,</w:t>
            </w:r>
          </w:p>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a Lender and an Issuing Bank</w:t>
            </w:r>
          </w:p>
        </w:tc>
      </w:tr>
      <w:tr>
        <w:trPr/>
        <w:tc>
          <w:tcPr>
            <w:tcW w:w="105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596"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 Charlene Saldanha</w:t>
            </w:r>
          </w:p>
        </w:tc>
      </w:tr>
      <w:tr>
        <w:trPr/>
        <w:tc>
          <w:tcPr>
            <w:tcW w:w="207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Charlene Saldanha</w:t>
            </w:r>
          </w:p>
        </w:tc>
      </w:tr>
      <w:tr>
        <w:trPr/>
        <w:tc>
          <w:tcPr>
            <w:tcW w:w="207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txbxContent>
                </v:textbox>
              </v:rect>
            </w:pict>
          </mc:Fallback>
        </mc:AlternateContent>
      </w:r>
    </w:p>
    <w:tbl>
      <w:tblPr>
        <w:tblW w:w="5361" w:type="dxa"/>
        <w:jc w:val="left"/>
        <w:tblInd w:w="0" w:type="dxa"/>
        <w:tblCellMar>
          <w:top w:w="28" w:type="dxa"/>
          <w:left w:w="28" w:type="dxa"/>
          <w:bottom w:w="28" w:type="dxa"/>
          <w:right w:w="28" w:type="dxa"/>
        </w:tblCellMar>
      </w:tblPr>
      <w:tblGrid>
        <w:gridCol w:w="862"/>
        <w:gridCol w:w="756"/>
        <w:gridCol w:w="756"/>
        <w:gridCol w:w="756"/>
        <w:gridCol w:w="756"/>
        <w:gridCol w:w="776"/>
        <w:gridCol w:w="109"/>
        <w:gridCol w:w="109"/>
        <w:gridCol w:w="109"/>
        <w:gridCol w:w="109"/>
        <w:gridCol w:w="109"/>
        <w:gridCol w:w="154"/>
      </w:tblGrid>
      <w:tr>
        <w:trPr/>
        <w:tc>
          <w:tcPr>
            <w:tcW w:w="862"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62"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MORGAN STANLEY SENIOR FUNDING INC.</w:t>
            </w:r>
          </w:p>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as a Lender </w:t>
            </w:r>
          </w:p>
        </w:tc>
        <w:tc>
          <w:tcPr>
            <w:tcW w:w="69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987" w:type="dxa"/>
            <w:gridSpan w:val="9"/>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 Jack Kuhns</w:t>
            </w:r>
          </w:p>
        </w:tc>
      </w:tr>
      <w:tr>
        <w:trPr/>
        <w:tc>
          <w:tcPr>
            <w:tcW w:w="2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5" w:type="dxa"/>
            <w:gridSpan w:val="6"/>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Jack Kuhns</w:t>
            </w:r>
          </w:p>
        </w:tc>
        <w:tc>
          <w:tcPr>
            <w:tcW w:w="372"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5"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txbxContent>
                </v:textbox>
              </v:rect>
            </w:pict>
          </mc:Fallback>
        </mc:AlternateContent>
      </w:r>
    </w:p>
    <w:tbl>
      <w:tblPr>
        <w:tblW w:w="4288" w:type="dxa"/>
        <w:jc w:val="left"/>
        <w:tblInd w:w="0" w:type="dxa"/>
        <w:tblCellMar>
          <w:top w:w="28" w:type="dxa"/>
          <w:left w:w="28" w:type="dxa"/>
          <w:bottom w:w="28" w:type="dxa"/>
          <w:right w:w="28" w:type="dxa"/>
        </w:tblCellMar>
      </w:tblPr>
      <w:tblGrid>
        <w:gridCol w:w="440"/>
        <w:gridCol w:w="388"/>
        <w:gridCol w:w="388"/>
        <w:gridCol w:w="691"/>
        <w:gridCol w:w="691"/>
        <w:gridCol w:w="694"/>
        <w:gridCol w:w="192"/>
        <w:gridCol w:w="192"/>
        <w:gridCol w:w="192"/>
        <w:gridCol w:w="123"/>
        <w:gridCol w:w="123"/>
        <w:gridCol w:w="174"/>
      </w:tblGrid>
      <w:tr>
        <w:trPr/>
        <w:tc>
          <w:tcPr>
            <w:tcW w:w="440"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3292"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CITIZENS BANK, N.A.</w:t>
            </w:r>
          </w:p>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as a Lender </w:t>
            </w:r>
          </w:p>
        </w:tc>
        <w:tc>
          <w:tcPr>
            <w:tcW w:w="99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072" w:type="dxa"/>
            <w:gridSpan w:val="9"/>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 Douglas Kennedy</w:t>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2" w:type="dxa"/>
            <w:gridSpan w:val="6"/>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Douglass Kennedy</w:t>
            </w:r>
          </w:p>
        </w:tc>
        <w:tc>
          <w:tcPr>
            <w:tcW w:w="42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2"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w:t>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EXHIBIT 31.1</w:t>
      </w:r>
    </w:p>
    <w:p>
      <w:pPr>
        <w:pStyle w:val="TextBody"/>
        <w:spacing w:lineRule="auto" w:line="288" w:before="0" w:after="0"/>
        <w:jc w:val="center"/>
        <w:rPr>
          <w:color w:val="000000"/>
        </w:rPr>
      </w:pPr>
      <w:r>
        <w:rPr>
          <w:color w:val="000000"/>
        </w:rPr>
        <w:t> </w:t>
      </w:r>
    </w:p>
    <w:p>
      <w:pPr>
        <w:pStyle w:val="TextBody"/>
        <w:spacing w:lineRule="auto" w:line="417" w:before="0" w:after="0"/>
        <w:jc w:val="center"/>
        <w:rPr>
          <w:rFonts w:ascii="Arial;sans-serif" w:hAnsi="Arial;sans-serif"/>
          <w:b/>
          <w:color w:val="000000"/>
          <w:sz w:val="18"/>
        </w:rPr>
      </w:pPr>
      <w:r>
        <w:rPr>
          <w:rFonts w:ascii="Arial;sans-serif" w:hAnsi="Arial;sans-serif"/>
          <w:b/>
          <w:color w:val="000000"/>
          <w:sz w:val="18"/>
        </w:rPr>
        <w:t>SECTION 302 CERTIFICATION OF CHIEF EXECUTIVE OFFICER</w:t>
      </w:r>
    </w:p>
    <w:p>
      <w:pPr>
        <w:pStyle w:val="TextBody"/>
        <w:spacing w:lineRule="auto" w:line="288" w:before="0" w:after="0"/>
        <w:jc w:val="center"/>
        <w:rPr>
          <w:color w:val="000000"/>
        </w:rPr>
      </w:pPr>
      <w:r>
        <w:rPr>
          <w:color w:val="000000"/>
        </w:rPr>
        <w:t> </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 Joseph P. Adams. Jr., certify that:</w:t>
      </w:r>
    </w:p>
    <w:p>
      <w:pPr>
        <w:pStyle w:val="TextBody"/>
        <w:spacing w:lineRule="auto" w:line="288" w:before="0" w:after="0"/>
        <w:rPr>
          <w:color w:val="000000"/>
        </w:rPr>
      </w:pPr>
      <w:r>
        <w:rPr>
          <w:color w:val="000000"/>
        </w:rPr>
        <w:t> </w:t>
      </w:r>
    </w:p>
    <w:p>
      <w:pPr>
        <w:pStyle w:val="TextBody"/>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FTAI Aviation Ltd. (the “registrant”);</w:t>
      </w:r>
    </w:p>
    <w:p>
      <w:pPr>
        <w:pStyle w:val="TextBody"/>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spacing w:before="0" w:after="180"/>
        <w:ind w:left="0" w:right="0" w:firstLine="720"/>
        <w:rPr/>
      </w:pPr>
      <w:r>
        <w:rPr/>
      </w:r>
    </w:p>
    <w:p>
      <w:pPr>
        <w:pStyle w:val="TextBody"/>
        <w:spacing w:before="0" w:after="0"/>
        <w:jc w:val="center"/>
        <w:rPr/>
      </w:pPr>
      <w:r>
        <w:rPr/>
      </w:r>
    </w:p>
    <w:tbl>
      <w:tblPr>
        <w:tblW w:w="3672" w:type="dxa"/>
        <w:jc w:val="center"/>
        <w:tblInd w:w="0" w:type="dxa"/>
        <w:tblCellMar>
          <w:top w:w="28" w:type="dxa"/>
          <w:left w:w="28" w:type="dxa"/>
          <w:bottom w:w="28" w:type="dxa"/>
          <w:right w:w="28" w:type="dxa"/>
        </w:tblCellMar>
      </w:tblPr>
      <w:tblGrid>
        <w:gridCol w:w="455"/>
        <w:gridCol w:w="401"/>
        <w:gridCol w:w="404"/>
        <w:gridCol w:w="109"/>
        <w:gridCol w:w="109"/>
        <w:gridCol w:w="109"/>
        <w:gridCol w:w="610"/>
        <w:gridCol w:w="610"/>
        <w:gridCol w:w="865"/>
      </w:tblGrid>
      <w:tr>
        <w:trPr/>
        <w:tc>
          <w:tcPr>
            <w:tcW w:w="455"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27,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Joseph P. Adams, Jr.</w:t>
            </w:r>
          </w:p>
        </w:tc>
      </w:tr>
      <w:tr>
        <w:trPr/>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Joseph P. Adams, Jr.</w:t>
            </w:r>
          </w:p>
        </w:tc>
      </w:tr>
      <w:tr>
        <w:trPr/>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EXHIBIT 31.2</w:t>
      </w:r>
    </w:p>
    <w:p>
      <w:pPr>
        <w:pStyle w:val="TextBody"/>
        <w:spacing w:lineRule="auto" w:line="288" w:before="0" w:after="0"/>
        <w:jc w:val="center"/>
        <w:rPr>
          <w:color w:val="000000"/>
        </w:rPr>
      </w:pPr>
      <w:r>
        <w:rPr>
          <w:color w:val="000000"/>
        </w:rPr>
        <w:t> </w:t>
      </w:r>
    </w:p>
    <w:p>
      <w:pPr>
        <w:pStyle w:val="TextBody"/>
        <w:spacing w:lineRule="auto" w:line="417" w:before="0" w:after="0"/>
        <w:jc w:val="center"/>
        <w:rPr>
          <w:rFonts w:ascii="Arial;sans-serif" w:hAnsi="Arial;sans-serif"/>
          <w:b/>
          <w:color w:val="000000"/>
          <w:sz w:val="18"/>
        </w:rPr>
      </w:pPr>
      <w:r>
        <w:rPr>
          <w:rFonts w:ascii="Arial;sans-serif" w:hAnsi="Arial;sans-serif"/>
          <w:b/>
          <w:color w:val="000000"/>
          <w:sz w:val="18"/>
        </w:rPr>
        <w:t>SECTION 302 CERTIFICATION OF CHIEF FINANCIAL OFFICER</w:t>
      </w:r>
    </w:p>
    <w:p>
      <w:pPr>
        <w:pStyle w:val="TextBody"/>
        <w:spacing w:before="0" w:after="0"/>
        <w:jc w:val="center"/>
        <w:rPr/>
      </w:pPr>
      <w:r>
        <w:rPr/>
      </w:r>
    </w:p>
    <w:p>
      <w:pPr>
        <w:pStyle w:val="TextBody"/>
        <w:spacing w:lineRule="auto" w:line="288" w:before="0" w:after="0"/>
        <w:jc w:val="both"/>
        <w:rPr>
          <w:rFonts w:ascii="Arial;sans-serif" w:hAnsi="Arial;sans-serif"/>
          <w:b w:val="false"/>
          <w:color w:val="000000"/>
          <w:sz w:val="18"/>
        </w:rPr>
      </w:pPr>
      <w:r>
        <w:rPr>
          <w:rFonts w:ascii="Arial;sans-serif" w:hAnsi="Arial;sans-serif"/>
          <w:b w:val="false"/>
          <w:color w:val="000000"/>
          <w:sz w:val="18"/>
        </w:rPr>
        <w:t>I, Eun (Angela) Nam, certify that:</w:t>
      </w:r>
    </w:p>
    <w:p>
      <w:pPr>
        <w:pStyle w:val="TextBody"/>
        <w:spacing w:lineRule="auto" w:line="288" w:before="0" w:after="0"/>
        <w:jc w:val="both"/>
        <w:rPr>
          <w:color w:val="000000"/>
        </w:rPr>
      </w:pPr>
      <w:r>
        <w:rPr>
          <w:color w:val="000000"/>
        </w:rPr>
        <w:t> </w:t>
      </w:r>
    </w:p>
    <w:p>
      <w:pPr>
        <w:pStyle w:val="TextBody"/>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FTAI Aviation Ltd. (the “registrant”);</w:t>
      </w:r>
    </w:p>
    <w:p>
      <w:pPr>
        <w:pStyle w:val="TextBody"/>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80"/>
        <w:ind w:left="0" w:right="0" w:hanging="630"/>
        <w:jc w:val="both"/>
        <w:rPr>
          <w:rFonts w:ascii="Arial;sans-serif" w:hAnsi="Arial;sans-serif"/>
          <w:b w:val="false"/>
          <w:color w:val="000000"/>
          <w:sz w:val="18"/>
        </w:rPr>
      </w:pPr>
      <w:r>
        <w:rPr>
          <w:rFonts w:ascii="Arial;sans-serif" w:hAnsi="Arial;sans-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spacing w:before="0" w:after="180"/>
        <w:ind w:left="0" w:right="0" w:firstLine="720"/>
        <w:rPr/>
      </w:pPr>
      <w:r>
        <w:rPr/>
      </w:r>
    </w:p>
    <w:p>
      <w:pPr>
        <w:pStyle w:val="TextBody"/>
        <w:spacing w:before="0" w:after="180"/>
        <w:rPr/>
      </w:pPr>
      <w:r>
        <w:rPr/>
      </w:r>
    </w:p>
    <w:p>
      <w:pPr>
        <w:pStyle w:val="TextBody"/>
        <w:spacing w:lineRule="auto" w:line="288" w:before="0" w:after="0"/>
        <w:rPr>
          <w:color w:val="000000"/>
        </w:rPr>
      </w:pPr>
      <w:r>
        <w:rPr>
          <w:color w:val="000000"/>
        </w:rPr>
        <w:t> </w:t>
      </w:r>
    </w:p>
    <w:tbl>
      <w:tblPr>
        <w:tblW w:w="3942" w:type="dxa"/>
        <w:jc w:val="center"/>
        <w:tblInd w:w="0" w:type="dxa"/>
        <w:tblCellMar>
          <w:top w:w="28" w:type="dxa"/>
          <w:left w:w="28" w:type="dxa"/>
          <w:bottom w:w="28" w:type="dxa"/>
          <w:right w:w="28" w:type="dxa"/>
        </w:tblCellMar>
      </w:tblPr>
      <w:tblGrid>
        <w:gridCol w:w="455"/>
        <w:gridCol w:w="401"/>
        <w:gridCol w:w="404"/>
        <w:gridCol w:w="109"/>
        <w:gridCol w:w="109"/>
        <w:gridCol w:w="109"/>
        <w:gridCol w:w="688"/>
        <w:gridCol w:w="688"/>
        <w:gridCol w:w="979"/>
      </w:tblGrid>
      <w:tr>
        <w:trPr/>
        <w:tc>
          <w:tcPr>
            <w:tcW w:w="455"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27,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Eun (Angela) Nam</w:t>
            </w:r>
          </w:p>
        </w:tc>
      </w:tr>
      <w:tr>
        <w:trPr/>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Eun (Angela) Nam</w:t>
            </w:r>
          </w:p>
        </w:tc>
      </w:tr>
      <w:tr>
        <w:trPr/>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Chief Financial Officer and </w:t>
              <w:br/>
              <w:t>Chief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EXHIBIT 32.1</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CERTIFICATION OF CHIEF EXECUTIVE OFFICER PURSUANT TO</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18 U.S.C. SECTION 1350,</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AS ADOPTED PURSUANT TO</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spacing w:lineRule="auto" w:line="288" w:before="0" w:after="0"/>
        <w:jc w:val="both"/>
        <w:rPr>
          <w:color w:val="000000"/>
        </w:rPr>
      </w:pPr>
      <w:r>
        <w:rPr>
          <w:color w:val="000000"/>
        </w:rPr>
        <w:t> </w:t>
      </w:r>
    </w:p>
    <w:p>
      <w:pPr>
        <w:pStyle w:val="TextBody"/>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In connection with the Quarterly Report on Form 10-Q of FTAI Aviation Ltd. (the “Company”) for the quarterly period ended March 31, 2023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pStyle w:val="TextBody"/>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(1)    The Report fully complies with the requirements of Section 13(a) or 15(d) of the Securities Exchange Act of 1934; and</w:t>
      </w:r>
    </w:p>
    <w:p>
      <w:pPr>
        <w:pStyle w:val="TextBody"/>
        <w:spacing w:lineRule="auto" w:line="288" w:before="180" w:after="283"/>
        <w:ind w:left="0" w:right="0" w:hanging="720"/>
        <w:jc w:val="both"/>
        <w:rPr>
          <w:rFonts w:ascii="Arial;sans-serif" w:hAnsi="Arial;sans-serif"/>
          <w:b w:val="false"/>
          <w:color w:val="000000"/>
          <w:sz w:val="18"/>
        </w:rPr>
      </w:pPr>
      <w:r>
        <w:rPr>
          <w:rFonts w:ascii="Arial;sans-serif" w:hAnsi="Arial;sans-serif"/>
          <w:b w:val="false"/>
          <w:color w:val="000000"/>
          <w:sz w:val="18"/>
        </w:rPr>
        <w:t>(2)    The information contained in the Report fairly presents, in all material respects, the financial condition and results of operations of the Company.</w:t>
      </w:r>
    </w:p>
    <w:tbl>
      <w:tblPr>
        <w:tblW w:w="2427" w:type="dxa"/>
        <w:jc w:val="left"/>
        <w:tblInd w:w="0" w:type="dxa"/>
        <w:tblCellMar>
          <w:top w:w="28" w:type="dxa"/>
          <w:left w:w="28" w:type="dxa"/>
          <w:bottom w:w="28" w:type="dxa"/>
          <w:right w:w="28" w:type="dxa"/>
        </w:tblCellMar>
      </w:tblPr>
      <w:tblGrid>
        <w:gridCol w:w="743"/>
        <w:gridCol w:w="653"/>
        <w:gridCol w:w="659"/>
        <w:gridCol w:w="109"/>
        <w:gridCol w:w="109"/>
        <w:gridCol w:w="154"/>
      </w:tblGrid>
      <w:tr>
        <w:trPr/>
        <w:tc>
          <w:tcPr>
            <w:tcW w:w="74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Joseph P. Adams, Jr.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0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Joseph P. Adams, Jr.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27, 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80" w:after="283"/>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EXHIBIT 32.2</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CERTIFICATION OF CHIEF FINANCIAL OFFICER PURSUANT TO</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18 U.S.C. SECTION 1350,</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AS ADOPTED PURSUANT TO</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spacing w:lineRule="auto" w:line="288" w:before="0" w:after="0"/>
        <w:jc w:val="center"/>
        <w:rPr>
          <w:color w:val="000000"/>
        </w:rPr>
      </w:pPr>
      <w:r>
        <w:rPr>
          <w:color w:val="000000"/>
        </w:rPr>
        <w:t> </w:t>
      </w:r>
    </w:p>
    <w:p>
      <w:pPr>
        <w:pStyle w:val="TextBody"/>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In connection with the Quarterly Report on Form 10-Q of FTAI Aviation Ltd. (the “Company”) for the quarterly period ended March 31, 2023 as filed with the Securities and Exchange Commission on the date hereof (the “Report”), Eun (Angela) Nam, as Chief Financial Officer of the Company, hereby certifies, pursuant to 18 U.S.C. Section 1350, as adopted pursuant to Section 906 of the Sarbanes-Oxley Act of 2002, that, to the best of her knowledge:</w:t>
      </w:r>
    </w:p>
    <w:p>
      <w:pPr>
        <w:pStyle w:val="TextBody"/>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(1)    The Report fully complies with the requirements of Section 13(a) or 15(d) of the Securities Exchange Act of 1934; and</w:t>
      </w:r>
    </w:p>
    <w:p>
      <w:pPr>
        <w:pStyle w:val="TextBody"/>
        <w:spacing w:lineRule="auto" w:line="288" w:before="180" w:after="283"/>
        <w:ind w:left="0" w:right="0" w:hanging="720"/>
        <w:jc w:val="both"/>
        <w:rPr>
          <w:rFonts w:ascii="Arial;sans-serif" w:hAnsi="Arial;sans-serif"/>
          <w:b w:val="false"/>
          <w:color w:val="000000"/>
          <w:sz w:val="18"/>
        </w:rPr>
      </w:pPr>
      <w:r>
        <w:rPr>
          <w:rFonts w:ascii="Arial;sans-serif" w:hAnsi="Arial;sans-serif"/>
          <w:b w:val="false"/>
          <w:color w:val="000000"/>
          <w:sz w:val="18"/>
        </w:rPr>
        <w:t>(2)    The information contained in the Report fairly presents, in all material respects, the financial condition and results of operations of the Company.</w:t>
      </w:r>
    </w:p>
    <w:tbl>
      <w:tblPr>
        <w:tblW w:w="4662" w:type="dxa"/>
        <w:jc w:val="left"/>
        <w:tblInd w:w="0" w:type="dxa"/>
        <w:tblCellMar>
          <w:top w:w="28" w:type="dxa"/>
          <w:left w:w="28" w:type="dxa"/>
          <w:bottom w:w="28" w:type="dxa"/>
          <w:right w:w="28" w:type="dxa"/>
        </w:tblCellMar>
      </w:tblPr>
      <w:tblGrid>
        <w:gridCol w:w="1553"/>
        <w:gridCol w:w="1366"/>
        <w:gridCol w:w="1371"/>
        <w:gridCol w:w="109"/>
        <w:gridCol w:w="109"/>
        <w:gridCol w:w="154"/>
      </w:tblGrid>
      <w:tr>
        <w:trPr/>
        <w:tc>
          <w:tcPr>
            <w:tcW w:w="1553"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rPr>
                <w:sz w:val="4"/>
                <w:szCs w:val="4"/>
              </w:rPr>
            </w:pPr>
            <w:r>
              <w:rPr>
                <w:sz w:val="4"/>
                <w:szCs w:val="4"/>
              </w:rPr>
            </w:r>
          </w:p>
        </w:tc>
        <w:tc>
          <w:tcPr>
            <w:tcW w:w="1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Eun (Angela) Nam</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4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Eun (Angela) Nam</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4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 and Chief Accounting Officer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4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27, 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br w:type="page"/>
      </w: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90364/000114036122027698/brhc10040167_ex2-1.htm" TargetMode="External"/><Relationship Id="rId4" Type="http://schemas.openxmlformats.org/officeDocument/2006/relationships/hyperlink" Target="https://www.sec.gov/Archives/edgar/data/1590364/000114036122041421/brhc10044020_ex3-1.htm" TargetMode="External"/><Relationship Id="rId5" Type="http://schemas.openxmlformats.org/officeDocument/2006/relationships/hyperlink" Target="https://www.sec.gov/Archives/edgar/data/1590364/000114036122041421/brhc10044020_ex3-1.htm" TargetMode="External"/><Relationship Id="rId6" Type="http://schemas.openxmlformats.org/officeDocument/2006/relationships/hyperlink" Target="https://www.sec.gov/Archives/edgar/data/1590364/000114036122041421/brhc10044020_ex3-1.htm" TargetMode="External"/><Relationship Id="rId7" Type="http://schemas.openxmlformats.org/officeDocument/2006/relationships/hyperlink" Target="https://www.sec.gov/Archives/edgar/data/1590364/000114036122041421/brhc10044020_ex3-1.htm" TargetMode="External"/><Relationship Id="rId8" Type="http://schemas.openxmlformats.org/officeDocument/2006/relationships/hyperlink" Target="https://www.sec.gov/Archives/edgar/data/1590364/000114036122041421/brhc10044020_ex3-1.htm" TargetMode="External"/><Relationship Id="rId9" Type="http://schemas.openxmlformats.org/officeDocument/2006/relationships/hyperlink" Target="https://www.sec.gov/Archives/edgar/data/1590364/000114036122041421/brhc10044020_ex3-1.htm" TargetMode="External"/><Relationship Id="rId10" Type="http://schemas.openxmlformats.org/officeDocument/2006/relationships/hyperlink" Target="https://www.sec.gov/Archives/edgar/data/1590364/000114036122041421/brhc10044020_ex3-1.htm" TargetMode="External"/><Relationship Id="rId11" Type="http://schemas.openxmlformats.org/officeDocument/2006/relationships/hyperlink" Target="https://www.sec.gov/Archives/edgar/data/1590364/000114036118038650/ex4_1.htm" TargetMode="External"/><Relationship Id="rId12" Type="http://schemas.openxmlformats.org/officeDocument/2006/relationships/hyperlink" Target="https://www.sec.gov/Archives/edgar/data/1590364/000114036118038650/ex4_1.htm" TargetMode="External"/><Relationship Id="rId13" Type="http://schemas.openxmlformats.org/officeDocument/2006/relationships/hyperlink" Target="https://www.sec.gov/Archives/edgar/data/1590364/000114036119009546/nc10001919x3_ex4-1.htm" TargetMode="External"/><Relationship Id="rId14" Type="http://schemas.openxmlformats.org/officeDocument/2006/relationships/hyperlink" Target="https://www.sec.gov/Archives/edgar/data/1590364/000114036120029408/brhc10018302_ex4-1.htm" TargetMode="External"/><Relationship Id="rId15" Type="http://schemas.openxmlformats.org/officeDocument/2006/relationships/hyperlink" Target="https://www.sec.gov/Archives/edgar/data/0001590364/000114036122041407/brhc10044100_ex4-1.htm" TargetMode="External"/><Relationship Id="rId16" Type="http://schemas.openxmlformats.org/officeDocument/2006/relationships/hyperlink" Target="http://www.sec.gov/Archives/edgar/data/1590364/000114036121012434/nt10022837x5_ex4-1.htm" TargetMode="External"/><Relationship Id="rId17" Type="http://schemas.openxmlformats.org/officeDocument/2006/relationships/hyperlink" Target="http://www.sec.gov/Archives/edgar/data/1590364/000114036121012434/nt10022837x5_ex4-1.htm" TargetMode="External"/><Relationship Id="rId18" Type="http://schemas.openxmlformats.org/officeDocument/2006/relationships/hyperlink" Target="http://www.sec.gov/Archives/edgar/data/1590364/000114036121032467/ny20000775x4_ex4-1.htm" TargetMode="External"/><Relationship Id="rId19" Type="http://schemas.openxmlformats.org/officeDocument/2006/relationships/hyperlink" Target="https://www.sec.gov/Archives/edgar/data/0001590364/000114036122041407/brhc10044100_ex4-3.htm" TargetMode="External"/><Relationship Id="rId20" Type="http://schemas.openxmlformats.org/officeDocument/2006/relationships/hyperlink" Target="https://www.sec.gov/Archives/edgar/data/1590364/000114036120016865/nt1003669x5_ex4-1.htm" TargetMode="External"/><Relationship Id="rId21" Type="http://schemas.openxmlformats.org/officeDocument/2006/relationships/hyperlink" Target="https://www.sec.gov/Archives/edgar/data/1590364/000114036120016865/nt1003669x5_ex4-1.htm" TargetMode="External"/><Relationship Id="rId22" Type="http://schemas.openxmlformats.org/officeDocument/2006/relationships/hyperlink" Target="https://www.sec.gov/Archives/edgar/data/0001590364/000114036122041407/brhc10044100_ex4-2.htm" TargetMode="External"/><Relationship Id="rId23" Type="http://schemas.openxmlformats.org/officeDocument/2006/relationships/hyperlink" Target="https://www.sec.gov/Archives/edgar/data/0001590364/000114036122041407/brhc10044100_ex4-4.htm" TargetMode="External"/><Relationship Id="rId24" Type="http://schemas.openxmlformats.org/officeDocument/2006/relationships/hyperlink" Target="https://www.sec.gov/Archives/edgar/data/1590364/000159036423000007/ftaiaviation12312022ex414.htm" TargetMode="External"/><Relationship Id="rId25" Type="http://schemas.openxmlformats.org/officeDocument/2006/relationships/hyperlink" Target="https://www.sec.gov/Archives/edgar/data/1590364/000114036122027698/brhc10040167_ex10-1.htm" TargetMode="External"/><Relationship Id="rId26" Type="http://schemas.openxmlformats.org/officeDocument/2006/relationships/hyperlink" Target="https://www.sec.gov/Archives/edgar/data/1590364/000114036122041421/brhc10044020_ex10-1.htm" TargetMode="External"/><Relationship Id="rId27" Type="http://schemas.openxmlformats.org/officeDocument/2006/relationships/hyperlink" Target="https://www.sec.gov/Archives/edgar/data/1590364/000114036122041421/brhc10044020_ex10-2.htm" TargetMode="External"/><Relationship Id="rId28" Type="http://schemas.openxmlformats.org/officeDocument/2006/relationships/hyperlink" Target="https://www.sec.gov/Archives/edgar/data/1590364/000159036423000007/ftaiaviation12312022ex104.htm" TargetMode="External"/><Relationship Id="rId29" Type="http://schemas.openxmlformats.org/officeDocument/2006/relationships/hyperlink" Target="https://www.sec.gov/Archives/edgar/data/1942420/000114036122029494/ny20005018x1_ex10-5.htm" TargetMode="External"/><Relationship Id="rId30" Type="http://schemas.openxmlformats.org/officeDocument/2006/relationships/hyperlink" Target="https://www.sec.gov/Archives/edgar/data/1942420/000114036122029494/ny20005018x1_ex10-6.htm" TargetMode="External"/><Relationship Id="rId31" Type="http://schemas.openxmlformats.org/officeDocument/2006/relationships/hyperlink" Target="https://www.sec.gov/Archives/edgar/data/1942420/000114036122029494/ny20005018x1_ex10-7.htm" TargetMode="External"/><Relationship Id="rId32" Type="http://schemas.openxmlformats.org/officeDocument/2006/relationships/hyperlink" Target="https://www.sec.gov/ix?doc=/Archives/edgar/data/0001590364/000114036122027698/brhc10040167_8k.htm" TargetMode="External"/><Relationship Id="rId33" Type="http://schemas.openxmlformats.org/officeDocument/2006/relationships/hyperlink" Target="https://www.sec.gov/Archives/edgar/data/1590364/000114036122034108/brhc10042070_ex10-1.htm" TargetMode="External"/><Relationship Id="rId34" Type="http://schemas.openxmlformats.org/officeDocument/2006/relationships/hyperlink" Target="https://www.sec.gov/Archives/edgar/data/1590364/000159036423000007/ftaiaviation12312022ex1010.htm"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20</Pages>
  <Words>41337</Words>
  <CharactersWithSpaces>269237</CharactersWithSpaces>
  <Paragraphs>3344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