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FTAI Aviation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394" w:right="339" w:bottom="1440" w:gutter="0" w:footer="0" w:header="0"/>
        </w:sectPr>
      </w:pPr>
    </w:p>
    <w:p>
      <w:pPr>
        <w:spacing w:after="0" w:line="22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Cayman Islands</w:t>
      </w:r>
    </w:p>
    <w:p>
      <w:pPr>
        <w:spacing w:after="0" w:line="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001-37386</w:t>
      </w:r>
    </w:p>
    <w:p>
      <w:pPr>
        <w:spacing w:after="0" w:line="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98-1420784</w:t>
      </w:r>
    </w:p>
    <w:p>
      <w:pPr>
        <w:spacing w:after="0" w:line="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8" w:lineRule="exact"/>
        <w:rPr>
          <w:sz w:val="24"/>
          <w:szCs w:val="24"/>
          <w:color w:val="auto"/>
        </w:rPr>
      </w:pPr>
    </w:p>
    <w:p>
      <w:pPr>
        <w:sectPr>
          <w:pgSz w:w="11900" w:h="16838" w:orient="portrait"/>
          <w:cols w:equalWidth="0" w:num="3">
            <w:col w:w="4080" w:space="720"/>
            <w:col w:w="2820" w:space="720"/>
            <w:col w:w="2900"/>
          </w:cols>
          <w:pgMar w:left="320" w:top="394" w:right="33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8"/>
          <w:szCs w:val="18"/>
          <w:b w:val="1"/>
          <w:bCs w:val="1"/>
          <w:color w:val="auto"/>
        </w:rPr>
        <w:t>405 West 13th Street, 3rd Floor, New York, New York 10014</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(332) 239-7600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0" w:hanging="37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6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7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16"/>
        </w:trPr>
        <w:tc>
          <w:tcPr>
            <w:tcW w:w="7320" w:type="dxa"/>
            <w:vAlign w:val="bottom"/>
          </w:tcPr>
          <w:p>
            <w:pPr>
              <w:spacing w:after="0"/>
              <w:rPr>
                <w:sz w:val="18"/>
                <w:szCs w:val="18"/>
                <w:color w:val="auto"/>
              </w:rPr>
            </w:pPr>
          </w:p>
        </w:tc>
        <w:tc>
          <w:tcPr>
            <w:tcW w:w="15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Trading</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which</w:t>
            </w:r>
          </w:p>
        </w:tc>
      </w:tr>
      <w:tr>
        <w:trPr>
          <w:trHeight w:val="241"/>
        </w:trPr>
        <w:tc>
          <w:tcPr>
            <w:tcW w:w="732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Title of each class:</w:t>
            </w:r>
          </w:p>
        </w:tc>
        <w:tc>
          <w:tcPr>
            <w:tcW w:w="15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Symbol(s):</w:t>
            </w:r>
          </w:p>
        </w:tc>
        <w:tc>
          <w:tcPr>
            <w:tcW w:w="23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registered:</w:t>
            </w:r>
          </w:p>
        </w:tc>
      </w:tr>
      <w:tr>
        <w:trPr>
          <w:trHeight w:val="198"/>
        </w:trPr>
        <w:tc>
          <w:tcPr>
            <w:tcW w:w="732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Ordinary shares, $0.01 par value per share</w:t>
            </w:r>
          </w:p>
        </w:tc>
        <w:tc>
          <w:tcPr>
            <w:tcW w:w="1560" w:type="dxa"/>
            <w:vAlign w:val="bottom"/>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4"/>
              </w:rPr>
              <w:t>FTAI</w:t>
            </w:r>
          </w:p>
        </w:tc>
        <w:tc>
          <w:tcPr>
            <w:tcW w:w="236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The Nasdaq Global Select</w:t>
            </w:r>
          </w:p>
        </w:tc>
      </w:tr>
      <w:tr>
        <w:trPr>
          <w:trHeight w:val="216"/>
        </w:trPr>
        <w:tc>
          <w:tcPr>
            <w:tcW w:w="7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Market</w:t>
            </w:r>
          </w:p>
        </w:tc>
      </w:tr>
      <w:tr>
        <w:trPr>
          <w:trHeight w:val="216"/>
        </w:trPr>
        <w:tc>
          <w:tcPr>
            <w:tcW w:w="73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9.50% Fixed-Rate Reset Series D Cumulative Perpetual Redeemable Preferred Shares</w:t>
            </w:r>
          </w:p>
        </w:tc>
        <w:tc>
          <w:tcPr>
            <w:tcW w:w="1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6"/>
              </w:rPr>
              <w:t>FTAIM</w:t>
            </w: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Global Select</w:t>
            </w:r>
          </w:p>
        </w:tc>
      </w:tr>
      <w:tr>
        <w:trPr>
          <w:trHeight w:val="234"/>
        </w:trPr>
        <w:tc>
          <w:tcPr>
            <w:tcW w:w="7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3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tabs>
          <w:tab w:leader="none" w:pos="103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 2026, FTAI Aviation Ltd. (“FTAI Aviation” and, together with its consolidated subsidiaries, the “Company,” “we,” “us” or “our”) announced that FTAI Aviation Investors LLC, its subsidiary (the “FTAI LLC” or the “Issuer”), priced its previously announced private offering (the “Private Offering”) of $1.0 billion aggregate principal amount of 7.125% senior notes due 2034 (the “Notes”). The Notes will bear interest at 7.125% per annum and will be issued at an issue price equal to 100% of principal, plus accrued interest, if any, from November 6, 2026. The Notes will be fully and unconditionally guaranteed on a senior unsecured basis by FTAI Aviation and by each of the Issuer’s subsidiaries that guarantees the Issuer’s Fourth Amended and Restated Credit Agreement, dated as of April 24, 2026 (as amended, the “Revolving Credit Facility”) and existing senior notes on the date of issuance of the Notes.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intends to use a portion of the net proceeds from the Private Offering to (i) repay in full all amounts outstanding under the Revolving Credit Facility (incurred to fund FTAI Aviation’s accelerated share repurchase program) without a reduction in commitments, (ii) redeem $500.0 million in aggregate principal amount of the Issuer’s 5.50% Senior Notes due 2028 (the “2028 Notes”) and (iii) pay fees and expenses related to the foregoing transactions.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Notes were offered in the United States to persons reasonably believed to be qualified institutional buyers under Rule 144A under the Securities Act of 1933, as amended (the “Securities Act”), and to persons outside of the United States under Regulation S under the Securities Act. The Notes will not be registered under the Securities Act or any state securities laws, and, unless so registered, may not be offered or sold in the United States absent registration or an applicable exemption from registration requirements.</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filed pursuant to Item 8.01 does not constitute a notice of redemption with respect to the 2028 Notes or an offer to sell or a solicitation of an offer to buy the securities described herein, nor shall there be any sale of these securities in any state or other jurisdiction in which such an offer, solicitation or sale would be unlawful prior to registration or qualification under the securities laws of any such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Language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statements regarding the consummation of the Private Offering or the Issuer’s anticipated use of the net proceeds from the Private Offering. Forward-looking statements are not statements of historical fact but instead are based on our present beliefs and assumptions and on information currently available to us.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communication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including, but not limited to, the risk factors set forth in Item 1A. “Risk Factors” of our Annual Report on Form 10-K for the year ended December 31, 2025 and our Quarterly Report on Form 10-Q for the quarterly period ended September 30, 2026, as updated by annual, quarterly and other reports we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FTAI AVIATION LTD.</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McAleese</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Nicholas McAleese</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2026-11-02T15:32:32Z</dcterms:created>
  <dcterms:modified xsi:type="dcterms:W3CDTF">2026-11-02T15:32:32Z</dcterms:modified>
</cp:coreProperties>
</file>