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21" w:lineRule="exact"/>
        <w:rPr>
          <w:sz w:val="24"/>
          <w:szCs w:val="24"/>
          <w:color w:val="auto"/>
        </w:rPr>
      </w:pPr>
    </w:p>
    <w:p>
      <w:pPr>
        <w:ind w:left="1920" w:hanging="187"/>
        <w:spacing w:after="0"/>
        <w:tabs>
          <w:tab w:leader="none" w:pos="19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2016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left="4300" w:right="1700" w:hanging="2595"/>
        <w:spacing w:after="0" w:line="684" w:lineRule="auto"/>
        <w:tabs>
          <w:tab w:leader="none" w:pos="18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5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54610</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w w:val="93"/>
              </w:rPr>
              <w:t>Delaware</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51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89"/>
              </w:rPr>
              <w:t>1345 Avenue of the Americas,</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10105</w:t>
            </w:r>
          </w:p>
        </w:tc>
      </w:tr>
      <w:tr>
        <w:trPr>
          <w:trHeight w:val="210"/>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6"/>
              </w:rPr>
              <w:t>New York, NY</w:t>
            </w:r>
          </w:p>
        </w:tc>
        <w:tc>
          <w:tcPr>
            <w:tcW w:w="5240" w:type="dxa"/>
            <w:vAlign w:val="bottom"/>
          </w:tcPr>
          <w:p>
            <w:pPr>
              <w:spacing w:after="0"/>
              <w:rPr>
                <w:sz w:val="18"/>
                <w:szCs w:val="18"/>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4"/>
          <w:szCs w:val="24"/>
          <w:color w:val="auto"/>
        </w:rPr>
      </w:pPr>
    </w:p>
    <w:p>
      <w:pPr>
        <w:ind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210"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7220" w:space="720"/>
            <w:col w:w="3480"/>
          </w:cols>
          <w:pgMar w:left="240" w:top="234" w:right="239" w:bottom="1440" w:gutter="0" w:footer="0" w:header="0"/>
          <w:type w:val="continuous"/>
        </w:sectPr>
      </w:pPr>
    </w:p>
    <w:p>
      <w:pPr>
        <w:spacing w:after="0" w:line="30"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4"/>
          <w:szCs w:val="24"/>
          <w:color w:val="auto"/>
        </w:rPr>
      </w:pPr>
    </w:p>
    <w:p>
      <w:pPr>
        <w:sectPr>
          <w:pgSz w:w="11900" w:h="16838" w:orient="portrait"/>
          <w:cols w:equalWidth="0" w:num="3">
            <w:col w:w="3440" w:space="80"/>
            <w:col w:w="3340" w:space="720"/>
            <w:col w:w="3840"/>
          </w:cols>
          <w:pgMar w:left="240" w:top="234" w:right="239" w:bottom="1440" w:gutter="0" w:footer="0" w:header="0"/>
          <w:type w:val="continuous"/>
        </w:sectPr>
      </w:pPr>
    </w:p>
    <w:p>
      <w:pPr>
        <w:spacing w:after="0" w:line="28" w:lineRule="exact"/>
        <w:rPr>
          <w:sz w:val="24"/>
          <w:szCs w:val="24"/>
          <w:color w:val="auto"/>
        </w:rPr>
      </w:pPr>
    </w:p>
    <w:p>
      <w:pPr>
        <w:ind w:right="31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There were 75,750,943 common shares representing limited liability company interests outstanding at August 4, 2016.</w:t>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0000EE"/>
            </w:tcBorders>
            <w:gridSpan w:val="10"/>
          </w:tcPr>
          <w:p>
            <w:pPr>
              <w:jc w:val="center"/>
              <w:spacing w:after="0"/>
              <w:rPr>
                <w:rFonts w:ascii="Arial" w:cs="Arial" w:eastAsia="Arial" w:hAnsi="Arial"/>
                <w:sz w:val="16"/>
                <w:szCs w:val="16"/>
                <w:color w:val="0000EE"/>
              </w:rPr>
            </w:pPr>
            <w:hyperlink w:anchor="page3">
              <w:r>
                <w:rPr>
                  <w:rFonts w:ascii="Arial" w:cs="Arial" w:eastAsia="Arial" w:hAnsi="Arial"/>
                  <w:sz w:val="16"/>
                  <w:szCs w:val="16"/>
                  <w:color w:val="0000EE"/>
                </w:rPr>
                <w:t>PART I—FINANCIAL INFORMATION</w:t>
              </w:r>
            </w:hyperlink>
          </w:p>
        </w:tc>
        <w:tc>
          <w:tcPr>
            <w:tcW w:w="3340" w:type="dxa"/>
            <w:vAlign w:val="bottom"/>
            <w:gridSpan w:val="5"/>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960" w:type="dxa"/>
            <w:vAlign w:val="bottom"/>
            <w:gridSpan w:val="15"/>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Unaudited Consolidated Financial Statements</w:t>
              </w:r>
            </w:hyperlink>
          </w:p>
        </w:tc>
        <w:tc>
          <w:tcPr>
            <w:tcW w:w="6420" w:type="dxa"/>
            <w:vAlign w:val="bottom"/>
            <w:gridSpan w:val="18"/>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380" w:type="dxa"/>
            <w:vAlign w:val="bottom"/>
            <w:gridSpan w:val="3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(unaudited) as of June 30, 2016 and December 31, 2015</w:t>
              </w:r>
            </w:hyperlink>
          </w:p>
        </w:tc>
        <w:tc>
          <w:tcPr>
            <w:tcW w:w="106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380" w:type="dxa"/>
            <w:vAlign w:val="bottom"/>
            <w:gridSpan w:val="3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Operations (unaudited) for the three and six months ended June 30, 2016 and 2015</w:t>
              </w:r>
            </w:hyperlink>
          </w:p>
        </w:tc>
        <w:tc>
          <w:tcPr>
            <w:tcW w:w="106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380" w:type="dxa"/>
            <w:vAlign w:val="bottom"/>
            <w:gridSpan w:val="33"/>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(Loss) Income (unaudited) for the three and six months ended June 30, 2016 and 2015</w:t>
              </w:r>
            </w:hyperlink>
          </w:p>
        </w:tc>
        <w:tc>
          <w:tcPr>
            <w:tcW w:w="106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460" w:type="dxa"/>
            <w:vAlign w:val="bottom"/>
            <w:gridSpan w:val="32"/>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 of Changes in Equity (unaudited) for the six months ended June 30, 2016</w:t>
              </w:r>
            </w:hyperlink>
          </w:p>
        </w:tc>
        <w:tc>
          <w:tcPr>
            <w:tcW w:w="920" w:type="dxa"/>
            <w:vAlign w:val="bottom"/>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6600" w:type="dxa"/>
            <w:vAlign w:val="bottom"/>
            <w:gridSpan w:val="30"/>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Cash Flows (unaudited) for the six months ended June 30, 2016 and 2015</w:t>
              </w:r>
            </w:hyperlink>
          </w:p>
        </w:tc>
        <w:tc>
          <w:tcPr>
            <w:tcW w:w="2780" w:type="dxa"/>
            <w:vAlign w:val="bottom"/>
            <w:gridSpan w:val="3"/>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620" w:type="dxa"/>
            <w:vAlign w:val="bottom"/>
            <w:gridSpan w:val="21"/>
          </w:tcPr>
          <w:p>
            <w:pPr>
              <w:spacing w:after="0"/>
              <w:rPr>
                <w:rFonts w:ascii="Arial" w:cs="Arial" w:eastAsia="Arial" w:hAnsi="Arial"/>
                <w:sz w:val="16"/>
                <w:szCs w:val="16"/>
                <w:color w:val="0000EE"/>
                <w:w w:val="90"/>
              </w:rPr>
            </w:pPr>
            <w:hyperlink w:anchor="page9">
              <w:r>
                <w:rPr>
                  <w:rFonts w:ascii="Arial" w:cs="Arial" w:eastAsia="Arial" w:hAnsi="Arial"/>
                  <w:sz w:val="16"/>
                  <w:szCs w:val="16"/>
                  <w:color w:val="0000EE"/>
                  <w:w w:val="90"/>
                </w:rPr>
                <w:t>Notes to Consolidated Financial Statements (unaudited)</w:t>
              </w:r>
            </w:hyperlink>
          </w:p>
        </w:tc>
        <w:tc>
          <w:tcPr>
            <w:tcW w:w="2980" w:type="dxa"/>
            <w:vAlign w:val="bottom"/>
            <w:gridSpan w:val="9"/>
          </w:tcPr>
          <w:p>
            <w:pPr>
              <w:spacing w:after="0"/>
              <w:rPr>
                <w:sz w:val="21"/>
                <w:szCs w:val="21"/>
                <w:color w:val="auto"/>
              </w:rPr>
            </w:pPr>
          </w:p>
        </w:tc>
        <w:tc>
          <w:tcPr>
            <w:tcW w:w="2780" w:type="dxa"/>
            <w:vAlign w:val="bottom"/>
            <w:gridSpan w:val="3"/>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80" w:type="dxa"/>
            <w:vAlign w:val="bottom"/>
            <w:gridSpan w:val="2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1: Organization</w:t>
              </w:r>
            </w:hyperlink>
          </w:p>
        </w:tc>
        <w:tc>
          <w:tcPr>
            <w:tcW w:w="5760" w:type="dxa"/>
            <w:vAlign w:val="bottom"/>
            <w:gridSpan w:val="12"/>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21"/>
          </w:tcPr>
          <w:p>
            <w:pPr>
              <w:spacing w:after="0"/>
              <w:rPr>
                <w:rFonts w:ascii="Arial" w:cs="Arial" w:eastAsia="Arial" w:hAnsi="Arial"/>
                <w:sz w:val="16"/>
                <w:szCs w:val="16"/>
                <w:color w:val="0000EE"/>
                <w:w w:val="94"/>
              </w:rPr>
            </w:pPr>
            <w:hyperlink w:anchor="page9">
              <w:r>
                <w:rPr>
                  <w:rFonts w:ascii="Arial" w:cs="Arial" w:eastAsia="Arial" w:hAnsi="Arial"/>
                  <w:sz w:val="16"/>
                  <w:szCs w:val="16"/>
                  <w:color w:val="0000EE"/>
                  <w:w w:val="94"/>
                </w:rPr>
                <w:t>Note 2: Summary of Significant Accounting Policies</w:t>
              </w:r>
            </w:hyperlink>
          </w:p>
        </w:tc>
        <w:tc>
          <w:tcPr>
            <w:tcW w:w="5600" w:type="dxa"/>
            <w:vAlign w:val="bottom"/>
            <w:gridSpan w:val="11"/>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1"/>
          </w:tcPr>
          <w:p>
            <w:pPr>
              <w:spacing w:after="0"/>
              <w:rPr>
                <w:rFonts w:ascii="Arial" w:cs="Arial" w:eastAsia="Arial" w:hAnsi="Arial"/>
                <w:sz w:val="16"/>
                <w:szCs w:val="16"/>
                <w:color w:val="0000EE"/>
                <w:w w:val="91"/>
              </w:rPr>
            </w:pPr>
            <w:hyperlink w:anchor="page13">
              <w:r>
                <w:rPr>
                  <w:rFonts w:ascii="Arial" w:cs="Arial" w:eastAsia="Arial" w:hAnsi="Arial"/>
                  <w:sz w:val="16"/>
                  <w:szCs w:val="16"/>
                  <w:color w:val="0000EE"/>
                  <w:w w:val="91"/>
                </w:rPr>
                <w:t>Note 3: Leasing Equipment, net</w:t>
              </w:r>
            </w:hyperlink>
          </w:p>
        </w:tc>
        <w:tc>
          <w:tcPr>
            <w:tcW w:w="1360" w:type="dxa"/>
            <w:vAlign w:val="bottom"/>
            <w:gridSpan w:val="10"/>
          </w:tcPr>
          <w:p>
            <w:pPr>
              <w:spacing w:after="0"/>
              <w:rPr>
                <w:sz w:val="21"/>
                <w:szCs w:val="21"/>
                <w:color w:val="auto"/>
              </w:rPr>
            </w:pPr>
          </w:p>
        </w:tc>
        <w:tc>
          <w:tcPr>
            <w:tcW w:w="5600" w:type="dxa"/>
            <w:vAlign w:val="bottom"/>
            <w:gridSpan w:val="11"/>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1"/>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4: Finance Leases, net</w:t>
              </w:r>
            </w:hyperlink>
          </w:p>
        </w:tc>
        <w:tc>
          <w:tcPr>
            <w:tcW w:w="6960" w:type="dxa"/>
            <w:vAlign w:val="bottom"/>
            <w:gridSpan w:val="21"/>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15"/>
          </w:tcPr>
          <w:p>
            <w:pPr>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Note 5: Property, Plant and Equipment, net</w:t>
              </w:r>
            </w:hyperlink>
          </w:p>
        </w:tc>
        <w:tc>
          <w:tcPr>
            <w:tcW w:w="6280" w:type="dxa"/>
            <w:vAlign w:val="bottom"/>
            <w:gridSpan w:val="17"/>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2"/>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Note 6: Investments in Unconsolidated Entities</w:t>
              </w:r>
            </w:hyperlink>
          </w:p>
        </w:tc>
        <w:tc>
          <w:tcPr>
            <w:tcW w:w="106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16"/>
          </w:tcPr>
          <w:p>
            <w:pPr>
              <w:spacing w:after="0"/>
              <w:rPr>
                <w:rFonts w:ascii="Arial" w:cs="Arial" w:eastAsia="Arial" w:hAnsi="Arial"/>
                <w:sz w:val="16"/>
                <w:szCs w:val="16"/>
                <w:color w:val="0000EE"/>
                <w:w w:val="92"/>
              </w:rPr>
            </w:pPr>
            <w:hyperlink w:anchor="page17">
              <w:r>
                <w:rPr>
                  <w:rFonts w:ascii="Arial" w:cs="Arial" w:eastAsia="Arial" w:hAnsi="Arial"/>
                  <w:sz w:val="16"/>
                  <w:szCs w:val="16"/>
                  <w:color w:val="0000EE"/>
                  <w:w w:val="92"/>
                </w:rPr>
                <w:t>Note 7: Intangible Assets and Liabilities, net</w:t>
              </w:r>
            </w:hyperlink>
          </w:p>
        </w:tc>
        <w:tc>
          <w:tcPr>
            <w:tcW w:w="160" w:type="dxa"/>
            <w:vAlign w:val="bottom"/>
            <w:gridSpan w:val="2"/>
          </w:tcPr>
          <w:p>
            <w:pPr>
              <w:spacing w:after="0"/>
              <w:rPr>
                <w:sz w:val="21"/>
                <w:szCs w:val="21"/>
                <w:color w:val="auto"/>
              </w:rPr>
            </w:pPr>
          </w:p>
        </w:tc>
        <w:tc>
          <w:tcPr>
            <w:tcW w:w="5980" w:type="dxa"/>
            <w:vAlign w:val="bottom"/>
            <w:gridSpan w:val="14"/>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16"/>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8: Debt, net</w:t>
              </w:r>
            </w:hyperlink>
          </w:p>
        </w:tc>
        <w:tc>
          <w:tcPr>
            <w:tcW w:w="6140" w:type="dxa"/>
            <w:vAlign w:val="bottom"/>
            <w:gridSpan w:val="16"/>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2"/>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Note 9: Fair Value Measurements</w:t>
              </w:r>
            </w:hyperlink>
          </w:p>
        </w:tc>
        <w:tc>
          <w:tcPr>
            <w:tcW w:w="106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Note 10: Revenues</w:t>
              </w:r>
            </w:hyperlink>
          </w:p>
        </w:tc>
        <w:tc>
          <w:tcPr>
            <w:tcW w:w="940" w:type="dxa"/>
            <w:vAlign w:val="bottom"/>
            <w:gridSpan w:val="7"/>
          </w:tcPr>
          <w:p>
            <w:pPr>
              <w:spacing w:after="0"/>
              <w:rPr>
                <w:sz w:val="21"/>
                <w:szCs w:val="21"/>
                <w:color w:val="auto"/>
              </w:rPr>
            </w:pPr>
          </w:p>
        </w:tc>
        <w:tc>
          <w:tcPr>
            <w:tcW w:w="6860" w:type="dxa"/>
            <w:vAlign w:val="bottom"/>
            <w:gridSpan w:val="20"/>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2"/>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Note 11: Equity-Based Compensation</w:t>
              </w:r>
            </w:hyperlink>
          </w:p>
        </w:tc>
        <w:tc>
          <w:tcPr>
            <w:tcW w:w="106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13"/>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Note 12: Income Taxes</w:t>
              </w:r>
            </w:hyperlink>
          </w:p>
        </w:tc>
        <w:tc>
          <w:tcPr>
            <w:tcW w:w="6580" w:type="dxa"/>
            <w:vAlign w:val="bottom"/>
            <w:gridSpan w:val="19"/>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6">
              <w:r>
                <w:rPr>
                  <w:rFonts w:ascii="Arial" w:cs="Arial" w:eastAsia="Arial" w:hAnsi="Arial"/>
                  <w:sz w:val="16"/>
                  <w:szCs w:val="16"/>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3"/>
          </w:tcPr>
          <w:p>
            <w:pPr>
              <w:spacing w:after="0"/>
              <w:rPr>
                <w:rFonts w:ascii="Arial" w:cs="Arial" w:eastAsia="Arial" w:hAnsi="Arial"/>
                <w:sz w:val="16"/>
                <w:szCs w:val="16"/>
                <w:color w:val="0000EE"/>
                <w:w w:val="92"/>
              </w:rPr>
            </w:pPr>
            <w:hyperlink w:anchor="page27">
              <w:r>
                <w:rPr>
                  <w:rFonts w:ascii="Arial" w:cs="Arial" w:eastAsia="Arial" w:hAnsi="Arial"/>
                  <w:sz w:val="16"/>
                  <w:szCs w:val="16"/>
                  <w:color w:val="0000EE"/>
                  <w:w w:val="92"/>
                </w:rPr>
                <w:t>Note 13: Management Agreement and Affiliate Transactions</w:t>
              </w:r>
            </w:hyperlink>
          </w:p>
        </w:tc>
        <w:tc>
          <w:tcPr>
            <w:tcW w:w="5100" w:type="dxa"/>
            <w:vAlign w:val="bottom"/>
            <w:gridSpan w:val="9"/>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Note 14: Segment Information</w:t>
              </w:r>
            </w:hyperlink>
          </w:p>
        </w:tc>
        <w:tc>
          <w:tcPr>
            <w:tcW w:w="5100" w:type="dxa"/>
            <w:vAlign w:val="bottom"/>
            <w:gridSpan w:val="9"/>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9"/>
          </w:tcPr>
          <w:p>
            <w:pPr>
              <w:spacing w:after="0"/>
              <w:rPr>
                <w:rFonts w:ascii="Arial" w:cs="Arial" w:eastAsia="Arial" w:hAnsi="Arial"/>
                <w:sz w:val="16"/>
                <w:szCs w:val="16"/>
                <w:color w:val="0000EE"/>
                <w:w w:val="88"/>
              </w:rPr>
            </w:pPr>
            <w:hyperlink w:anchor="page38">
              <w:r>
                <w:rPr>
                  <w:rFonts w:ascii="Arial" w:cs="Arial" w:eastAsia="Arial" w:hAnsi="Arial"/>
                  <w:sz w:val="16"/>
                  <w:szCs w:val="16"/>
                  <w:color w:val="0000EE"/>
                  <w:w w:val="88"/>
                </w:rPr>
                <w:t>Note 15: Earnings per Share</w:t>
              </w:r>
            </w:hyperlink>
          </w:p>
        </w:tc>
        <w:tc>
          <w:tcPr>
            <w:tcW w:w="140" w:type="dxa"/>
            <w:vAlign w:val="bottom"/>
          </w:tcPr>
          <w:p>
            <w:pPr>
              <w:spacing w:after="0"/>
              <w:rPr>
                <w:sz w:val="21"/>
                <w:szCs w:val="21"/>
                <w:color w:val="auto"/>
              </w:rPr>
            </w:pPr>
          </w:p>
        </w:tc>
        <w:tc>
          <w:tcPr>
            <w:tcW w:w="7060" w:type="dxa"/>
            <w:vAlign w:val="bottom"/>
            <w:gridSpan w:val="22"/>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2"/>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Note 16: Commitments and Contingencies</w:t>
              </w:r>
            </w:hyperlink>
          </w:p>
        </w:tc>
        <w:tc>
          <w:tcPr>
            <w:tcW w:w="106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9"/>
          </w:tcPr>
          <w:p>
            <w:pPr>
              <w:spacing w:after="0"/>
              <w:rPr>
                <w:rFonts w:ascii="Arial" w:cs="Arial" w:eastAsia="Arial" w:hAnsi="Arial"/>
                <w:sz w:val="16"/>
                <w:szCs w:val="16"/>
                <w:color w:val="0000EE"/>
                <w:w w:val="88"/>
              </w:rPr>
            </w:pPr>
            <w:hyperlink w:anchor="page39">
              <w:r>
                <w:rPr>
                  <w:rFonts w:ascii="Arial" w:cs="Arial" w:eastAsia="Arial" w:hAnsi="Arial"/>
                  <w:sz w:val="16"/>
                  <w:szCs w:val="16"/>
                  <w:color w:val="0000EE"/>
                  <w:w w:val="88"/>
                </w:rPr>
                <w:t>Note 17: Subsequent Events</w:t>
              </w:r>
            </w:hyperlink>
          </w:p>
        </w:tc>
        <w:tc>
          <w:tcPr>
            <w:tcW w:w="920" w:type="dxa"/>
            <w:vAlign w:val="bottom"/>
            <w:gridSpan w:val="6"/>
          </w:tcPr>
          <w:p>
            <w:pPr>
              <w:spacing w:after="0"/>
              <w:rPr>
                <w:sz w:val="21"/>
                <w:szCs w:val="21"/>
                <w:color w:val="auto"/>
              </w:rPr>
            </w:pPr>
          </w:p>
        </w:tc>
        <w:tc>
          <w:tcPr>
            <w:tcW w:w="6280" w:type="dxa"/>
            <w:vAlign w:val="bottom"/>
            <w:gridSpan w:val="17"/>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380" w:type="dxa"/>
            <w:vAlign w:val="bottom"/>
            <w:gridSpan w:val="33"/>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Management’s Discussion and Analysis of Financial Condition and Results of Operations</w:t>
              </w:r>
            </w:hyperlink>
          </w:p>
        </w:tc>
        <w:tc>
          <w:tcPr>
            <w:tcW w:w="106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9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3"/>
          </w:tcPr>
          <w:p>
            <w:pPr>
              <w:spacing w:after="0"/>
              <w:rPr>
                <w:rFonts w:ascii="Arial" w:cs="Arial" w:eastAsia="Arial" w:hAnsi="Arial"/>
                <w:sz w:val="16"/>
                <w:szCs w:val="16"/>
                <w:color w:val="0000EE"/>
                <w:w w:val="92"/>
              </w:rPr>
            </w:pPr>
            <w:hyperlink w:anchor="page68">
              <w:r>
                <w:rPr>
                  <w:rFonts w:ascii="Arial" w:cs="Arial" w:eastAsia="Arial" w:hAnsi="Arial"/>
                  <w:sz w:val="16"/>
                  <w:szCs w:val="16"/>
                  <w:color w:val="0000EE"/>
                  <w:w w:val="92"/>
                </w:rPr>
                <w:t>Quantitative and Qualitative Disclosures About Market Risk</w:t>
              </w:r>
            </w:hyperlink>
          </w:p>
        </w:tc>
        <w:tc>
          <w:tcPr>
            <w:tcW w:w="1900" w:type="dxa"/>
            <w:vAlign w:val="bottom"/>
            <w:gridSpan w:val="3"/>
          </w:tcPr>
          <w:p>
            <w:pPr>
              <w:spacing w:after="0"/>
              <w:rPr>
                <w:sz w:val="20"/>
                <w:szCs w:val="20"/>
                <w:color w:val="auto"/>
              </w:rPr>
            </w:pPr>
          </w:p>
        </w:tc>
        <w:tc>
          <w:tcPr>
            <w:tcW w:w="3580" w:type="dxa"/>
            <w:vAlign w:val="bottom"/>
            <w:gridSpan w:val="7"/>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0" w:type="dxa"/>
            <w:vAlign w:val="bottom"/>
            <w:tcBorders>
              <w:left w:val="single" w:sz="8" w:color="0000EE"/>
            </w:tcBorders>
            <w:gridSpan w:val="4"/>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3"/>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Controls and Procedures</w:t>
              </w:r>
            </w:hyperlink>
          </w:p>
        </w:tc>
        <w:tc>
          <w:tcPr>
            <w:tcW w:w="5480" w:type="dxa"/>
            <w:vAlign w:val="bottom"/>
            <w:gridSpan w:val="10"/>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0000EE"/>
            </w:tcBorders>
            <w:gridSpan w:val="7"/>
          </w:tcPr>
          <w:p>
            <w:pPr>
              <w:jc w:val="center"/>
              <w:spacing w:after="0"/>
              <w:rPr>
                <w:rFonts w:ascii="Arial" w:cs="Arial" w:eastAsia="Arial" w:hAnsi="Arial"/>
                <w:sz w:val="16"/>
                <w:szCs w:val="16"/>
                <w:color w:val="0000EE"/>
                <w:w w:val="98"/>
              </w:rPr>
            </w:pPr>
            <w:hyperlink w:anchor="page69">
              <w:r>
                <w:rPr>
                  <w:rFonts w:ascii="Arial" w:cs="Arial" w:eastAsia="Arial" w:hAnsi="Arial"/>
                  <w:sz w:val="16"/>
                  <w:szCs w:val="16"/>
                  <w:color w:val="0000EE"/>
                  <w:w w:val="98"/>
                </w:rPr>
                <w:t>PART II—OTHER INFORMATION</w:t>
              </w:r>
            </w:hyperlink>
          </w:p>
        </w:tc>
        <w:tc>
          <w:tcPr>
            <w:tcW w:w="348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180" w:type="dxa"/>
            <w:vAlign w:val="bottom"/>
            <w:gridSpan w:val="4"/>
          </w:tcPr>
          <w:p>
            <w:pPr>
              <w:spacing w:after="0"/>
              <w:rPr>
                <w:rFonts w:ascii="Arial" w:cs="Arial" w:eastAsia="Arial" w:hAnsi="Arial"/>
                <w:sz w:val="16"/>
                <w:szCs w:val="16"/>
                <w:color w:val="0000EE"/>
                <w:w w:val="85"/>
              </w:rPr>
            </w:pPr>
            <w:hyperlink w:anchor="page69">
              <w:r>
                <w:rPr>
                  <w:rFonts w:ascii="Arial" w:cs="Arial" w:eastAsia="Arial" w:hAnsi="Arial"/>
                  <w:sz w:val="16"/>
                  <w:szCs w:val="16"/>
                  <w:color w:val="0000EE"/>
                  <w:w w:val="85"/>
                </w:rPr>
                <w:t>Legal Proceedings</w:t>
              </w:r>
            </w:hyperlink>
          </w:p>
        </w:tc>
        <w:tc>
          <w:tcPr>
            <w:tcW w:w="8200" w:type="dxa"/>
            <w:vAlign w:val="bottom"/>
            <w:gridSpan w:val="29"/>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9">
              <w:r>
                <w:rPr>
                  <w:rFonts w:ascii="Arial" w:cs="Arial" w:eastAsia="Arial" w:hAnsi="Arial"/>
                  <w:sz w:val="16"/>
                  <w:szCs w:val="16"/>
                  <w:color w:val="0000EE"/>
                </w:rPr>
                <w:t>69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1A.</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5"/>
          </w:tcPr>
          <w:p>
            <w:pPr>
              <w:spacing w:after="0" w:line="20" w:lineRule="exact"/>
              <w:rPr>
                <w:sz w:val="1"/>
                <w:szCs w:val="1"/>
                <w:color w:val="auto"/>
              </w:rPr>
            </w:pPr>
          </w:p>
        </w:tc>
        <w:tc>
          <w:tcPr>
            <w:tcW w:w="1820" w:type="dxa"/>
            <w:vAlign w:val="bottom"/>
            <w:gridSpan w:val="14"/>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Risk Factors</w:t>
              </w:r>
            </w:hyperlink>
          </w:p>
        </w:tc>
        <w:tc>
          <w:tcPr>
            <w:tcW w:w="8200" w:type="dxa"/>
            <w:vAlign w:val="bottom"/>
            <w:gridSpan w:val="29"/>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9">
              <w:r>
                <w:rPr>
                  <w:rFonts w:ascii="Arial" w:cs="Arial" w:eastAsia="Arial" w:hAnsi="Arial"/>
                  <w:sz w:val="16"/>
                  <w:szCs w:val="16"/>
                  <w:color w:val="0000EE"/>
                </w:rPr>
                <w:t>69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20" w:type="dxa"/>
            <w:vAlign w:val="bottom"/>
            <w:gridSpan w:val="14"/>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380" w:type="dxa"/>
            <w:vAlign w:val="bottom"/>
            <w:gridSpan w:val="3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Unregistered Sales of Equity Securities and Use of Proceeds</w:t>
              </w:r>
            </w:hyperlink>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1820" w:type="dxa"/>
            <w:vAlign w:val="bottom"/>
            <w:tcBorders>
              <w:left w:val="single" w:sz="8" w:color="0000EE"/>
            </w:tcBorders>
            <w:gridSpan w:val="14"/>
            <w:shd w:val="clear" w:color="auto" w:fill="0000EE"/>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3"/>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Defaults Upon Senior Securities</w:t>
              </w:r>
            </w:hyperlink>
          </w:p>
        </w:tc>
        <w:tc>
          <w:tcPr>
            <w:tcW w:w="5480" w:type="dxa"/>
            <w:vAlign w:val="bottom"/>
            <w:gridSpan w:val="10"/>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5"/>
            <w:shd w:val="clear" w:color="auto" w:fill="0000EE"/>
          </w:tcPr>
          <w:p>
            <w:pPr>
              <w:spacing w:after="0" w:line="20" w:lineRule="exact"/>
              <w:rPr>
                <w:sz w:val="1"/>
                <w:szCs w:val="1"/>
                <w:color w:val="auto"/>
              </w:rPr>
            </w:pPr>
          </w:p>
        </w:tc>
        <w:tc>
          <w:tcPr>
            <w:tcW w:w="7300" w:type="dxa"/>
            <w:vAlign w:val="bottom"/>
            <w:gridSpan w:val="2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2080" w:type="dxa"/>
            <w:vAlign w:val="bottom"/>
            <w:gridSpan w:val="9"/>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Mine Safety Disclosures</w:t>
              </w:r>
            </w:hyperlink>
          </w:p>
        </w:tc>
        <w:tc>
          <w:tcPr>
            <w:tcW w:w="7300" w:type="dxa"/>
            <w:vAlign w:val="bottom"/>
            <w:gridSpan w:val="24"/>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5.</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7800" w:type="dxa"/>
            <w:vAlign w:val="bottom"/>
            <w:gridSpan w:val="2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89">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7800" w:type="dxa"/>
            <w:vAlign w:val="bottom"/>
            <w:gridSpan w:val="27"/>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6.</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200" w:type="dxa"/>
            <w:vAlign w:val="bottom"/>
            <w:gridSpan w:val="2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EE"/>
                <w:w w:val="92"/>
              </w:rPr>
            </w:pPr>
            <w:hyperlink w:anchor="page89">
              <w:r>
                <w:rPr>
                  <w:rFonts w:ascii="Arial" w:cs="Arial" w:eastAsia="Arial" w:hAnsi="Arial"/>
                  <w:sz w:val="16"/>
                  <w:szCs w:val="16"/>
                  <w:color w:val="0000EE"/>
                  <w:w w:val="92"/>
                </w:rPr>
                <w:t>Exhibits</w:t>
              </w:r>
            </w:hyperlink>
          </w:p>
        </w:tc>
        <w:tc>
          <w:tcPr>
            <w:tcW w:w="640" w:type="dxa"/>
            <w:vAlign w:val="bottom"/>
            <w:gridSpan w:val="2"/>
          </w:tcPr>
          <w:p>
            <w:pPr>
              <w:spacing w:after="0"/>
              <w:rPr>
                <w:sz w:val="20"/>
                <w:szCs w:val="20"/>
                <w:color w:val="auto"/>
              </w:rPr>
            </w:pPr>
          </w:p>
        </w:tc>
        <w:tc>
          <w:tcPr>
            <w:tcW w:w="8200" w:type="dxa"/>
            <w:vAlign w:val="bottom"/>
            <w:gridSpan w:val="29"/>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66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60" w:type="dxa"/>
            <w:vAlign w:val="bottom"/>
            <w:gridSpan w:val="3"/>
            <w:vMerge w:val="restart"/>
          </w:tcPr>
          <w:p>
            <w:pPr>
              <w:jc w:val="right"/>
              <w:ind w:right="660"/>
              <w:spacing w:after="0"/>
              <w:rPr>
                <w:sz w:val="20"/>
                <w:szCs w:val="20"/>
                <w:color w:val="auto"/>
              </w:rPr>
            </w:pPr>
            <w:r>
              <w:rPr>
                <w:rFonts w:ascii="Arial" w:cs="Arial" w:eastAsia="Arial" w:hAnsi="Arial"/>
                <w:sz w:val="16"/>
                <w:szCs w:val="16"/>
                <w:b w:val="1"/>
                <w:bCs w:val="1"/>
                <w:color w:val="auto"/>
              </w:rPr>
              <w:t>Notes</w:t>
            </w: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698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38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1"/>
              </w:rPr>
              <w:t>December 31, 2015</w:t>
            </w: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381,703</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69,614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21,610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14,466</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Leasing equipment, net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679,734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636,681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Finance leases, net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Property, plant, and equipment, net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302,571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299,678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Investments in and advances to unconsolidated entities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Intangible assets, net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39,732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44,129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Goodwill</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116,584</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51,378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36,758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1,574,552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1,644,805</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12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33,575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34,995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Debt, net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Maintenance deposits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30,494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Security deposits</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15,990</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359,604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354,119</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Commitments and Contingencies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980" w:type="dxa"/>
            <w:vAlign w:val="bottom"/>
          </w:tcPr>
          <w:p>
            <w:pPr>
              <w:ind w:left="500"/>
              <w:spacing w:after="0"/>
              <w:rPr>
                <w:sz w:val="20"/>
                <w:szCs w:val="20"/>
                <w:color w:val="auto"/>
              </w:rPr>
            </w:pPr>
            <w:r>
              <w:rPr>
                <w:rFonts w:ascii="Arial" w:cs="Arial" w:eastAsia="Arial" w:hAnsi="Arial"/>
                <w:sz w:val="16"/>
                <w:szCs w:val="16"/>
                <w:color w:val="auto"/>
                <w:w w:val="95"/>
              </w:rPr>
              <w:t>Common Shares ($0.01 par value per share; 2,000,000,000 shares authorized; 75,730,165 and</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500"/>
              <w:spacing w:after="0"/>
              <w:rPr>
                <w:sz w:val="20"/>
                <w:szCs w:val="20"/>
                <w:color w:val="auto"/>
              </w:rPr>
            </w:pPr>
            <w:r>
              <w:rPr>
                <w:rFonts w:ascii="Arial" w:cs="Arial" w:eastAsia="Arial" w:hAnsi="Arial"/>
                <w:sz w:val="16"/>
                <w:szCs w:val="16"/>
                <w:color w:val="auto"/>
              </w:rPr>
              <w:t>75,718,183 shares issued and outstanding as of June 30, 2016 and December 31, 2015,</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80" w:type="dxa"/>
            <w:vAlign w:val="bottom"/>
          </w:tcPr>
          <w:p>
            <w:pPr>
              <w:ind w:left="500"/>
              <w:spacing w:after="0"/>
              <w:rPr>
                <w:sz w:val="20"/>
                <w:szCs w:val="20"/>
                <w:color w:val="auto"/>
              </w:rPr>
            </w:pPr>
            <w:r>
              <w:rPr>
                <w:rFonts w:ascii="Arial" w:cs="Arial" w:eastAsia="Arial" w:hAnsi="Arial"/>
                <w:sz w:val="16"/>
                <w:szCs w:val="16"/>
                <w:color w:val="auto"/>
              </w:rPr>
              <w:t>respectively)</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 in Capital</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1,134,528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1,184,198</w:t>
            </w:r>
          </w:p>
        </w:tc>
        <w:tc>
          <w:tcPr>
            <w:tcW w:w="0" w:type="dxa"/>
            <w:vAlign w:val="bottom"/>
          </w:tcPr>
          <w:p>
            <w:pPr>
              <w:spacing w:after="0"/>
              <w:rPr>
                <w:sz w:val="1"/>
                <w:szCs w:val="1"/>
                <w:color w:val="auto"/>
              </w:rPr>
            </w:pPr>
          </w:p>
        </w:tc>
      </w:tr>
      <w:tr>
        <w:trPr>
          <w:trHeight w:val="224"/>
        </w:trPr>
        <w:tc>
          <w:tcPr>
            <w:tcW w:w="6980" w:type="dxa"/>
            <w:vAlign w:val="bottom"/>
          </w:tcPr>
          <w:p>
            <w:pPr>
              <w:ind w:left="500"/>
              <w:spacing w:after="0"/>
              <w:rPr>
                <w:sz w:val="20"/>
                <w:szCs w:val="20"/>
                <w:color w:val="auto"/>
              </w:rPr>
            </w:pPr>
            <w:r>
              <w:rPr>
                <w:rFonts w:ascii="Arial" w:cs="Arial" w:eastAsia="Arial" w:hAnsi="Arial"/>
                <w:sz w:val="16"/>
                <w:szCs w:val="16"/>
                <w:color w:val="auto"/>
              </w:rPr>
              <w:t>Accumulated Deficit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(35,744)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(18,769)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income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Shareholders' equity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1,099,541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1,166,283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 in equity of consolidated subsidiaries</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124,403</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1,214,948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1,290,686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liabilities and equity</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1,574,552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1,644,805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01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13"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4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Notes</w:t>
            </w:r>
          </w:p>
        </w:tc>
        <w:tc>
          <w:tcPr>
            <w:tcW w:w="28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color w:val="auto"/>
              </w:rPr>
              <w:t>Equipment leasing revenues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22,351</w:t>
            </w:r>
          </w:p>
        </w:tc>
        <w:tc>
          <w:tcPr>
            <w:tcW w:w="12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22,633</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41,926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45,671</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Infrastructure revenues</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21,866</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70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33,195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33,564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64,648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67,537</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4"/>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32,319</w:t>
            </w: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3,361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2,337</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Acquisition and transaction expenses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5,899</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3, 5, 7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21,327</w:t>
            </w: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9,572</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73,420</w:t>
            </w:r>
          </w:p>
        </w:tc>
      </w:tr>
      <w:tr>
        <w:trPr>
          <w:trHeight w:val="250"/>
        </w:trPr>
        <w:tc>
          <w:tcPr>
            <w:tcW w:w="4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color w:val="auto"/>
              </w:rPr>
              <w:t>Equity in earnings (losses) of unconsolidated entities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2,466</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sale of equipment and finance leases, net</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 impairment</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color w:val="auto"/>
              </w:rPr>
              <w:t>Interest (expense) income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income (expense)</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color w:val="auto"/>
              </w:rPr>
              <w:t>Total other (expense)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3,051</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4"/>
        </w:trPr>
        <w:tc>
          <w:tcPr>
            <w:tcW w:w="4460" w:type="dxa"/>
            <w:vAlign w:val="bottom"/>
          </w:tcPr>
          <w:p>
            <w:pPr>
              <w:ind w:left="500"/>
              <w:spacing w:after="0"/>
              <w:rPr>
                <w:sz w:val="20"/>
                <w:szCs w:val="20"/>
                <w:color w:val="auto"/>
              </w:rPr>
            </w:pPr>
            <w:r>
              <w:rPr>
                <w:rFonts w:ascii="Arial" w:cs="Arial" w:eastAsia="Arial" w:hAnsi="Arial"/>
                <w:sz w:val="16"/>
                <w:szCs w:val="16"/>
                <w:b w:val="1"/>
                <w:bCs w:val="1"/>
                <w:color w:val="auto"/>
              </w:rPr>
              <w:t>Loss before income taxes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(19,878)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(29,021)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(2,832)</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income taxes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b w:val="1"/>
                <w:bCs w:val="1"/>
                <w:color w:val="auto"/>
              </w:rPr>
              <w:t>Net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(5,270)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(29,133)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(3,328)</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Less: Net loss attributable to non-controlling interests in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9"/>
        </w:trPr>
        <w:tc>
          <w:tcPr>
            <w:tcW w:w="4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consolidated subsidiaries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(16,975)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4,611</w:t>
            </w:r>
          </w:p>
        </w:tc>
      </w:tr>
      <w:tr>
        <w:trPr>
          <w:trHeight w:val="244"/>
        </w:trPr>
        <w:tc>
          <w:tcPr>
            <w:tcW w:w="4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Basic and Diluted (Loss) Earnings per Share</w:t>
            </w:r>
          </w:p>
        </w:tc>
        <w:tc>
          <w:tcPr>
            <w:tcW w:w="700" w:type="dxa"/>
            <w:vAlign w:val="bottom"/>
          </w:tcPr>
          <w:p>
            <w:pPr>
              <w:jc w:val="center"/>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0.08</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Shares Outstanding - Basic</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75,730,165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62,879,023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75,728,717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58,216,849</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Weighted Average Shares Outstanding - Diluted</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75,730,165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62,879,023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75,728,717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58,216,918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cash flow hedge</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(loss) income attributable to shareholders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(11,193)</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(17,072)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Non-Controlling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Equity of</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Additional Paid</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In Capital</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Total Equity</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 December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1,184,198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124,403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1,290,686</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for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(29,133)</w:t>
            </w: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comprehensive loss</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(29,230)</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Capital contributions</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7,433</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Settlement of equity-based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(49,982)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(50,007)</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(3,846)</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 June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1,134,528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115,407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1,214,948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(29,133)</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(3,328)</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Equity in earnings of unconsolidated entities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(2,466)</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Gain on sale of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Security deposits and maintenance claims included in earnings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Loss on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Equity-based compensation</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2,600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21,327</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Asset impairment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Change in current and deferred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Change in fair value of non-hedge derivative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Amortization of lease intangibles and incentives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3,913</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Amortization of deferred financing costs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733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Operating distributions from unconsolidated entities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Bad debt expense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Change in:</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(3,926)</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(7,410)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payable and accrued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Management fees payable to affiliate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(2,138)</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Other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990</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14,631</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Release of 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Payments to restricted cash</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(21,882)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Investment in notes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Principal collections on finance leases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2,302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6,142</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leasing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(83,714)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(26,234)</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(13,281)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(70,621)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lease intangibles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Purchase deposit for aircraft and aircraft engines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(4,756)</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Proceeds from sale of finance leases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sale of leasing equipment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15,905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1,500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Proceeds from sale of property, plant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Return of capital distributions from unconsolidated entities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1,284</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(17,378)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(89,226)</w:t>
            </w:r>
          </w:p>
        </w:tc>
      </w:tr>
      <w:tr>
        <w:trPr>
          <w:trHeight w:val="20"/>
        </w:trPr>
        <w:tc>
          <w:tcPr>
            <w:tcW w:w="7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debt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108,658</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Repayment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(153,721)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(8,633)</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Payment of deferred financing costs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(3,935)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Receipt of security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Return of security deposits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Receipt of maintenance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4,330</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Release of maintenance deposits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(5,653)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(5,842)</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Proceeds from issuance of common shares, net of underwriter's discount</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354,057</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Common shares issuance costs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Capital contributions from shareholders</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295,879</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Capital distributions to shareholders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(44,917)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Capital contributions from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29,869</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Capital distributions to non-controlling interests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Settlement of equity-based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Cash dividends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(50,007)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(89,107)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3"/>
              </w:rPr>
              <w:t>623,784</w:t>
            </w:r>
          </w:p>
        </w:tc>
      </w:tr>
      <w:tr>
        <w:trPr>
          <w:trHeight w:val="291"/>
        </w:trPr>
        <w:tc>
          <w:tcPr>
            <w:tcW w:w="79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(105,495)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3"/>
              </w:rPr>
              <w:t>549,189</w:t>
            </w: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381,703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22,125</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6"/>
              </w:rPr>
              <w:t>276,208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3"/>
              </w:rPr>
              <w:t>571,314</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Restricted cash proceeds from borrowings of debt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44,342</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leasing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property, plant and equipment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Proceeds from sale of leasing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Settled and assumed security deposits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Billed and assumed maintenance deposits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w:t>
            </w: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Issuance of common stock</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financing costs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Common share issuance costs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(3,107)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Change in fair value of cash flow hedge</w:t>
            </w:r>
          </w:p>
        </w:tc>
        <w:tc>
          <w:tcPr>
            <w:tcW w:w="10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14).</w:t>
      </w:r>
    </w:p>
    <w:p>
      <w:pPr>
        <w:spacing w:after="0" w:line="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managed by FIG LLC (the “Manager”), an affiliate of Fortress Investment Group LLC (“Fortress”), pursuant to a management agreement (the “Management Agreement”) which provides for the Company to bear obligations for management fees and expense reimbursements payable to the Manager (Note 13).</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unaudited consolidated financial statements have been prepared in accordance with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in the United States (“GAAP”) and in accordance with the instructions to Form 10-Q and Article 10 of Regulation S-X for interim financial information. Certain information or footnote disclosures normally included in financial statements prepared in accordance with GAAP have been condensed or omitted, pursuant to the rules and regulations of the Securities and Exchange Commission (“SEC”) for interim financial reporting. Accordingly, they do not include all of the information and notes required by GAAP for complete financial statements. The consolidated balance sheet at December 31, 2015 has been derived from audited financial statements but does not include all of the information and notes required by GAAP for complete financial statements. In the opinion of management, all adjustments considered necessary for a fair statement of the Company’s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 interim financial information contained herein should be read in conjunction with the consolidated financial statements and notes thereto for the year ended December 31, 2015 included in Form 10-K.</w:t>
      </w:r>
    </w:p>
    <w:p>
      <w:pPr>
        <w:spacing w:after="0" w:line="74"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Company consolidates all entities in which it has a controlling financial interest and in which it has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7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—The assessment of whether an entity is a VIE and the determination of whether to consolidate a VIE requires judgment.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85"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VIE in which the Company has an interest is WWTAI IES MT6015 Ltd. (“MT6015”), an entity formed in 2014 which has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138"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December 31, 2015, MT6015 had total assets of $7,533, which are available only to settle the obligations of MT6015. Other than entering into the above commitment, MT6015 has conducted no operations, and no creditors of MT6015 have recourse to any assets or to the general credit of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quarter ended June 30, 2016, the Company determined not to proceed with the purchase of the Vessel. The shipbuilder delivered a notice of termination of the shipbuilding contract to MT6015 in July 2016. Correspondingly, in the quarter ended June 30, 2016, the Company recorded impairment in its MT6015 investment of $7,450. The shipbuilder has no further recourse to the Company.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period amounts have been reclassified to conform to current period presentation.</w:t>
      </w:r>
    </w:p>
    <w:p>
      <w:pPr>
        <w:spacing w:after="0" w:line="11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3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encounters several significant types of economic risk including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6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of $69,614 and $21,610 at June 30, 2016 and December 31, 2015, respectively, consists of cash held in segregated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pursuant to the requirements of the Company’s debt agreements (Note 8).</w:t>
      </w:r>
    </w:p>
    <w:p>
      <w:pPr>
        <w:spacing w:after="0" w:line="62"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b w:val="1"/>
          <w:bCs w:val="1"/>
          <w:i w:val="1"/>
          <w:iCs w:val="1"/>
          <w:color w:val="auto"/>
        </w:rPr>
        <w:t>Concentration of Credit Risk</w:t>
      </w:r>
      <w:r>
        <w:rPr>
          <w:rFonts w:ascii="Arial" w:cs="Arial" w:eastAsia="Arial" w:hAnsi="Arial"/>
          <w:sz w:val="16"/>
          <w:szCs w:val="16"/>
          <w:color w:val="auto"/>
        </w:rPr>
        <w:t>—The Company is subject to concentrations of credit risk with respect to amounts due from customers on its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leases and operating leases. The Company attempts to limit its credit risk by performing ongoing credit evaluations. During the three and six months ended June 30, 2016, the Company earned approximately 9.5% and 10.9%, respectively, of its revenue from one customer in the Jefferson Terminal segment. During the three and six months ended June 30, 2015, the Company earned approximately 25.6% and 24.4%, respectively, of its revenue from one customer in the following segments; one each in offshore energy and Jefferson Terminal. As of June 30, 2016, accounts receivable from two customers in the offshore segment each represented 22.2% and 21.6% of total accounts receivable, net. As of December 31, 2015, accounts receivable from two customers in the offshore segment each represented 27.1% and 25.4% of total accounts receivable, net.</w:t>
      </w:r>
    </w:p>
    <w:p>
      <w:pPr>
        <w:spacing w:after="0" w:line="5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Provision for Doubtful Accounts</w:t>
      </w:r>
      <w:r>
        <w:rPr>
          <w:rFonts w:ascii="Arial" w:cs="Arial" w:eastAsia="Arial" w:hAnsi="Arial"/>
          <w:sz w:val="18"/>
          <w:szCs w:val="18"/>
          <w:color w:val="auto"/>
        </w:rPr>
        <w:t>—The Company determines the provision for doubtful accounts based on its assessment of the collectability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on a customer-by-customer basis. The provision for doubtful accounts at June 30, 2016 and December 31, 2015 was $383 and $392, respectively. Bad debt expense for the three and six months ended June 30, 2016 was $23 and $55, respectively. Bad debt expense for the three and six months ended June 30, 2015 was $155 and $159, respectively.</w:t>
      </w:r>
    </w:p>
    <w:p>
      <w:pPr>
        <w:spacing w:after="0" w:line="7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—Comprehensive income (loss) is defined as the change in equity of a business enterprise during a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derivatives accounted for as cash flow hedges and the Company’s pro-rata share of items of comprehensive income derived from investments in unconsolidated entities.</w:t>
      </w:r>
    </w:p>
    <w:p>
      <w:pPr>
        <w:spacing w:after="0" w:line="8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had reclassification adjustments of $0 and $97, which impacted accumulated other comprehensive income during the three and six months ended June 30, 2016, respectively. During the three and six months ended June 30, 2015, the Company had reclassification adjustments of $35 and $72,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Derivative Financial Instruments—</w:t>
      </w:r>
      <w:r>
        <w:rPr>
          <w:rFonts w:ascii="Arial" w:cs="Arial" w:eastAsia="Arial" w:hAnsi="Arial"/>
          <w:sz w:val="18"/>
          <w:szCs w:val="18"/>
          <w:color w:val="auto"/>
        </w:rPr>
        <w:t>In the normal course of business the Company may utilize interest rate derivatives to manage its exposure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the Company had entered into one interest rate derivative designated as a cash flow hedge and one non-hedge derivative. The Company terminated both derivatives during the first quarter of 2016 when the related debt obligations were paid in full. For the interest rate derivative designated as a cash flow hedge, all remaining net gains or losses in accumulated other comprehensive income at the date of termination were reclassified into earnings during the six months ended June 30, 2016.</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enter into speculative derivative transactions.</w:t>
      </w:r>
    </w:p>
    <w:p>
      <w:pPr>
        <w:spacing w:after="0" w:line="11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b w:val="1"/>
          <w:bCs w:val="1"/>
          <w:i w:val="1"/>
          <w:iCs w:val="1"/>
          <w:color w:val="auto"/>
        </w:rPr>
        <w:t>Other Assets—</w:t>
      </w:r>
      <w:r>
        <w:rPr>
          <w:rFonts w:ascii="Arial" w:cs="Arial" w:eastAsia="Arial" w:hAnsi="Arial"/>
          <w:sz w:val="17"/>
          <w:szCs w:val="17"/>
          <w:color w:val="auto"/>
        </w:rPr>
        <w:t>Other assets is primarily comprised of notes receivables of $21,428 and $19,468, leasing equipment purchase deposits of $503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$7,450, capitalized costs for potential asset acquisitions of $9,268 and $5,473, prepaid expenses of $2,968 and $1,818, and receivables of $11,417 and $0 as of June 30, 2016 and December 31, 2015, respectively. Additionally, during the six months ended June 30, 2016, the Company purchased and took physical delivery of heavy crude for blending. The crude inventory has been also been recorded within other assets on the Consolidated Balance Sheet at lower of cost or market of $1,690 as of June 30, 2016.</w:t>
      </w:r>
    </w:p>
    <w:p>
      <w:pPr>
        <w:spacing w:after="0" w:line="6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Dividends are recorded when declared by the Board of Directors. For the three and six months ended June 30, 2016,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declared a cash dividend of $0.33 and $0.66 per share, respectively. For the three and six months ended June 30, 2015, the Board of Directors declared a cash dividend of $0.15 per share.</w:t>
      </w:r>
    </w:p>
    <w:p>
      <w:pPr>
        <w:spacing w:after="0" w:line="73"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b w:val="1"/>
          <w:bCs w:val="1"/>
          <w:i w:val="1"/>
          <w:iCs w:val="1"/>
          <w:color w:val="auto"/>
        </w:rPr>
        <w:t>Recent Accounting Pronouncements</w:t>
      </w:r>
      <w:r>
        <w:rPr>
          <w:rFonts w:ascii="Arial" w:cs="Arial" w:eastAsia="Arial" w:hAnsi="Arial"/>
          <w:sz w:val="17"/>
          <w:szCs w:val="17"/>
          <w:color w:val="auto"/>
        </w:rPr>
        <w:t>—In February 2015, the FASB issued ASU 2015-02,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Amendments to the Consolidation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has adopted ASU 2015-02 as of January 1, 2016 and the adoption of this guidance did not have a material impact on the Company's consolidated financial statements.</w:t>
      </w:r>
    </w:p>
    <w:p>
      <w:pPr>
        <w:spacing w:after="0" w:line="6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Imputation of Interest: Simplifying the Presentation of Debt Issuance Costs</w:t>
      </w:r>
      <w:r>
        <w:rPr>
          <w:rFonts w:ascii="Arial" w:cs="Arial" w:eastAsia="Arial" w:hAnsi="Arial"/>
          <w:sz w:val="18"/>
          <w:szCs w:val="18"/>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has adopted ASU 2015-03 as of January 1, 2016 and revised its consolidated balance sheets to present debt issuance costs as a direct deduction from debt rather than within other assets, for all periods presented.</w:t>
      </w:r>
    </w:p>
    <w:p>
      <w:pPr>
        <w:spacing w:after="0" w:line="95" w:lineRule="exact"/>
        <w:rPr>
          <w:sz w:val="20"/>
          <w:szCs w:val="20"/>
          <w:color w:val="auto"/>
        </w:rPr>
      </w:pPr>
    </w:p>
    <w:p>
      <w:pPr>
        <w:jc w:val="both"/>
        <w:ind w:left="660"/>
        <w:spacing w:after="0" w:line="287" w:lineRule="auto"/>
        <w:rPr>
          <w:sz w:val="20"/>
          <w:szCs w:val="20"/>
          <w:color w:val="auto"/>
        </w:rPr>
      </w:pPr>
      <w:r>
        <w:rPr>
          <w:rFonts w:ascii="Arial" w:cs="Arial" w:eastAsia="Arial" w:hAnsi="Arial"/>
          <w:sz w:val="17"/>
          <w:szCs w:val="17"/>
          <w:color w:val="auto"/>
        </w:rPr>
        <w:t xml:space="preserve">In August 2015, the FASB issued ASU No. 2015-15, </w:t>
      </w:r>
      <w:r>
        <w:rPr>
          <w:rFonts w:ascii="Arial" w:cs="Arial" w:eastAsia="Arial" w:hAnsi="Arial"/>
          <w:sz w:val="17"/>
          <w:szCs w:val="17"/>
          <w:i w:val="1"/>
          <w:iCs w:val="1"/>
          <w:color w:val="auto"/>
        </w:rPr>
        <w:t>Interest - Imputation of Interest (Subtopic 835-30): Presentation and Subsequent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Debt Issuance Costs Associated With Line-Of-Credit Arrangements </w:t>
      </w:r>
      <w:r>
        <w:rPr>
          <w:rFonts w:ascii="Arial" w:cs="Arial" w:eastAsia="Arial" w:hAnsi="Arial"/>
          <w:sz w:val="17"/>
          <w:szCs w:val="17"/>
          <w:color w:val="auto"/>
        </w:rPr>
        <w:t>(“ASU 2015-15”). ASU 2015-15 provides further guidance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or subsequent measurement of debt issuance costs related to line-of-credit arrangements. ASU 2015-15 allows companies to defer and present debt issuance costs as an asset or as a direct deduction from the carrying amount of that debt liability and subsequently amortize the deferred debt issuance costs ratably over the term of the line-of-credit arrangement, regardless of whether there are any outstanding borrowings of the line-of-credit arrangement. The guidance is effective for reporting periods beginning after December 15, 2015 and interim periods within those fiscal years with early adoption permitted. The Company has adopted ASU 2015-15 as of January 1, 2016 and revised its consolidated balance sheets to present debt issuance costs related to debt drawn under a line-of-credit arrangements as a direct deduction from debt rather than within other assets, for all periods presented.</w:t>
      </w:r>
    </w:p>
    <w:p>
      <w:pPr>
        <w:spacing w:after="0" w:line="5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Business Combinations- Simplifying the Accounting for Measurement-Period Adjustments</w:t>
      </w:r>
      <w:r>
        <w:rPr>
          <w:rFonts w:ascii="Arial" w:cs="Arial" w:eastAsia="Arial" w:hAnsi="Arial"/>
          <w:sz w:val="16"/>
          <w:szCs w:val="16"/>
          <w:color w:val="auto"/>
        </w:rPr>
        <w:t xml:space="preserve"> (“ASU 2015-16”)</w:t>
      </w:r>
      <w:r>
        <w:rPr>
          <w:rFonts w:ascii="Arial" w:cs="Arial" w:eastAsia="Arial" w:hAnsi="Arial"/>
          <w:sz w:val="16"/>
          <w:szCs w:val="16"/>
          <w:i w:val="1"/>
          <w:iCs w:val="1"/>
          <w:color w:val="auto"/>
        </w:rPr>
        <w:t>.</w:t>
      </w:r>
      <w:r>
        <w:rPr>
          <w:rFonts w:ascii="Arial" w:cs="Arial" w:eastAsia="Arial" w:hAnsi="Arial"/>
          <w:sz w:val="16"/>
          <w:szCs w:val="16"/>
          <w:color w:val="auto"/>
        </w:rPr>
        <w:t xml:space="preserve"> ASU 2015-16 requires an acquirer in a business combination to recognize adjustments to the initial purchase accounting that are identified during the measurement period in the reporting period in which the adjustment amounts are determined. The amendments in this update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No. 2015-16 is effective for annual and interim reporting periods beginning after December 15, 2015. The Company has adopted ASU 2015-16 as of January 1, 2016 and the adoption of this guidance did not have a material impact on the Company's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b w:val="1"/>
          <w:bCs w:val="1"/>
          <w:i w:val="1"/>
          <w:iCs w:val="1"/>
          <w:color w:val="auto"/>
        </w:rPr>
        <w:t>Unadopted Accounting Pronouncements</w:t>
      </w:r>
      <w:r>
        <w:rPr>
          <w:rFonts w:ascii="Arial" w:cs="Arial" w:eastAsia="Arial" w:hAnsi="Arial"/>
          <w:sz w:val="16"/>
          <w:szCs w:val="16"/>
          <w:color w:val="auto"/>
        </w:rPr>
        <w:t>—In May 2014, the FASB issued ASU 2014-09,</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Deferral of the Effective Date, </w:t>
      </w:r>
      <w:r>
        <w:rPr>
          <w:rFonts w:ascii="Arial" w:cs="Arial" w:eastAsia="Arial" w:hAnsi="Arial"/>
          <w:sz w:val="16"/>
          <w:szCs w:val="16"/>
          <w:color w:val="auto"/>
        </w:rPr>
        <w:t>to defer the effective date of ASU 2014-09 by one year, making it effective for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periods beginning after December 15, 2017 while also providing for early adoption but not before the original effective date. The Company is currently evaluating the impact of adopting this new guidance on its consolidated financial statements.</w:t>
      </w:r>
    </w:p>
    <w:p>
      <w:pPr>
        <w:spacing w:after="0" w:line="16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August 2015, the FASB issued ASU No. 2015-11, </w:t>
      </w:r>
      <w:r>
        <w:rPr>
          <w:rFonts w:ascii="Arial" w:cs="Arial" w:eastAsia="Arial" w:hAnsi="Arial"/>
          <w:sz w:val="18"/>
          <w:szCs w:val="18"/>
          <w:i w:val="1"/>
          <w:iCs w:val="1"/>
          <w:color w:val="auto"/>
        </w:rPr>
        <w:t>“Simplifying the Measurement of Inventory” (Topic 330)</w:t>
      </w:r>
      <w:r>
        <w:rPr>
          <w:rFonts w:ascii="Arial" w:cs="Arial" w:eastAsia="Arial" w:hAnsi="Arial"/>
          <w:sz w:val="18"/>
          <w:szCs w:val="18"/>
          <w:color w:val="auto"/>
        </w:rPr>
        <w:t xml:space="preserve"> (“ASU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standard will be effective for fiscal years beginning after December 15, 2016, with earlier adoption permitted. The Company is currently evaluating the impact of adopting this new guidance on its consolidated financial statements.</w:t>
      </w:r>
    </w:p>
    <w:p>
      <w:pPr>
        <w:spacing w:after="0" w:line="8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requires (i) equity investments, except those accounted for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or those that result in consolidation of the investee, to be measured at fair value with changes in fair value recognized in net income,</w:t>
      </w:r>
    </w:p>
    <w:p>
      <w:pPr>
        <w:jc w:val="both"/>
        <w:ind w:left="660" w:hanging="4"/>
        <w:spacing w:after="0" w:line="252"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194"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1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 March 2016, the FASB issued ASU 2016-06, </w:t>
      </w:r>
      <w:r>
        <w:rPr>
          <w:rFonts w:ascii="Arial" w:cs="Arial" w:eastAsia="Arial" w:hAnsi="Arial"/>
          <w:sz w:val="18"/>
          <w:szCs w:val="18"/>
          <w:i w:val="1"/>
          <w:iCs w:val="1"/>
          <w:color w:val="auto"/>
        </w:rPr>
        <w:t>Contingent put and call options in debt instruments</w:t>
      </w:r>
      <w:r>
        <w:rPr>
          <w:rFonts w:ascii="Arial" w:cs="Arial" w:eastAsia="Arial" w:hAnsi="Arial"/>
          <w:sz w:val="18"/>
          <w:szCs w:val="18"/>
          <w:color w:val="auto"/>
        </w:rPr>
        <w:t xml:space="preserve"> ("ASU 2016-06"). ASU 2016-06 simplifies the embedded derivative analysis for debt instruments containing contingent call or put options. ASU 2016-06 will be effective fiscal years beginning after December 15, 2016, and interim periods within those fiscal years, with early adoption permitted. The Company is currently evaluating the impact of adopting this new guidance on its consolidated financial statements.</w:t>
      </w:r>
    </w:p>
    <w:p>
      <w:pPr>
        <w:spacing w:after="0" w:line="18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March 2016, the FASB issued ASU 2016-08, </w:t>
      </w:r>
      <w:r>
        <w:rPr>
          <w:rFonts w:ascii="Arial" w:cs="Arial" w:eastAsia="Arial" w:hAnsi="Arial"/>
          <w:sz w:val="18"/>
          <w:szCs w:val="18"/>
          <w:i w:val="1"/>
          <w:iCs w:val="1"/>
          <w:color w:val="auto"/>
        </w:rPr>
        <w:t>Revenue from Contracts with Customers (Topic 606): Principal versus Agent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Revenue Gross versus Net) </w:t>
      </w:r>
      <w:r>
        <w:rPr>
          <w:rFonts w:ascii="Arial" w:cs="Arial" w:eastAsia="Arial" w:hAnsi="Arial"/>
          <w:sz w:val="18"/>
          <w:szCs w:val="18"/>
          <w:color w:val="auto"/>
        </w:rPr>
        <w:t>("ASU 2016-08"). ASU 2016-08 clarifies how an entity should identify the unit of accounting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versus agent evaluation, how it should apply the control principle to certain types of arrangements, and provides indicators of when an entity controls the good or service and is acting as principal. ASU 2016-08 will be effective beginning in the first quarter of 2018, with early adoption permitted in the first quarter of 2017. The Company is currently evaluating the impact of adopting this new guidance on its consolidated financial statements.</w:t>
      </w:r>
    </w:p>
    <w:p>
      <w:pPr>
        <w:spacing w:after="0" w:line="193"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will be effective beginning in the first quarter of 2017, with early adoption permitted. The Company is currently evaluating the impact of adopting this new guidance on its consolidated financial statements.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 xml:space="preserve">In April 2016, the FASB issued ASU 2016-10, </w:t>
      </w:r>
      <w:r>
        <w:rPr>
          <w:rFonts w:ascii="Arial" w:cs="Arial" w:eastAsia="Arial" w:hAnsi="Arial"/>
          <w:sz w:val="17"/>
          <w:szCs w:val="17"/>
          <w:i w:val="1"/>
          <w:iCs w:val="1"/>
          <w:color w:val="auto"/>
        </w:rPr>
        <w:t>Revenue from contracts with customers (Topic 606): Identifying performance obligations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licensing. </w:t>
      </w:r>
      <w:r>
        <w:rPr>
          <w:rFonts w:ascii="Arial" w:cs="Arial" w:eastAsia="Arial" w:hAnsi="Arial"/>
          <w:sz w:val="17"/>
          <w:szCs w:val="17"/>
          <w:color w:val="auto"/>
        </w:rPr>
        <w:t>ASU 2016-10 clarifies guidance related to identifying performance obligations and licensing implementation guidance contained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new revenue recognition standard. The Update includes targeted improvements based on input the Board received from the Transition Resource Group for Revenue Recognition and other stakeholders. The effective date and transition requirements for the amendments in this Update are the same as the effective date and transition requirements in Topic 606 (and any other Topic amended by ASU 2014-09). ASU 2015-14,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 Deferral of the Effective Date</w:t>
      </w:r>
      <w:r>
        <w:rPr>
          <w:rFonts w:ascii="Arial" w:cs="Arial" w:eastAsia="Arial" w:hAnsi="Arial"/>
          <w:sz w:val="17"/>
          <w:szCs w:val="17"/>
          <w:color w:val="auto"/>
        </w:rPr>
        <w:t>, defers the effective date of Update 2014-09 by one year. The Company is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evaluating the impact of adopting this new guidance on its consolidated financial statements.</w:t>
      </w:r>
    </w:p>
    <w:p>
      <w:pPr>
        <w:spacing w:after="0" w:line="17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In May 2016, the FASB issued ASU 2016-11, </w:t>
      </w:r>
      <w:r>
        <w:rPr>
          <w:rFonts w:ascii="Arial" w:cs="Arial" w:eastAsia="Arial" w:hAnsi="Arial"/>
          <w:sz w:val="17"/>
          <w:szCs w:val="17"/>
          <w:i w:val="1"/>
          <w:iCs w:val="1"/>
          <w:color w:val="auto"/>
        </w:rPr>
        <w:t>Revenue Recognition (Topic 605) and Derivatives and Hedging (Topic 815): Rescission of SEC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Guidance Because of Accounting Standards Updates 2014-09 and 2014-16 Pursuant to Staff Announcements at the March 3, 2016 EITF Meeting. </w:t>
      </w:r>
      <w:r>
        <w:rPr>
          <w:rFonts w:ascii="Arial" w:cs="Arial" w:eastAsia="Arial" w:hAnsi="Arial"/>
          <w:sz w:val="17"/>
          <w:szCs w:val="17"/>
          <w:color w:val="auto"/>
        </w:rPr>
        <w:t>The Company is currently evaluating the impact of adopting this new guidance on its consolidated financial statements.</w:t>
      </w:r>
    </w:p>
    <w:p>
      <w:pPr>
        <w:spacing w:after="0" w:line="166"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 xml:space="preserve">In May 2016, the FASB issued ASU 2016-12, </w:t>
      </w:r>
      <w:r>
        <w:rPr>
          <w:rFonts w:ascii="Arial" w:cs="Arial" w:eastAsia="Arial" w:hAnsi="Arial"/>
          <w:sz w:val="16"/>
          <w:szCs w:val="16"/>
          <w:i w:val="1"/>
          <w:iCs w:val="1"/>
          <w:color w:val="auto"/>
        </w:rPr>
        <w:t>Revenue from contracts with customers (Topic 606): Narrow-scope improvements and practical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expedients. ASU 2016-12 </w:t>
      </w:r>
      <w:r>
        <w:rPr>
          <w:rFonts w:ascii="Arial" w:cs="Arial" w:eastAsia="Arial" w:hAnsi="Arial"/>
          <w:sz w:val="16"/>
          <w:szCs w:val="16"/>
          <w:color w:val="auto"/>
        </w:rPr>
        <w:t>addresses narrow-scope improvements to the guidance on collectability, noncash consideration, and completed contracts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transition. Additionally, the amendments in this ASU provide a practical expedient for contract modifications at transition and an accounting policy election related to the presentation of sales taxes and other similar taxes collected from customers. The effective date and transition requirements for the amendments in this Update are the same as the effective date and transition requirements in Topic 606 (and any other Topic amended by ASU 2014-09).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defers the effective date of Update 2014-09 by one year. The Company is currently evaluating the impact of adopting this new guidance on its consolidated financial statements.</w:t>
      </w:r>
    </w:p>
    <w:p>
      <w:pPr>
        <w:spacing w:after="0" w:line="167"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assets held at amortized cost basis, ASU 2016-13 eliminates the probable initial recognition threshold in current GAAP and,</w:t>
      </w:r>
      <w:r>
        <w:rPr>
          <w:rFonts w:ascii="Arial" w:cs="Arial" w:eastAsia="Arial" w:hAnsi="Arial"/>
          <w:sz w:val="17"/>
          <w:szCs w:val="17"/>
          <w:i w:val="1"/>
          <w:iCs w:val="1"/>
          <w:color w:val="auto"/>
        </w:rPr>
        <w:t xml:space="preserve"> </w:t>
      </w:r>
      <w:r>
        <w:rPr>
          <w:rFonts w:ascii="Arial" w:cs="Arial" w:eastAsia="Arial" w:hAnsi="Arial"/>
          <w:sz w:val="17"/>
          <w:szCs w:val="17"/>
          <w:color w:val="auto"/>
        </w:rPr>
        <w:t>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28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LEASING EQUIPMENT,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Leasing equipment, net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820"/>
              <w:spacing w:after="0"/>
              <w:rPr>
                <w:sz w:val="20"/>
                <w:szCs w:val="20"/>
                <w:color w:val="auto"/>
              </w:rPr>
            </w:pPr>
            <w:r>
              <w:rPr>
                <w:rFonts w:ascii="Arial" w:cs="Arial" w:eastAsia="Arial" w:hAnsi="Arial"/>
                <w:sz w:val="16"/>
                <w:szCs w:val="16"/>
                <w:b w:val="1"/>
                <w:bCs w:val="1"/>
                <w:color w:val="auto"/>
              </w:rPr>
              <w:t>June 30, 2016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511,072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741,054</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(46,258)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(61,320)</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679,734</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452,602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184,284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681,212</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(44,531)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636,681</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During the six months ended June 30, 2016, the Company acquired six aircraft and eight commercial jet engines and sold three commercial jet engines. Depreciation expense for leasing equipment for the three and six months ended June 30, 2016 was $10,451 and $19,743, respectively. Depreciation expense for leasing equipment for the three and six months ended June 30, 2015 was $7,162 and $14,184, respectively.</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FINANCE LEASES,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leases, net are summarized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2016</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December 31, 2015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Offshore Energy</w:t>
            </w:r>
          </w:p>
        </w:tc>
        <w:tc>
          <w:tcPr>
            <w:tcW w:w="140" w:type="dxa"/>
            <w:vAlign w:val="bottom"/>
          </w:tcPr>
          <w:p>
            <w:pPr>
              <w:spacing w:after="0"/>
              <w:rPr>
                <w:sz w:val="18"/>
                <w:szCs w:val="18"/>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Shipping</w:t>
            </w:r>
          </w:p>
        </w:tc>
        <w:tc>
          <w:tcPr>
            <w:tcW w:w="340" w:type="dxa"/>
            <w:vAlign w:val="bottom"/>
          </w:tcPr>
          <w:p>
            <w:pPr>
              <w:spacing w:after="0"/>
              <w:rPr>
                <w:sz w:val="18"/>
                <w:szCs w:val="18"/>
                <w:color w:val="auto"/>
              </w:rPr>
            </w:pPr>
          </w:p>
        </w:tc>
        <w:tc>
          <w:tcPr>
            <w:tcW w:w="11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5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Containers</w:t>
            </w: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102,369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(19,848)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During the six months ended June 30, 2016, the Company completed the sale of approximately 42,000 shipping containers that were subject to direct finance leases for a modest gain.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June 30, 2016, future minimum lease payments to be received under finance leases for the remainder of the lease terms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2,008</w:t>
            </w:r>
          </w:p>
        </w:tc>
      </w:tr>
      <w:tr>
        <w:trPr>
          <w:trHeight w:val="33"/>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2,008</w:t>
            </w:r>
          </w:p>
        </w:tc>
      </w:tr>
      <w:tr>
        <w:trPr>
          <w:trHeight w:val="33"/>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9,987</w:t>
            </w:r>
          </w:p>
        </w:tc>
      </w:tr>
      <w:tr>
        <w:trPr>
          <w:trHeight w:val="33"/>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19,035</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6360" w:hanging="652"/>
        <w:spacing w:after="0" w:line="445"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net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2016</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site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35,539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38,907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236,002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236,002</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17,433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944</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288,230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319,390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(15,646)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(19,650)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Spare parts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2,831</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27,156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275,415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302,571</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site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55,034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55,927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210,857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210,857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1,050</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27,599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282,465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310,064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(13,215)</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Spare parts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2,829</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24,692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274,986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299,678</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During six months ended June 30, 2016 additional property, plant and equipment of $9,406 was acquired, and is mainly related to crude oil machinery and equipment and railcars and locomotives. During the six months ended June 30, 2016, disposals of railroad equipment totaled $78. Depreciation expense for property, plant and equipment was $3,350 and $6,376, for the three and six months ended June 30, 2016, respectively. Depreciation expense for property, plant and equipment was $2,705 and $5,350, for the three and six months ended June 30, 2015,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121"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2012, the Company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 Company does not have unilateral rights over this investment; therefore, the Company does not consolidate Intermodal Finance I Ltd. but accounts for this investment in accordance with the equity method. The Company does not have a variable interest in this investment as none of the criteria of ASC 810-10-15-14 were met.</w:t>
      </w:r>
    </w:p>
    <w:p>
      <w:pPr>
        <w:spacing w:after="0" w:line="6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Intermodal owns a portfolio of multiple finance leases, representing six customers and comprising approximately 54,000 shipping containers, as well as a portfolio of approximately 34,000 shipping containers subject to multiple operating leases. As of June 30, 2016 and December 31, 2015, the carrying value of this investment was $9,976 and $10,675, respectively.</w:t>
      </w:r>
    </w:p>
    <w:p>
      <w:pPr>
        <w:spacing w:after="0" w:line="7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Summary financial information for Intermodal is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3,060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4,176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6,461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8,494</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1,858</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3,856</w:t>
            </w:r>
          </w:p>
        </w:tc>
      </w:tr>
      <w:tr>
        <w:trPr>
          <w:trHeight w:val="291"/>
        </w:trPr>
        <w:tc>
          <w:tcPr>
            <w:tcW w:w="56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Loss on disposal of equipment</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other loss</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4,621</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2,297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4,621</w:t>
            </w:r>
          </w:p>
        </w:tc>
      </w:tr>
      <w:tr>
        <w:trPr>
          <w:trHeight w:val="284"/>
        </w:trPr>
        <w:tc>
          <w:tcPr>
            <w:tcW w:w="5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Company's equity in (losses) earnings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2,466</w:t>
            </w:r>
          </w:p>
        </w:tc>
      </w:tr>
      <w:tr>
        <w:trPr>
          <w:trHeight w:val="3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31,</w:t>
            </w:r>
          </w:p>
        </w:tc>
      </w:tr>
      <w:tr>
        <w:trPr>
          <w:trHeight w:val="270"/>
        </w:trPr>
        <w:tc>
          <w:tcPr>
            <w:tcW w:w="7900" w:type="dxa"/>
            <w:vAlign w:val="bottom"/>
          </w:tcPr>
          <w:p>
            <w:pPr>
              <w:spacing w:after="0"/>
              <w:rPr>
                <w:sz w:val="23"/>
                <w:szCs w:val="23"/>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3,941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4,796</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1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1,153</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Leasing equipment, net of accumulated depreciation of $9,576 and $7,305, respectively</w:t>
            </w:r>
          </w:p>
        </w:tc>
        <w:tc>
          <w:tcPr>
            <w:tcW w:w="11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w w:val="85"/>
              </w:rPr>
              <w:t>39,476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47,735</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5"/>
              </w:rPr>
              <w:t>25,158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34,261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1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5"/>
              </w:rPr>
              <w:t>73,850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90,093</w:t>
            </w:r>
          </w:p>
        </w:tc>
      </w:tr>
      <w:tr>
        <w:trPr>
          <w:trHeight w:val="291"/>
        </w:trPr>
        <w:tc>
          <w:tcPr>
            <w:tcW w:w="7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11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Syndication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Debt, net</w:t>
            </w:r>
          </w:p>
        </w:tc>
        <w:tc>
          <w:tcPr>
            <w:tcW w:w="11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w w:val="85"/>
              </w:rPr>
              <w:t>68,790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82,991</w:t>
            </w: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5"/>
              </w:rPr>
              <w:t>71,526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86,804</w:t>
            </w: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members’ equity</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3,289</w:t>
            </w:r>
          </w:p>
        </w:tc>
      </w:tr>
      <w:tr>
        <w:trPr>
          <w:trHeight w:val="33"/>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members’ equity</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5"/>
              </w:rPr>
              <w:t>73,850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90,093</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investment in and advances to unconsolidated entities</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r>
      <w:tr>
        <w:trPr>
          <w:trHeight w:val="20"/>
        </w:trPr>
        <w:tc>
          <w:tcPr>
            <w:tcW w:w="7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INTANGIBLE ASSETS AND LIABILITIES,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and liabilities,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June 30, 2016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24,241</w:t>
            </w:r>
          </w:p>
        </w:tc>
        <w:tc>
          <w:tcPr>
            <w:tcW w:w="12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24,241</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10,585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10,585</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35,514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35,739</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(6,592)</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29,019</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128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29,147</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10,585</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29,019</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128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39,732</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22,881</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22,881</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13,184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30,945</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44,129</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Intangible liabilities relate to unfavorable lease intangibles and are included as a component of other liabilities in the accompanying Consolidated Balance Sheets.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intangible assets and liabilities is recorded in the Consolidated Statements of Operations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9"/>
              </w:rPr>
              <w:t>Classification in Consolidated Statements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0"/>
              </w:rPr>
              <w:t>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4"/>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31"/>
        </w:trPr>
        <w:tc>
          <w:tcPr>
            <w:tcW w:w="2520" w:type="dxa"/>
            <w:vAlign w:val="bottom"/>
          </w:tcPr>
          <w:p>
            <w:pPr>
              <w:spacing w:after="0"/>
              <w:rPr>
                <w:sz w:val="20"/>
                <w:szCs w:val="20"/>
                <w:color w:val="auto"/>
              </w:rPr>
            </w:pPr>
          </w:p>
        </w:tc>
        <w:tc>
          <w:tcPr>
            <w:tcW w:w="2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25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intangibles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Equipment leasing revenues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3,793</w:t>
            </w: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31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1,793</w:t>
            </w:r>
          </w:p>
        </w:tc>
      </w:tr>
      <w:tr>
        <w:trPr>
          <w:trHeight w:val="33"/>
        </w:trPr>
        <w:tc>
          <w:tcPr>
            <w:tcW w:w="25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5,586</w:t>
            </w:r>
          </w:p>
        </w:tc>
      </w:tr>
      <w:tr>
        <w:trPr>
          <w:trHeight w:val="20"/>
        </w:trPr>
        <w:tc>
          <w:tcPr>
            <w:tcW w:w="2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2016, estimated net annual amortization of intangibles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19"/>
              <w:spacing w:after="0"/>
              <w:rPr>
                <w:sz w:val="20"/>
                <w:szCs w:val="20"/>
                <w:color w:val="auto"/>
              </w:rPr>
            </w:pPr>
            <w:r>
              <w:rPr>
                <w:rFonts w:ascii="Arial" w:cs="Arial" w:eastAsia="Arial" w:hAnsi="Arial"/>
                <w:sz w:val="16"/>
                <w:szCs w:val="16"/>
                <w:b w:val="1"/>
                <w:bCs w:val="1"/>
                <w:color w:val="auto"/>
              </w:rPr>
              <w:t>Total</w:t>
            </w:r>
          </w:p>
        </w:tc>
      </w:tr>
      <w:tr>
        <w:trPr>
          <w:trHeight w:val="33"/>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4,419</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2017</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6,953</w:t>
            </w:r>
          </w:p>
        </w:tc>
      </w:tr>
      <w:tr>
        <w:trPr>
          <w:trHeight w:val="33"/>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6,138</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4,496</w:t>
            </w:r>
          </w:p>
        </w:tc>
      </w:tr>
      <w:tr>
        <w:trPr>
          <w:trHeight w:val="33"/>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13,027</w:t>
            </w:r>
          </w:p>
        </w:tc>
      </w:tr>
      <w:tr>
        <w:trPr>
          <w:trHeight w:val="33"/>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38,625</w:t>
            </w:r>
          </w:p>
        </w:tc>
      </w:tr>
      <w:tr>
        <w:trPr>
          <w:trHeight w:val="20"/>
        </w:trPr>
        <w:tc>
          <w:tcPr>
            <w:tcW w:w="9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7220" w:type="dxa"/>
            <w:vAlign w:val="bottom"/>
          </w:tcPr>
          <w:p>
            <w:pPr>
              <w:ind w:left="440"/>
              <w:spacing w:after="0"/>
              <w:rPr>
                <w:sz w:val="20"/>
                <w:szCs w:val="20"/>
                <w:color w:val="auto"/>
              </w:rPr>
            </w:pPr>
            <w:r>
              <w:rPr>
                <w:rFonts w:ascii="Arial" w:cs="Arial" w:eastAsia="Arial" w:hAnsi="Arial"/>
                <w:sz w:val="18"/>
                <w:szCs w:val="18"/>
                <w:b w:val="1"/>
                <w:bCs w:val="1"/>
                <w:color w:val="auto"/>
              </w:rPr>
              <w:t>DEBT, NET</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The Company's debt, net is summarized as follows: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2016</w:t>
            </w:r>
          </w:p>
        </w:tc>
        <w:tc>
          <w:tcPr>
            <w:tcW w:w="200" w:type="dxa"/>
            <w:vAlign w:val="bottom"/>
          </w:tcPr>
          <w:p>
            <w:pPr>
              <w:spacing w:after="0"/>
              <w:rPr>
                <w:sz w:val="24"/>
                <w:szCs w:val="24"/>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2015</w:t>
            </w:r>
          </w:p>
        </w:tc>
        <w:tc>
          <w:tcPr>
            <w:tcW w:w="0" w:type="dxa"/>
            <w:vAlign w:val="bottom"/>
          </w:tcPr>
          <w:p>
            <w:pPr>
              <w:spacing w:after="0"/>
              <w:rPr>
                <w:sz w:val="1"/>
                <w:szCs w:val="1"/>
                <w:color w:val="auto"/>
              </w:rPr>
            </w:pPr>
          </w:p>
        </w:tc>
      </w:tr>
      <w:tr>
        <w:trPr>
          <w:trHeight w:val="33"/>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Loans payable</w:t>
            </w: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Container Loan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34,761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Container Loan #2</w:t>
            </w:r>
          </w:p>
        </w:tc>
        <w:tc>
          <w:tcPr>
            <w:tcW w:w="3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11,338</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FTAI Pride Credit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67,188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CMQR Credit Agreement</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12,625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9,407</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Jefferson Terminal Credit Agreement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98,750</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loans payable</w:t>
            </w: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76,687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221,444</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Bonds payable</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w w:val="94"/>
              </w:rPr>
              <w:t>Series 2012 Bonds (including unamortized premium of $1,724 and $1,751 at June 30, 2016 and December</w:t>
            </w: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31, 2015, respectively)</w:t>
            </w:r>
          </w:p>
        </w:tc>
        <w:tc>
          <w:tcPr>
            <w:tcW w:w="300" w:type="dxa"/>
            <w:vAlign w:val="bottom"/>
          </w:tcPr>
          <w:p>
            <w:pPr>
              <w:spacing w:after="0"/>
              <w:rPr>
                <w:sz w:val="17"/>
                <w:szCs w:val="17"/>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47,234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47,261</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Series 2016 Bonds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bonds payable</w:t>
            </w: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191,434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47,261</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 payable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Note payable to non-controlling interest</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note payable to non-controlling interest</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gridSpan w:val="2"/>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270,473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271,057</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Less: Debt issuance costs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(4,836)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262,908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due within one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24,791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b w:val="1"/>
          <w:bCs w:val="1"/>
          <w:i w:val="1"/>
          <w:iCs w:val="1"/>
          <w:color w:val="auto"/>
        </w:rPr>
        <w:t>Container Loan #1</w:t>
      </w:r>
      <w:r>
        <w:rPr>
          <w:rFonts w:ascii="Arial" w:cs="Arial" w:eastAsia="Arial" w:hAnsi="Arial"/>
          <w:sz w:val="16"/>
          <w:szCs w:val="16"/>
          <w:color w:val="auto"/>
        </w:rPr>
        <w:t>—On December 27, 2012, a subsidiary of the Company entered into a Credit Agreement (“Container Loan #1”) with a bank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initial aggregate amount of approximately $55,991 in connection with the acquisition of a portfolio of shipping containers subject to finance leases. Container Loan #1 required monthly payments of interest and scheduled principal payments through its maturity on December 27, 2017 and could be prepaid without penalty after the third anniversary of the closing of the loan. In connection with Container Loan #1, the Company entered into an interest rate swap agreement (the “Swap”) on January 17, 2013 with respect to 70% of the outstanding balance of Container Loan #1 and designated as a cash flow hedge which fixed the LIBOR rate at 0.681%. During the first quarter of 2016, all amounts outstanding under Container Loan #1 and the Swap were paid in full using the proceeds from the sale of the underlying assets, and such agreements were terminated.</w:t>
      </w:r>
    </w:p>
    <w:p>
      <w:pPr>
        <w:spacing w:after="0" w:line="5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b w:val="1"/>
          <w:bCs w:val="1"/>
          <w:i w:val="1"/>
          <w:iCs w:val="1"/>
          <w:color w:val="auto"/>
        </w:rPr>
        <w:t>Container Loan #2</w:t>
      </w:r>
      <w:r>
        <w:rPr>
          <w:rFonts w:ascii="Arial" w:cs="Arial" w:eastAsia="Arial" w:hAnsi="Arial"/>
          <w:sz w:val="17"/>
          <w:szCs w:val="17"/>
          <w:color w:val="auto"/>
        </w:rPr>
        <w:t>—On August 15, 2013, a subsidiary of the Company entered into a Credit Agreement (“Container Loan #2”) with a bank for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 aggregate amount of approximately $21,548 in connection with the acquisition of a portfolio of shipping containers subject to finance leases. Container Loan #2 required quarterly payments of interest and scheduled principal payments through its maturity on August 28, 2018 and could be prepaid without penalty at any time. In connection with Container Loan #2, the Company entered into an interest rate cap agreement (the “Cap”) on September 20, 2013, with respect to 50% of the portion of the outstanding balance of Container Loan #2, not designated as a cash flow hedge, which capped LIBOR at 2.5%. During the first quarter of 2016, all amounts outstanding under Container Loan #2 and the Cap were paid in full using the proceeds from the sale of the underlying assets, and such agreements were terminated.</w:t>
      </w:r>
    </w:p>
    <w:p>
      <w:pPr>
        <w:spacing w:after="0" w:line="7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FTAI Pride Credit Agreement</w:t>
      </w:r>
      <w:r>
        <w:rPr>
          <w:rFonts w:ascii="Arial" w:cs="Arial" w:eastAsia="Arial" w:hAnsi="Arial"/>
          <w:sz w:val="17"/>
          <w:szCs w:val="17"/>
          <w:color w:val="auto"/>
        </w:rPr>
        <w:t>—On September 15, 2014, FTAI Pride, LLC, (“FTAI Pride”) a subsidiary of the Company entered into a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CMQR Credit Agreement</w:t>
      </w:r>
      <w:r>
        <w:rPr>
          <w:rFonts w:ascii="Arial" w:cs="Arial" w:eastAsia="Arial" w:hAnsi="Arial"/>
          <w:sz w:val="18"/>
          <w:szCs w:val="18"/>
          <w:color w:val="auto"/>
        </w:rPr>
        <w:t>—On March 28, 2016, CMQR amended its credit agreement (the “CMQR Credit Agreement”) with a 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w:t>
      </w:r>
    </w:p>
    <w:p>
      <w:pPr>
        <w:spacing w:after="0" w:line="8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Jefferson Terminal Credit Agreement</w:t>
      </w:r>
      <w:r>
        <w:rPr>
          <w:rFonts w:ascii="Arial" w:cs="Arial" w:eastAsia="Arial" w:hAnsi="Arial"/>
          <w:sz w:val="17"/>
          <w:szCs w:val="17"/>
          <w:color w:val="auto"/>
        </w:rPr>
        <w:t>—On August 27, 2014, a subsidiary of the Company, entered into a credit agreement (the “Jefferson Terminal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pacing w:after="0" w:line="70"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b w:val="1"/>
          <w:bCs w:val="1"/>
          <w:i w:val="1"/>
          <w:iCs w:val="1"/>
          <w:color w:val="auto"/>
        </w:rPr>
        <w:t>Series 2016 Bonds</w:t>
      </w:r>
      <w:r>
        <w:rPr>
          <w:rFonts w:ascii="Arial" w:cs="Arial" w:eastAsia="Arial" w:hAnsi="Arial"/>
          <w:sz w:val="17"/>
          <w:szCs w:val="17"/>
          <w:color w:val="auto"/>
        </w:rPr>
        <w:t>—On March 7, 2016, the Port of Beaumont Navigation District of Jefferson County, Texas (the “District”) issued $144,200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Dock and 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as well as maintenance of a minimum total asset value of Aviation Assets and minimum total equity of the Company. In connection with the above,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such affiliate, will effectively guarantee a pro rata portion of the obligations under the Standby Bond Purchase Agreement in return for a guarantee fee of $6,873 (shared on the same pro rata basis). This fee will be amortized as interest expense to the redemption date or February 13, 2020.</w:t>
      </w:r>
    </w:p>
    <w:p>
      <w:pPr>
        <w:spacing w:after="0" w:line="71"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was in compliance with all debt covenants as of June 30, 2016.</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9" w:lineRule="exact"/>
        <w:rPr>
          <w:rFonts w:ascii="Arial" w:cs="Arial" w:eastAsia="Arial" w:hAnsi="Arial"/>
          <w:sz w:val="18"/>
          <w:szCs w:val="18"/>
          <w:b w:val="1"/>
          <w:bCs w:val="1"/>
          <w:color w:val="auto"/>
        </w:rPr>
      </w:pPr>
    </w:p>
    <w:p>
      <w:pPr>
        <w:ind w:left="1360" w:hanging="704"/>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its own assumptions about how market participants price the asset or liability.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approach—Uses prices and other relevant information generated by market transactions involving identical or comparable assets or liabilities.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approach—Uses valuation techniques to convert future amounts to a single present amount based on current market expectations about those future amounts.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approach—Based on the amount that currently would be required to replace the service capacity of an asset (replacement cost).</w:t>
      </w:r>
    </w:p>
    <w:p>
      <w:pPr>
        <w:spacing w:after="0" w:line="1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following tables set forth the Company’s financial assets measured at fair value on a recurring basis as of June 30, 2016 and December 31, 2015, by level within the fair value hierarchy. Assets measured at fair value are classified in their entirety based on the lowest level of input that is significant to their fair value measurement.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2016</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2016</w:t>
            </w: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276,208</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276,208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69,614</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69,614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44"/>
        </w:trPr>
        <w:tc>
          <w:tcPr>
            <w:tcW w:w="252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345,822</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345,822</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 2015</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December 31, 2015</w:t>
            </w: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20" w:type="dxa"/>
            <w:vAlign w:val="bottom"/>
            <w:gridSpan w:val="3"/>
            <w:vMerge w:val="restart"/>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381,703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381,703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21,610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21,610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244"/>
        </w:trPr>
        <w:tc>
          <w:tcPr>
            <w:tcW w:w="252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403,414</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403,313</w:t>
            </w:r>
          </w:p>
        </w:tc>
        <w:tc>
          <w:tcPr>
            <w:tcW w:w="14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2016 and December 31, 2015, the Company had no liabilities that were measured at fair value on a recurring basis.</w:t>
      </w:r>
    </w:p>
    <w:p>
      <w:pPr>
        <w:spacing w:after="0" w:line="1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Except as discussed below, the Company’s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Company’s notes receivable at June 30, 2016 and December 31, 2015, which is included as a component of other assets on the accompanying Consolidated Balance Sheets, consist of a $3,725 loan bearing interest at 12.0% made to the Company’s joint venture partner in MT 6015 (Note 2) which is collateralized by other property owned by the joint venture partner. At June 30, 2016 and December 31, 2015, the Company's notes receivable also included a $16,988 and $14,869, respectively, loan bearing interest at 10% related to a terminal site under development, collateralized by property at that site. The fair value of these notes receivable approximate carrying value due to both bearing a market rate of interest for similar types of loans and is classified as Level 2 within the fair value hierarchy.</w:t>
      </w:r>
    </w:p>
    <w:p>
      <w:pPr>
        <w:spacing w:after="0" w:line="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fair value of Series 2012 bonds, reported in debt, net on the Consolidated Balance Sheets, was approximately $50,726 and $49,268, respectively, at June 30, 2016 and December 31, 2015, based upon market prices for similar municipal securities. The fair value of Series 2016 bonds, reported in debt, net on the Consolidated Balance Sheets, was approximately $152,106 at June 30, 2016 based upon market prices for similar municipal securities. The fair values of all other items reported as debt, net in the Consolidated Balance Sheet approximate their carrying values due to their bearing market rates of interest, and are classified as Level 2 within the fair value hierarchy.</w:t>
      </w:r>
    </w:p>
    <w:p>
      <w:pPr>
        <w:spacing w:after="0" w:line="6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gridSpan w:val="7"/>
          </w:tcPr>
          <w:p>
            <w:pPr>
              <w:ind w:left="40"/>
              <w:spacing w:after="0"/>
              <w:rPr>
                <w:sz w:val="20"/>
                <w:szCs w:val="20"/>
                <w:color w:val="auto"/>
              </w:rPr>
            </w:pPr>
            <w:r>
              <w:rPr>
                <w:rFonts w:ascii="Arial" w:cs="Arial" w:eastAsia="Arial" w:hAnsi="Arial"/>
                <w:sz w:val="16"/>
                <w:szCs w:val="16"/>
                <w:b w:val="1"/>
                <w:bCs w:val="1"/>
                <w:color w:val="auto"/>
                <w:w w:val="95"/>
              </w:rPr>
              <w:t>Three Months Ended June 30, 2016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2"/>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14,750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580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15,330</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6,285</w:t>
            </w: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399</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b w:val="1"/>
                <w:bCs w:val="1"/>
                <w:color w:val="auto"/>
              </w:rPr>
              <w:t>Total equipment leasing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22,351</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7,707</w:t>
            </w: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3,137</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10,844</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21,347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3,137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7,707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33,195</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gridSpan w:val="7"/>
          </w:tcPr>
          <w:p>
            <w:pPr>
              <w:ind w:left="40"/>
              <w:spacing w:after="0"/>
              <w:rPr>
                <w:sz w:val="20"/>
                <w:szCs w:val="20"/>
                <w:color w:val="auto"/>
              </w:rPr>
            </w:pPr>
            <w:r>
              <w:rPr>
                <w:rFonts w:ascii="Arial" w:cs="Arial" w:eastAsia="Arial" w:hAnsi="Arial"/>
                <w:sz w:val="16"/>
                <w:szCs w:val="16"/>
                <w:b w:val="1"/>
                <w:bCs w:val="1"/>
                <w:color w:val="auto"/>
                <w:w w:val="95"/>
              </w:rPr>
              <w:t>Three Months Ended June 30, 2015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2"/>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9,808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16,145</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3,999</w:t>
            </w: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2,288</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b w:val="1"/>
                <w:bCs w:val="1"/>
                <w:color w:val="auto"/>
              </w:rPr>
              <w:t>Total equipment leasing revenues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22,633</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1,410</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5,558</w:t>
            </w: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3,963</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10,931</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5,373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33,564</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spacing w:after="0"/>
              <w:rPr>
                <w:sz w:val="20"/>
                <w:szCs w:val="20"/>
                <w:color w:val="auto"/>
              </w:rPr>
            </w:pPr>
            <w:r>
              <w:rPr>
                <w:rFonts w:ascii="Arial" w:cs="Arial" w:eastAsia="Arial" w:hAnsi="Arial"/>
                <w:sz w:val="16"/>
                <w:szCs w:val="16"/>
                <w:b w:val="1"/>
                <w:bCs w:val="1"/>
                <w:color w:val="auto"/>
                <w:w w:val="98"/>
              </w:rPr>
              <w:t>Six Months Ended June 30, 2016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27,597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28,252</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11,391</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1,921</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39,300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41,926</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15,706</w:t>
            </w: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7,016</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22,722</w:t>
            </w:r>
          </w:p>
        </w:tc>
      </w:tr>
      <w:tr>
        <w:trPr>
          <w:trHeight w:val="24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39,300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15,706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64,648</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spacing w:after="0"/>
              <w:rPr>
                <w:sz w:val="20"/>
                <w:szCs w:val="20"/>
                <w:color w:val="auto"/>
              </w:rPr>
            </w:pPr>
            <w:r>
              <w:rPr>
                <w:rFonts w:ascii="Arial" w:cs="Arial" w:eastAsia="Arial" w:hAnsi="Arial"/>
                <w:sz w:val="16"/>
                <w:szCs w:val="16"/>
                <w:b w:val="1"/>
                <w:bCs w:val="1"/>
                <w:color w:val="auto"/>
                <w:w w:val="98"/>
              </w:rPr>
              <w:t>Six Months Ended June 30, 2015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19,547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12,603</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32,150</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7,385</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4,599</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1,537</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28,052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13,799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45,671</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2,820</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11,847</w:t>
            </w: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7,199</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21,866</w:t>
            </w:r>
          </w:p>
        </w:tc>
      </w:tr>
      <w:tr>
        <w:trPr>
          <w:trHeight w:val="24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28,052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13,799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3,820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11,847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67,537</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Minimum future annual revenues contracted to be received under existing operating leases of equipment as of June 30, 2016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19"/>
              <w:spacing w:after="0"/>
              <w:rPr>
                <w:sz w:val="20"/>
                <w:szCs w:val="20"/>
                <w:color w:val="auto"/>
              </w:rPr>
            </w:pPr>
            <w:r>
              <w:rPr>
                <w:rFonts w:ascii="Arial" w:cs="Arial" w:eastAsia="Arial" w:hAnsi="Arial"/>
                <w:sz w:val="16"/>
                <w:szCs w:val="16"/>
                <w:b w:val="1"/>
                <w:bCs w:val="1"/>
                <w:color w:val="auto"/>
              </w:rPr>
              <w:t>Total</w:t>
            </w:r>
          </w:p>
        </w:tc>
      </w:tr>
      <w:tr>
        <w:trPr>
          <w:trHeight w:val="33"/>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34,165</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2017</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55,186</w:t>
            </w:r>
          </w:p>
        </w:tc>
      </w:tr>
      <w:tr>
        <w:trPr>
          <w:trHeight w:val="33"/>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39,567</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20,456</w:t>
            </w:r>
          </w:p>
        </w:tc>
      </w:tr>
      <w:tr>
        <w:trPr>
          <w:trHeight w:val="33"/>
        </w:trPr>
        <w:tc>
          <w:tcPr>
            <w:tcW w:w="9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9,808</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4,595</w:t>
            </w:r>
          </w:p>
        </w:tc>
      </w:tr>
      <w:tr>
        <w:trPr>
          <w:trHeight w:val="33"/>
        </w:trPr>
        <w:tc>
          <w:tcPr>
            <w:tcW w:w="9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163,777</w:t>
            </w:r>
          </w:p>
        </w:tc>
      </w:tr>
      <w:tr>
        <w:trPr>
          <w:trHeight w:val="20"/>
        </w:trPr>
        <w:tc>
          <w:tcPr>
            <w:tcW w:w="9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7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June 30, 2016, the Incentive Plan provides for the issuance of up to 30.0 million shares. The Company accounts for equity-based compensation expense in accordance with Accounting Standards Codification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and is reported within operating expenses and general and administrative in the Consolidated Statements of Operations.</w:t>
      </w:r>
    </w:p>
    <w:p>
      <w:pPr>
        <w:spacing w:after="0" w:line="73" w:lineRule="exact"/>
        <w:rPr>
          <w:rFonts w:ascii="Arial" w:cs="Arial" w:eastAsia="Arial" w:hAnsi="Arial"/>
          <w:sz w:val="18"/>
          <w:szCs w:val="18"/>
          <w:b w:val="1"/>
          <w:bCs w:val="1"/>
          <w:color w:val="auto"/>
        </w:rPr>
      </w:pPr>
    </w:p>
    <w:p>
      <w:pPr>
        <w:ind w:left="660" w:right="524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 xml:space="preserve">Information on equity based compensation as of June 30, 2016 is as follows: </w:t>
      </w:r>
      <w:r>
        <w:rPr>
          <w:rFonts w:ascii="Arial" w:cs="Arial" w:eastAsia="Arial" w:hAnsi="Arial"/>
          <w:sz w:val="18"/>
          <w:szCs w:val="18"/>
          <w:i w:val="1"/>
          <w:iCs w:val="1"/>
          <w:color w:val="auto"/>
        </w:rPr>
        <w:t>Stock Options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 Average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 Price</w:t>
            </w: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Contractual Term</w:t>
            </w:r>
          </w:p>
        </w:tc>
        <w:tc>
          <w:tcPr>
            <w:tcW w:w="14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5620" w:type="dxa"/>
            <w:vAlign w:val="bottom"/>
          </w:tcPr>
          <w:p>
            <w:pPr>
              <w:ind w:left="16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500" w:type="dxa"/>
            <w:vAlign w:val="bottom"/>
            <w:gridSpan w:val="2"/>
          </w:tcPr>
          <w:p>
            <w:pPr>
              <w:ind w:left="400"/>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40" w:type="dxa"/>
            <w:vAlign w:val="bottom"/>
          </w:tcPr>
          <w:p>
            <w:pPr>
              <w:spacing w:after="0"/>
              <w:rPr>
                <w:sz w:val="18"/>
                <w:szCs w:val="18"/>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 outstanding at January 1, 2016</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60"/>
              <w:spacing w:after="0"/>
              <w:rPr>
                <w:sz w:val="20"/>
                <w:szCs w:val="20"/>
                <w:color w:val="auto"/>
              </w:rPr>
            </w:pPr>
            <w:r>
              <w:rPr>
                <w:rFonts w:ascii="Arial" w:cs="Arial" w:eastAsia="Arial" w:hAnsi="Arial"/>
                <w:sz w:val="16"/>
                <w:szCs w:val="16"/>
                <w:color w:val="auto"/>
              </w:rPr>
              <w:t>Forfeited and canceled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outstanding and exercisable as of June 30, 2016</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16.98</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granted equity based compensation to employees of a subsidiary consisting of 1.3 million restricted shares of such subsidiary’s equity instruments in exchange for services to be provided. At issuance, the restricted shares had an assumed forfeiture rate of zero. One award for 1.25 million restricted shares can vest in three tranches over three years, subject to continued employment and the achievement of three separate performance conditions based on EBITDA for that subsidiary, as defined. The award expires in August 2017. The award is equity based, with compensation expense recognized ratably over the remaining service period when it is probable that the performance conditions will be achieved. The grant date fair value of the award is $23,879 which was based on the fair value per share on August 27, 2014, the date of grant, and estimated using a market approach. During the six months ended June 30, 2016, the achievement of all performance conditions was not deemed probable and accordingly, a $4,402 expense previously recognized in prior periods was reversed in Operating Expenses in the Consolidated Statement of Operations.</w:t>
      </w:r>
    </w:p>
    <w:p>
      <w:pPr>
        <w:spacing w:after="0" w:line="8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A second award, expected to vest over four years, was partially accelerated and the remainder forfeited, according to the original terms of the agreement, when employment ended during first quarter of 2016. The grant date fair value of the award was $800, based on the fair value per share on the date of grant, estimated using a market approach. As of June 30, 2016, 50% of this award vested, with the remaining 50% forfeited. In lieu of delivering the vested shares, the Company paid $200 in cash to the former employee in accordance with the amended terms of the agreement during the three and six months ended June 30, 2016, effectively terminating and canceling the awards.</w:t>
      </w:r>
    </w:p>
    <w:p>
      <w:pPr>
        <w:spacing w:after="0" w:line="6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June 30, 2016, 1.25 million restricted shares were unvested and outstanding and no restricted shares were vested and outstanding. All restricted shares were outstanding and unvested December 31, 2015.</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Units</w:t>
      </w:r>
    </w:p>
    <w:p>
      <w:pPr>
        <w:spacing w:after="0" w:line="117"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has granted equity based compensation to employees of a subsidiary consisting of 1.4 million common units of such subsidiary’s equity instruments with an aggregate grant date fair value of $1,688 in exchange for services to be provided. The awards have varying terms, ranging between 16 and 36 months, and vest subject to continued employment through each respective vesting date. The awards are equity based, with compensation expense recognized ratably over the vesting periods. The awards have an assumed forfeiture rate of zero. As of June 30, 2016 and December 31, 2015, 150 and 733 common units were nonvested, respectively. During the three and six months ended June 30, 2016, 566,667 and 583,333 common units vested, with a fair value of $699,334 and $722,166,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Statements of Operations includes the following expense (income) related to its stock-based compensation arrangements: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280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w w:val="94"/>
              </w:rPr>
              <w:t>Three Months Ended June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8"/>
                <w:szCs w:val="18"/>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Remaining Expense To Be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28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1"/>
              </w:rPr>
              <w:t>Recognized, If All Vesting</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120" w:type="dxa"/>
            <w:vAlign w:val="bottom"/>
          </w:tcPr>
          <w:p>
            <w:pPr>
              <w:ind w:left="640"/>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Conditions Are Met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Shares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23,879</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Common Units</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24,024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current and deferred components of the income tax expense (benefit) included in the Consolidated Statements of Operations are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60" w:type="dxa"/>
            <w:vAlign w:val="bottom"/>
            <w:gridSpan w:val="4"/>
          </w:tcPr>
          <w:p>
            <w:pPr>
              <w:ind w:left="640"/>
              <w:spacing w:after="0"/>
              <w:rPr>
                <w:sz w:val="20"/>
                <w:szCs w:val="20"/>
                <w:color w:val="auto"/>
              </w:rPr>
            </w:pPr>
            <w:r>
              <w:rPr>
                <w:rFonts w:ascii="Arial" w:cs="Arial" w:eastAsia="Arial" w:hAnsi="Arial"/>
                <w:sz w:val="16"/>
                <w:szCs w:val="16"/>
                <w:b w:val="1"/>
                <w:bCs w:val="1"/>
                <w:color w:val="auto"/>
                <w:w w:val="97"/>
              </w:rPr>
              <w:t>Three Months Ended June 30,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120" w:type="dxa"/>
            <w:vAlign w:val="bottom"/>
          </w:tcPr>
          <w:p>
            <w:pPr>
              <w:ind w:left="640"/>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Federal</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2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Foreign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provision</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318"/>
        </w:trPr>
        <w:tc>
          <w:tcPr>
            <w:tcW w:w="4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Federal</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Foreign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provision</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318"/>
        </w:trPr>
        <w:tc>
          <w:tcPr>
            <w:tcW w:w="4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r>
      <w:tr>
        <w:trPr>
          <w:trHeight w:val="20"/>
        </w:trPr>
        <w:tc>
          <w:tcPr>
            <w:tcW w:w="4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7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Company’s effective tax rate differs from the U.S. federal tax rate of 35% primarily due to a significant portion of its income that is not subject to U.S. corporate tax rates or that is deemed to be foreign sourced and is either not taxable or taxable at effectively lower tax rates.</w:t>
      </w:r>
    </w:p>
    <w:p>
      <w:pPr>
        <w:spacing w:after="0" w:line="3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and for the period ended June 30, 2016,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2012. The Company does not believe that it is reasonably possible that the total amount of unrecognized tax benefits will significantly change within 12 months of the reporting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 AND AFFILIATE TRANSACTIONS</w:t>
      </w:r>
    </w:p>
    <w:p>
      <w:pPr>
        <w:spacing w:after="0" w:line="121"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initial public offering (the “IPO”), the Company entered into a new management agreement with the Manager, (the “Management Agreement”) which replaced its then-existing management agreement as a private fund. Additionally, the Company has entered into certain incentive allocation arrangements with Fortress Worldwide Transportation and Infrastructure Master GP LLC (the "Master GP"), owns 0.05% of the Partnership and is the general partner of the Partnership.</w:t>
      </w:r>
    </w:p>
    <w:p>
      <w:pPr>
        <w:spacing w:after="0" w:line="8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Pre-IPO Management Agreement</w:t>
      </w:r>
    </w:p>
    <w:p>
      <w:pPr>
        <w:spacing w:after="0" w:line="117"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therein. During the three and six months ended June 30, 2015, pre-IPO management fees were $1,459 and $3,873, respectively.</w:t>
      </w:r>
    </w:p>
    <w:p>
      <w:pPr>
        <w:spacing w:after="0" w:line="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Post-IPO Management Agreement and Other Incentive Allocation</w:t>
      </w:r>
    </w:p>
    <w:p>
      <w:pPr>
        <w:spacing w:after="0" w:line="117"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Manager is entitled to a management fee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the three and six months ended June 30, 2016 was $4,231 and $8,579, respectively. The total post-IPO management fees for both the three and six months ended June 30, 2015 was $2,026.</w:t>
      </w:r>
    </w:p>
    <w:p>
      <w:pPr>
        <w:spacing w:after="0" w:line="80"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Additionally, the Company has entered into certain incentive allocation arrangements with the Master GP. No Income Incentive Allocation or Capital Gains Incentive Allocation was due to the Master GP for the three or six months ended June 30, 2016. During the three months ended June 30, 2016, expense reimbursement of $1,643 was recorded in general and administrative expenses and $1,013 was recorded in acquisition and transaction expenses in the Consolidated Statements of Operations. During the six months ended June 30, 2016, expense reimbursement of $3,401 was recorded in General and Administrative and $2,026 was recorded in Acquisition and Transaction expenses in the Consolidated Statements of Operations. During the three and six months ended June 30, 2015, expense reimbursement of $642 was recorded in general and administrative expenses and $221 was recorded in acquisition and transaction expenses in the Consolidated Statements of Operations.</w:t>
      </w:r>
    </w:p>
    <w:p>
      <w:pPr>
        <w:spacing w:after="0" w:line="59"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As of June 30, 2016 and December 31, 2015, no amounts were receivable from the Manager. As of June 30, 2016 and December 31, 2015, amounts due to the Manager or its affiliates of $957 and $994, excluding accrued management fees, respectively, are included within other liabilities on the Consolidated Balance Sheets. As of June 30, 2016 and December 31, 2015, amounts due to the Manager or its affiliates of $1,376 and $1,506, respectively, related to accrued management fees, are included within accounts payable and accrued liabilities on the Consolidated Balance Sheets.</w:t>
      </w:r>
    </w:p>
    <w:p>
      <w:pPr>
        <w:spacing w:after="0" w:line="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 Affiliate Transactions</w:t>
      </w:r>
    </w:p>
    <w:p>
      <w:pPr>
        <w:spacing w:after="0" w:line="117"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June 30, 2016 and December 31, 2015,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June 30, 2016 and December 31, 2015 was $74,801 and $71,321, respectively. For the three months ending June 30, 2016 and June 30, 2015, the amount of this non-controlling interest share of net loss was $2,384 and $2,007, respectively. For the six months ending June 30, 2016 and June 30, 2015, the amount of this non-controlling interest share of net loss was $3,952 and $3,556, respectively.</w:t>
      </w:r>
    </w:p>
    <w:p>
      <w:pPr>
        <w:spacing w:after="0" w:line="85"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Capital Call Agreement related to the Series 2016 Bonds discussed in Note 8, the Company and an affiliate of its Manager entered into a Fee and Support Agreement. The Fee and Support Agreement provides that the affiliate is compensated for its guarantee of a portion of the obligations under the Standby Bond Purchase Agreement. The affiliate received fees of $1,740, which will be amortized as interest expense to the redemption date or February 13, 2020.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 non-controlling interest holder of Jefferson Terminal provides construction services for Jefferson Terminal. At June 30, 2016 and December 31, 2015, accounts payable due to this vendor was $296 and $4,708, respectively.</w:t>
      </w:r>
    </w:p>
    <w:p>
      <w:pPr>
        <w:spacing w:after="0" w:line="5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w:t>
      </w:r>
    </w:p>
    <w:p>
      <w:pPr>
        <w:spacing w:after="0" w:line="84"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78"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5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certain information for each reportable segment of the Company: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For the Three Months Ended June 30,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Three Months Ended June 30, 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Infrastructure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21,347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22,351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7,707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10,844</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3,137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7,707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33,195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14,701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5,120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8,002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46,839</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13,188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(19,878)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(20,056)</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(8,863)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12,810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(7,564)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(6,779)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(11,193)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Three Months Ended June 30, 2016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Infrastructure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12,977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(5,414)</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ind w:left="140"/>
              <w:spacing w:after="0"/>
              <w:rPr>
                <w:sz w:val="20"/>
                <w:szCs w:val="20"/>
                <w:color w:val="auto"/>
              </w:rPr>
            </w:pPr>
            <w:r>
              <w:rPr>
                <w:rFonts w:ascii="Arial" w:cs="Arial" w:eastAsia="Arial" w:hAnsi="Arial"/>
                <w:sz w:val="16"/>
                <w:szCs w:val="16"/>
                <w:b w:val="1"/>
                <w:bCs w:val="1"/>
                <w:color w:val="auto"/>
                <w:w w:val="92"/>
              </w:rPr>
              <w:t>Three Months Ended June 30, 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ind w:left="360"/>
              <w:spacing w:after="0"/>
              <w:rPr>
                <w:sz w:val="20"/>
                <w:szCs w:val="20"/>
                <w:color w:val="auto"/>
              </w:rPr>
            </w:pPr>
            <w:r>
              <w:rPr>
                <w:rFonts w:ascii="Arial" w:cs="Arial" w:eastAsia="Arial" w:hAnsi="Arial"/>
                <w:sz w:val="16"/>
                <w:szCs w:val="16"/>
                <w:b w:val="1"/>
                <w:bCs w:val="1"/>
                <w:color w:val="auto"/>
                <w:w w:val="96"/>
              </w:rPr>
              <w:t>Infrastructure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2,868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6,705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21,347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7,707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Six months ended June 30,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80"/>
              <w:spacing w:after="0"/>
              <w:rPr>
                <w:sz w:val="20"/>
                <w:szCs w:val="20"/>
                <w:color w:val="auto"/>
              </w:rPr>
            </w:pPr>
            <w:r>
              <w:rPr>
                <w:rFonts w:ascii="Arial" w:cs="Arial" w:eastAsia="Arial" w:hAnsi="Arial"/>
                <w:sz w:val="16"/>
                <w:szCs w:val="16"/>
                <w:b w:val="1"/>
                <w:bCs w:val="1"/>
                <w:color w:val="auto"/>
              </w:rPr>
              <w:t>Six months ended June 30,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39,300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41,926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22,722</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39,300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64,648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31,909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5,949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8,579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10,423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87,712</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24,106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(29,021)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(29,133)</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(12,158)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23,728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(16,975)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right"/>
              <w:ind w:right="139"/>
              <w:spacing w:after="0"/>
              <w:rPr>
                <w:sz w:val="20"/>
                <w:szCs w:val="20"/>
                <w:color w:val="auto"/>
              </w:rPr>
            </w:pPr>
            <w:r>
              <w:rPr>
                <w:rFonts w:ascii="Arial" w:cs="Arial" w:eastAsia="Arial" w:hAnsi="Arial"/>
                <w:sz w:val="16"/>
                <w:szCs w:val="16"/>
                <w:b w:val="1"/>
                <w:bCs w:val="1"/>
                <w:color w:val="auto"/>
                <w:w w:val="99"/>
              </w:rPr>
              <w:t>Six months ended June 30, 2016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Arial" w:cs="Arial" w:eastAsia="Arial" w:hAnsi="Arial"/>
                <w:sz w:val="16"/>
                <w:szCs w:val="16"/>
                <w:b w:val="1"/>
                <w:bCs w:val="1"/>
                <w:color w:val="auto"/>
              </w:rPr>
              <w:t>Infrastructure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23,452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(11,947)</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80"/>
              <w:spacing w:after="0"/>
              <w:rPr>
                <w:sz w:val="20"/>
                <w:szCs w:val="20"/>
                <w:color w:val="auto"/>
              </w:rPr>
            </w:pPr>
            <w:r>
              <w:rPr>
                <w:rFonts w:ascii="Arial" w:cs="Arial" w:eastAsia="Arial" w:hAnsi="Arial"/>
                <w:sz w:val="16"/>
                <w:szCs w:val="16"/>
                <w:b w:val="1"/>
                <w:bCs w:val="1"/>
                <w:color w:val="auto"/>
              </w:rPr>
              <w:t>Six months ended June 30,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5,647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20,317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11,498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11,746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39,300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64,648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Three Months Ended June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140"/>
              <w:spacing w:after="0"/>
              <w:rPr>
                <w:sz w:val="20"/>
                <w:szCs w:val="20"/>
                <w:color w:val="auto"/>
              </w:rPr>
            </w:pPr>
            <w:r>
              <w:rPr>
                <w:rFonts w:ascii="Arial" w:cs="Arial" w:eastAsia="Arial" w:hAnsi="Arial"/>
                <w:sz w:val="16"/>
                <w:szCs w:val="16"/>
                <w:b w:val="1"/>
                <w:bCs w:val="1"/>
                <w:color w:val="auto"/>
              </w:rPr>
              <w:t>Three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13,807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22,633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10,931</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40,194</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(4,433)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140"/>
              <w:spacing w:after="0"/>
              <w:rPr>
                <w:sz w:val="20"/>
                <w:szCs w:val="20"/>
                <w:color w:val="auto"/>
              </w:rPr>
            </w:pPr>
            <w:r>
              <w:rPr>
                <w:rFonts w:ascii="Arial" w:cs="Arial" w:eastAsia="Arial" w:hAnsi="Arial"/>
                <w:sz w:val="16"/>
                <w:szCs w:val="16"/>
                <w:b w:val="1"/>
                <w:bCs w:val="1"/>
                <w:color w:val="auto"/>
              </w:rPr>
              <w:t>Three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Three Months Ended June 30, 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Infrastructure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2,682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9,255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5,558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For the Six months ended June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40"/>
              <w:spacing w:after="0"/>
              <w:rPr>
                <w:sz w:val="20"/>
                <w:szCs w:val="20"/>
                <w:color w:val="auto"/>
              </w:rPr>
            </w:pPr>
            <w:r>
              <w:rPr>
                <w:rFonts w:ascii="Arial" w:cs="Arial" w:eastAsia="Arial" w:hAnsi="Arial"/>
                <w:sz w:val="16"/>
                <w:szCs w:val="16"/>
                <w:b w:val="1"/>
                <w:bCs w:val="1"/>
                <w:color w:val="auto"/>
              </w:rPr>
              <w:t>Six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28,052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45,671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67,537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5,899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9,572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73,420</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(7,939)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40"/>
              <w:spacing w:after="0"/>
              <w:rPr>
                <w:sz w:val="20"/>
                <w:szCs w:val="20"/>
                <w:color w:val="auto"/>
              </w:rPr>
            </w:pPr>
            <w:r>
              <w:rPr>
                <w:rFonts w:ascii="Arial" w:cs="Arial" w:eastAsia="Arial" w:hAnsi="Arial"/>
                <w:sz w:val="16"/>
                <w:szCs w:val="16"/>
                <w:b w:val="1"/>
                <w:bCs w:val="1"/>
                <w:color w:val="auto"/>
              </w:rPr>
              <w:t>Six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16,750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8,492</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40"/>
              <w:spacing w:after="0"/>
              <w:rPr>
                <w:sz w:val="20"/>
                <w:szCs w:val="20"/>
                <w:color w:val="auto"/>
              </w:rPr>
            </w:pPr>
            <w:r>
              <w:rPr>
                <w:rFonts w:ascii="Arial" w:cs="Arial" w:eastAsia="Arial" w:hAnsi="Arial"/>
                <w:sz w:val="16"/>
                <w:szCs w:val="16"/>
                <w:b w:val="1"/>
                <w:bCs w:val="1"/>
                <w:color w:val="auto"/>
              </w:rPr>
              <w:t>Six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5,798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5,798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18,394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Balance Sheet and location of long-lived assets</w:t>
      </w:r>
    </w:p>
    <w:p>
      <w:pPr>
        <w:spacing w:after="0" w:line="121"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following tables sets forth summarized balance sheet information and the geographic location of property, plant and equipment and leasing equipment, net as of June 30,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8"/>
          </w:tcPr>
          <w:p>
            <w:pPr>
              <w:ind w:left="880"/>
              <w:spacing w:after="0"/>
              <w:rPr>
                <w:sz w:val="20"/>
                <w:szCs w:val="20"/>
                <w:color w:val="auto"/>
              </w:rPr>
            </w:pPr>
            <w:r>
              <w:rPr>
                <w:rFonts w:ascii="Arial" w:cs="Arial" w:eastAsia="Arial" w:hAnsi="Arial"/>
                <w:sz w:val="16"/>
                <w:szCs w:val="16"/>
                <w:b w:val="1"/>
                <w:bCs w:val="1"/>
                <w:color w:val="auto"/>
              </w:rPr>
              <w:t>June 30,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7"/>
          </w:tcPr>
          <w:p>
            <w:pPr>
              <w:jc w:val="right"/>
              <w:ind w:right="60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w w:val="88"/>
              </w:rPr>
              <w:t>Aviation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Shipping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7"/>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497,801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205,795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10,082</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530,408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41,148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289,318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1,574,552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185,225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12,019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262,908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199,959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359,604</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Non-controlling interests in equity of consolidated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108,098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115,407</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438,477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137,360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330,449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1,214,948</w:t>
            </w:r>
          </w:p>
        </w:tc>
        <w:tc>
          <w:tcPr>
            <w:tcW w:w="0" w:type="dxa"/>
            <w:vAlign w:val="bottom"/>
          </w:tcPr>
          <w:p>
            <w:pPr>
              <w:spacing w:after="0"/>
              <w:rPr>
                <w:sz w:val="1"/>
                <w:szCs w:val="1"/>
                <w:color w:val="auto"/>
              </w:rPr>
            </w:pPr>
          </w:p>
        </w:tc>
      </w:tr>
      <w:tr>
        <w:trPr>
          <w:trHeight w:val="291"/>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497,801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205,795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10,082</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530,408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41,148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289,318</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1,574,552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w w:val="88"/>
              </w:rPr>
              <w:t>June 30, 2016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6"/>
          </w:tcPr>
          <w:p>
            <w:pPr>
              <w:ind w:left="40"/>
              <w:spacing w:after="0"/>
              <w:rPr>
                <w:sz w:val="20"/>
                <w:szCs w:val="20"/>
                <w:color w:val="auto"/>
              </w:rPr>
            </w:pPr>
            <w:r>
              <w:rPr>
                <w:rFonts w:ascii="Arial" w:cs="Arial" w:eastAsia="Arial" w:hAnsi="Arial"/>
                <w:sz w:val="16"/>
                <w:szCs w:val="16"/>
                <w:b w:val="1"/>
                <w:bCs w:val="1"/>
                <w:color w:val="auto"/>
                <w:w w:val="92"/>
              </w:rPr>
              <w:t>Equipment Leasing</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7"/>
          </w:tcPr>
          <w:p>
            <w:pPr>
              <w:jc w:val="right"/>
              <w:ind w:right="48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Shipping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3"/>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Africa</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59,185</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3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59,185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220,194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182,281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133,884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316,165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317,642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27,155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386,122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Total property, plant and equipment and equipment</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464,814</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172,694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w w:val="99"/>
              </w:rPr>
              <w:t>—</w:t>
            </w:r>
          </w:p>
        </w:tc>
        <w:tc>
          <w:tcPr>
            <w:tcW w:w="36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317,642</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27,155</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982,305</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held for lease, net</w:t>
            </w: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60" w:type="dxa"/>
            <w:vAlign w:val="bottom"/>
            <w:gridSpan w:val="4"/>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5"/>
          </w:tcPr>
          <w:p>
            <w:pPr>
              <w:ind w:left="840"/>
              <w:spacing w:after="0"/>
              <w:rPr>
                <w:sz w:val="20"/>
                <w:szCs w:val="20"/>
                <w:color w:val="auto"/>
              </w:rPr>
            </w:pPr>
            <w:r>
              <w:rPr>
                <w:rFonts w:ascii="Arial" w:cs="Arial" w:eastAsia="Arial" w:hAnsi="Arial"/>
                <w:sz w:val="16"/>
                <w:szCs w:val="16"/>
                <w:b w:val="1"/>
                <w:bCs w:val="1"/>
                <w:color w:val="auto"/>
                <w:w w:val="95"/>
              </w:rPr>
              <w:t>December 31, 2015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6"/>
                <w:szCs w:val="16"/>
                <w:b w:val="1"/>
                <w:bCs w:val="1"/>
                <w:color w:val="auto"/>
              </w:rPr>
              <w:t>Infrastructure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20" w:type="dxa"/>
            <w:vAlign w:val="bottom"/>
          </w:tcPr>
          <w:p>
            <w:pPr>
              <w:spacing w:after="0"/>
              <w:rPr>
                <w:sz w:val="18"/>
                <w:szCs w:val="1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18"/>
                <w:szCs w:val="18"/>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40" w:type="dxa"/>
            <w:vAlign w:val="bottom"/>
          </w:tcPr>
          <w:p>
            <w:pPr>
              <w:spacing w:after="0"/>
              <w:rPr>
                <w:sz w:val="8"/>
                <w:szCs w:val="8"/>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213,946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85,917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483,346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384,128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142,835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354,119</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7,692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113,514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124,403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392,659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323,776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380,046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1,290,686</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213,946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85,917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483,346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384,128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720"/>
              <w:spacing w:after="0"/>
              <w:rPr>
                <w:sz w:val="20"/>
                <w:szCs w:val="20"/>
                <w:color w:val="auto"/>
              </w:rPr>
            </w:pPr>
            <w:r>
              <w:rPr>
                <w:rFonts w:ascii="Arial" w:cs="Arial" w:eastAsia="Arial" w:hAnsi="Arial"/>
                <w:sz w:val="16"/>
                <w:szCs w:val="16"/>
                <w:b w:val="1"/>
                <w:bCs w:val="1"/>
                <w:color w:val="auto"/>
              </w:rPr>
              <w:t>December 31, 2015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56,927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56,927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130,632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135,442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266,074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380,408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Total property, plant and equipment and equipment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419,321</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174,580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317,766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24,692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936,359</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held for lease,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7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completed an IPO on May 20, 2015 in which its previous beneficial owners, the Fortress Worldwide Transportation and Infrastructure Investors LP and Fortress Worldwide Transportation and Infrastructure Offshore LP, immediately prior to the consummation of the IPO, received shares in proportion to their respective ownership percentages. As a result, the Company has retrospectively presented the shares outstanding for all prior periods presented.</w:t>
      </w:r>
    </w:p>
    <w:p>
      <w:pPr>
        <w:spacing w:after="0" w:line="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calculation of basic and diluted EPS is presented below.</w:t>
      </w:r>
    </w:p>
    <w:p>
      <w:pPr>
        <w:spacing w:after="0" w:line="280" w:lineRule="exact"/>
        <w:rPr>
          <w:sz w:val="20"/>
          <w:szCs w:val="20"/>
          <w:color w:val="auto"/>
        </w:rPr>
      </w:pPr>
    </w:p>
    <w:p>
      <w:pPr>
        <w:ind w:left="5060"/>
        <w:spacing w:after="0"/>
        <w:tabs>
          <w:tab w:leader="none" w:pos="8780" w:val="left"/>
        </w:tabs>
        <w:rPr>
          <w:sz w:val="20"/>
          <w:szCs w:val="20"/>
          <w:color w:val="auto"/>
        </w:rPr>
      </w:pPr>
      <w:r>
        <w:rPr>
          <w:rFonts w:ascii="Arial" w:cs="Arial" w:eastAsia="Arial" w:hAnsi="Arial"/>
          <w:sz w:val="16"/>
          <w:szCs w:val="16"/>
          <w:b w:val="1"/>
          <w:bCs w:val="1"/>
          <w:color w:val="auto"/>
        </w:rPr>
        <w:t>Three Months Ended June 30,</w:t>
      </w:r>
      <w:r>
        <w:rPr>
          <w:sz w:val="20"/>
          <w:szCs w:val="20"/>
          <w:color w:val="auto"/>
        </w:rPr>
        <w:tab/>
      </w: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46355</wp:posOffset>
            </wp:positionV>
            <wp:extent cx="4485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share and per share data)</w:t>
            </w:r>
          </w:p>
        </w:tc>
        <w:tc>
          <w:tcPr>
            <w:tcW w:w="38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shareholders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(11,193)</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(16,975)</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4,611</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75,730,165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62,879,023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75,728,717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58,216,849</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75,730,165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62,879,023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75,728,717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58,216,918</w:t>
            </w:r>
          </w:p>
        </w:tc>
      </w:tr>
      <w:tr>
        <w:trPr>
          <w:trHeight w:val="324"/>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EPS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r>
      <w:tr>
        <w:trPr>
          <w:trHeight w:val="33"/>
        </w:trPr>
        <w:tc>
          <w:tcPr>
            <w:tcW w:w="4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3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135"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and six months ended June 30, 2016, 10,541 and 10,736 shares, respectively have been excluded from the calculation of Diluted EPS because the impact would be anti-dilutive.</w:t>
      </w:r>
    </w:p>
    <w:p>
      <w:pPr>
        <w:spacing w:after="0" w:line="5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a lessee has asserted that it is entitled to certain reimbursable expenses or adjustments per the terms of the related charter agreement. Although the Company believes it has strong defenses against these claims, the range of potential damages is $0 to $3,247. No amount has been recorded for this matter in the Company's consolidated financial statements as of June 30, 2016, and the Company will continue to vigorously defend against these claims. The Company’s maximum exposure under other arrangements is unknown as no additional claims have been made. The Company believes the risk of loss in connection with such arrangement is remote.</w:t>
      </w:r>
    </w:p>
    <w:p>
      <w:pPr>
        <w:spacing w:after="0" w:line="6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Two of the Company’s subsidiaries are lessees under various operating and capital leases. Total rent expense for operating leases was $1,314 and $1,183 for the three months ended June 30, 2016 and 2015, respectively. Total rent expense for operating leases was $2,527 and $1,939 for the six months ended June 30, 2016 and 2015, respectively.</w:t>
      </w:r>
    </w:p>
    <w:p>
      <w:pPr>
        <w:spacing w:after="0" w:line="7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June 30, 2016, minimum future rental payments under operating and capital leases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3,433</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8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6,307</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8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5,706</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5,281</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2020</w:t>
            </w:r>
          </w:p>
        </w:tc>
        <w:tc>
          <w:tcPr>
            <w:tcW w:w="8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4,592</w:t>
            </w:r>
          </w:p>
        </w:tc>
      </w:tr>
      <w:tr>
        <w:trPr>
          <w:trHeight w:val="33"/>
        </w:trPr>
        <w:tc>
          <w:tcPr>
            <w:tcW w:w="9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8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77,063</w:t>
            </w:r>
          </w:p>
        </w:tc>
      </w:tr>
      <w:tr>
        <w:trPr>
          <w:trHeight w:val="24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102,382</w:t>
            </w:r>
          </w:p>
        </w:tc>
      </w:tr>
      <w:tr>
        <w:trPr>
          <w:trHeight w:val="20"/>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July 1, 2016, the Company, through one of its subsidiaries, purchased the Repauno Delaware Port (“Repauno”) for a purchase price of $25 million, which consisted of primarily land, a storage cavern, and water rights. In conjunction with this acquisition, the Company entered into an arrangement with a third party, whereby the third party is entitled to a minority interest in Repauno and may receive payments upon the achievement of certain performance targets when and if these arrangements are achieved.</w:t>
      </w:r>
    </w:p>
    <w:p>
      <w:pPr>
        <w:spacing w:after="0" w:line="7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August 2, 2016, the Company’s Board of Directors declared a cash dividend on its common stock of $0.33 per share for the quarter ended June 30, 2016, payable on August 29, 2016 to the holders of record on August 19,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0"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conditions generally and specifically in our industry sectors, and other risks relating to the global economy;</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in cash flows received from our assets, as well as contractual limitations on the use of our aviation assets to secure debt for borrowed money;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take advantage of acquisition opportunities at favorable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lack of liquidity surrounding our assets, which could impede our ability to vary our portfolio in an appropriate manner;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spreads between the yield on the assets we acquire and the cost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defaults on their obligations;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renew existing contracts and win additional contracts with existing or potential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capital for future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concentration of a particular type of asset or in a particular sector;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within the aviation, energy, intermodal transport and rail sectors;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competitive market for acquisition opportunities;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related to operating through joint ventures or partnerships or through consortium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obsolescence of our assets or our ability to sell, re-lease or re-charter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uninsurable losses and force majeure events;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infrastructure operations may require substantial capital expenditures;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legislative/regulatory environment and exposure to increased economic regulation;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the oil and gas industry’s volatile oil and gas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obtaining effective legal redress in jurisdictions in which we operate with less developed legal systems;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under the Investment Company Act of 1940 and the fact that maintaining such exemption imposes limits on our operations;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utilize leverage in connection with our investments;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risk and risk management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our internal control over financial reporting;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environmental risks, including increasing environmental legislation and the broader impacts of climate change;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04" w:right="239" w:bottom="1440" w:gutter="0" w:footer="0" w:header="0"/>
        </w:sectPr>
      </w:pPr>
    </w:p>
    <w:bookmarkStart w:id="40" w:name="page41"/>
    <w:bookmarkEnd w:id="40"/>
    <w:p>
      <w:pPr>
        <w:ind w:left="820" w:right="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taken by national, state, or provincial governments, including nationalization, or the imposition of new taxes, could materially impact the financial performance or value of our assets;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our Manager and its professionals and conflicts of interest in our relationship with our Manager;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market price of our common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pay dividends to our shareholders in the future;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report.</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professionals who collectively have acquired over $17 billion in transportation and infrastructure assets since 2002. As of June 30, 2016, we had total consolidated assets of $1.6 billion and total equity of $1.2 billion.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8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Corporate operating segment primarily consists of unallocated corporate general and administrative expenses and management fees.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jc w:val="both"/>
        <w:ind w:firstLine="446"/>
        <w:spacing w:after="0" w:line="264" w:lineRule="auto"/>
        <w:rPr>
          <w:sz w:val="20"/>
          <w:szCs w:val="20"/>
          <w:color w:val="auto"/>
        </w:rPr>
      </w:pPr>
      <w:r>
        <w:rPr>
          <w:rFonts w:ascii="Arial" w:cs="Arial" w:eastAsia="Arial" w:hAnsi="Arial"/>
          <w:sz w:val="18"/>
          <w:szCs w:val="18"/>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Chief Operating Decision Maker (“CODM”) utilizes Adjusted Net Income as the key performance measure. This performance measure provides the CODM with the information necessary to assess operational performance, as well as make resource and allocation decisions.</w:t>
      </w:r>
    </w:p>
    <w:p>
      <w:pPr>
        <w:spacing w:after="0" w:line="6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jc w:val="both"/>
        <w:ind w:firstLine="8"/>
        <w:spacing w:after="0" w:line="254" w:lineRule="auto"/>
        <w:tabs>
          <w:tab w:leader="none" w:pos="2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include the impact of cash income tax payments,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(Non-GAAP)</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8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ind w:right="20" w:firstLine="8"/>
        <w:spacing w:after="0" w:line="261" w:lineRule="auto"/>
        <w:tabs>
          <w:tab w:leader="none" w:pos="2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include the impact of our pro-rata share of Adjusted EBITDA from unconsolidated entities, and (c) to exclude the impact of equity in earnings of unconsolidated entities and the non-controlling share of Adjusted EBITDA.</w:t>
      </w:r>
    </w:p>
    <w:p>
      <w:pPr>
        <w:spacing w:after="0" w:line="29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(loss) income attributable to shareholders to Adjusted Net Income for the three and six months ended June 30, 2016 and June 30, 2015: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11,391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(3,745)</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7,707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5,558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15,706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11,847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3,859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10,844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10,931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33,195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33,564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64,648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67,537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17,551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17,600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31,909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32,319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14,701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10,765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3,936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27,918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21,327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6,591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46,839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40,194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6,645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87,712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73,420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14,292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(losses)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and finance leases, net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2,976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(expense)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(19,878)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(14,874)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(29,021)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(2,832)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(26,189)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(14,786)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(29,133)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(3,328)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(25,805)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(11,193)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(10,356)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(16,975)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4,611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(21,586)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(6,446)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40"/>
              <w:spacing w:after="0" w:line="213"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61"/>
        </w:trPr>
        <w:tc>
          <w:tcPr>
            <w:tcW w:w="40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(5,414)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1,569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(6,983)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(11,947)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8,492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(20,439)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-93980</wp:posOffset>
            </wp:positionV>
            <wp:extent cx="4707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2" w:lineRule="exact"/>
        <w:rPr>
          <w:sz w:val="20"/>
          <w:szCs w:val="20"/>
          <w:color w:val="auto"/>
        </w:rPr>
      </w:pPr>
    </w:p>
    <w:p>
      <w:pPr>
        <w:ind w:left="500" w:hanging="492"/>
        <w:spacing w:after="0" w:line="250" w:lineRule="auto"/>
        <w:tabs>
          <w:tab w:leader="none" w:pos="141" w:val="left"/>
        </w:tabs>
        <w:numPr>
          <w:ilvl w:val="0"/>
          <w:numId w:val="22"/>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(loss) of adjusted for the excluded and included items detailed in the table above, for which there were no adjustments.</w:t>
      </w:r>
    </w:p>
    <w:p>
      <w:pPr>
        <w:ind w:left="500" w:hanging="492"/>
        <w:spacing w:after="0" w:line="271" w:lineRule="auto"/>
        <w:tabs>
          <w:tab w:leader="none" w:pos="154" w:val="left"/>
        </w:tabs>
        <w:numPr>
          <w:ilvl w:val="0"/>
          <w:numId w:val="22"/>
        </w:numPr>
        <w:rPr>
          <w:rFonts w:ascii="Arial" w:cs="Arial" w:eastAsia="Arial" w:hAnsi="Arial"/>
          <w:sz w:val="8"/>
          <w:szCs w:val="8"/>
          <w:color w:val="auto"/>
        </w:rPr>
      </w:pPr>
      <w:r>
        <w:rPr>
          <w:rFonts w:ascii="Arial" w:cs="Arial" w:eastAsia="Arial" w:hAnsi="Arial"/>
          <w:sz w:val="13"/>
          <w:szCs w:val="13"/>
          <w:color w:val="auto"/>
        </w:rPr>
        <w:t>Non-controlling share of Adjusted Net Income is comprised of the following for the three months ended June 30, 2016 and 2015: (i) equity-based compensation of $5 and $377, (ii) provision for income tax of $0 and $20, and (iii) asset impairment charges of $3,725 and $0 less (iv) cash tax payments of $20 and$71, respectively. Non-controlling share of Adjusted Net Income is comprised of the following for the six months ended June 30, 2016 and 2015: (i) equity-based compensation of $(1,614) and $731, (ii) provision for income tax of $14 and $20, (iii) loss on extinguishment of debt of $616 and $0, and (iv) asset impairment charges of $3,725 and $0 less (v) cash tax payments of $20 and $71,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39"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June 30, 2015: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16,337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12,522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31,191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4,757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10,423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(5)</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14,030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17,102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26,270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39,907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(13,637)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500" w:hanging="492"/>
        <w:spacing w:after="0" w:line="241" w:lineRule="auto"/>
        <w:tabs>
          <w:tab w:leader="none" w:pos="168" w:val="left"/>
        </w:tabs>
        <w:numPr>
          <w:ilvl w:val="0"/>
          <w:numId w:val="23"/>
        </w:numPr>
        <w:rPr>
          <w:rFonts w:ascii="Arial" w:cs="Arial" w:eastAsia="Arial" w:hAnsi="Arial"/>
          <w:sz w:val="9"/>
          <w:szCs w:val="9"/>
          <w:color w:val="auto"/>
        </w:rPr>
      </w:pPr>
      <w:r>
        <w:rPr>
          <w:rFonts w:ascii="Arial" w:cs="Arial" w:eastAsia="Arial" w:hAnsi="Arial"/>
          <w:sz w:val="14"/>
          <w:szCs w:val="14"/>
          <w:color w:val="auto"/>
        </w:rPr>
        <w:t>Depreciation and amortization expense includes $14,701 and $10,765 of depreciation and amortization expense, $1,576 and $1,697 of lease intangible amortization, and $60 and $60 of amortization for lease incentives in the three months ended June 30, 2016 and 2015, respectively. Depreciation and amortization expense includes $27,918 and $21,327 of depreciation and amortization expense, $3,154 and $3,793 of lease intangible amortization, and $119 and $120 of amortization for lease incentives in the six months ended June 30, 2016 and 2015, respectively.</w:t>
      </w:r>
    </w:p>
    <w:p>
      <w:pPr>
        <w:spacing w:after="0" w:line="1" w:lineRule="exact"/>
        <w:rPr>
          <w:rFonts w:ascii="Arial" w:cs="Arial" w:eastAsia="Arial" w:hAnsi="Arial"/>
          <w:sz w:val="9"/>
          <w:szCs w:val="9"/>
          <w:color w:val="auto"/>
        </w:rPr>
      </w:pPr>
    </w:p>
    <w:p>
      <w:pPr>
        <w:ind w:left="500" w:hanging="492"/>
        <w:spacing w:after="0" w:line="241" w:lineRule="auto"/>
        <w:tabs>
          <w:tab w:leader="none" w:pos="154"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the following items for the three months ended June 30, 2016 and 2015: (i) net income (loss) of $(320) and $1,172, (ii) interest expense of $257 and $415, (iii) depreciation and amortization expense of $851 and $307, respectively. The Company’s pro-rata share of Adjusted EBITDA from unconsolidated entities includes the following items for the six months ended June 30, 2016 and 2015: (i) net income (loss) of $(267) and $2,357, (ii) interest expense of $661 and $948, and (iii) depreciation and amortization expense of $1,766 and $611, respectively.</w:t>
      </w:r>
    </w:p>
    <w:p>
      <w:pPr>
        <w:spacing w:after="0" w:line="1" w:lineRule="exact"/>
        <w:rPr>
          <w:rFonts w:ascii="Arial" w:cs="Arial" w:eastAsia="Arial" w:hAnsi="Arial"/>
          <w:sz w:val="9"/>
          <w:szCs w:val="9"/>
          <w:color w:val="auto"/>
        </w:rPr>
      </w:pPr>
    </w:p>
    <w:p>
      <w:pPr>
        <w:ind w:left="500" w:hanging="492"/>
        <w:spacing w:after="0" w:line="245" w:lineRule="auto"/>
        <w:tabs>
          <w:tab w:leader="none" w:pos="154" w:val="left"/>
        </w:tabs>
        <w:numPr>
          <w:ilvl w:val="0"/>
          <w:numId w:val="23"/>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June 30, 2016 and 2015: (i) equity based compensation of $5 and $377, (ii) provision for income taxes of $0 and $20, (iii) interest expense of $1,490 and $1,207, (iv) depreciation and amortization expense of $1,682 and $1,450, and (v) asset impairment charges of $3,725 and $0, respectively. Non-controlling share of Adjusted EBITDA is comprised of the following items for the six months ended June 30, 2016 and 2015: (i) equity based compensation of $(1,614) and $731, (ii) provision for income taxes of $14 and $20, (iii) interest expense of $2,956 and $2,445, (iv) depreciation and amortization expense of $3,238 and $2,841, (v) loss on extinguishment of debt of $616 and $0, and (vi) asset impairment charge of $3,725 and $0,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revenues decreased by $282 and $3,745 in the three and six months ended June 30, 2016 as compared to the three and six months ended June 30, 2015, respectively, driven mainly by lower revenues in the Offshore Energy, Jefferson Terminal and Shipping Containers segments offset by higher revenues in the Aviation and Railroad segments.</w:t>
      </w:r>
    </w:p>
    <w:p>
      <w:pPr>
        <w:spacing w:after="0" w:line="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Equipment Leasing, lease income decreased by $815 and $3,898 in the three and six months ended June 30, 2016, respectively, as compared to the three and six months ended June 30, 2015, respectively, driven by a decrease in the Offshore Energy segment as certain vessels were no longer on long term charter in 2016, offset by an increase in assets on lease in the Aviation Leasing segment. Maintenance revenue increased by $2,286 and $4,006 in the three and six months ended June 30, 2016 as compared to the three and six months ended June 30, 2015, respectively, as the number of aircraft and engines subject to leases with maintenance arrangements increased in the comparable periods.</w:t>
      </w:r>
    </w:p>
    <w:p>
      <w:pPr>
        <w:spacing w:after="0" w:line="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Infrastructure, rail revenues increased by $2,149 and $3,859 in the three and six months ended June 30, 2016 as compared to the three and six months ended June 30, 2015, respectively, due to an increase in traffic and expanded service offerings by the Railroad segment. The Jefferson Terminal segment had a decrease in lease income of $1,410 and $2,820 in the three and six months ended June 30, 2016 as compared to the three and six months ended June 30, 2015, respectively, due to the expiration of a lease arrangement in the second half of 2015.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expenses increased by $6,645 and $14,292 in the three and six months ended June 30, 2016 as compared to the three and six months ended June 30, 2015, respectively, mainly due to increases in general and administrative expenses, management fees to an affiliate, depreciation and amortization, and interest expenses.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increased by $1,372 and $3,612 in the three and six months ended June 30, 2016 as compared to the three and six months ended June 30, 2015, respectively, attributable to the higher reimbursements to our Manager, pursuant to new agreements put in place subsequent to our initial public offering in May of 2015 (the "IPO") and due to reimbursement of expenses to our Manager as we expand our customer base and lines of businesses.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fees and incentive allocation to an affiliate increased by $746 and $2,680 in the three and six months ended June 30, 2016 as compared to the three and six months ended June 30, 2015, respectively, attributable to the higher fees to our Manager, both pursuant to new agreements put in place subsequent to our IPO.</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and amortization increased by $3,936 and $6,591 in the three and six months ended June 30, 2016 as compared to the three and six months ended June 30, 2015, respectively, primarily due to additional assets acquired in the Aviation Leasing segment and assets placed into service in the Jefferson Terminal segment.</w:t>
      </w:r>
    </w:p>
    <w:p>
      <w:pPr>
        <w:spacing w:after="0" w:line="7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Interest expense increased by $363 and $851 in the three and six months ended June 30, 2016 as compared to the three and six months ended June 30, 2015, respectively, due to the Dock and Wharf Facility Revenue Bonds, Series 2016 (the “Series 2016 Bonds”) issued in March 2016.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Total other income decreased by $7,860 and $9,008 in the three and six months ended June 30, 2016 as compared to the three and six months ended June 30, 2015, respectively. This was driven by an asset impairment charge of $7,450 for the three and six months ended June 30, 2016 as we determined not to proceed with the purchase of the MT 6015 vessel (Note 2 of our consolidated financial statements). Additionally, the decrease was due lower equity in earnings of unconsolidated entities related to a shipping container joint venture of $1,484 and $2,640 in the three and six months ended June 30, 2016 as compared to the three and six months ended June 30, 2015, respectively. Furthermore, for the six months ended June 30, 2016, a loss on extinguishment of debt of $1,579 was recognized due to an early repayment of debt in the Jefferson Terminal segment. The aforementioned decrease in other income were offset by gains on sale of aviation equipment and finance leases of $1,257 and $2,976 in the three and six months ended June 30, 2016 as compared to the three and six months ended June 30, 2015,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loss attributable to shareholders increased by $10,356 in the three months ended June 30, 2016 as compared to the three ended June 30, 2015 driven primarily by the changes discussed above.</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Net income attributable to shareholders decreased $21,586 in the six months ended June 30, 2016 as compared to the six ended June 30, 2015 driven primarily by the changes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 Income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Adjusted net income decreased by $6,983 and $20,439 in the three and six months ended June 30, 2016 as compared to the three and six months ended June 30, 2015, respectively. In addition to the changes in revenue, expenses and other income (loss) noted above, the decrease in each respective period was driven by the asset impairment charge of $7,450 for the three and six months ended June 30, 2016 and lower equity-based compensation expense and the pro-rata share of Adjusted Net Income from unconsolidated entities, which are excluded from Adjusted Net Income. This was offset by a change of $1,484 and $2,640 in the equity in earnings of unconsolidated subsidiaries, a $244 and $90 change in cash payments for interest taxes and a $3,384 and $2,041 change in non-controlling share of Adjusted Net Income in the three and six months ended June 30, 2016 as compared to the three and six months ended June 30, 2015,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Adjusted EBITDA was $14,030 and $26,270 in the three and six months ended June 30, 2016, respectively, decreasing by $3,072 and $13,637 as compared to the three and six months ended June 30, 2015, respectively. In addition to the changes in revenue, expenses and other income (losses) noted above, which resulted in a net loss attributable to shareholders, the decrease in each respective period was primarily due to (i) the pro-rata share of Adjusted EBITDA from unconsolidated entities, (ii) lower equity-based compensation and (iii) lower non-controlling share of Adjusted EBITDA for the three months ended June 30, 2016.</w:t>
      </w:r>
    </w:p>
    <w:p>
      <w:pPr>
        <w:spacing w:after="0" w:line="8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decrease in each respective period was offset by (i) asset impairment charge, (ii) depreciation and amortization expense from additional assets acquired, (iii) interest expense on borrowings executed in the second half of 2015 and the first quarter of 2016 and (iv) equity in earnings of unconsolidated entities.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our Aviation Leasing segment, we own and manage 71 aviation assets, including 24 commercial passenger aircraft and 47 commercial jet engines.</w:t>
      </w:r>
    </w:p>
    <w:p>
      <w:pPr>
        <w:spacing w:after="0" w:line="14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June 30, 2016, 21 of our commercial aircraft and 34 of our jet engines were leased to operators or other third parties. The majority of our aviation assets currently off lease are being prepared to go on lease or held in short term storage awaiting a future lease. There were six engines either undergoing repair and/or maintenance as of June 30, 2016. Our aviation equipment was approximately 85% utilized as of June 30, 2016, based on the equity value of our on-hire leasing equipment as a percentage of the total equity value of our aviation leasing equipment. Our aircraft currently have a weighted average remaining lease term of 35 months, and our jet engines currently on-lease have an average remaining lease term of 12 months. The table below provides additional information on the assets in our Aviation Leasing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8"/>
                <w:szCs w:val="18"/>
                <w:b w:val="1"/>
                <w:bCs w:val="1"/>
                <w:color w:val="FFFFFF"/>
              </w:rPr>
              <w:t>Aviation Assets</w:t>
            </w:r>
          </w:p>
        </w:tc>
        <w:tc>
          <w:tcPr>
            <w:tcW w:w="2300" w:type="dxa"/>
            <w:vAlign w:val="bottom"/>
            <w:gridSpan w:val="2"/>
            <w:shd w:val="clear" w:color="auto" w:fill="00497F"/>
          </w:tcPr>
          <w:p>
            <w:pPr>
              <w:ind w:left="700"/>
              <w:spacing w:after="0"/>
              <w:rPr>
                <w:sz w:val="20"/>
                <w:szCs w:val="20"/>
                <w:color w:val="auto"/>
              </w:rPr>
            </w:pPr>
            <w:r>
              <w:rPr>
                <w:rFonts w:ascii="Arial" w:cs="Arial" w:eastAsia="Arial" w:hAnsi="Arial"/>
                <w:sz w:val="18"/>
                <w:szCs w:val="18"/>
                <w:b w:val="1"/>
                <w:bCs w:val="1"/>
                <w:color w:val="FFFFFF"/>
              </w:rPr>
              <w:t>Widebody</w:t>
            </w:r>
          </w:p>
        </w:tc>
        <w:tc>
          <w:tcPr>
            <w:tcW w:w="2260" w:type="dxa"/>
            <w:vAlign w:val="bottom"/>
            <w:gridSpan w:val="2"/>
            <w:shd w:val="clear" w:color="auto" w:fill="00497F"/>
          </w:tcPr>
          <w:p>
            <w:pPr>
              <w:ind w:left="580"/>
              <w:spacing w:after="0"/>
              <w:rPr>
                <w:sz w:val="20"/>
                <w:szCs w:val="20"/>
                <w:color w:val="auto"/>
              </w:rPr>
            </w:pPr>
            <w:r>
              <w:rPr>
                <w:rFonts w:ascii="Arial" w:cs="Arial" w:eastAsia="Arial" w:hAnsi="Arial"/>
                <w:sz w:val="18"/>
                <w:szCs w:val="18"/>
                <w:b w:val="1"/>
                <w:bCs w:val="1"/>
                <w:color w:val="FFFFFF"/>
              </w:rPr>
              <w:t>Narrowbody</w:t>
            </w:r>
          </w:p>
        </w:tc>
        <w:tc>
          <w:tcPr>
            <w:tcW w:w="2160" w:type="dxa"/>
            <w:vAlign w:val="bottom"/>
            <w:shd w:val="clear" w:color="auto" w:fill="00497F"/>
          </w:tcPr>
          <w:p>
            <w:pPr>
              <w:jc w:val="right"/>
              <w:ind w:right="79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June 30,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85"/>
              </w:rPr>
              <w:t>Jet Engines</w:t>
            </w:r>
          </w:p>
        </w:tc>
        <w:tc>
          <w:tcPr>
            <w:tcW w:w="3780" w:type="dxa"/>
            <w:vAlign w:val="bottom"/>
            <w:vMerge w:val="restart"/>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40" w:type="dxa"/>
            <w:vAlign w:val="bottom"/>
          </w:tcPr>
          <w:p>
            <w:pPr>
              <w:spacing w:after="0"/>
              <w:rPr>
                <w:sz w:val="24"/>
                <w:szCs w:val="24"/>
                <w:color w:val="auto"/>
              </w:rPr>
            </w:pPr>
          </w:p>
        </w:tc>
        <w:tc>
          <w:tcPr>
            <w:tcW w:w="880" w:type="dxa"/>
            <w:vAlign w:val="bottom"/>
            <w:tcBorders>
              <w:bottom w:val="single" w:sz="8" w:color="auto"/>
            </w:tcBorders>
            <w:gridSpan w:val="2"/>
            <w:vMerge w:val="continue"/>
          </w:tcPr>
          <w:p>
            <w:pPr>
              <w:spacing w:after="0"/>
              <w:rPr>
                <w:sz w:val="24"/>
                <w:szCs w:val="24"/>
                <w:color w:val="auto"/>
              </w:rPr>
            </w:pPr>
          </w:p>
        </w:tc>
        <w:tc>
          <w:tcPr>
            <w:tcW w:w="378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June 30,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80" w:type="dxa"/>
            <w:vAlign w:val="bottom"/>
          </w:tcPr>
          <w:p>
            <w:pPr>
              <w:jc w:val="right"/>
              <w:ind w:right="99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6" w:name="page47"/>
    <w:bookmarkEnd w:id="46"/>
    <w:p>
      <w:pPr>
        <w:ind w:left="500"/>
        <w:spacing w:after="0"/>
        <w:rPr>
          <w:sz w:val="20"/>
          <w:szCs w:val="20"/>
          <w:color w:val="auto"/>
        </w:rPr>
      </w:pPr>
      <w:r>
        <w:rPr>
          <w:rFonts w:ascii="Arial" w:cs="Arial" w:eastAsia="Arial" w:hAnsi="Arial"/>
          <w:sz w:val="17"/>
          <w:szCs w:val="17"/>
          <w:color w:val="auto"/>
        </w:rPr>
        <w:t>The following table presents our results of operations and reconciliation of net income attributable to shareholders to Adjusted Net Income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Aviation Leasing segment for the three and six months ended June 30, 2016 and June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11,391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21,347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13,807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7,540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39,300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28,052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11,248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8,504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5,396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15,931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5,279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17,914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11,367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6,547</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13,188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8,318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24,106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16,977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7,129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8,120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16,565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7,453</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w w:val="96"/>
              </w:rPr>
              <w:t>Less: Net income attributable to non-controlling interest in</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193</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193</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290</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290</w:t>
            </w: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7,163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shd w:val="clear" w:color="auto" w:fill="CCEEFF"/>
          </w:tcPr>
          <w:p>
            <w:pPr>
              <w:spacing w:after="0"/>
              <w:rPr>
                <w:sz w:val="8"/>
                <w:szCs w:val="8"/>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0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gridSpan w:val="2"/>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gridSpan w:val="2"/>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8"/>
                <w:szCs w:val="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8"/>
                <w:szCs w:val="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8"/>
                <w:szCs w:val="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8"/>
                <w:szCs w:val="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8"/>
                <w:szCs w:val="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8"/>
                <w:szCs w:val="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23,452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6,702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ind w:right="60" w:firstLine="486"/>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Aviation Leasing segment for the three and six months ended June 30, 2016 and June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23,094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15,471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7,623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42,938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31,542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-93980</wp:posOffset>
            </wp:positionV>
            <wp:extent cx="4707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2" w:lineRule="exact"/>
        <w:rPr>
          <w:sz w:val="20"/>
          <w:szCs w:val="20"/>
          <w:color w:val="auto"/>
        </w:rPr>
      </w:pPr>
    </w:p>
    <w:p>
      <w:pPr>
        <w:ind w:left="500" w:hanging="492"/>
        <w:spacing w:after="0" w:line="266" w:lineRule="auto"/>
        <w:tabs>
          <w:tab w:leader="none" w:pos="155" w:val="left"/>
        </w:tabs>
        <w:numPr>
          <w:ilvl w:val="0"/>
          <w:numId w:val="24"/>
        </w:numPr>
        <w:rPr>
          <w:rFonts w:ascii="Arial" w:cs="Arial" w:eastAsia="Arial" w:hAnsi="Arial"/>
          <w:sz w:val="8"/>
          <w:szCs w:val="8"/>
          <w:color w:val="auto"/>
        </w:rPr>
      </w:pPr>
      <w:r>
        <w:rPr>
          <w:rFonts w:ascii="Arial" w:cs="Arial" w:eastAsia="Arial" w:hAnsi="Arial"/>
          <w:sz w:val="13"/>
          <w:szCs w:val="13"/>
          <w:color w:val="auto"/>
        </w:rPr>
        <w:t>Depreciation and amortization expense includes $8,504 and $5,396 of depreciation expense, $1,576 and $1,697 of lease intangible amortization, and $60 and $60 of amortization for lease incentives in the three months ended June 30, 2016 and 2015, respectively. Depreciation and amortization expense includes $15,931 and $10,652 of depreciation expense, $3,154 and $3,793 of lease intangible amortization, and $119 and $120 of amortization for lease incentives in the six months ended June 30, 2016 and 2015, respectively.</w:t>
      </w:r>
    </w:p>
    <w:p>
      <w:pPr>
        <w:spacing w:after="0" w:line="1" w:lineRule="exact"/>
        <w:rPr>
          <w:rFonts w:ascii="Arial" w:cs="Arial" w:eastAsia="Arial" w:hAnsi="Arial"/>
          <w:sz w:val="8"/>
          <w:szCs w:val="8"/>
          <w:color w:val="auto"/>
        </w:rPr>
      </w:pPr>
    </w:p>
    <w:p>
      <w:pPr>
        <w:ind w:left="500" w:hanging="492"/>
        <w:spacing w:after="0" w:line="255" w:lineRule="auto"/>
        <w:tabs>
          <w:tab w:leader="none" w:pos="168" w:val="left"/>
        </w:tabs>
        <w:numPr>
          <w:ilvl w:val="0"/>
          <w:numId w:val="24"/>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depreciation expense of $41 and $0 for the three months ended June 30, 2016 and 2015, respectively. Non-controlling share of Adjusted EBITDA is comprised of depreciation expense of $82 and $0 for the six months ended June 30, 2016 and 2015,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Total revenue in the Aviation Leasing segment increased by $7,540 in the three months ended June 30, 2016 as compared to the three months ended June 30, 2015, due to higher lease income and maintenance revenue, driven by newly acquired assets on lease. Lease income increased by $4,942 in the three months ended June 30, 2016 as compared to the three months ended June 30, 2015 mainly due to higher aircraft lease income of $4,005 primarily driven by the acquisition of eight aircraft acquired subsequent to June 30, 2015 and engine lease income of $937 primarily driven by twenty two additional engines on lease in the three months ended June 30, 2016 as compared to the three months ended June 30, 2015. Maintenance revenue increased by $2,286 in the three months ended June 30, 2016 as compared to the three months ended June 30, 2015 due to four additional aircraft and twelve additional engines on lease in the three months ended June 30, 2016 as compared to the three months ended June 30, 2015.</w:t>
      </w:r>
    </w:p>
    <w:p>
      <w:pPr>
        <w:spacing w:after="0" w:line="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Total revenues in the Aviation Leasing segment increased by $11,248 in the six months ended June 30, 2016 as compared to the six months ended June 30, 2015, driven by higher lease income, maintenance revenue, and an increase in other revenue. Lease income increased by $8,050 in the six months ended June 30, 2016 as compared to the six months ended June 30, 2015 mainly due to higher aircraft lease income of $6,364 primarily driven by eight aircraft acquired subsequent to June 30, 2015 and engine lease income of $1,686 primarily driven by twenty two additional engines on lease in the six months ended June 30, 2016 as compared to the six months ended June 30, 2015. Maintenance revenue increased by $4,006 in the six months ended June 30, 2016 as compared to the six months ended June 30, 2015 due to four additional aircraft and additional seventeen engines on lease in the six months ended June 30, 2016 as compared to the six months ended June 30, 2015. Other revenue decreased by $808 in the six months ended June 30, 2016 as compared to the six months ended June 30, 2015 primarily due to greater income from the forfeiture of a security deposit in the six months ended June 30, 2015, as compared to the amount forfeited in the six months ended June 30, 2016.</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right="20" w:firstLine="486"/>
        <w:spacing w:after="0" w:line="272" w:lineRule="auto"/>
        <w:rPr>
          <w:sz w:val="20"/>
          <w:szCs w:val="20"/>
          <w:color w:val="auto"/>
        </w:rPr>
      </w:pPr>
      <w:r>
        <w:rPr>
          <w:rFonts w:ascii="Arial" w:cs="Arial" w:eastAsia="Arial" w:hAnsi="Arial"/>
          <w:sz w:val="17"/>
          <w:szCs w:val="17"/>
          <w:color w:val="auto"/>
        </w:rPr>
        <w:t>Total expenses in the Aviation Leasing segment increased by $3,897 in the three months ended June 30, 2016 as compared to the three months ended June 30, 2015. This increase was primarily driven by depreciation and amortization expense, which increased by $3,108 due to the depreciation of eight aircraft and twenty engines acquired or put on lease in the three months ended June 30, 2016 as compared to the three months ended June 30, 2015. Operating expenses increased by $789 in the three months ended June 30, 2016 as compared to the three months ended June 30, 2015, primarily the result of increases in (i) repairs and maintenance expense of $210 due an increase in maintenance costs associated with the engine portfolio, (ii) legal and consulting fees of $197 due to an increase in the number assets that have been leased, (iii) insurance expense of $156 due to an increase number of assets requiring coverage, and (iv) other operating expenses of $226 due to overall growth in the aviation leasing portfolio.</w:t>
      </w:r>
    </w:p>
    <w:p>
      <w:pPr>
        <w:spacing w:after="0" w:line="70"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Total expenses in the Aviation Leasing segment increased by $6,547 in the six months ended June 30, 2016 as compared to the six months ended June 30, 2015. This increase was primarily driven by depreciation and amortization expense, which increased by $5,279 due to depreciation of eight aircraft and twenty engines acquired or put on lease in the six months ended June 30, 2016. Operating expenses increased by $1,268 in the six months ended June 30, 2016 as compared to the six months ended June 30, 2015, primarily the result of increases in (i) repair and maintenance expense of $357 due an increase in maintenance costs associated with the engine portfolio, (ii) legal and consulting fee expenses of $419 due an increase in the number of assets that have been leased, (iii) insurance expense of $114 due to increased number of assets requiring coverage, and (iv) other expenses of $378 due to overall growth of the aviation leasing portfolio.</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40" w:firstLine="486"/>
        <w:spacing w:after="0" w:line="342" w:lineRule="auto"/>
        <w:rPr>
          <w:sz w:val="20"/>
          <w:szCs w:val="20"/>
          <w:color w:val="auto"/>
        </w:rPr>
      </w:pPr>
      <w:r>
        <w:rPr>
          <w:rFonts w:ascii="Arial" w:cs="Arial" w:eastAsia="Arial" w:hAnsi="Arial"/>
          <w:sz w:val="16"/>
          <w:szCs w:val="16"/>
          <w:color w:val="auto"/>
        </w:rPr>
        <w:t>Total other income in the Aviation Leasing segment increased by $1,227 and $2,428 in the three and six months ended June 30, 2016 as compared to the three and six months ended June 30, 2015, respectively driven by higher gain on sale of equipment due to an increased number of assets sold.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Adjusted Net Income in the Aviation Leasing segment was $12,977 and $23,452 in the three and six months ended June 30, 2016, respectively, increasing by $4,689 and $6,702 as compared to the three and six months ended June 30, 2015, respectively, primarily driven by the changes to net income attributable to shareholders noted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Adjusted EBITDA in the Aviation Leasing segment was $23,094 and $42,938 in the three and six months ended June 30, 2016, respectively, increasing by $7,623 and $11,396 as compared to the three and six months ended June 30, 2015, respectively. In addition to the changes in net income attributable to shareholders noted above, this movement was primarily due to higher depreciation and amortization expense for the additional aircraft and engines owned and on lease in the three and six months ended June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our Offshore Energy segment, we own one remotely operated vehicle ("ROV") support vessel, one construction support vessel and one anchor handling tug supply ("AHTS") vessel. The chart below describes the assets in our Offshore Energy segment as of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1998345"/>
                    </a:xfrm>
                    <a:prstGeom prst="rect">
                      <a:avLst/>
                    </a:prstGeom>
                    <a:noFill/>
                  </pic:spPr>
                </pic:pic>
              </a:graphicData>
            </a:graphic>
          </wp:anchor>
        </w:drawing>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5"/>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Lease Expiration</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Anchor handling</w:t>
            </w:r>
          </w:p>
        </w:tc>
        <w:tc>
          <w:tcPr>
            <w:tcW w:w="1820" w:type="dxa"/>
            <w:vAlign w:val="bottom"/>
            <w:tcBorders>
              <w:top w:val="single" w:sz="8" w:color="auto"/>
              <w:right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tug supply vessel with</w:t>
            </w:r>
          </w:p>
        </w:tc>
        <w:tc>
          <w:tcPr>
            <w:tcW w:w="18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November 2023</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2014</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August 2016</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18"/>
                <w:szCs w:val="18"/>
                <w:color w:val="auto"/>
              </w:rPr>
              <w:t xml:space="preserve">Off-lease </w:t>
            </w:r>
            <w:r>
              <w:rPr>
                <w:rFonts w:ascii="Arial" w:cs="Arial" w:eastAsia="Arial" w:hAnsi="Arial"/>
                <w:sz w:val="25"/>
                <w:szCs w:val="25"/>
                <w:color w:val="auto"/>
                <w:vertAlign w:val="superscript"/>
              </w:rPr>
              <w:t>(1)</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FF0000"/>
        </w:rPr>
        <w:t>_</w:t>
      </w:r>
      <w:r>
        <w:rPr>
          <w:rFonts w:ascii="Arial" w:cs="Arial" w:eastAsia="Arial" w:hAnsi="Arial"/>
          <w:sz w:val="18"/>
          <w:szCs w:val="18"/>
          <w:color w:val="000000"/>
        </w:rPr>
        <w:t>____________________________________________________</w:t>
      </w:r>
    </w:p>
    <w:p>
      <w:pPr>
        <w:spacing w:after="0" w:line="16"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On February 16, 2016, we terminated our lease arrangement related to its ROV support vessel and is actively pursuing a new charter.</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40"/>
          </w:cols>
          <w:pgMar w:left="240" w:top="368" w:right="219" w:bottom="1440" w:gutter="0" w:footer="0" w:header="0"/>
        </w:sectPr>
      </w:pPr>
    </w:p>
    <w:bookmarkStart w:id="49" w:name="page50"/>
    <w:bookmarkEnd w:id="49"/>
    <w:p>
      <w:pPr>
        <w:ind w:right="8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income attributable to shareholders to Adjusted Net Income for the Offshore Energy segment for the three and six months ended June 30, 2016 and June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979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6,932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(5,953)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13,799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(12,335)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5,007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2,176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11,131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5,284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(expense)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(7,698)</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(11,475)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4,215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(15,690)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(17,112)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(25,317)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(11,475)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4,215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(15,690)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(17,112)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(25,317)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 consolidated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(7,564)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4,026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(11,590)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(12,954)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7,835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(20,789)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4,026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7,835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(17,064)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55" w:lineRule="auto"/>
        <w:tabs>
          <w:tab w:leader="none" w:pos="154" w:val="left"/>
        </w:tabs>
        <w:numPr>
          <w:ilvl w:val="0"/>
          <w:numId w:val="26"/>
        </w:numPr>
        <w:rPr>
          <w:rFonts w:ascii="Arial" w:cs="Arial" w:eastAsia="Arial" w:hAnsi="Arial"/>
          <w:sz w:val="9"/>
          <w:szCs w:val="9"/>
          <w:color w:val="auto"/>
        </w:rPr>
      </w:pPr>
      <w:r>
        <w:rPr>
          <w:rFonts w:ascii="Arial" w:cs="Arial" w:eastAsia="Arial" w:hAnsi="Arial"/>
          <w:sz w:val="14"/>
          <w:szCs w:val="14"/>
          <w:color w:val="auto"/>
        </w:rPr>
        <w:t>Non-controlling share of Adjusted Net Income is comprised of asset impairment charges of $3,725 and $0 for the three months ended June 30, 2016 and 2015, respectively. Non-controlling share of Adjusted Net Income is comprised of asset impairment charges of $3,725 and $0 for the six months ended June 30, 2016 and 2015,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ind w:right="160" w:firstLine="486"/>
        <w:spacing w:after="0" w:line="277" w:lineRule="auto"/>
        <w:rPr>
          <w:sz w:val="20"/>
          <w:szCs w:val="20"/>
          <w:color w:val="auto"/>
        </w:rPr>
      </w:pPr>
      <w:r>
        <w:rPr>
          <w:rFonts w:ascii="Arial" w:cs="Arial" w:eastAsia="Arial" w:hAnsi="Arial"/>
          <w:sz w:val="18"/>
          <w:szCs w:val="18"/>
          <w:color w:val="auto"/>
        </w:rPr>
        <w:t>The following table sets forth a reconciliation of net (loss) income attributable to shareholders to Adjusted EBITDA for the Offshore Energy segment for the three and six months ended June 30, 2016 and June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ind w:left="520"/>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6,381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12,548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(16,824)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76" w:lineRule="auto"/>
        <w:tabs>
          <w:tab w:leader="none" w:pos="141" w:val="left"/>
        </w:tabs>
        <w:numPr>
          <w:ilvl w:val="0"/>
          <w:numId w:val="27"/>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three months ended June 30, 2016 and 2015: (i) depreciation expense of $62 and $56, (ii) interest expense of $30 and $30, and (iii) asset impairment charges of $3,725 and $0, respectively. Non-controlling share of Adjusted EBITDA is comprised of the following items for the six months ended June 30, 2016 and 2015: (i) depreciation expense of $121 and $112, (ii) interest expense of $55 and $61, and (iii) asset impairment charges of $3,725 and $0,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Total revenues in the Offshore Energy segment decreased by $5,953 and $12,335 in the three and six months ended June 30, 2016 as compared to the three and six months ended June 30, 2015, respectively, primarily driven by lower lease income. In 2016, the offshore construction vessel was subject to short term lease arrangements, as compared to 2015 when the vessel was on hire under a long term arrangement that terminated in the second half of 2015. In February 2016, the long term lease arrangement for the ROV support vessel was terminated resulting in lower lease income for the three and six months ended June 30, 2016 as compared to the three and six months ended June 30, 2015.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Total expenses in the Offshore Energy segment increased by $2,176 and $5,284 in the three and six months ended June 30, 2016 as compared to the three and six months ended June 30, 2015, respectively. Total expenses in the Offshore Energy segment primarily include term loan financing, depreciation and amortization expense, interest expense and operating expenses.</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three months ended June 30, 2016, there was $1,257 and $413 of depreciation expense related to the construction support vessel and ROV support vessel, respectively. During the three months ended June 30, 2015, there was $1,114 and $375 of depreciation expense related to the construction support vessel and ROV support vessel, respectively.</w:t>
      </w:r>
    </w:p>
    <w:p>
      <w:pPr>
        <w:spacing w:after="0" w:line="7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For the three months ended June 30, 2016, operating expenses increased $2,011 as compared the three months ended June 30, 2015. Historically operating expenses were incurred by the bareboat charterers when the ROV support vessel and the offshore construction support vessel were on lease. In 2016, due to the short term nature of the lease arrangements, operating expenses are borne by us. The increase in operating expenses was primarily the result</w:t>
      </w:r>
    </w:p>
    <w:p>
      <w:pPr>
        <w:ind w:firstLine="8"/>
        <w:spacing w:after="0" w:line="290" w:lineRule="auto"/>
        <w:tabs>
          <w:tab w:leader="none" w:pos="219"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crew costs of $744, (ii) legal fees of $376, (iii) repairs and maintenance of $213, (iv) costs for spare parts of $211, (vi) management fees of $116 and (vii) other operating expenses of $516 in the three months ended June 30, 2016 as compared to the three months ended June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jc w:val="both"/>
        <w:ind w:right="20" w:firstLine="486"/>
        <w:spacing w:after="0" w:line="264" w:lineRule="auto"/>
        <w:rPr>
          <w:sz w:val="20"/>
          <w:szCs w:val="20"/>
          <w:color w:val="auto"/>
        </w:rPr>
      </w:pPr>
      <w:r>
        <w:rPr>
          <w:rFonts w:ascii="Arial" w:cs="Arial" w:eastAsia="Arial" w:hAnsi="Arial"/>
          <w:sz w:val="18"/>
          <w:szCs w:val="18"/>
          <w:color w:val="auto"/>
        </w:rPr>
        <w:t>During the six months ended June 30, 2016, there was $2,447 and $811 of depreciation expense related to the construction support vessel and ROV support vessel, respectively. During the six months ended June 30, 2015, there was $2,229 and $749 of depreciation expense related to the construction support vessel and ROV support vessel, respectively.</w:t>
      </w:r>
    </w:p>
    <w:p>
      <w:pPr>
        <w:spacing w:after="0" w:line="73" w:lineRule="exact"/>
        <w:rPr>
          <w:sz w:val="20"/>
          <w:szCs w:val="20"/>
          <w:color w:val="auto"/>
        </w:rPr>
      </w:pPr>
    </w:p>
    <w:p>
      <w:pPr>
        <w:jc w:val="both"/>
        <w:ind w:right="20" w:firstLine="486"/>
        <w:spacing w:after="0" w:line="297" w:lineRule="auto"/>
        <w:rPr>
          <w:sz w:val="20"/>
          <w:szCs w:val="20"/>
          <w:color w:val="auto"/>
        </w:rPr>
      </w:pPr>
      <w:r>
        <w:rPr>
          <w:rFonts w:ascii="Arial" w:cs="Arial" w:eastAsia="Arial" w:hAnsi="Arial"/>
          <w:sz w:val="16"/>
          <w:szCs w:val="16"/>
          <w:color w:val="auto"/>
        </w:rPr>
        <w:t>For the six months ended June 30, 2016, operating expenses increased $5,041 as compared the six months ended June 30, 2015. Historically operating expenses were incurred by the bareboat charterers when the ROV support vessel and the offshore construction support vessel were on lease. In 2016, due to the short term nature of the lease arrangements, operating expenses are borne by us. The increase in operating expenses was primarily the result (i) crew costs of $1,630, (ii) legal fees of $1,121, (iii) mobilization and costs for spare parts of $705, (iv) repairs and maintenance of $556, (v) management fees of $245 and (vii) other operating expenses of $1,027 in the six months ended June 30, 2016 as compared to the six months ended June 30, 2015.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w:t>
      </w:r>
    </w:p>
    <w:p>
      <w:pPr>
        <w:spacing w:after="0" w:line="117"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Total other income (loss) in the Offshore Energy segment decreased by $7,561 and $7,698 in the three and six months ended June 30, 2016 as compared to the three and six months ended June 30, 2015, respectively, due to an asset impairment charge of $7,450. In July 2016, the shipbuilder delivered a notice of termination of the shipbuilding contract for MT6015 resulting in the impairment of the investment in the quarter ended June 30,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 Income</w:t>
      </w:r>
    </w:p>
    <w:p>
      <w:pPr>
        <w:spacing w:after="0" w:line="22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Adjusted Net Loss was $3,839 and $9,229 in three and six months ended June 30, 2016, respectively, increasing by $7,865 and $17,064 as compared to the three and six months ended June 30, 2015, respectively. This decrease was due to the changes described above offset by the increase in the asset impairment charge of $7,450, which was shared with the non-controlling interest 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Adjusted EBITDA decreased by $7,706 and $16,824 in three and six months ended June 30, 2016 as compared to the three and six months ended June 30, 2015, respectively, due to a decrease in net income attributable to shareholders of $11,590 and $20,789 as noted above. This was offset by the asset impairment charge of $7,450, which was shared with the non-controlling interest holder, and an increase in depreciation and amortization expense of $181 and $280 related to the offshore construction vessel in three and six months ended June 30, 2016 as compared to the three and six months ended June 30, 2015,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In our Shipping Containers segment, we own, through a joint venture, interests in approximately 88,000 maritime shipping containers and related equipment through one portfolio. The chart below describes the assets in our Shipping Containers segment as of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217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21793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Shipping Containers Assets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2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2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Arial" w:cs="Arial" w:eastAsia="Arial" w:hAnsi="Arial"/>
                <w:sz w:val="16"/>
                <w:szCs w:val="16"/>
                <w:color w:val="auto"/>
              </w:rPr>
              <w:t>Type</w:t>
            </w:r>
          </w:p>
        </w:tc>
        <w:tc>
          <w:tcPr>
            <w:tcW w:w="1420" w:type="dxa"/>
            <w:vAlign w:val="bottom"/>
            <w:tcBorders>
              <w:top w:val="single" w:sz="8" w:color="auto"/>
              <w:bottom w:val="single" w:sz="8" w:color="D8D8D8"/>
            </w:tcBorders>
            <w:shd w:val="clear" w:color="auto" w:fill="D8D8D8"/>
          </w:tcPr>
          <w:p>
            <w:pPr>
              <w:jc w:val="center"/>
              <w:ind w:left="174"/>
              <w:spacing w:after="0"/>
              <w:rPr>
                <w:sz w:val="20"/>
                <w:szCs w:val="20"/>
                <w:color w:val="auto"/>
              </w:rPr>
            </w:pPr>
            <w:r>
              <w:rPr>
                <w:rFonts w:ascii="Arial" w:cs="Arial" w:eastAsia="Arial" w:hAnsi="Arial"/>
                <w:sz w:val="16"/>
                <w:szCs w:val="16"/>
                <w:color w:val="auto"/>
                <w:w w:val="90"/>
              </w:rPr>
              <w:t>Average Age</w:t>
            </w:r>
          </w:p>
        </w:tc>
        <w:tc>
          <w:tcPr>
            <w:tcW w:w="300" w:type="dxa"/>
            <w:vAlign w:val="bottom"/>
            <w:tcBorders>
              <w:top w:val="single" w:sz="8" w:color="auto"/>
              <w:bottom w:val="single" w:sz="8" w:color="D8D8D8"/>
              <w:right w:val="single" w:sz="8" w:color="auto"/>
            </w:tcBorders>
            <w:shd w:val="clear" w:color="auto" w:fill="D8D8D8"/>
          </w:tcPr>
          <w:p>
            <w:pPr>
              <w:spacing w:after="0"/>
              <w:rPr>
                <w:sz w:val="23"/>
                <w:szCs w:val="23"/>
                <w:color w:val="auto"/>
              </w:rPr>
            </w:pPr>
          </w:p>
        </w:tc>
        <w:tc>
          <w:tcPr>
            <w:tcW w:w="1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88"/>
              </w:rPr>
              <w:t>Lease Type</w:t>
            </w:r>
          </w:p>
        </w:tc>
        <w:tc>
          <w:tcPr>
            <w:tcW w:w="170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6"/>
                <w:szCs w:val="16"/>
                <w:color w:val="auto"/>
                <w:w w:val="92"/>
              </w:rPr>
              <w:t>Economic Interest (%)</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32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 Dry</w:t>
            </w:r>
          </w:p>
        </w:tc>
        <w:tc>
          <w:tcPr>
            <w:tcW w:w="1420" w:type="dxa"/>
            <w:vAlign w:val="bottom"/>
            <w:tcBorders>
              <w:top w:val="single" w:sz="8" w:color="auto"/>
            </w:tcBorders>
          </w:tcPr>
          <w:p>
            <w:pPr>
              <w:spacing w:after="0"/>
              <w:rPr>
                <w:sz w:val="19"/>
                <w:szCs w:val="19"/>
                <w:color w:val="auto"/>
              </w:rPr>
            </w:pPr>
          </w:p>
        </w:tc>
        <w:tc>
          <w:tcPr>
            <w:tcW w:w="30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 Reefer</w:t>
            </w:r>
          </w:p>
        </w:tc>
        <w:tc>
          <w:tcPr>
            <w:tcW w:w="14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Direct Finance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Portfolio #1</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Dry</w:t>
            </w:r>
          </w:p>
        </w:tc>
        <w:tc>
          <w:tcPr>
            <w:tcW w:w="1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420" w:type="dxa"/>
            <w:vAlign w:val="bottom"/>
            <w:vMerge w:val="restart"/>
          </w:tcPr>
          <w:p>
            <w:pPr>
              <w:jc w:val="center"/>
              <w:ind w:left="174"/>
              <w:spacing w:after="0"/>
              <w:rPr>
                <w:sz w:val="20"/>
                <w:szCs w:val="20"/>
                <w:color w:val="auto"/>
              </w:rPr>
            </w:pPr>
            <w:r>
              <w:rPr>
                <w:rFonts w:ascii="Arial" w:cs="Arial" w:eastAsia="Arial" w:hAnsi="Arial"/>
                <w:sz w:val="18"/>
                <w:szCs w:val="18"/>
                <w:color w:val="auto"/>
                <w:w w:val="86"/>
              </w:rPr>
              <w:t>~9.0 Years</w:t>
            </w: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Lease/Operating</w:t>
            </w:r>
          </w:p>
        </w:tc>
        <w:tc>
          <w:tcPr>
            <w:tcW w:w="17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6 Customers</w:t>
            </w:r>
          </w:p>
        </w:tc>
        <w:tc>
          <w:tcPr>
            <w:tcW w:w="2260" w:type="dxa"/>
            <w:vAlign w:val="bottom"/>
            <w:vMerge w:val="restart"/>
          </w:tcPr>
          <w:p>
            <w:pPr>
              <w:jc w:val="right"/>
              <w:ind w:right="874"/>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88,000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HC Dry</w:t>
            </w:r>
          </w:p>
        </w:tc>
        <w:tc>
          <w:tcPr>
            <w:tcW w:w="142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Lease</w:t>
            </w:r>
          </w:p>
        </w:tc>
        <w:tc>
          <w:tcPr>
            <w:tcW w:w="1700" w:type="dxa"/>
            <w:vAlign w:val="bottom"/>
            <w:tcBorders>
              <w:right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HC Reefer</w:t>
            </w:r>
          </w:p>
        </w:tc>
        <w:tc>
          <w:tcPr>
            <w:tcW w:w="14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4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 Dry</w:t>
            </w:r>
          </w:p>
        </w:tc>
        <w:tc>
          <w:tcPr>
            <w:tcW w:w="14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gridSpan w:val="2"/>
          </w:tcPr>
          <w:p>
            <w:pPr>
              <w:jc w:val="right"/>
              <w:ind w:right="1572"/>
              <w:spacing w:after="0"/>
              <w:rPr>
                <w:sz w:val="20"/>
                <w:szCs w:val="20"/>
                <w:color w:val="auto"/>
              </w:rPr>
            </w:pPr>
            <w:r>
              <w:rPr>
                <w:rFonts w:ascii="Arial" w:cs="Arial" w:eastAsia="Arial" w:hAnsi="Arial"/>
                <w:sz w:val="18"/>
                <w:szCs w:val="18"/>
                <w:color w:val="auto"/>
              </w:rPr>
              <w:t>52</w:t>
            </w: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6" w:right="219" w:bottom="1440" w:gutter="0" w:footer="0" w:header="0"/>
        </w:sectPr>
      </w:pPr>
    </w:p>
    <w:bookmarkStart w:id="52" w:name="page53"/>
    <w:bookmarkEnd w:id="52"/>
    <w:p>
      <w:pPr>
        <w:ind w:firstLine="48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income attributable to shareholders to Adjusted Net Income for the Shipping Containers segment for the three and six months ended June 30, 2016 and June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258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7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(2,658)</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7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742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(expense) income</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(259)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2,375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(3,954)</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7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500" w:right="20" w:hanging="492"/>
        <w:spacing w:after="0" w:line="273" w:lineRule="auto"/>
        <w:tabs>
          <w:tab w:leader="none" w:pos="141" w:val="left"/>
        </w:tabs>
        <w:numPr>
          <w:ilvl w:val="0"/>
          <w:numId w:val="29"/>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color w:val="auto"/>
        </w:rPr>
        <w:t>The following table sets forth a reconciliation of net (loss) income attributable to shareholders to Adjusted EBITDA for the Shipping Containers segment for the three and six months ended June 30, 2016 and June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258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7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(2)</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7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7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801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3,670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(2,869)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3,585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7,566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-130175</wp:posOffset>
            </wp:positionV>
            <wp:extent cx="4707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93" w:lineRule="exact"/>
        <w:rPr>
          <w:sz w:val="20"/>
          <w:szCs w:val="20"/>
          <w:color w:val="auto"/>
        </w:rPr>
      </w:pPr>
    </w:p>
    <w:p>
      <w:pPr>
        <w:ind w:left="500" w:hanging="492"/>
        <w:spacing w:after="0" w:line="252" w:lineRule="auto"/>
        <w:tabs>
          <w:tab w:leader="none" w:pos="154" w:val="left"/>
        </w:tabs>
        <w:numPr>
          <w:ilvl w:val="0"/>
          <w:numId w:val="30"/>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the following items for the three months ended June 30, 2016 and 2015: (i) net income (loss) of $(320) and $1,172, (ii) interest expense of $257 and $415, and (iii) depreciation and amortization expense of $851 and $307, respectively. The Company’s pro-rata share of Adjusted EBITDA from unconsolidated entities includes the following items for six months ended June 30, 2016 and 2015: (i) net income of $(267) and $2,357, (ii) interest expense of $661 and $948, and (iii) depreciation and amortization expense of $1,766 and $611.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Total revenues in the Shipping Containers segment decreased by $1,869 and $2,658 in the three and six months ended June 30, 2016 as compared to the three and six months ended June 30, 2015, respectively. The decrease is primarily driven by the sale of Portfolio #2 and Portfolio #3 during the first quarter of 2016 and lower finance lease income as a result of the amortization of the underlying principal balances.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Total expenses in the Shipping Containers segment decreased by $730 and $985 in the three and six months ended June 30, 2016 as compared to the three and six months ended June 30, 2015, respectively. This was driven by a decrease in interest expense of $625 and $857 in the three and six months ended June 30, 2016, respectively, as compared to the three and six months ended June 30, 2015, respectively, due to lower principal balances on the term loans, along with the termination of the term loan in conjunction with the sale of Portfolio #2 and Portfolio #3. Additionally, the sale of the portfolios resulted in a decrease in operating expense of $105 and $128 in the three and six months ended June 30, 2016,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Total other income in the Shipping Containers segment decreased $1,482 and $2,329 in the three and six months ended June 30, 2016 as compared to the three and six months ended June 30, 2015, respectively. The decrease was primarily due to lower equity in earnings of unconsolidated entities from our shipping container joint venture of $1,484 and $2,640 in the three and six months ended June 30, 2016, respectively, as compared to the three and six months ended June 30, 2015, respectively, due to increased depreciation expense and loss on disposals of containers related to the operating leases within our shipping containers joint venture. Offsetting this decrease was a gain on sale of equipment of $304 from the sale of Portfolio #2 on March 9, 2016 and Portfolio #3 on March 30,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Adjusted Net (Loss) Income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Adjusted Net Loss increased by $2,685 and $4,071 in the three and six months ended June 30, 2016 as compared to the three and six months ended June 30, 2015, respectively, primarily due to the changes noted above and decrease in the pro-rate share of Adjusted Net Income from Unconsolidated entities offset by the change in the equity in earnings of unconsolidated entities.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46"/>
        <w:spacing w:after="0" w:line="258" w:lineRule="auto"/>
        <w:rPr>
          <w:sz w:val="20"/>
          <w:szCs w:val="20"/>
          <w:color w:val="auto"/>
        </w:rPr>
      </w:pPr>
      <w:r>
        <w:rPr>
          <w:rFonts w:ascii="Arial" w:cs="Arial" w:eastAsia="Arial" w:hAnsi="Arial"/>
          <w:sz w:val="18"/>
          <w:szCs w:val="18"/>
          <w:color w:val="auto"/>
        </w:rPr>
        <w:t>Adjusted EBITDA was $801 and $3,585 in the three and six months ended June 30, 2016, decreasing by $2,869 and $3,981 in the three and six months ended June 30, 2016 as compared to the three and six months ended June 30, 2015, respectively,</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due to changes in net income attributable to shareholders noted above, lower interest expense due to lower principal balances on the term loans, along with the termination of the term loan in conjunction with the sale of Portfolio #2 and Portfolio #3 and lower pro-rate share of Adjusted EBITDA from unconsolidated entities, offset by lower equity in earnings of unconsolidated entities.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the Jefferson Terminal segment for the three and six months ended June 30, 2016 and June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(3,003)</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9,501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9,386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16,174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(6,788)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7,669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6,769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14,966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15,981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25,134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29,049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(3,915)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(expense)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(722)</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2" w:lineRule="exact"/>
        <w:rPr>
          <w:sz w:val="20"/>
          <w:szCs w:val="20"/>
          <w:color w:val="auto"/>
        </w:rPr>
      </w:pPr>
    </w:p>
    <w:p>
      <w:pPr>
        <w:ind w:left="500" w:hanging="492"/>
        <w:spacing w:after="0" w:line="248" w:lineRule="auto"/>
        <w:tabs>
          <w:tab w:leader="none" w:pos="155" w:val="left"/>
        </w:tabs>
        <w:numPr>
          <w:ilvl w:val="0"/>
          <w:numId w:val="31"/>
        </w:numPr>
        <w:rPr>
          <w:rFonts w:ascii="Arial" w:cs="Arial" w:eastAsia="Arial" w:hAnsi="Arial"/>
          <w:sz w:val="9"/>
          <w:szCs w:val="9"/>
          <w:color w:val="auto"/>
        </w:rPr>
      </w:pPr>
      <w:r>
        <w:rPr>
          <w:rFonts w:ascii="Arial" w:cs="Arial" w:eastAsia="Arial" w:hAnsi="Arial"/>
          <w:sz w:val="14"/>
          <w:szCs w:val="14"/>
          <w:color w:val="auto"/>
        </w:rPr>
        <w:t>Non-controlling share of Adjusted Net Income (Loss) is comprised of the following for the three months ended June 30, 2016 and 2015: (i) equity-based compensation of $0 and $366, (ii) provision for income tax of $0 and $20 less (iii) cash tax payments of $20 and $71, respectively. Non-controlling share of Adjusted Net Income (Loss) is comprised of the following for the six months ended June 30, 2016 and 2015: (i) equity-based compensation of $(1,627)</w:t>
      </w:r>
    </w:p>
    <w:p>
      <w:pPr>
        <w:sectPr>
          <w:pgSz w:w="11900" w:h="16838" w:orient="portrait"/>
          <w:cols w:equalWidth="0" w:num="1">
            <w:col w:w="11420"/>
          </w:cols>
          <w:pgMar w:left="240" w:top="688"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688" w:right="239" w:bottom="1440" w:gutter="0" w:footer="0" w:header="0"/>
          <w:type w:val="continuous"/>
        </w:sectPr>
      </w:pPr>
    </w:p>
    <w:bookmarkStart w:id="56" w:name="page57"/>
    <w:bookmarkEnd w:id="56"/>
    <w:p>
      <w:pPr>
        <w:ind w:left="500"/>
        <w:spacing w:after="0"/>
        <w:rPr>
          <w:sz w:val="20"/>
          <w:szCs w:val="20"/>
          <w:color w:val="auto"/>
        </w:rPr>
      </w:pPr>
      <w:r>
        <w:rPr>
          <w:rFonts w:ascii="Arial" w:cs="Arial" w:eastAsia="Arial" w:hAnsi="Arial"/>
          <w:sz w:val="14"/>
          <w:szCs w:val="14"/>
          <w:color w:val="auto"/>
        </w:rPr>
        <w:t>and $707, (ii) provision for income tax of $14 and $20, and (iii) loss on extinguishment of debt of $616 and $0 less (iv) cash tax payments of $20 and $71, respectively.</w:t>
      </w:r>
    </w:p>
    <w:p>
      <w:pPr>
        <w:spacing w:after="0" w:line="11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Jefferson Terminal segment for the three and six months ended June 30, 2016 and June 30,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7,788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45" w:lineRule="auto"/>
        <w:tabs>
          <w:tab w:leader="none" w:pos="154" w:val="left"/>
        </w:tabs>
        <w:numPr>
          <w:ilvl w:val="0"/>
          <w:numId w:val="32"/>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June 30, 2016 and 2015: (i) equity-based compensation of $0 and $366, (ii) provision for income taxes of $0 and $20, (iii) interest expense of $1,452 and $1,171, and (iv) depreciation and amortization expense of $1,558 and $1,379, respectively. Non-controlling share of Adjusted EBITDA is comprised of the following items for the six months ended June 30, 2016 and 2015: (i) equity-based compensation of $(1,627) and $707, (ii) provision for income taxes of $14 and $20, (iii) interest expense of $2,887 and $2,375, (iv) loss on extinguishment of debt of $616 and $0 and (v) depreciation and amortization expense of $2,993 and $2,702,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revenues in the Jefferson Terminal segment decreased by $2,236 and $3,003 in the three and six months ended June 30, 2016 as compared to the three and six months ended June 30, 2015, respectively. The decreases were primarily due to a decrease in Lease Income as rail cars were off-lease during the three and six months ended June 30, 2016. Terminal services revenue decreased by $826 and $183 in the three and six months ended June 30, 2016, respectively, due to lower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Total expenses in the Jefferson Terminal segment decreased by $1,015 and $3,915 in the three and six months ended June 30, 2016, respectively, as compared to the three and six months ended June 30, 2015, respectively.</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June 30, 2016, expenses decreased $1,015 compared to the three months ended June 30, 2015 primarily due to a decrease of $2,803 in operating expenses driven by a (i) lower equity-based compensation expense of $919, (ii) a decrease in compensation and benefits of $794, (iii) a decrease in professional fees of $820 and (iv) a decrease in facility operations expense of $1,427 primarily due to lower volume, offset by an increase in environmental cleanup costs of $1,248. Additionally, the decrease in operating expenses was offset by an increase of $291 in acquisition and transaction costs, $532 of depreciation and amortization due to property, plant and equipment placed into service in the second half of 2015 and $965 of interest expense driven by the Series 2016 bonds issued in March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jc w:val="both"/>
        <w:ind w:firstLine="486"/>
        <w:spacing w:after="0" w:line="270" w:lineRule="auto"/>
        <w:rPr>
          <w:sz w:val="20"/>
          <w:szCs w:val="20"/>
          <w:color w:val="auto"/>
        </w:rPr>
      </w:pPr>
      <w:r>
        <w:rPr>
          <w:rFonts w:ascii="Arial" w:cs="Arial" w:eastAsia="Arial" w:hAnsi="Arial"/>
          <w:sz w:val="17"/>
          <w:szCs w:val="17"/>
          <w:color w:val="auto"/>
        </w:rPr>
        <w:t>For the six months ended June 30, 2016, expenses decreased $3,915 compared to the six months ended June 30, 2015 primarily due to a decrease of $6,788 in operating expenses, driven by lower equity-based compensation expense of $5,940 as the achievement of all performance conditions for one award was not deemed probable and accordingly the expense previously recognized in prior periods was reversed and a second award was partially accelerated and the remainder forfeited and canceled, according to the original terms of the agreement, when employment ended during the three months ended March 31, 2016. Additional reduction to the operating expenses was due to a decrease of $2,410 in facility operations expense primarily due to lower volume and $320 in compensation and benefits. The above decreases were offset by an increase in environmental cleanup costs of $1,248 and maintenance expense of $1,064 due to repair on certain assets. The decrease in operating expenses was offset by an increase of $291 in acquisition and transaction costs, $900 of depreciation and amortization expense due to property, plant and equipment placed into service in the second half of 2015 and $1,682 of interest expense driven by the 2016 bonds issued in March 2016.</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Adjusted Net Loss was $6,519 and $12,776 in the three and six months ended June 30, 2016, respectively, increasing by $778 and $2,820 as compared to the three and six months ended June 30, 2015, respectively. In addition to the changes in net loss attributable to shareholders noted above, the decrease in each respective period was driven by the decrease in equity-based compensation of $919 and $5,940 in the three and six months ended June 30, 2016 as compared to the three and six months ended June 30, 2015, respectively. This was offset by the acquisition and transaction expenses incurred related to the creation of a joint venture during the quarter, lower cash payments for income taxes, lower non-controlling share of adjusted net income and a loss on extinguishment of debt (which did not occur in the three months ended June 30, 2015) in comparison to the prior year periods.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Adjusted EBITDA was $(1,521) and $(3,167) in the three and six months ended June 30, 2016, decreasing by $78 and $1,221 as compared to the three and six months ended June 30, 2015.</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months ended June 30, 2016, adjusted EBITDA increased by $78 as compared to the three months ended June 30, 2015, respectively. In addition to the changes in net loss attributable to shareholders noted above, Adjusted EBITDA was impacted by a decrease in equity-based compensation of $919, as compared to the three and six months ended June 30, 2015, which was offset by the acquisition and transaction expenses incurred related to the creation of a joint venture during the quarter, increases in depreciation and amortization expense and interest expense driven by the Series 2016 bonds issued in March 2016.</w:t>
      </w:r>
    </w:p>
    <w:p>
      <w:pPr>
        <w:spacing w:after="0" w:line="8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For the six months ended June 30, 2016, adjusted EBITDA decreased by $1,221 as compared to the six months ended June 30, 2015, respectively. In addition to the changes in net loss attributable to shareholders noted above, Adjusted EBITDA was impacted by a decrease in equity-based compensation of $5,940 as the achievement of all performance conditions for one award was not deemed probable and accordingly the expense previously recognized in prior periods was reversed and a second award was partially accelerated and the remainder forfeited and canceled, according to the original terms of the agreement, when employment ended during the three months ended March 31, 2016, as compared to the six months ended June 30, 2015. The decrease in the loss from equity-based compensation was offset by the increase in a loss on extinguishment of debt, depreciation and amortization, interest expense, non-controlling share of Adjusted Net Income for the six months ended June 30, 2016 as compared to the six months ended June 30, 2015.</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Loss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Railroad segment for the three and six months ended June 30, 2016 and June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3,859</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7,707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5,558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15,706</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11,847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3,859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8,002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7,795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15,904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15,518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3,712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3,712</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7" w:lineRule="exact"/>
        <w:rPr>
          <w:sz w:val="20"/>
          <w:szCs w:val="20"/>
          <w:color w:val="auto"/>
        </w:rPr>
      </w:pPr>
    </w:p>
    <w:p>
      <w:pPr>
        <w:ind w:left="500" w:right="20" w:hanging="492"/>
        <w:spacing w:after="0" w:line="293" w:lineRule="auto"/>
        <w:tabs>
          <w:tab w:leader="none" w:pos="141" w:val="left"/>
        </w:tabs>
        <w:numPr>
          <w:ilvl w:val="0"/>
          <w:numId w:val="33"/>
        </w:numPr>
        <w:rPr>
          <w:rFonts w:ascii="Arial" w:cs="Arial" w:eastAsia="Arial" w:hAnsi="Arial"/>
          <w:sz w:val="8"/>
          <w:szCs w:val="8"/>
          <w:color w:val="auto"/>
        </w:rPr>
      </w:pPr>
      <w:r>
        <w:rPr>
          <w:rFonts w:ascii="Arial" w:cs="Arial" w:eastAsia="Arial" w:hAnsi="Arial"/>
          <w:sz w:val="13"/>
          <w:szCs w:val="13"/>
          <w:color w:val="auto"/>
        </w:rPr>
        <w:t>Non-controlling share of Adjusted Net Income (Loss) is comprised of equity-based compensation of $5 and $11, respectively, for the three months ended June 30, 2016 and June 30, 2015. Non-controlling share of Adjusted Net Income (Loss) is comprised of equity-based compensation of $13 and $24, respectively, for the six months ended June 30, 2016 and June 30, 2015.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59" w:name="page60"/>
    <w:bookmarkEnd w:id="59"/>
    <w:p>
      <w:pPr>
        <w:ind w:right="260" w:firstLine="446"/>
        <w:spacing w:after="0" w:line="277" w:lineRule="auto"/>
        <w:rPr>
          <w:sz w:val="20"/>
          <w:szCs w:val="20"/>
          <w:color w:val="auto"/>
        </w:rPr>
      </w:pPr>
      <w:r>
        <w:rPr>
          <w:rFonts w:ascii="Arial" w:cs="Arial" w:eastAsia="Arial" w:hAnsi="Arial"/>
          <w:sz w:val="18"/>
          <w:szCs w:val="18"/>
          <w:color w:val="auto"/>
        </w:rPr>
        <w:t>The following table sets forth a reconciliation of net (loss) income attributable to shareholders to Adjusted EBITDA for the Railroad segment for the three and six months ended June 30, 2016 and June 30,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258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7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74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7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7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7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3,307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46" w:lineRule="auto"/>
        <w:tabs>
          <w:tab w:leader="none" w:pos="154" w:val="left"/>
        </w:tabs>
        <w:numPr>
          <w:ilvl w:val="0"/>
          <w:numId w:val="34"/>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June 30, 2016 and 2015: (i) equity-based compensation of $5 and $11, (ii) interest expense of $8 and $6, and (iii) depreciation and amortization expense of $21 and $15, respectively. Non-controlling share of Adjusted EBITDA is comprised of the following items for the six months ended June 30, 2016 and 2015: (i) equity-based compensation of $13 and $24, (ii) interest expense of $14 and $9, and (iii) depreciation and amortization expense of $42 and $27,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Total revenues in the Railroad segment increased by $2,149 and $3,859, in the three and six months ended June 30, 2016, due to higher traffic and expanded service offerings to customers. The increase primarily consists of (i) $1,295 and $2,404 in freight transportation revenue, (ii) $529 and $857 in switching and other rail service revenue and (iii) $318 and $603 in car hire income in the three and six months ended June 30, 2016, as compared to the three and six months ended June 30, 2015,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Total expenses in the Railroad segment increased by $207 and $386 in the three and six months ended June 30, 2016, respectively, as compared to the three and six months ended June 30, 2015, respectively.</w:t>
      </w:r>
    </w:p>
    <w:p>
      <w:pPr>
        <w:spacing w:after="0" w:line="6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For the three and six months ended June 30, 2016, expenses increased by $207 and $386 as compared to the three and six months ended June 30, 2015, respectively, primarily due to the increase of $53 and $191 in operating expenses, which was driven by an increase in compensation expense of $297 and $329 offset by a decrease in insurance expense of $175 and $59 and bad debt expense of $100 and $131, respectively. Additionally, for the three and six months ended June 30, 2016, as compared the three and six months ended June 30, 2015, respectively, there was an increase of $115 and $132 in depreciation expense related to property, plant and equipment, and $39 and $63 of interest expense related to borrowings under the CMQR Credit Agreement used to finance construction and improvements to the railroad,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Adjusted Net Income increased by $1,798 and $3,132 as compared to the three and six months ended June 30, 2015, respectively. In addition to the changes in net income (loss) attributable to shareholders noted above, Adjusted Net Loss was impacted by lower equity-based compensation expense of $119 and $482 in the three and six months ended June 30, 2016 as compared to the three and six months ended June 30, 2015,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Adjusted EBITDA was $575 and $1,718 in the three and six months ended June 30, 2016, increasing by $1,944 and $3,307 as compared to the three and six months ended June 30, 2015, respectively. In addition to the changes in net income (loss) attributable to shareholders noted above, Adjusted EBITDA was also impacted primarily by higher depreciation and amortization expense of $115 and $132 and interest expense of $39 and $63, which were offset by lower equity-based compensation expense of $119 and $482, in the three and six months ended June 30, 2016 as compared to the three and six months ended June 30, 2015,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Corporate for the three and six months ended June 30, 2016 and June 30,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9,182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7,072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17,177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(6,977)</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w w:val="96"/>
              </w:rPr>
              <w:t>Less: Net income attributable to non-controlling interest in</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(6,969)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(6,318)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76"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June 30, 2015: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(6,969)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(5,452)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(2,142)</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(14,528)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Total expenses increased by $2,110 and $6,975 in the three and six months ended June 30, 2016 as compared to the three and six months ended June 30, 2015, respectively.</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For the three months ended June 30, 2016, the increase primarily consists of higher: (i) general and administrative expenses of $1,372, including $1,001 of reimbursement expenses to our manager and $399 of general corporate costs required for a stand-alone public company including insurance, (ii) management fees of $746 attributable to new agreements put in place subsequent to our IPO, offset by a decrease in acquisition and transaction expenses for abandoned transaction opportunities of $14, as compared to the three months ended June 30, 2015.</w:t>
      </w:r>
    </w:p>
    <w:p>
      <w:pPr>
        <w:spacing w:after="0" w:line="7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For the six months ended June 30, 2016, the increase primarily consists of higher (i) general and administrative expenses of $3,612, including $2,759 of reimbursement expenses to our manager, $731 of general corporate costs required for a stand-alone public company including insurance, (ii) management fees of $2,680 attributable to new agreements put in place subsequent to our IPO and (iii) acquisition and transaction expenses for abandoned transaction opportunities of $677, as compared to the six months ended June 30,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Adjusted Net Loss was $7,594 and $14,532 in the three and six months ended June 30, 2016, increasing by $2,142 and $6,318, as compared to the three and six months ended June 30, 2015, respectively. In addition to the changes in net loss attributable to shareholders noted above, Adjusted Net Loss was primarily impacted by acquisition and transaction expenses, incurred for potential acquisition opportunities, which were lower for the three months ended June 30, 2016 and higher for the six months ended June 30, 2016, as compared to three and six months ended June 30,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Adjusted EBITDA was $(7,594) and $(14,528) in the three and six months ended June 30, 2016, decreasing by $2,142 and $6,314 as compared to the three and six months ended June 30, 2015, respectively. In addition to the changes in net loss attributable to shareholders noted above, Adjusted EBITDA was primarily impacted by higher acquisition and transaction expenses, incurred for potential acquisition opportunities, which were lower for the three months ended June 30, 2016 and higher for the six months ended June 30, 2016, as compared to three and six months ended June 30, 2015,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Transactions with Affiliates and Affiliated Entities</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managed by FIG LLC (the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1, 2016, we, through one of our subsidiaries, purchased the Repauno Delaware Port (“Repauno”) for a purchase price of $25 million, which consisted of primarily land, a storage cavern, and water rights. In conjunction with this acquisition, we entered into an arrangement with a third party, whereby the third party is entitled to a minority interest in Repauno and may receive payments upon the achievement of certain performance targets when and if these arrangements are achieved.</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August 2, 2016, our Board of Directors declared a cash dividend on its common stock of $0.33 per share for the quarter ended June 30, 2016, payable on August 29, 2016 to the holders of record on August 19,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principal uses of liquidity have been (i) acquisitions of transportation infrastructure and equipment, (ii) distributions to our shareholders,</w:t>
      </w:r>
    </w:p>
    <w:p>
      <w:pPr>
        <w:spacing w:after="0" w:line="35" w:lineRule="exact"/>
        <w:rPr>
          <w:sz w:val="20"/>
          <w:szCs w:val="20"/>
          <w:color w:val="auto"/>
        </w:rPr>
      </w:pPr>
    </w:p>
    <w:p>
      <w:pPr>
        <w:ind w:firstLine="8"/>
        <w:spacing w:after="0" w:line="261"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associated with our operating activities and (iv) debt service obligations associated with our investments (all dollar amounts are expressed in thousands).</w:t>
      </w:r>
    </w:p>
    <w:p>
      <w:pPr>
        <w:spacing w:after="0" w:line="75" w:lineRule="exact"/>
        <w:rPr>
          <w:rFonts w:ascii="Arial" w:cs="Arial" w:eastAsia="Arial" w:hAnsi="Arial"/>
          <w:sz w:val="18"/>
          <w:szCs w:val="18"/>
          <w:color w:val="auto"/>
        </w:rPr>
      </w:pPr>
    </w:p>
    <w:p>
      <w:pPr>
        <w:ind w:left="880" w:hanging="318"/>
        <w:spacing w:after="0"/>
        <w:tabs>
          <w:tab w:leader="none" w:pos="8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six months ended June 30, 2016 and 2015, cash used for the purpose of making investments was $100,417 and $101,611, respectively.</w:t>
      </w:r>
    </w:p>
    <w:p>
      <w:pPr>
        <w:spacing w:after="0" w:line="140" w:lineRule="exact"/>
        <w:rPr>
          <w:rFonts w:ascii="Arial" w:cs="Arial" w:eastAsia="Arial" w:hAnsi="Arial"/>
          <w:sz w:val="16"/>
          <w:szCs w:val="16"/>
          <w:color w:val="auto"/>
        </w:rPr>
      </w:pPr>
    </w:p>
    <w:p>
      <w:pPr>
        <w:ind w:left="880" w:right="20" w:hanging="318"/>
        <w:spacing w:after="0" w:line="277"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six months ended June 30, 2016 and 2015, distributions to shareholders, including cash dividends were $50,007 and $44,917, respectively, and distributions to non-controlling interest were $0 and $254, respectively.</w:t>
      </w:r>
    </w:p>
    <w:p>
      <w:pPr>
        <w:spacing w:after="0" w:line="62" w:lineRule="exact"/>
        <w:rPr>
          <w:rFonts w:ascii="Arial" w:cs="Arial" w:eastAsia="Arial" w:hAnsi="Arial"/>
          <w:sz w:val="18"/>
          <w:szCs w:val="18"/>
          <w:color w:val="auto"/>
        </w:rPr>
      </w:pPr>
    </w:p>
    <w:p>
      <w:pPr>
        <w:ind w:left="880" w:right="20" w:hanging="318"/>
        <w:spacing w:after="0" w:line="277" w:lineRule="auto"/>
        <w:tabs>
          <w:tab w:leader="none" w:pos="8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2"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principal sources of liquidity to fund these uses have been (i) revenues from our transportation infrastructure and equipment assets (including finance lease collections and maintenance reserve collections) net of operating expenses, (ii) borrowings, (iii) distributions received from unconsolidated investees, (iv) capital contributions from our shareholders, (v) proceeds from asset sales and (vi) proceeds from the issuance of common shares.</w:t>
      </w:r>
    </w:p>
    <w:p>
      <w:pPr>
        <w:spacing w:after="0" w:line="57" w:lineRule="exact"/>
        <w:rPr>
          <w:sz w:val="20"/>
          <w:szCs w:val="20"/>
          <w:color w:val="auto"/>
        </w:rPr>
      </w:pPr>
    </w:p>
    <w:p>
      <w:pPr>
        <w:ind w:left="880" w:right="2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six months ended June 30, 2016 and 2015, cash flows from operating activities, plus the principal collections on finance leases and maintenance reserve collections were $9,929 and $25,103, respectively.</w:t>
      </w:r>
    </w:p>
    <w:p>
      <w:pPr>
        <w:spacing w:after="0" w:line="62" w:lineRule="exact"/>
        <w:rPr>
          <w:rFonts w:ascii="Arial" w:cs="Arial" w:eastAsia="Arial" w:hAnsi="Arial"/>
          <w:sz w:val="18"/>
          <w:szCs w:val="18"/>
          <w:color w:val="auto"/>
        </w:rPr>
      </w:pPr>
    </w:p>
    <w:p>
      <w:pPr>
        <w:jc w:val="both"/>
        <w:ind w:left="880" w:hanging="318"/>
        <w:spacing w:after="0" w:line="279"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During the six months ended June 30, 2016, additional borrowings were obtained in connection with the Series 2016 Bonds of $99,858 and the CMQR Credit Agreement of $8,800. We made total principal repayments of $153,721. primarily relating to the termination of the Jefferson Terminal Credit Agreement, Container Loan #1, and Container Loan #2. During six months ended June 30, 2015, additional borrowings of $200 were obtained in connection with the CMQR Credit Agreement and we made total principal repayments of $8,633.</w:t>
      </w:r>
    </w:p>
    <w:p>
      <w:pPr>
        <w:spacing w:after="0" w:line="63" w:lineRule="exact"/>
        <w:rPr>
          <w:rFonts w:ascii="Arial" w:cs="Arial" w:eastAsia="Arial" w:hAnsi="Arial"/>
          <w:sz w:val="17"/>
          <w:szCs w:val="17"/>
          <w:color w:val="auto"/>
        </w:rPr>
      </w:pPr>
    </w:p>
    <w:p>
      <w:pPr>
        <w:ind w:left="880" w:right="2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six months ended June 30, 2016 and 2015, we received $462 and $1,888 in cash distributions from our unconsolidated investees, respectively, of which $30 and $604 was included in cash flows from operating activities,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six months ended June 30, 2016 and 2015, proceeds from the sale of assets were $86,983 and $1,625, respectively.</w:t>
      </w:r>
    </w:p>
    <w:p>
      <w:pPr>
        <w:spacing w:after="0" w:line="117"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six months ended June 30, 2016 and 2015, capital contributions from shareholders were $0 and $295,879, respectively, and capital contributions from non-controlling interests were $7,433 and $29,869,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During the six months ended June 30, 2015, proceeds from the issuance of common stock were $352,346, net of issuance costs of $1,711</w:t>
      </w:r>
    </w:p>
    <w:p>
      <w:pPr>
        <w:spacing w:after="0" w:line="129"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The Company is currently evaluating several potential Infrastructure and Equipment Leasing transactions which could occur within the next 12 months. However, as of the date of this filing, none of the above-referenced pipeline transactions or negotiations are definitive or included within the planned liquidity needs of the Company. We cannot assure you if or when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any such transaction will be consummated or the terms of any such transaction.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six months ended June 30, 2016 and June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historical cash flow for the six months ended June 30, 2016 and June 30, 2015:</w:t>
      </w:r>
    </w:p>
    <w:p>
      <w:pPr>
        <w:spacing w:after="0" w:line="293"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37465</wp:posOffset>
            </wp:positionV>
            <wp:extent cx="2804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0" w:lineRule="exact"/>
        <w:rPr>
          <w:sz w:val="20"/>
          <w:szCs w:val="20"/>
          <w:color w:val="auto"/>
        </w:rPr>
      </w:pPr>
    </w:p>
    <w:p>
      <w:pPr>
        <w:ind w:left="7600"/>
        <w:spacing w:after="0"/>
        <w:tabs>
          <w:tab w:leader="none" w:pos="9840" w:val="left"/>
        </w:tabs>
        <w:rPr>
          <w:sz w:val="20"/>
          <w:szCs w:val="20"/>
          <w:color w:val="auto"/>
        </w:rPr>
      </w:pPr>
      <w:r>
        <w:rPr>
          <w:rFonts w:ascii="Arial" w:cs="Arial" w:eastAsia="Arial" w:hAnsi="Arial"/>
          <w:sz w:val="16"/>
          <w:szCs w:val="16"/>
          <w:b w:val="1"/>
          <w:bCs w:val="1"/>
          <w:color w:val="auto"/>
        </w:rPr>
        <w:t>June 30, 2016</w:t>
      </w:r>
      <w:r>
        <w:rPr>
          <w:sz w:val="20"/>
          <w:szCs w:val="20"/>
          <w:color w:val="auto"/>
        </w:rPr>
        <w:tab/>
      </w:r>
      <w:r>
        <w:rPr>
          <w:rFonts w:ascii="Arial" w:cs="Arial" w:eastAsia="Arial" w:hAnsi="Arial"/>
          <w:sz w:val="14"/>
          <w:szCs w:val="14"/>
          <w:b w:val="1"/>
          <w:bCs w:val="1"/>
          <w:color w:val="auto"/>
        </w:rPr>
        <w:t>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37465</wp:posOffset>
            </wp:positionV>
            <wp:extent cx="2804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66"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3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990</w:t>
            </w:r>
          </w:p>
        </w:tc>
        <w:tc>
          <w:tcPr>
            <w:tcW w:w="8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14,631</w:t>
            </w:r>
          </w:p>
        </w:tc>
      </w:tr>
      <w:tr>
        <w:trPr>
          <w:trHeight w:val="237"/>
        </w:trPr>
        <w:tc>
          <w:tcPr>
            <w:tcW w:w="536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3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(17,378)</w:t>
            </w:r>
          </w:p>
        </w:tc>
        <w:tc>
          <w:tcPr>
            <w:tcW w:w="88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(89,226)</w:t>
            </w:r>
          </w:p>
        </w:tc>
      </w:tr>
      <w:tr>
        <w:trPr>
          <w:trHeight w:val="33"/>
        </w:trPr>
        <w:tc>
          <w:tcPr>
            <w:tcW w:w="5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2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(89,107)</w:t>
            </w: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623,784</w:t>
            </w:r>
          </w:p>
        </w:tc>
      </w:tr>
      <w:tr>
        <w:trPr>
          <w:trHeight w:val="33"/>
        </w:trPr>
        <w:tc>
          <w:tcPr>
            <w:tcW w:w="53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Net cash provided by operating activities was $990 in the six months ended June 30, 2016 as compared to $14,631 in the six months ended June 30, 2015, representing a $13,641 decrease. Net loss of $29,133 in the six months ended June 30, 2016, compared to a loss of $3,328 in the six months ended June 30, 2015, a decrease of $25,805 was the primary driver of the decrease in net cash provided by operating activities for the period. The decrease was offset by non-cash adjustments to reconcile net income which include an increase of (i) $7,450 relating to an asset impairment, (ii) $6,591 relating to depreciation and amortization, (iii) $2,640 relating equity and earnings from unconsolidated entities, and (iv) $1,579 loss on extinguishment of debt, offset by a decrease due to equity based compensation of $6,446 and gain on sale of equipment of $2,976 as compared to 2015. Additionally, operating activities increased due to a decrease in cash used in accounts payable and accrued liabilities of $9,145 primarily related to activities at the Jefferson Terminal offset by an increase in other assets of $7,470 primarily related to capitalized costs associated with potential acquisitions.</w:t>
      </w:r>
    </w:p>
    <w:p>
      <w:pPr>
        <w:spacing w:after="0" w:line="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Net cash used in investing activities was $17,378 and $89,226 in the six months ended June 30, 2016 and 2015, respectively, representing a $71,848 decrease. Cash used in investing activities decreased due to cash received for the sale of two finance leases, resulting in proceeds of $71,000, and cash proceeds received related to the sale of leasing equipment of $14,405, as well as a decrease in cash paid for property, plant and equipment of $57,340 in the six months ended June 30, 2016 as compared to the six months ended June 30, 2015. Offsetting these decreases was an increase in cash used in the acquisition of leasing equipment and related lease intangibles of $58,283 due to the acquisition of eight commercial jet engines and six aircraft in the six months ended June 30, 2016.</w:t>
      </w:r>
    </w:p>
    <w:p>
      <w:pPr>
        <w:spacing w:after="0" w:line="8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Net cash used in financing activities was $89,107 in the six months ended June 30, 2016 as compared to cash provided by financing activities of $623,784 in six months ended June 30, 2015, representing a $712,891 decrease. Such decrease was attributable to (i) a decrease in cash proceeds received due to the issuance of common shares net of issuance costs paid of $352,346, (ii) a decrease in capital contributions from shareholders of $295,879, and (iii) a decrease in capital contributions from non-controlling interests of $22,436. In addition to these decreases, cash outflows increased in the six months ended June 30, 2016 as compared to the six months ended June 30, 2015 due to repayment of debt, net of proceeds from borrowings of $36,630 and cash dividends paid of $50,007.</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Funds Available for Distribution (Non-GAAP)</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7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2016</w:t>
            </w:r>
          </w:p>
        </w:tc>
        <w:tc>
          <w:tcPr>
            <w:tcW w:w="240" w:type="dxa"/>
            <w:vAlign w:val="bottom"/>
          </w:tcPr>
          <w:p>
            <w:pPr>
              <w:spacing w:after="0"/>
              <w:rPr>
                <w:sz w:val="18"/>
                <w:szCs w:val="18"/>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June 30, 2015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14,631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Finance Leases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6,142</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Add: Proceeds from sale of assets </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87,483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Return of Capital Distributions from 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Less: Required Payments on Debt Obligations </w:t>
            </w:r>
            <w:r>
              <w:rPr>
                <w:rFonts w:ascii="Arial" w:cs="Arial" w:eastAsia="Arial" w:hAnsi="Arial"/>
                <w:sz w:val="21"/>
                <w:szCs w:val="21"/>
                <w:color w:val="auto"/>
                <w:vertAlign w:val="superscript"/>
              </w:rPr>
              <w:t>(2)</w:t>
            </w:r>
          </w:p>
        </w:tc>
        <w:tc>
          <w:tcPr>
            <w:tcW w:w="2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(49,223)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(8,633)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Capital Distributions to Non-Controlling Interest</w:t>
            </w: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Exclude: Changes in Working Capital</w:t>
            </w:r>
          </w:p>
        </w:tc>
        <w:tc>
          <w:tcPr>
            <w:tcW w:w="24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Funds Available for Distribution (FAD)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22,131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8"/>
          <w:szCs w:val="8"/>
          <w:color w:val="auto"/>
        </w:rPr>
      </w:pPr>
      <w:r>
        <w:rPr>
          <w:rFonts w:ascii="Arial" w:cs="Arial" w:eastAsia="Arial" w:hAnsi="Arial"/>
          <w:sz w:val="13"/>
          <w:szCs w:val="13"/>
          <w:color w:val="auto"/>
        </w:rPr>
        <w:t>Proceeds from sale of assets includes $500 received in December 2015 for a deposit on the sale of a commercial jet engine, which was completed in the six months ended June 30, 2016.</w:t>
      </w:r>
    </w:p>
    <w:p>
      <w:pPr>
        <w:spacing w:after="0" w:line="24" w:lineRule="exact"/>
        <w:rPr>
          <w:rFonts w:ascii="Arial" w:cs="Arial" w:eastAsia="Arial" w:hAnsi="Arial"/>
          <w:sz w:val="8"/>
          <w:szCs w:val="8"/>
          <w:color w:val="auto"/>
        </w:rPr>
      </w:pPr>
    </w:p>
    <w:p>
      <w:pPr>
        <w:ind w:left="500" w:right="120" w:hanging="492"/>
        <w:spacing w:after="0" w:line="255" w:lineRule="auto"/>
        <w:tabs>
          <w:tab w:leader="none" w:pos="154" w:val="left"/>
        </w:tabs>
        <w:numPr>
          <w:ilvl w:val="0"/>
          <w:numId w:val="37"/>
        </w:numPr>
        <w:rPr>
          <w:rFonts w:ascii="Arial" w:cs="Arial" w:eastAsia="Arial" w:hAnsi="Arial"/>
          <w:sz w:val="9"/>
          <w:szCs w:val="9"/>
          <w:color w:val="auto"/>
        </w:rPr>
      </w:pPr>
      <w:r>
        <w:rPr>
          <w:rFonts w:ascii="Arial" w:cs="Arial" w:eastAsia="Arial" w:hAnsi="Arial"/>
          <w:sz w:val="14"/>
          <w:szCs w:val="14"/>
          <w:color w:val="auto"/>
        </w:rPr>
        <w:t>Required payments on debt obligations excludes $98,750 repayment upon the termination of the Jefferson Terminal Credit Agreement and $5,748 repayment under the CMQR Credit Agreement in the six months ended June 30, 2016, which were voluntary refinancing as repayment of these amounts were not required at this time.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80"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give pro forma effect to prior acquisitions, certain of which cannot be quantified.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has significant discretion to make distributions, and the Company is not bound by any contractual provision that requires it to use cash for distributions.</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If such factors were included in FAD, there can be no assurance that the results would be consistent with the Company’s presentation of FAD.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3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debt agreements is disclosed in our Form 10-K for the year ended December 31, 2015.</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Container Loan #1</w:t>
      </w:r>
      <w:r>
        <w:rPr>
          <w:rFonts w:ascii="Arial" w:cs="Arial" w:eastAsia="Arial" w:hAnsi="Arial"/>
          <w:sz w:val="17"/>
          <w:szCs w:val="17"/>
          <w:color w:val="auto"/>
        </w:rPr>
        <w:t>—On December 27, 2012, a subsidiary of the Company entered into a Credit Agreement (“Container Loan #1”) with a bank for an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amount of approximately $55,991,000 in connection with the acquisition of a portfolio of shipping containers subject to finance leases. Container Loan #1 required monthly payments of interest and scheduled principal payments through its maturity on December 27, 2017 and could be prepaid without penalty after the third anniversary of the closing of the loan. In connection with Container Loan #1, the Company entered into an interest rate swap agreement (the “Swap”) on January 17, 2013 with respect to 70% of the outstanding balance of Container Loan #1 and designated as a cash flow hedge which fixed the LIBOR rate at 0.681%. During the six months ended June 30, 2016, all amounts outstanding under Container Loan #1 and the Swap were paid in full using the proceeds from the sale of the underlying assets, and such agreements were terminated.</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Container Loan #2</w:t>
      </w:r>
      <w:r>
        <w:rPr>
          <w:rFonts w:ascii="Arial" w:cs="Arial" w:eastAsia="Arial" w:hAnsi="Arial"/>
          <w:sz w:val="17"/>
          <w:szCs w:val="17"/>
          <w:color w:val="auto"/>
        </w:rPr>
        <w:t>—On August 15, 2013, a subsidiary of the Company entered into a Credit Agreement (“Container Loan #2”) with a bank for an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amount of approximately $21,548,000 in connection with the acquisition of a portfolio of shipping containers subject to finance leases. Container Loan #2 required quarterly payments of interest and scheduled principal payments through its maturity on August 28, 2018 and could be prepaid without penalty at any time. In connection with Container Loan #2, the Company entered into an interest rate cap agreement (the “Cap”) on September 20, 2013, with respect to 50% of the portion of the outstanding balance of Container Loan #2, not designated as a cash flow hedge, which capped LIBOR at 2.5%. During the six months ended June 30, 2016, all amounts outstanding under Container Loan #2 and the Cap were paid in full using the proceeds from the sale of the underlying assets, and such agreements were terminated.</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FTAI Pride Credit Agreement</w:t>
      </w:r>
      <w:r>
        <w:rPr>
          <w:rFonts w:ascii="Arial" w:cs="Arial" w:eastAsia="Arial" w:hAnsi="Arial"/>
          <w:sz w:val="18"/>
          <w:szCs w:val="18"/>
          <w:color w:val="auto"/>
        </w:rPr>
        <w:t>—On September 15, 2014, FTAI Pride, LLC, (“FTAI Pride”) a subsidiary of the Company entered into a credit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CMQR Credit Agreement</w:t>
      </w:r>
      <w:r>
        <w:rPr>
          <w:rFonts w:ascii="Arial" w:cs="Arial" w:eastAsia="Arial" w:hAnsi="Arial"/>
          <w:sz w:val="17"/>
          <w:szCs w:val="17"/>
          <w:color w:val="auto"/>
        </w:rPr>
        <w:t>—On March 28, 2016, CMQR amended its credit agreement (the “CMQR Credit Agreement”) with a financial institution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Jefferson Terminal Credit Agreement</w:t>
      </w:r>
      <w:r>
        <w:rPr>
          <w:rFonts w:ascii="Arial" w:cs="Arial" w:eastAsia="Arial" w:hAnsi="Arial"/>
          <w:sz w:val="18"/>
          <w:szCs w:val="18"/>
          <w:color w:val="auto"/>
        </w:rPr>
        <w:t>—On August 27, 2014, a subsidiary of the Company, entered into a credit agreement (the “Jefferson Terminal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a financial institution for an aggregate amount of $100,000. The Jefferson Terminal Credit Agreement required quarterly payments of $250 beginning with the quarter ending December 31, 2014, with such quarterly payments increasing to $1,250,000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six months ended June 30, 2016, the Company recorded a loss on extinguishment of debt of $1,579,000.</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Series 2016 Bonds</w:t>
      </w:r>
      <w:r>
        <w:rPr>
          <w:rFonts w:ascii="Arial" w:cs="Arial" w:eastAsia="Arial" w:hAnsi="Arial"/>
          <w:sz w:val="16"/>
          <w:szCs w:val="16"/>
          <w:color w:val="auto"/>
        </w:rPr>
        <w:t>—On March 7, 2016, the Port of Beaumont Navigation District of Jefferson County, Texas (the “District”) issued $144,200 of Dock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2" w:right="239" w:bottom="1440" w:gutter="0" w:footer="0" w:header="0"/>
        </w:sectPr>
      </w:pPr>
    </w:p>
    <w:bookmarkStart w:id="66" w:name="page67"/>
    <w:bookmarkEnd w:id="66"/>
    <w:p>
      <w:pPr>
        <w:jc w:val="both"/>
        <w:spacing w:after="0" w:line="297"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as well as maintenance of a minimum total asset value of Aviation Assets and minimum total equity of the Company. In connection with the above,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such affiliate, will effectively guarantee a pro rata portion of the obligations under the Standby Bond Purchase Agreement in return for a guarantee fee of $6,873 (shared on the same pro rata basis). This fee will be amortized as interest expense to the redemption date or February 13, 2020.</w:t>
      </w:r>
    </w:p>
    <w:p>
      <w:pPr>
        <w:spacing w:after="0" w:line="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debt covenants as of June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future obligations, by period due, as of June 30, 2016, under our various contractual obligations and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June 30, 2016.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6"/>
                <w:szCs w:val="16"/>
                <w:b w:val="1"/>
                <w:bCs w:val="1"/>
                <w:color w:val="auto"/>
              </w:rPr>
              <w:t>Payments Due by Period (in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Thereafter</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Note payable to non-controlling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FTAI Pride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CMQR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12,625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12,625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Jefferson Bonds Payable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189,710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37,740</w:t>
            </w:r>
          </w:p>
        </w:tc>
      </w:tr>
      <w:tr>
        <w:trPr>
          <w:trHeight w:val="217"/>
        </w:trPr>
        <w:tc>
          <w:tcPr>
            <w:tcW w:w="3540" w:type="dxa"/>
            <w:vAlign w:val="bottom"/>
            <w:gridSpan w:val="2"/>
          </w:tcPr>
          <w:p>
            <w:pPr>
              <w:ind w:left="40"/>
              <w:spacing w:after="0"/>
              <w:rPr>
                <w:sz w:val="20"/>
                <w:szCs w:val="20"/>
                <w:color w:val="auto"/>
              </w:rPr>
            </w:pPr>
            <w:r>
              <w:rPr>
                <w:rFonts w:ascii="Arial" w:cs="Arial" w:eastAsia="Arial" w:hAnsi="Arial"/>
                <w:sz w:val="16"/>
                <w:szCs w:val="16"/>
                <w:color w:val="auto"/>
                <w:w w:val="92"/>
              </w:rPr>
              <w:t>Total principal payments on loans and bonds payable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268,749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8,078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146,581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37,740</w:t>
            </w: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 xml:space="preserve">Total estimated interest payments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84,497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17,555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16,993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15,664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21,580</w:t>
            </w:r>
          </w:p>
        </w:tc>
      </w:tr>
      <w:tr>
        <w:trPr>
          <w:trHeight w:val="324"/>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101,499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5,520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5,095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77,012</w:t>
            </w: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102,382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6,307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5,706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5,281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77,063</w:t>
            </w: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155,690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136,383</w:t>
            </w:r>
          </w:p>
        </w:tc>
      </w:tr>
      <w:tr>
        <w:trPr>
          <w:trHeight w:val="20"/>
        </w:trPr>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30" w:lineRule="exact"/>
        <w:rPr>
          <w:sz w:val="20"/>
          <w:szCs w:val="20"/>
          <w:color w:val="auto"/>
        </w:rPr>
      </w:pPr>
    </w:p>
    <w:p>
      <w:pPr>
        <w:ind w:left="200" w:hanging="165"/>
        <w:spacing w:after="0"/>
        <w:tabs>
          <w:tab w:leader="none" w:pos="200" w:val="left"/>
        </w:tabs>
        <w:numPr>
          <w:ilvl w:val="0"/>
          <w:numId w:val="39"/>
        </w:numPr>
        <w:rPr>
          <w:rFonts w:ascii="Arial" w:cs="Arial" w:eastAsia="Arial" w:hAnsi="Arial"/>
          <w:sz w:val="9"/>
          <w:szCs w:val="9"/>
          <w:color w:val="auto"/>
        </w:rPr>
      </w:pPr>
      <w:r>
        <w:rPr>
          <w:rFonts w:ascii="Arial" w:cs="Arial" w:eastAsia="Arial" w:hAnsi="Arial"/>
          <w:sz w:val="14"/>
          <w:szCs w:val="14"/>
          <w:color w:val="auto"/>
        </w:rPr>
        <w:t>Estimated interest payments based on rates as of June 30, 2016.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critical accounting policies as disclosed in our Form 10-K for the year ended December 31,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Note 2 to our consolidated financial statements included elsewhere in this filing for recent accounting pronouncements.</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risk represents the risk of changes in value of a financial instrument, caused by fluctuations in interest rates and foreign exchange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factors could cause fluctuations in our results of operations and cash flows. We are exposed to the market risks described below.</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46"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June 30, 2016,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$670 and $(469), respectively, over the next 12 months before the impact of interest rate derivatives.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2" w:right="239" w:bottom="1440" w:gutter="0" w:footer="0" w:header="0"/>
        </w:sectPr>
      </w:pPr>
    </w:p>
    <w:bookmarkStart w:id="68" w:name="page69"/>
    <w:bookmarkEnd w:id="68"/>
    <w:p>
      <w:pPr>
        <w:ind w:left="50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35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may be involved in litigation matters arising in the ordinary course of our business. Although we will be unable to predict with certainty the eventual outcome of any litigation, in the opinion of management, our legal proceedings are not expected to have a material adverse effect on our financial position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3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2015 has resulted in lower exploration and production budgets worldwide, with industry experts predicting that exploration and production spending will decrease by approximately 25% in 2016, as compared to 2015.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demand for our assets is related to passenger and cargo traffic growth, which in turn is dependent on general business and economic conditions. The recent global economic downturn could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85" w:lineRule="exact"/>
        <w:rPr>
          <w:sz w:val="20"/>
          <w:szCs w:val="20"/>
          <w:color w:val="auto"/>
        </w:rPr>
      </w:pPr>
    </w:p>
    <w:p>
      <w:pPr>
        <w:jc w:val="both"/>
        <w:ind w:firstLine="432"/>
        <w:spacing w:after="0" w:line="375" w:lineRule="auto"/>
        <w:rPr>
          <w:sz w:val="20"/>
          <w:szCs w:val="20"/>
          <w:color w:val="auto"/>
        </w:rPr>
      </w:pPr>
      <w:r>
        <w:rPr>
          <w:rFonts w:ascii="Arial" w:cs="Arial" w:eastAsia="Arial" w:hAnsi="Arial"/>
          <w:sz w:val="15"/>
          <w:szCs w:val="15"/>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57" w:lineRule="exact"/>
        <w:rPr>
          <w:sz w:val="20"/>
          <w:szCs w:val="20"/>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demand for the type of assets that we purchase;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macroeconomic conditions, including market prices for commodities that our assets may serve;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8" w:right="239" w:bottom="1440" w:gutter="0" w:footer="0" w:header="0"/>
        </w:sectPr>
      </w:pPr>
    </w:p>
    <w:bookmarkStart w:id="69" w:name="page70"/>
    <w:bookmarkEnd w:id="69"/>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geopolitical events, including war, prolonged armed conflict and acts of terrorism;</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outbreaks of communicable diseases and natural disasters;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credit;</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restructurings and bankruptcies of companies in the industries in which we operate, including our customers;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manufacturer production levels and technological innovation;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manufacturers merging or exiting the industry or ceasing to produce certain asset types;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retirement and obsolescence of the assets that we own;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supply levels of assets in the market due to the sale or merging of operating lessors;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reintroduction of previously unused or dormant assets into the industries in which we operate.</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can be no assurance that any target returns will be achieved.</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5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0" w:name="page71"/>
    <w:bookmarkEnd w:id="70"/>
    <w:p>
      <w:pPr>
        <w:jc w:val="both"/>
        <w:spacing w:after="0" w:line="312" w:lineRule="auto"/>
        <w:rPr>
          <w:sz w:val="20"/>
          <w:szCs w:val="20"/>
          <w:color w:val="auto"/>
        </w:rPr>
      </w:pPr>
      <w:r>
        <w:rPr>
          <w:rFonts w:ascii="Arial" w:cs="Arial" w:eastAsia="Arial" w:hAnsi="Arial"/>
          <w:sz w:val="16"/>
          <w:szCs w:val="16"/>
          <w:color w:val="auto"/>
        </w:rPr>
        <w:t>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3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operate in highly competitive markets.</w:t>
      </w:r>
    </w:p>
    <w:p>
      <w:pPr>
        <w:spacing w:after="0" w:line="11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other affiliates of Fortress.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significant price competition, particularly during industry downturns, which could have a material adverse effect on our business, prospects, financial condition, results of operations and cash flows.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Certain liens may arise on our assets.</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values of the assets that we purchase may fluctuate due to various factors.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4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b w:val="1"/>
          <w:bCs w:val="1"/>
          <w:i w:val="1"/>
          <w:iCs w:val="1"/>
          <w:color w:val="auto"/>
        </w:rPr>
        <w:t>We are subject to the risks and costs of obsolescence of our assets.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 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Such events could also subject us to media and public scrutiny that could have a negative effect on our operations and also on the value of our common shares.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6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assets generally require routine maintenance, and we may be exposed to unforeseen maintenance costs.</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4" w:name="page75"/>
    <w:bookmarkEnd w:id="74"/>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3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June 30, 2016 and we do not anticipate any expenditures relating to environmental clean-up (including impacts to the Chaudière River) as a result of the Incident.</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six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5" w:name="page76"/>
    <w:bookmarkEnd w:id="75"/>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Shipping Containers segment is affected by the lack of an international title registry for containers, which increases the risk of ownership disputes.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and our customers operate in various regions throughout the world. As a result, we may, directly or indirectly, be exposed to political and other uncertainties, including risks of:</w:t>
      </w:r>
    </w:p>
    <w:p>
      <w:pPr>
        <w:spacing w:after="0" w:line="62" w:lineRule="exact"/>
        <w:rPr>
          <w:sz w:val="20"/>
          <w:szCs w:val="20"/>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terrorist acts, armed hostilities, war and civil disturbances;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acts of piracy;</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significant governmental influence over many aspects of local economies;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seizure, nationalization or expropriation of property or equipment;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repudiation, nullification, modification or renegotiation of contracts;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limitations on insurance coverage, such as war risk coverage, in certain areas;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foreign and U.S. monetary policy and foreign currency fluctuations and devaluations;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inability to repatriate income or capital;</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complications associated with repairing and replacing equipment in remote locations;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import-export quotas, wage and price controls, imposition of trade barriers;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U.S. and foreign sanctions or trade embargoes;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restrictions on the transfer of funds into or out of countries in which we operate;</w:t>
      </w:r>
    </w:p>
    <w:p>
      <w:pPr>
        <w:spacing w:after="0" w:line="117" w:lineRule="exact"/>
        <w:rPr>
          <w:rFonts w:ascii="Arial" w:cs="Arial" w:eastAsia="Arial" w:hAnsi="Arial"/>
          <w:sz w:val="18"/>
          <w:szCs w:val="18"/>
          <w:color w:val="auto"/>
        </w:rPr>
      </w:pPr>
    </w:p>
    <w:p>
      <w:pPr>
        <w:ind w:left="1300" w:hanging="887"/>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compliance with U.S. Treasury sanctions regulations restricting doing business with certain nations or specially designated nationals;</w:t>
      </w:r>
    </w:p>
    <w:p>
      <w:pPr>
        <w:spacing w:after="0" w:line="128" w:lineRule="exact"/>
        <w:rPr>
          <w:rFonts w:ascii="Arial" w:cs="Arial" w:eastAsia="Arial" w:hAnsi="Arial"/>
          <w:sz w:val="17"/>
          <w:szCs w:val="17"/>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regulatory or financial requirements to comply with foreign bureaucratic actions;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compliance with applicable anti-corruption laws and regulations;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changing taxation policies, including confiscatory taxation;</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other forms of government regulation and economic conditions that are beyond our control; and</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governmental corruption.</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Any of these or other risks could adversely impact our customers’ international operations which could materially adversely impact our operating results and growth opportunities.</w:t>
      </w:r>
    </w:p>
    <w:p>
      <w:pPr>
        <w:spacing w:after="0" w:line="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76" w:right="239" w:bottom="1440" w:gutter="0" w:footer="0" w:header="0"/>
        </w:sectPr>
      </w:pPr>
    </w:p>
    <w:bookmarkStart w:id="76" w:name="page77"/>
    <w:bookmarkEnd w:id="76"/>
    <w:p>
      <w:pPr>
        <w:jc w:val="both"/>
        <w:ind w:firstLine="432"/>
        <w:spacing w:after="0" w:line="28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9" w:lineRule="exact"/>
        <w:rPr>
          <w:sz w:val="20"/>
          <w:szCs w:val="20"/>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competition from market participants;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and/or industry trends, including pricing for the products or services offered by our operating businesses;</w:t>
      </w:r>
    </w:p>
    <w:p>
      <w:pPr>
        <w:spacing w:after="0" w:line="117"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62"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or deficiencies in the design or construction of development projects;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unforeseen engineering, environmental or geological problems;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increases in construction and operating costs due to changes in the cost and availability of fuel, power, materials and supplies;</w:t>
      </w:r>
    </w:p>
    <w:p>
      <w:pPr>
        <w:spacing w:after="0" w:line="128" w:lineRule="exact"/>
        <w:rPr>
          <w:rFonts w:ascii="Arial" w:cs="Arial" w:eastAsia="Arial" w:hAnsi="Arial"/>
          <w:sz w:val="17"/>
          <w:szCs w:val="17"/>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and cost of skilled labor and equipment;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77" w:name="page78"/>
    <w:bookmarkEnd w:id="77"/>
    <w:p>
      <w:pPr>
        <w:jc w:val="both"/>
        <w:ind w:left="880" w:hanging="359"/>
        <w:spacing w:after="0" w:line="264"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73"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liability for injury or casualty losses which are not covered by insurance;</w:t>
      </w:r>
    </w:p>
    <w:p>
      <w:pPr>
        <w:spacing w:after="0" w:line="117"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opposition from non-governmental organizations, environmental groups, local or other groups which may delay or prevent development activities;</w:t>
      </w:r>
    </w:p>
    <w:p>
      <w:pPr>
        <w:spacing w:after="0" w:line="62"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local and economic conditions;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legal requirements; and</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force majeure events, including catastrophes and adverse weather conditions.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factors could materially affect our business, financial condition, liquidity and results of operations.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Terrorist attacks could negatively impact our operations and our profitability and may expose us to liability and reputational damage.</w:t>
      </w:r>
    </w:p>
    <w:p>
      <w:pPr>
        <w:spacing w:after="0" w:line="1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inability to obtain sufficient capital would constrain our ability to grow our portfolio and to increase our revenues.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78" w:name="page79"/>
    <w:bookmarkEnd w:id="78"/>
    <w:p>
      <w:pPr>
        <w:ind w:firstLine="432"/>
        <w:spacing w:after="0" w:line="277" w:lineRule="auto"/>
        <w:rPr>
          <w:sz w:val="20"/>
          <w:szCs w:val="20"/>
          <w:color w:val="auto"/>
        </w:rPr>
      </w:pPr>
      <w:r>
        <w:rPr>
          <w:rFonts w:ascii="Arial" w:cs="Arial" w:eastAsia="Arial" w:hAnsi="Arial"/>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2" w:lineRule="exact"/>
        <w:rPr>
          <w:sz w:val="20"/>
          <w:szCs w:val="20"/>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meet the terms and maturities of our existing and future debt facilities;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new assets or refinance existing assets;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 our working capital needs and maintain adequate liquidity;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finance other growth initiatives.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Manager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6" w:right="239" w:bottom="1440" w:gutter="0" w:footer="0" w:header="0"/>
        </w:sectPr>
      </w:pPr>
    </w:p>
    <w:bookmarkStart w:id="79" w:name="page80"/>
    <w:bookmarkEnd w:id="79"/>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officers and other individuals who perform services for us are employees of our Manager.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that are key to us. An inability to find a suitable replacement for any departing employee of our Manager or Fortress on a timely basis could materially adversely affect our ability to operate and grow our business.</w:t>
      </w:r>
    </w:p>
    <w:p>
      <w:pPr>
        <w:spacing w:after="0" w:line="5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Management Agreement, the Partnership Agreement and our operating agreement were negotiated among affiliated parties, and their terms, including fees payable, may not be as favorable to us as if they had been negotiated with an unaffiliated third-party.</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$70.2 billion of assets under management as of June 30, 2016.</w:t>
      </w:r>
    </w:p>
    <w:p>
      <w:pPr>
        <w:spacing w:after="0" w:line="6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0" w:name="page81"/>
    <w:bookmarkEnd w:id="80"/>
    <w:p>
      <w:pPr>
        <w:jc w:val="both"/>
        <w:spacing w:after="0" w:line="270" w:lineRule="auto"/>
        <w:rPr>
          <w:sz w:val="20"/>
          <w:szCs w:val="20"/>
          <w:color w:val="auto"/>
        </w:rPr>
      </w:pPr>
      <w:r>
        <w:rPr>
          <w:rFonts w:ascii="Arial" w:cs="Arial" w:eastAsia="Arial" w:hAnsi="Arial"/>
          <w:sz w:val="17"/>
          <w:szCs w:val="17"/>
          <w:color w:val="auto"/>
        </w:rPr>
        <w:t>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has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7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Our directors have approved a broad asset acquisition strategy for our Manager and do not approve each acquisition made by our Manager. In addition, we may change our strategy without a shareholder vote, which may result in our acquiring assets that are different, riskier or less profitable than our current assets.</w:t>
      </w:r>
    </w:p>
    <w:p>
      <w:pPr>
        <w:spacing w:after="0" w:line="7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5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and employees will not be liable to us or any of our subsidiaries, to our board of directors, or our or any subsidiary’s shareholders or partners for any acts or omissions by our Manager, its members, managers, officers or employees,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7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Shareholders may be subject to U.S. federal income tax on their share of our taxable income, regardless of whether they receive any cash dividends from us.</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 gain or loss on a sale or other disposition of our common shares could be more or less than expected.</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8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color w:val="auto"/>
        </w:rPr>
        <w:t>amount of such shareholder’s tax liability in respect of its investment in us, because each shareholder’s tax liability depends on such shareholder’s particular tax situation and the tax treatment of our underlying activities or assets.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are treated as a corporation for U.S. federal income tax purposes, the value of the shares could be adversely affected.</w:t>
      </w:r>
    </w:p>
    <w:p>
      <w:pPr>
        <w:spacing w:after="0" w:line="11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6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6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Tax-exempt shareholders may face certain adverse U.S. tax consequences from owning our common shares.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3" w:name="page84"/>
    <w:bookmarkEnd w:id="83"/>
    <w:p>
      <w:pPr>
        <w:jc w:val="both"/>
        <w:ind w:firstLine="432"/>
        <w:spacing w:after="0" w:line="289"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hold or acquire certain investments through an entity classified as a PFIC or CFC for U.S. federal income tax purposes.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4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4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8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4" w:name="page85"/>
    <w:bookmarkEnd w:id="84"/>
    <w:p>
      <w:pPr>
        <w:jc w:val="both"/>
        <w:ind w:firstLine="432"/>
        <w:spacing w:after="0" w:line="290"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5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59" w:lineRule="exact"/>
        <w:rPr>
          <w:sz w:val="20"/>
          <w:szCs w:val="20"/>
          <w:color w:val="auto"/>
        </w:rPr>
      </w:pPr>
    </w:p>
    <w:p>
      <w:pPr>
        <w:jc w:val="both"/>
        <w:ind w:firstLine="432"/>
        <w:spacing w:after="0" w:line="375" w:lineRule="auto"/>
        <w:rPr>
          <w:sz w:val="20"/>
          <w:szCs w:val="20"/>
          <w:color w:val="auto"/>
        </w:rPr>
      </w:pPr>
      <w:r>
        <w:rPr>
          <w:rFonts w:ascii="Arial" w:cs="Arial" w:eastAsia="Arial" w:hAnsi="Arial"/>
          <w:sz w:val="15"/>
          <w:szCs w:val="15"/>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4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common shares within a 12-month period will result in our termination for U.S. federal income tax purposes.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shares may be volatile, which could result in rapid and substantial losses for our shareholders.</w:t>
      </w:r>
    </w:p>
    <w:p>
      <w:pPr>
        <w:spacing w:after="0" w:line="6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46" w:lineRule="exact"/>
        <w:rPr>
          <w:sz w:val="20"/>
          <w:szCs w:val="20"/>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5" w:name="page86"/>
    <w:bookmarkEnd w:id="85"/>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shares;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JOBS Act, and due to our taking advantage of certain exemptions from various reporting requirements applicable to emerging growth companies, our common shares could be less attractive to investors.</w:t>
      </w:r>
    </w:p>
    <w:p>
      <w:pPr>
        <w:spacing w:after="0" w:line="38"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w:t>
      </w:r>
    </w:p>
    <w:p>
      <w:pPr>
        <w:spacing w:after="0" w:line="1" w:lineRule="exact"/>
        <w:rPr>
          <w:sz w:val="20"/>
          <w:szCs w:val="20"/>
          <w:color w:val="auto"/>
        </w:rPr>
      </w:pPr>
    </w:p>
    <w:p>
      <w:pPr>
        <w:jc w:val="both"/>
        <w:ind w:right="20" w:firstLine="8"/>
        <w:spacing w:after="0" w:line="255" w:lineRule="auto"/>
        <w:tabs>
          <w:tab w:leader="none" w:pos="2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8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We will be required by Section 404 of the Sarbanes-Oxley Act to evaluate the effectiveness of our internal controls, and the outcome of that effort may adversely affect our results of operations, financial condition and liquidity.</w:t>
      </w:r>
    </w:p>
    <w:p>
      <w:pPr>
        <w:spacing w:after="0" w:line="6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Furthermore, if we discover a material weakness, our share price could decline and our ability to raise capital could be impaired.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b w:val="1"/>
          <w:bCs w:val="1"/>
          <w:i w:val="1"/>
          <w:iCs w:val="1"/>
          <w:color w:val="auto"/>
        </w:rPr>
        <w:t>Your percentage ownership in us may be diluted in the future.</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71" w:lineRule="exact"/>
        <w:rPr>
          <w:sz w:val="20"/>
          <w:szCs w:val="20"/>
          <w:color w:val="auto"/>
        </w:rPr>
      </w:pPr>
    </w:p>
    <w:p>
      <w:pPr>
        <w:jc w:val="both"/>
        <w:ind w:firstLine="537"/>
        <w:spacing w:after="0" w:line="269" w:lineRule="auto"/>
        <w:rPr>
          <w:sz w:val="20"/>
          <w:szCs w:val="20"/>
          <w:color w:val="auto"/>
        </w:rPr>
      </w:pPr>
      <w:r>
        <w:rPr>
          <w:rFonts w:ascii="Arial" w:cs="Arial" w:eastAsia="Arial" w:hAnsi="Arial"/>
          <w:sz w:val="17"/>
          <w:szCs w:val="17"/>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or issuances of shares of our common shares could adversely affect the market price of our common shares.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5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6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87" w:name="page88"/>
    <w:bookmarkEnd w:id="87"/>
    <w:p>
      <w:pPr>
        <w:ind w:left="440"/>
        <w:spacing w:after="0"/>
        <w:rPr>
          <w:sz w:val="20"/>
          <w:szCs w:val="20"/>
          <w:color w:val="auto"/>
        </w:rPr>
      </w:pPr>
      <w:r>
        <w:rPr>
          <w:rFonts w:ascii="Arial" w:cs="Arial" w:eastAsia="Arial" w:hAnsi="Arial"/>
          <w:sz w:val="17"/>
          <w:szCs w:val="17"/>
          <w:b w:val="1"/>
          <w:bCs w:val="1"/>
          <w:i w:val="1"/>
          <w:iCs w:val="1"/>
          <w:color w:val="auto"/>
        </w:rPr>
        <w:t>While we currently intend to pay regular quarterly dividends to our shareholders, we may change our dividend policy at any time.</w:t>
      </w:r>
    </w:p>
    <w:p>
      <w:pPr>
        <w:spacing w:after="0" w:line="1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The declaration and payment of dividends to holders of our common shares will be at the discretion of our board of directors in accordance with applicable law after taking into account various factors, including actual results of operations, liquidity and financial condition,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Anti-takeover provisions in our operating agreement and Delaware law could delay or prevent a change in control.</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8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As a public company, we will incur additional costs and face increased demands on our management.</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independent directors and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76" w:right="239" w:bottom="1440" w:gutter="0" w:footer="0" w:header="0"/>
        </w:sectPr>
      </w:pPr>
    </w:p>
    <w:bookmarkStart w:id="88" w:name="page89"/>
    <w:bookmarkEnd w:id="8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immediately following the signature page of this Quarterly Report on Form 10-Q.</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FORTRESS TRANSPORTATION AND INFRASTRUCTURE INVESTORS LLC</w:t>
      </w:r>
    </w:p>
    <w:p>
      <w:pPr>
        <w:spacing w:after="0" w:line="387" w:lineRule="exact"/>
        <w:rPr>
          <w:sz w:val="20"/>
          <w:szCs w:val="20"/>
          <w:color w:val="auto"/>
        </w:rPr>
      </w:pPr>
    </w:p>
    <w:p>
      <w:pPr>
        <w:ind w:left="7960"/>
        <w:spacing w:after="0"/>
        <w:tabs>
          <w:tab w:leader="none" w:pos="9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31750</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August 4, 2016</w:t>
      </w:r>
    </w:p>
    <w:p>
      <w:pPr>
        <w:spacing w:after="0" w:line="200" w:lineRule="exact"/>
        <w:rPr>
          <w:sz w:val="20"/>
          <w:szCs w:val="20"/>
          <w:color w:val="auto"/>
        </w:rPr>
      </w:pPr>
    </w:p>
    <w:p>
      <w:pPr>
        <w:spacing w:after="0" w:line="214" w:lineRule="exact"/>
        <w:rPr>
          <w:sz w:val="20"/>
          <w:szCs w:val="20"/>
          <w:color w:val="auto"/>
        </w:rPr>
      </w:pPr>
    </w:p>
    <w:p>
      <w:pPr>
        <w:ind w:left="7960"/>
        <w:spacing w:after="0"/>
        <w:tabs>
          <w:tab w:leader="none" w:pos="9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31750</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Scott Christopher</w:t>
      </w:r>
    </w:p>
    <w:p>
      <w:pPr>
        <w:spacing w:after="0" w:line="6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Interim Chief Financial</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Officer and Chief Accounting</w:t>
      </w:r>
    </w:p>
    <w:p>
      <w:pPr>
        <w:spacing w:after="0" w:line="32"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August 4,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688" w:right="2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360"/>
              <w:spacing w:after="0"/>
              <w:rPr>
                <w:sz w:val="20"/>
                <w:szCs w:val="20"/>
                <w:color w:val="auto"/>
              </w:rPr>
            </w:pPr>
            <w:r>
              <w:rPr>
                <w:rFonts w:ascii="Arial" w:cs="Arial" w:eastAsia="Arial" w:hAnsi="Arial"/>
                <w:sz w:val="18"/>
                <w:szCs w:val="18"/>
                <w:b w:val="1"/>
                <w:bCs w:val="1"/>
                <w:color w:val="auto"/>
              </w:rPr>
              <w:t>INDEX TO EXHIBITS</w:t>
            </w:r>
          </w:p>
        </w:tc>
      </w:tr>
      <w:tr>
        <w:trPr>
          <w:trHeight w:val="594"/>
        </w:trPr>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8540" w:type="dxa"/>
            <w:vAlign w:val="bottom"/>
          </w:tcPr>
          <w:p>
            <w:pPr>
              <w:ind w:left="38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384"/>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2"/>
                <w:szCs w:val="22"/>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1260" w:type="dxa"/>
            <w:vAlign w:val="bottom"/>
          </w:tcPr>
          <w:p>
            <w:pPr>
              <w:ind w:left="20"/>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2"/>
                <w:szCs w:val="22"/>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1260" w:type="dxa"/>
            <w:vAlign w:val="bottom"/>
          </w:tcPr>
          <w:p>
            <w:pPr>
              <w:ind w:left="20"/>
              <w:spacing w:after="0"/>
              <w:rPr>
                <w:sz w:val="20"/>
                <w:szCs w:val="20"/>
                <w:color w:val="auto"/>
              </w:rPr>
            </w:pPr>
            <w:r>
              <w:rPr>
                <w:rFonts w:ascii="Arial" w:cs="Arial" w:eastAsia="Arial" w:hAnsi="Arial"/>
                <w:sz w:val="18"/>
                <w:szCs w:val="18"/>
                <w:color w:val="auto"/>
              </w:rPr>
              <w:t>32.2</w:t>
            </w:r>
          </w:p>
        </w:tc>
        <w:tc>
          <w:tcPr>
            <w:tcW w:w="760" w:type="dxa"/>
            <w:vAlign w:val="bottom"/>
          </w:tcPr>
          <w:p>
            <w:pPr>
              <w:spacing w:after="0"/>
              <w:rPr>
                <w:sz w:val="22"/>
                <w:szCs w:val="22"/>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w:t>
            </w:r>
          </w:p>
        </w:tc>
      </w:tr>
      <w:tr>
        <w:trPr>
          <w:trHeight w:val="230"/>
        </w:trPr>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85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316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0560"/>
          </w:cols>
          <w:pgMar w:left="680" w:top="580" w:right="6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760" w:firstLine="8"/>
        <w:spacing w:after="0" w:line="277"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have:</w:t>
      </w:r>
    </w:p>
    <w:p>
      <w:pPr>
        <w:spacing w:after="0" w:line="116" w:lineRule="exact"/>
        <w:rPr>
          <w:rFonts w:ascii="Arial" w:cs="Arial" w:eastAsia="Arial" w:hAnsi="Arial"/>
          <w:sz w:val="18"/>
          <w:szCs w:val="18"/>
          <w:color w:val="auto"/>
        </w:rPr>
      </w:pPr>
    </w:p>
    <w:p>
      <w:pPr>
        <w:ind w:right="240" w:firstLine="656"/>
        <w:spacing w:after="0" w:line="264"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040" w:hanging="384"/>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740" w:firstLine="656"/>
        <w:spacing w:after="0" w:line="342" w:lineRule="auto"/>
        <w:tabs>
          <w:tab w:leader="none" w:pos="96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20" w:firstLine="656"/>
        <w:spacing w:after="0" w:line="342" w:lineRule="auto"/>
        <w:tabs>
          <w:tab w:leader="none" w:pos="978"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right="440" w:firstLine="8"/>
        <w:spacing w:after="0" w:line="308" w:lineRule="auto"/>
        <w:tabs>
          <w:tab w:leader="none" w:pos="3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right="140" w:firstLine="656"/>
        <w:spacing w:after="0" w:line="277" w:lineRule="auto"/>
        <w:tabs>
          <w:tab w:leader="none" w:pos="9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656"/>
        <w:spacing w:after="0" w:line="277"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August 4, 2016</w:t>
            </w:r>
          </w:p>
        </w:tc>
        <w:tc>
          <w:tcPr>
            <w:tcW w:w="5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Christopher, certify that:</w:t>
      </w:r>
    </w:p>
    <w:p>
      <w:pPr>
        <w:spacing w:after="0" w:line="22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760" w:firstLine="8"/>
        <w:spacing w:after="0" w:line="277" w:lineRule="auto"/>
        <w:tabs>
          <w:tab w:leader="none" w:pos="3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have:</w:t>
      </w:r>
    </w:p>
    <w:p>
      <w:pPr>
        <w:spacing w:after="0" w:line="116" w:lineRule="exact"/>
        <w:rPr>
          <w:rFonts w:ascii="Arial" w:cs="Arial" w:eastAsia="Arial" w:hAnsi="Arial"/>
          <w:sz w:val="18"/>
          <w:szCs w:val="18"/>
          <w:color w:val="auto"/>
        </w:rPr>
      </w:pPr>
    </w:p>
    <w:p>
      <w:pPr>
        <w:ind w:right="240" w:firstLine="656"/>
        <w:spacing w:after="0" w:line="264"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040" w:hanging="384"/>
        <w:spacing w:after="0"/>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740" w:firstLine="656"/>
        <w:spacing w:after="0" w:line="342" w:lineRule="auto"/>
        <w:tabs>
          <w:tab w:leader="none" w:pos="968"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20" w:firstLine="656"/>
        <w:spacing w:after="0" w:line="342" w:lineRule="auto"/>
        <w:tabs>
          <w:tab w:leader="none" w:pos="978"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right="440" w:firstLine="8"/>
        <w:spacing w:after="0" w:line="308" w:lineRule="auto"/>
        <w:tabs>
          <w:tab w:leader="none" w:pos="31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right="140" w:firstLine="656"/>
        <w:spacing w:after="0" w:line="277" w:lineRule="auto"/>
        <w:tabs>
          <w:tab w:leader="none" w:pos="9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656"/>
        <w:spacing w:after="0" w:line="277"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6"/>
                <w:szCs w:val="16"/>
                <w:color w:val="auto"/>
              </w:rPr>
              <w:t>August 4, 2016</w:t>
            </w:r>
          </w:p>
        </w:tc>
        <w:tc>
          <w:tcPr>
            <w:tcW w:w="5700" w:type="dxa"/>
            <w:vAlign w:val="bottom"/>
          </w:tcPr>
          <w:p>
            <w:pPr>
              <w:ind w:left="20"/>
              <w:spacing w:after="0"/>
              <w:rPr>
                <w:sz w:val="20"/>
                <w:szCs w:val="20"/>
                <w:color w:val="auto"/>
              </w:rPr>
            </w:pPr>
            <w:r>
              <w:rPr>
                <w:rFonts w:ascii="Arial" w:cs="Arial" w:eastAsia="Arial" w:hAnsi="Arial"/>
                <w:sz w:val="18"/>
                <w:szCs w:val="18"/>
                <w:color w:val="auto"/>
              </w:rPr>
              <w:t>/s/ Scott Christopher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Scott Christopher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80"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June 30, 2016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4, 2016</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80" w:right="25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June 30, 2016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Christopher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4, 2016</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 of Filing</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lowerRoman"/>
      <w:start w:val="2"/>
    </w:lvl>
  </w:abstractNum>
  <w:abstractNum w:abstractNumId="4">
    <w:nsid w:val="836C40E"/>
    <w:multiLevelType w:val="hybridMultilevel"/>
    <w:lvl w:ilvl="0">
      <w:lvlJc w:val="left"/>
      <w:lvlText w:val="%1."/>
      <w:numFmt w:val="decimal"/>
      <w:start w:val="3"/>
    </w:lvl>
  </w:abstractNum>
  <w:abstractNum w:abstractNumId="5">
    <w:nsid w:val="2901D82"/>
    <w:multiLevelType w:val="hybridMultilevel"/>
    <w:lvl w:ilvl="0">
      <w:lvlJc w:val="left"/>
      <w:lvlText w:val="%1."/>
      <w:numFmt w:val="decimal"/>
      <w:start w:val="5"/>
    </w:lvl>
  </w:abstractNum>
  <w:abstractNum w:abstractNumId="6">
    <w:nsid w:val="3A95F874"/>
    <w:multiLevelType w:val="hybridMultilevel"/>
    <w:lvl w:ilvl="0">
      <w:lvlJc w:val="left"/>
      <w:lvlText w:val="%1."/>
      <w:numFmt w:val="decimal"/>
      <w:start w:val="6"/>
    </w:lvl>
  </w:abstractNum>
  <w:abstractNum w:abstractNumId="7">
    <w:nsid w:val="8138641"/>
    <w:multiLevelType w:val="hybridMultilevel"/>
    <w:lvl w:ilvl="0">
      <w:lvlJc w:val="left"/>
      <w:lvlText w:val="%1."/>
      <w:numFmt w:val="decimal"/>
      <w:start w:val="9"/>
    </w:lvl>
    <w:lvl w:ilvl="1">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0"/>
    </w:lvl>
  </w:abstractNum>
  <w:abstractNum w:abstractNumId="10">
    <w:nsid w:val="737B8DDC"/>
    <w:multiLevelType w:val="hybridMultilevel"/>
    <w:lvl w:ilvl="0">
      <w:lvlJc w:val="left"/>
      <w:lvlText w:val="%1."/>
      <w:numFmt w:val="decimal"/>
      <w:start w:val="11"/>
    </w:lvl>
  </w:abstractNum>
  <w:abstractNum w:abstractNumId="11">
    <w:nsid w:val="6CEAF087"/>
    <w:multiLevelType w:val="hybridMultilevel"/>
    <w:lvl w:ilvl="0">
      <w:lvlJc w:val="left"/>
      <w:lvlText w:val="%1."/>
      <w:numFmt w:val="decimal"/>
      <w:start w:val="12"/>
    </w:lvl>
  </w:abstractNum>
  <w:abstractNum w:abstractNumId="12">
    <w:nsid w:val="22221A70"/>
    <w:multiLevelType w:val="hybridMultilevel"/>
    <w:lvl w:ilvl="0">
      <w:lvlJc w:val="left"/>
      <w:lvlText w:val="%1."/>
      <w:numFmt w:val="decimal"/>
      <w:start w:val="13"/>
    </w:lvl>
  </w:abstractNum>
  <w:abstractNum w:abstractNumId="13">
    <w:nsid w:val="4516DDE9"/>
    <w:multiLevelType w:val="hybridMultilevel"/>
    <w:lvl w:ilvl="0">
      <w:lvlJc w:val="left"/>
      <w:lvlText w:val="%1."/>
      <w:numFmt w:val="decimal"/>
      <w:start w:val="14"/>
    </w:lvl>
  </w:abstractNum>
  <w:abstractNum w:abstractNumId="14">
    <w:nsid w:val="3006C83E"/>
    <w:multiLevelType w:val="hybridMultilevel"/>
    <w:lvl w:ilvl="0">
      <w:lvlJc w:val="left"/>
      <w:lvlText w:val="%1."/>
      <w:numFmt w:val="decimal"/>
      <w:start w:val="15"/>
    </w:lvl>
  </w:abstractNum>
  <w:abstractNum w:abstractNumId="15">
    <w:nsid w:val="614FD4A1"/>
    <w:multiLevelType w:val="hybridMultilevel"/>
    <w:lvl w:ilvl="0">
      <w:lvlJc w:val="left"/>
      <w:lvlText w:val="%1."/>
      <w:numFmt w:val="decimal"/>
      <w:start w:val="16"/>
    </w:lvl>
  </w:abstractNum>
  <w:abstractNum w:abstractNumId="16">
    <w:nsid w:val="419AC241"/>
    <w:multiLevelType w:val="hybridMultilevel"/>
    <w:lvl w:ilvl="0">
      <w:lvlJc w:val="left"/>
      <w:lvlText w:val="%1."/>
      <w:numFmt w:val="decimal"/>
      <w:start w:val="17"/>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lowerLetter"/>
      <w:start w:val="2"/>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3"/>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1)"/>
      <w:numFmt w:val="lowerRoman"/>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2"/>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2"/>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lowerRoman"/>
      <w:start w:val="3"/>
    </w:lvl>
    <w:lvl w:ilvl="1">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lvl w:ilvl="1">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lowerLetter"/>
      <w:start w:val="4"/>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2019-12-29T10:43:10Z</dcterms:created>
  <dcterms:modified xsi:type="dcterms:W3CDTF">2019-12-29T10:43:10Z</dcterms:modified>
</cp:coreProperties>
</file>