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316"/>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58"/>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277"/>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460"/>
        </w:trPr>
        <w:tc>
          <w:tcPr>
            <w:tcW w:w="1000" w:type="dxa"/>
            <w:vAlign w:val="bottom"/>
          </w:tcPr>
          <w:p>
            <w:pPr>
              <w:spacing w:after="0"/>
              <w:rPr>
                <w:sz w:val="24"/>
                <w:szCs w:val="24"/>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8"/>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69"/>
        </w:trPr>
        <w:tc>
          <w:tcPr>
            <w:tcW w:w="1000" w:type="dxa"/>
            <w:vAlign w:val="bottom"/>
            <w:vMerge w:val="continue"/>
          </w:tcPr>
          <w:p>
            <w:pPr>
              <w:spacing w:after="0"/>
              <w:rPr>
                <w:sz w:val="23"/>
                <w:szCs w:val="23"/>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01"/>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149225</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Borders>
              <w:bottom w:val="single" w:sz="8" w:color="auto"/>
            </w:tcBorders>
          </w:tcPr>
          <w:p>
            <w:pPr>
              <w:jc w:val="center"/>
              <w:ind w:left="1779"/>
              <w:spacing w:after="0"/>
              <w:rPr>
                <w:sz w:val="20"/>
                <w:szCs w:val="20"/>
                <w:color w:val="auto"/>
              </w:rPr>
            </w:pPr>
            <w:r>
              <w:rPr>
                <w:rFonts w:ascii="Arial" w:cs="Arial" w:eastAsia="Arial" w:hAnsi="Arial"/>
                <w:sz w:val="16"/>
                <w:szCs w:val="16"/>
                <w:b w:val="1"/>
                <w:bCs w:val="1"/>
                <w:color w:val="auto"/>
                <w:w w:val="99"/>
              </w:rPr>
              <w:t>Delaware</w:t>
            </w:r>
          </w:p>
        </w:tc>
        <w:tc>
          <w:tcPr>
            <w:tcW w:w="1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3"/>
          </w:tcPr>
          <w:p>
            <w:pPr>
              <w:jc w:val="right"/>
              <w:ind w:right="1959"/>
              <w:spacing w:after="0"/>
              <w:rPr>
                <w:sz w:val="20"/>
                <w:szCs w:val="20"/>
                <w:color w:val="auto"/>
              </w:rPr>
            </w:pPr>
            <w:r>
              <w:rPr>
                <w:rFonts w:ascii="Arial" w:cs="Arial" w:eastAsia="Arial" w:hAnsi="Arial"/>
                <w:sz w:val="16"/>
                <w:szCs w:val="16"/>
                <w:b w:val="1"/>
                <w:bCs w:val="1"/>
                <w:color w:val="auto"/>
              </w:rPr>
              <w:t>32-0434238</w:t>
            </w:r>
          </w:p>
        </w:tc>
      </w:tr>
      <w:tr>
        <w:trPr>
          <w:trHeight w:val="206"/>
        </w:trPr>
        <w:tc>
          <w:tcPr>
            <w:tcW w:w="628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100" w:type="dxa"/>
            <w:vAlign w:val="bottom"/>
          </w:tcPr>
          <w:p>
            <w:pPr>
              <w:spacing w:after="0"/>
              <w:rPr>
                <w:sz w:val="17"/>
                <w:szCs w:val="17"/>
                <w:color w:val="auto"/>
              </w:rPr>
            </w:pPr>
          </w:p>
        </w:tc>
        <w:tc>
          <w:tcPr>
            <w:tcW w:w="3840" w:type="dxa"/>
            <w:vAlign w:val="bottom"/>
            <w:gridSpan w:val="3"/>
          </w:tcPr>
          <w:p>
            <w:pPr>
              <w:jc w:val="center"/>
              <w:ind w:right="1039"/>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4320" w:type="dxa"/>
            <w:vAlign w:val="bottom"/>
          </w:tcPr>
          <w:p>
            <w:pPr>
              <w:ind w:left="580"/>
              <w:spacing w:after="0"/>
              <w:rPr>
                <w:sz w:val="20"/>
                <w:szCs w:val="20"/>
                <w:color w:val="auto"/>
              </w:rPr>
            </w:pPr>
            <w:r>
              <w:rPr>
                <w:rFonts w:ascii="Arial" w:cs="Arial" w:eastAsia="Arial" w:hAnsi="Arial"/>
                <w:sz w:val="16"/>
                <w:szCs w:val="16"/>
                <w:b w:val="1"/>
                <w:bCs w:val="1"/>
                <w:color w:val="auto"/>
              </w:rPr>
              <w:t>1345 Avenue of the Americas, 45th Floor</w:t>
            </w:r>
          </w:p>
        </w:tc>
        <w:tc>
          <w:tcPr>
            <w:tcW w:w="1960" w:type="dxa"/>
            <w:vAlign w:val="bottom"/>
            <w:gridSpan w:val="2"/>
          </w:tcPr>
          <w:p>
            <w:pPr>
              <w:ind w:left="600"/>
              <w:spacing w:after="0"/>
              <w:rPr>
                <w:sz w:val="20"/>
                <w:szCs w:val="20"/>
                <w:color w:val="auto"/>
              </w:rPr>
            </w:pPr>
            <w:r>
              <w:rPr>
                <w:rFonts w:ascii="Arial" w:cs="Arial" w:eastAsia="Arial" w:hAnsi="Arial"/>
                <w:sz w:val="16"/>
                <w:szCs w:val="16"/>
                <w:b w:val="1"/>
                <w:bCs w:val="1"/>
                <w:color w:val="auto"/>
              </w:rPr>
              <w:t>New York</w:t>
            </w:r>
          </w:p>
        </w:tc>
        <w:tc>
          <w:tcPr>
            <w:tcW w:w="1100" w:type="dxa"/>
            <w:vAlign w:val="bottom"/>
          </w:tcPr>
          <w:p>
            <w:pPr>
              <w:ind w:left="760"/>
              <w:spacing w:after="0"/>
              <w:rPr>
                <w:sz w:val="20"/>
                <w:szCs w:val="20"/>
                <w:color w:val="auto"/>
              </w:rPr>
            </w:pPr>
            <w:r>
              <w:rPr>
                <w:rFonts w:ascii="Arial" w:cs="Arial" w:eastAsia="Arial" w:hAnsi="Arial"/>
                <w:sz w:val="16"/>
                <w:szCs w:val="16"/>
                <w:b w:val="1"/>
                <w:bCs w:val="1"/>
                <w:color w:val="auto"/>
              </w:rPr>
              <w:t>NY</w:t>
            </w:r>
          </w:p>
        </w:tc>
        <w:tc>
          <w:tcPr>
            <w:tcW w:w="384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07"/>
        </w:trPr>
        <w:tc>
          <w:tcPr>
            <w:tcW w:w="6280" w:type="dxa"/>
            <w:vAlign w:val="bottom"/>
            <w:tcBorders>
              <w:top w:val="single" w:sz="8" w:color="auto"/>
            </w:tcBorders>
            <w:gridSpan w:val="3"/>
          </w:tcPr>
          <w:p>
            <w:pPr>
              <w:ind w:left="2640"/>
              <w:spacing w:after="0"/>
              <w:rPr>
                <w:sz w:val="20"/>
                <w:szCs w:val="20"/>
                <w:color w:val="auto"/>
              </w:rPr>
            </w:pPr>
            <w:r>
              <w:rPr>
                <w:rFonts w:ascii="Arial" w:cs="Arial" w:eastAsia="Arial" w:hAnsi="Arial"/>
                <w:sz w:val="16"/>
                <w:szCs w:val="16"/>
                <w:color w:val="auto"/>
              </w:rPr>
              <w:t>(Address of principal executive offices)</w:t>
            </w: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325"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59"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2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7"/>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shares, $0.01 par value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Fixed-to-Floating Rate Series A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A</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8.00% Fixed-to-Floating Rate Series B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B</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Fixed-Rate Reset Series C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FTAI PR C</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780" w:type="dxa"/>
        <w:tblCellMar>
          <w:top w:w="0" w:type="dxa"/>
          <w:left w:w="0" w:type="dxa"/>
          <w:bottom w:w="0" w:type="dxa"/>
          <w:right w:w="0" w:type="dxa"/>
        </w:tblCellMar>
      </w:tblPr>
      <w:tr>
        <w:trPr>
          <w:trHeight w:val="20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4"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right="220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99,180,385 common shares outstanding representing limited liability company interests at October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00497F"/>
        </w:rPr>
        <w:t>FORWARD-LOOKING STATEMENTS AND RISK FACTORS SUMMARY</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43" w:lineRule="exact"/>
        <w:rPr>
          <w:sz w:val="20"/>
          <w:szCs w:val="20"/>
          <w:color w:val="auto"/>
        </w:rPr>
      </w:pPr>
    </w:p>
    <w:p>
      <w:pPr>
        <w:jc w:val="both"/>
        <w:ind w:left="820" w:right="20" w:hanging="326"/>
        <w:spacing w:after="0" w:line="257"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ongoing COVID-19 pandemic and other public health crises, and any related responses or actions by businesses and governments;</w:t>
      </w:r>
    </w:p>
    <w:p>
      <w:pPr>
        <w:spacing w:after="0" w:line="226"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20" w:hanging="326"/>
        <w:spacing w:after="0" w:line="25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our asset composition, investment strategy and liquidity as a result of a potential spin-off of our infrastructure business or other factors;</w:t>
      </w:r>
    </w:p>
    <w:p>
      <w:pPr>
        <w:spacing w:after="0" w:line="240"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9300" w:type="dxa"/>
            <w:vAlign w:val="bottom"/>
          </w:tcPr>
          <w:p>
            <w:pPr>
              <w:ind w:left="3980"/>
              <w:spacing w:after="0"/>
              <w:rPr>
                <w:sz w:val="20"/>
                <w:szCs w:val="20"/>
                <w:color w:val="auto"/>
              </w:rPr>
            </w:pPr>
            <w:r>
              <w:rPr>
                <w:rFonts w:ascii="Arial" w:cs="Arial" w:eastAsia="Arial" w:hAnsi="Arial"/>
                <w:sz w:val="14"/>
                <w:szCs w:val="14"/>
                <w:b w:val="1"/>
                <w:bCs w:val="1"/>
                <w:color w:val="006EBF"/>
              </w:rPr>
              <w:t>PART I - FINANCIAL INFORMATION</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vMerge w:val="continue"/>
          </w:tcPr>
          <w:p>
            <w:pPr>
              <w:spacing w:after="0"/>
              <w:rPr>
                <w:sz w:val="16"/>
                <w:szCs w:val="16"/>
                <w:color w:val="auto"/>
              </w:rPr>
            </w:pPr>
          </w:p>
        </w:tc>
        <w:tc>
          <w:tcPr>
            <w:tcW w:w="930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Unaudited Consolidated Financial Statements of Fortress Transportation and Infrastructure Investors LLC:</w:t>
              </w:r>
            </w:hyperlink>
          </w:p>
        </w:tc>
        <w:tc>
          <w:tcPr>
            <w:tcW w:w="1180" w:type="dxa"/>
            <w:vAlign w:val="bottom"/>
          </w:tcPr>
          <w:p>
            <w:pPr>
              <w:jc w:val="center"/>
              <w:ind w:left="94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Balance Sheets as of September 30, 2021 and December 31, 2020</w:t>
              </w:r>
            </w:hyperlink>
          </w:p>
        </w:tc>
        <w:tc>
          <w:tcPr>
            <w:tcW w:w="1180" w:type="dxa"/>
            <w:vAlign w:val="bottom"/>
          </w:tcPr>
          <w:p>
            <w:pPr>
              <w:jc w:val="center"/>
              <w:ind w:left="94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Operations for the three and nine months ended September 30, 2021 and 2020</w:t>
              </w:r>
            </w:hyperlink>
          </w:p>
        </w:tc>
        <w:tc>
          <w:tcPr>
            <w:tcW w:w="1180" w:type="dxa"/>
            <w:vAlign w:val="bottom"/>
          </w:tcPr>
          <w:p>
            <w:pPr>
              <w:jc w:val="center"/>
              <w:ind w:left="948"/>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9300" w:type="dxa"/>
            <w:vAlign w:val="bottom"/>
          </w:tcPr>
          <w:p>
            <w:pPr>
              <w:ind w:left="180"/>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Comprehensive (Loss) Income for the three and nine months ended September 30, 2021 and 2020</w:t>
              </w:r>
            </w:hyperlink>
          </w:p>
        </w:tc>
        <w:tc>
          <w:tcPr>
            <w:tcW w:w="1180" w:type="dxa"/>
            <w:vAlign w:val="bottom"/>
          </w:tcPr>
          <w:p>
            <w:pPr>
              <w:jc w:val="center"/>
              <w:ind w:left="948"/>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0000FF"/>
              </w:rPr>
            </w:pPr>
            <w:hyperlink w:anchor="page8">
              <w:r>
                <w:rPr>
                  <w:rFonts w:ascii="Arial" w:cs="Arial" w:eastAsia="Arial" w:hAnsi="Arial"/>
                  <w:sz w:val="14"/>
                  <w:szCs w:val="14"/>
                  <w:color w:val="0000FF"/>
                </w:rPr>
                <w:t>Consolidated Statement of Changes in Equity for the three and nine months ended September 30, 2021 and 2020</w:t>
              </w:r>
            </w:hyperlink>
          </w:p>
        </w:tc>
        <w:tc>
          <w:tcPr>
            <w:tcW w:w="1180" w:type="dxa"/>
            <w:vAlign w:val="bottom"/>
          </w:tcPr>
          <w:p>
            <w:pPr>
              <w:jc w:val="center"/>
              <w:ind w:left="948"/>
              <w:spacing w:after="0"/>
              <w:rPr>
                <w:rFonts w:ascii="Arial" w:cs="Arial" w:eastAsia="Arial" w:hAnsi="Arial"/>
                <w:sz w:val="14"/>
                <w:szCs w:val="14"/>
                <w:color w:val="0000FF"/>
              </w:rPr>
            </w:pPr>
            <w:hyperlink w:anchor="page8">
              <w:r>
                <w:rPr>
                  <w:rFonts w:ascii="Arial" w:cs="Arial" w:eastAsia="Arial" w:hAnsi="Arial"/>
                  <w:sz w:val="14"/>
                  <w:szCs w:val="14"/>
                  <w:color w:val="0000FF"/>
                </w:rPr>
                <w:t>8</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0000FF"/>
              </w:rPr>
            </w:pPr>
            <w:hyperlink w:anchor="page9">
              <w:r>
                <w:rPr>
                  <w:rFonts w:ascii="Arial" w:cs="Arial" w:eastAsia="Arial" w:hAnsi="Arial"/>
                  <w:sz w:val="14"/>
                  <w:szCs w:val="14"/>
                  <w:color w:val="0000FF"/>
                </w:rPr>
                <w:t>Consolidated Statements of Cash Flows for the nine months ended September 30, 2021 and 2020</w:t>
              </w:r>
            </w:hyperlink>
          </w:p>
        </w:tc>
        <w:tc>
          <w:tcPr>
            <w:tcW w:w="1180" w:type="dxa"/>
            <w:vAlign w:val="bottom"/>
          </w:tcPr>
          <w:p>
            <w:pPr>
              <w:jc w:val="center"/>
              <w:ind w:left="948"/>
              <w:spacing w:after="0"/>
              <w:rPr>
                <w:rFonts w:ascii="Arial" w:cs="Arial" w:eastAsia="Arial" w:hAnsi="Arial"/>
                <w:sz w:val="14"/>
                <w:szCs w:val="14"/>
                <w:color w:val="0000FF"/>
              </w:rPr>
            </w:pPr>
            <w:hyperlink w:anchor="page9">
              <w:r>
                <w:rPr>
                  <w:rFonts w:ascii="Arial" w:cs="Arial" w:eastAsia="Arial" w:hAnsi="Arial"/>
                  <w:sz w:val="14"/>
                  <w:szCs w:val="14"/>
                  <w:color w:val="0000FF"/>
                </w:rPr>
                <w:t>9</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0000FF"/>
              </w:rPr>
            </w:pPr>
            <w:hyperlink w:anchor="page11">
              <w:r>
                <w:rPr>
                  <w:rFonts w:ascii="Arial" w:cs="Arial" w:eastAsia="Arial" w:hAnsi="Arial"/>
                  <w:sz w:val="14"/>
                  <w:szCs w:val="14"/>
                  <w:color w:val="0000FF"/>
                </w:rPr>
                <w:t>Notes to Consolidated Financial Statements</w:t>
              </w:r>
            </w:hyperlink>
          </w:p>
        </w:tc>
        <w:tc>
          <w:tcPr>
            <w:tcW w:w="1180" w:type="dxa"/>
            <w:vAlign w:val="bottom"/>
          </w:tcPr>
          <w:p>
            <w:pPr>
              <w:jc w:val="center"/>
              <w:ind w:left="948"/>
              <w:spacing w:after="0"/>
              <w:rPr>
                <w:rFonts w:ascii="Arial" w:cs="Arial" w:eastAsia="Arial" w:hAnsi="Arial"/>
                <w:sz w:val="14"/>
                <w:szCs w:val="14"/>
                <w:color w:val="0000FF"/>
              </w:rPr>
            </w:pPr>
            <w:hyperlink w:anchor="page11">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12">
              <w:r>
                <w:rPr>
                  <w:rFonts w:ascii="Arial" w:cs="Arial" w:eastAsia="Arial" w:hAnsi="Arial"/>
                  <w:sz w:val="14"/>
                  <w:szCs w:val="14"/>
                  <w:color w:val="0000FF"/>
                </w:rPr>
                <w:t>Note 1: Organization</w:t>
              </w:r>
            </w:hyperlink>
          </w:p>
        </w:tc>
        <w:tc>
          <w:tcPr>
            <w:tcW w:w="1180" w:type="dxa"/>
            <w:vAlign w:val="bottom"/>
          </w:tcPr>
          <w:p>
            <w:pPr>
              <w:jc w:val="center"/>
              <w:ind w:left="94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12">
              <w:r>
                <w:rPr>
                  <w:rFonts w:ascii="Arial" w:cs="Arial" w:eastAsia="Arial" w:hAnsi="Arial"/>
                  <w:sz w:val="14"/>
                  <w:szCs w:val="14"/>
                  <w:color w:val="0000FF"/>
                </w:rPr>
                <w:t>Note 2: Summary of Significant Accounting Policies</w:t>
              </w:r>
            </w:hyperlink>
          </w:p>
        </w:tc>
        <w:tc>
          <w:tcPr>
            <w:tcW w:w="1180" w:type="dxa"/>
            <w:vAlign w:val="bottom"/>
          </w:tcPr>
          <w:p>
            <w:pPr>
              <w:jc w:val="center"/>
              <w:ind w:left="94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16">
              <w:r>
                <w:rPr>
                  <w:rFonts w:ascii="Arial" w:cs="Arial" w:eastAsia="Arial" w:hAnsi="Arial"/>
                  <w:sz w:val="14"/>
                  <w:szCs w:val="14"/>
                  <w:color w:val="0000FF"/>
                </w:rPr>
                <w:t>Note 3: Discontinued Operations</w:t>
              </w:r>
            </w:hyperlink>
          </w:p>
        </w:tc>
        <w:tc>
          <w:tcPr>
            <w:tcW w:w="1180" w:type="dxa"/>
            <w:vAlign w:val="bottom"/>
          </w:tcPr>
          <w:p>
            <w:pPr>
              <w:jc w:val="center"/>
              <w:ind w:left="948"/>
              <w:spacing w:after="0"/>
              <w:rPr>
                <w:rFonts w:ascii="Arial" w:cs="Arial" w:eastAsia="Arial" w:hAnsi="Arial"/>
                <w:sz w:val="14"/>
                <w:szCs w:val="14"/>
                <w:color w:val="0000FF"/>
              </w:rPr>
            </w:pPr>
            <w:hyperlink w:anchor="page16">
              <w:r>
                <w:rPr>
                  <w:rFonts w:ascii="Arial" w:cs="Arial" w:eastAsia="Arial" w:hAnsi="Arial"/>
                  <w:sz w:val="14"/>
                  <w:szCs w:val="14"/>
                  <w:color w:val="0000FF"/>
                </w:rPr>
                <w:t>15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16">
              <w:r>
                <w:rPr>
                  <w:rFonts w:ascii="Arial" w:cs="Arial" w:eastAsia="Arial" w:hAnsi="Arial"/>
                  <w:sz w:val="14"/>
                  <w:szCs w:val="14"/>
                  <w:color w:val="0000FF"/>
                </w:rPr>
                <w:t>Note 4: Acquisition of Transtar, LLC</w:t>
              </w:r>
            </w:hyperlink>
          </w:p>
        </w:tc>
        <w:tc>
          <w:tcPr>
            <w:tcW w:w="1180" w:type="dxa"/>
            <w:vAlign w:val="bottom"/>
          </w:tcPr>
          <w:p>
            <w:pPr>
              <w:jc w:val="center"/>
              <w:ind w:left="948"/>
              <w:spacing w:after="0"/>
              <w:rPr>
                <w:rFonts w:ascii="Arial" w:cs="Arial" w:eastAsia="Arial" w:hAnsi="Arial"/>
                <w:sz w:val="14"/>
                <w:szCs w:val="14"/>
                <w:color w:val="0000FF"/>
              </w:rPr>
            </w:pPr>
            <w:hyperlink w:anchor="page16">
              <w:r>
                <w:rPr>
                  <w:rFonts w:ascii="Arial" w:cs="Arial" w:eastAsia="Arial" w:hAnsi="Arial"/>
                  <w:sz w:val="14"/>
                  <w:szCs w:val="14"/>
                  <w:color w:val="0000FF"/>
                </w:rPr>
                <w:t>15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18">
              <w:r>
                <w:rPr>
                  <w:rFonts w:ascii="Arial" w:cs="Arial" w:eastAsia="Arial" w:hAnsi="Arial"/>
                  <w:sz w:val="14"/>
                  <w:szCs w:val="14"/>
                  <w:color w:val="0000FF"/>
                </w:rPr>
                <w:t>Note 5: Leasing Equipment, net</w:t>
              </w:r>
            </w:hyperlink>
          </w:p>
        </w:tc>
        <w:tc>
          <w:tcPr>
            <w:tcW w:w="1180" w:type="dxa"/>
            <w:vAlign w:val="bottom"/>
          </w:tcPr>
          <w:p>
            <w:pPr>
              <w:jc w:val="center"/>
              <w:ind w:left="948"/>
              <w:spacing w:after="0"/>
              <w:rPr>
                <w:rFonts w:ascii="Arial" w:cs="Arial" w:eastAsia="Arial" w:hAnsi="Arial"/>
                <w:sz w:val="14"/>
                <w:szCs w:val="14"/>
                <w:color w:val="0000FF"/>
              </w:rPr>
            </w:pPr>
            <w:hyperlink w:anchor="page18">
              <w:r>
                <w:rPr>
                  <w:rFonts w:ascii="Arial" w:cs="Arial" w:eastAsia="Arial" w:hAnsi="Arial"/>
                  <w:sz w:val="14"/>
                  <w:szCs w:val="14"/>
                  <w:color w:val="0000FF"/>
                </w:rPr>
                <w:t>17</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18">
              <w:r>
                <w:rPr>
                  <w:rFonts w:ascii="Arial" w:cs="Arial" w:eastAsia="Arial" w:hAnsi="Arial"/>
                  <w:sz w:val="14"/>
                  <w:szCs w:val="14"/>
                  <w:color w:val="0000FF"/>
                </w:rPr>
                <w:t>Note 6: Finance Leases, net</w:t>
              </w:r>
            </w:hyperlink>
          </w:p>
        </w:tc>
        <w:tc>
          <w:tcPr>
            <w:tcW w:w="1180" w:type="dxa"/>
            <w:vAlign w:val="bottom"/>
          </w:tcPr>
          <w:p>
            <w:pPr>
              <w:jc w:val="center"/>
              <w:ind w:left="948"/>
              <w:spacing w:after="0"/>
              <w:rPr>
                <w:rFonts w:ascii="Arial" w:cs="Arial" w:eastAsia="Arial" w:hAnsi="Arial"/>
                <w:sz w:val="14"/>
                <w:szCs w:val="14"/>
                <w:color w:val="0000FF"/>
              </w:rPr>
            </w:pPr>
            <w:hyperlink w:anchor="page18">
              <w:r>
                <w:rPr>
                  <w:rFonts w:ascii="Arial" w:cs="Arial" w:eastAsia="Arial" w:hAnsi="Arial"/>
                  <w:sz w:val="14"/>
                  <w:szCs w:val="14"/>
                  <w:color w:val="0000FF"/>
                </w:rPr>
                <w:t>18</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19">
              <w:r>
                <w:rPr>
                  <w:rFonts w:ascii="Arial" w:cs="Arial" w:eastAsia="Arial" w:hAnsi="Arial"/>
                  <w:sz w:val="14"/>
                  <w:szCs w:val="14"/>
                  <w:color w:val="0000FF"/>
                </w:rPr>
                <w:t>Note 7: Property, Plant and Equipment, net</w:t>
              </w:r>
            </w:hyperlink>
          </w:p>
        </w:tc>
        <w:tc>
          <w:tcPr>
            <w:tcW w:w="1180" w:type="dxa"/>
            <w:vAlign w:val="bottom"/>
          </w:tcPr>
          <w:p>
            <w:pPr>
              <w:jc w:val="center"/>
              <w:ind w:left="948"/>
              <w:spacing w:after="0"/>
              <w:rPr>
                <w:rFonts w:ascii="Arial" w:cs="Arial" w:eastAsia="Arial" w:hAnsi="Arial"/>
                <w:sz w:val="14"/>
                <w:szCs w:val="14"/>
                <w:color w:val="0000FF"/>
              </w:rPr>
            </w:pPr>
            <w:hyperlink w:anchor="page19">
              <w:r>
                <w:rPr>
                  <w:rFonts w:ascii="Arial" w:cs="Arial" w:eastAsia="Arial" w:hAnsi="Arial"/>
                  <w:sz w:val="14"/>
                  <w:szCs w:val="14"/>
                  <w:color w:val="0000FF"/>
                </w:rPr>
                <w:t>18</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19">
              <w:r>
                <w:rPr>
                  <w:rFonts w:ascii="Arial" w:cs="Arial" w:eastAsia="Arial" w:hAnsi="Arial"/>
                  <w:sz w:val="14"/>
                  <w:szCs w:val="14"/>
                  <w:color w:val="0000FF"/>
                </w:rPr>
                <w:t>Note 8: Investments</w:t>
              </w:r>
            </w:hyperlink>
          </w:p>
        </w:tc>
        <w:tc>
          <w:tcPr>
            <w:tcW w:w="1180" w:type="dxa"/>
            <w:vAlign w:val="bottom"/>
          </w:tcPr>
          <w:p>
            <w:pPr>
              <w:jc w:val="center"/>
              <w:ind w:left="948"/>
              <w:spacing w:after="0"/>
              <w:rPr>
                <w:rFonts w:ascii="Arial" w:cs="Arial" w:eastAsia="Arial" w:hAnsi="Arial"/>
                <w:sz w:val="14"/>
                <w:szCs w:val="14"/>
                <w:color w:val="0000FF"/>
              </w:rPr>
            </w:pPr>
            <w:hyperlink w:anchor="page19">
              <w:r>
                <w:rPr>
                  <w:rFonts w:ascii="Arial" w:cs="Arial" w:eastAsia="Arial" w:hAnsi="Arial"/>
                  <w:sz w:val="14"/>
                  <w:szCs w:val="14"/>
                  <w:color w:val="0000FF"/>
                </w:rPr>
                <w:t>19</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20">
              <w:r>
                <w:rPr>
                  <w:rFonts w:ascii="Arial" w:cs="Arial" w:eastAsia="Arial" w:hAnsi="Arial"/>
                  <w:sz w:val="14"/>
                  <w:szCs w:val="14"/>
                  <w:color w:val="0000FF"/>
                </w:rPr>
                <w:t>Note 9: Intangible Assets and Liabilities, net</w:t>
              </w:r>
            </w:hyperlink>
          </w:p>
        </w:tc>
        <w:tc>
          <w:tcPr>
            <w:tcW w:w="1180" w:type="dxa"/>
            <w:vAlign w:val="bottom"/>
          </w:tcPr>
          <w:p>
            <w:pPr>
              <w:jc w:val="center"/>
              <w:ind w:left="948"/>
              <w:spacing w:after="0"/>
              <w:rPr>
                <w:rFonts w:ascii="Arial" w:cs="Arial" w:eastAsia="Arial" w:hAnsi="Arial"/>
                <w:sz w:val="14"/>
                <w:szCs w:val="14"/>
                <w:color w:val="0000FF"/>
              </w:rPr>
            </w:pPr>
            <w:hyperlink w:anchor="page20">
              <w:r>
                <w:rPr>
                  <w:rFonts w:ascii="Arial" w:cs="Arial" w:eastAsia="Arial" w:hAnsi="Arial"/>
                  <w:sz w:val="14"/>
                  <w:szCs w:val="14"/>
                  <w:color w:val="0000FF"/>
                </w:rPr>
                <w:t>20</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22">
              <w:r>
                <w:rPr>
                  <w:rFonts w:ascii="Arial" w:cs="Arial" w:eastAsia="Arial" w:hAnsi="Arial"/>
                  <w:sz w:val="14"/>
                  <w:szCs w:val="14"/>
                  <w:color w:val="0000FF"/>
                </w:rPr>
                <w:t>Note 10: Debt, net</w:t>
              </w:r>
            </w:hyperlink>
          </w:p>
        </w:tc>
        <w:tc>
          <w:tcPr>
            <w:tcW w:w="1180" w:type="dxa"/>
            <w:vAlign w:val="bottom"/>
          </w:tcPr>
          <w:p>
            <w:pPr>
              <w:jc w:val="center"/>
              <w:ind w:left="948"/>
              <w:spacing w:after="0"/>
              <w:rPr>
                <w:rFonts w:ascii="Arial" w:cs="Arial" w:eastAsia="Arial" w:hAnsi="Arial"/>
                <w:sz w:val="14"/>
                <w:szCs w:val="14"/>
                <w:color w:val="0000FF"/>
              </w:rPr>
            </w:pPr>
            <w:hyperlink w:anchor="page22">
              <w:r>
                <w:rPr>
                  <w:rFonts w:ascii="Arial" w:cs="Arial" w:eastAsia="Arial" w:hAnsi="Arial"/>
                  <w:sz w:val="14"/>
                  <w:szCs w:val="14"/>
                  <w:color w:val="0000FF"/>
                </w:rPr>
                <w:t>21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24">
              <w:r>
                <w:rPr>
                  <w:rFonts w:ascii="Arial" w:cs="Arial" w:eastAsia="Arial" w:hAnsi="Arial"/>
                  <w:sz w:val="14"/>
                  <w:szCs w:val="14"/>
                  <w:color w:val="0000FF"/>
                </w:rPr>
                <w:t>Note 11: Fair Value Measurements</w:t>
              </w:r>
            </w:hyperlink>
          </w:p>
        </w:tc>
        <w:tc>
          <w:tcPr>
            <w:tcW w:w="1180" w:type="dxa"/>
            <w:vAlign w:val="bottom"/>
          </w:tcPr>
          <w:p>
            <w:pPr>
              <w:jc w:val="center"/>
              <w:ind w:left="948"/>
              <w:spacing w:after="0"/>
              <w:rPr>
                <w:rFonts w:ascii="Arial" w:cs="Arial" w:eastAsia="Arial" w:hAnsi="Arial"/>
                <w:sz w:val="14"/>
                <w:szCs w:val="14"/>
                <w:color w:val="0000FF"/>
              </w:rPr>
            </w:pPr>
            <w:hyperlink w:anchor="page24">
              <w:r>
                <w:rPr>
                  <w:rFonts w:ascii="Arial" w:cs="Arial" w:eastAsia="Arial" w:hAnsi="Arial"/>
                  <w:sz w:val="14"/>
                  <w:szCs w:val="14"/>
                  <w:color w:val="0000FF"/>
                </w:rPr>
                <w:t>23</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26">
              <w:r>
                <w:rPr>
                  <w:rFonts w:ascii="Arial" w:cs="Arial" w:eastAsia="Arial" w:hAnsi="Arial"/>
                  <w:sz w:val="14"/>
                  <w:szCs w:val="14"/>
                  <w:color w:val="0000FF"/>
                </w:rPr>
                <w:t>Note 12: Derivative Financial Instruments</w:t>
              </w:r>
            </w:hyperlink>
          </w:p>
        </w:tc>
        <w:tc>
          <w:tcPr>
            <w:tcW w:w="1180" w:type="dxa"/>
            <w:vAlign w:val="bottom"/>
          </w:tcPr>
          <w:p>
            <w:pPr>
              <w:jc w:val="center"/>
              <w:ind w:left="948"/>
              <w:spacing w:after="0"/>
              <w:rPr>
                <w:rFonts w:ascii="Arial" w:cs="Arial" w:eastAsia="Arial" w:hAnsi="Arial"/>
                <w:sz w:val="14"/>
                <w:szCs w:val="14"/>
                <w:color w:val="0000FF"/>
              </w:rPr>
            </w:pPr>
            <w:hyperlink w:anchor="page26">
              <w:r>
                <w:rPr>
                  <w:rFonts w:ascii="Arial" w:cs="Arial" w:eastAsia="Arial" w:hAnsi="Arial"/>
                  <w:sz w:val="14"/>
                  <w:szCs w:val="14"/>
                  <w:color w:val="0000FF"/>
                </w:rPr>
                <w:t>25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26">
              <w:r>
                <w:rPr>
                  <w:rFonts w:ascii="Arial" w:cs="Arial" w:eastAsia="Arial" w:hAnsi="Arial"/>
                  <w:sz w:val="14"/>
                  <w:szCs w:val="14"/>
                  <w:color w:val="0000FF"/>
                </w:rPr>
                <w:t>Note 13: Revenues</w:t>
              </w:r>
            </w:hyperlink>
          </w:p>
        </w:tc>
        <w:tc>
          <w:tcPr>
            <w:tcW w:w="1180" w:type="dxa"/>
            <w:vAlign w:val="bottom"/>
          </w:tcPr>
          <w:p>
            <w:pPr>
              <w:jc w:val="center"/>
              <w:ind w:left="948"/>
              <w:spacing w:after="0"/>
              <w:rPr>
                <w:rFonts w:ascii="Arial" w:cs="Arial" w:eastAsia="Arial" w:hAnsi="Arial"/>
                <w:sz w:val="14"/>
                <w:szCs w:val="14"/>
                <w:color w:val="0000FF"/>
              </w:rPr>
            </w:pPr>
            <w:hyperlink w:anchor="page26">
              <w:r>
                <w:rPr>
                  <w:rFonts w:ascii="Arial" w:cs="Arial" w:eastAsia="Arial" w:hAnsi="Arial"/>
                  <w:sz w:val="14"/>
                  <w:szCs w:val="14"/>
                  <w:color w:val="0000FF"/>
                </w:rPr>
                <w:t>25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28">
              <w:r>
                <w:rPr>
                  <w:rFonts w:ascii="Arial" w:cs="Arial" w:eastAsia="Arial" w:hAnsi="Arial"/>
                  <w:sz w:val="14"/>
                  <w:szCs w:val="14"/>
                  <w:color w:val="0000FF"/>
                </w:rPr>
                <w:t>Note 14: Leases</w:t>
              </w:r>
            </w:hyperlink>
          </w:p>
        </w:tc>
        <w:tc>
          <w:tcPr>
            <w:tcW w:w="1180" w:type="dxa"/>
            <w:vAlign w:val="bottom"/>
          </w:tcPr>
          <w:p>
            <w:pPr>
              <w:jc w:val="center"/>
              <w:ind w:left="948"/>
              <w:spacing w:after="0"/>
              <w:rPr>
                <w:rFonts w:ascii="Arial" w:cs="Arial" w:eastAsia="Arial" w:hAnsi="Arial"/>
                <w:sz w:val="14"/>
                <w:szCs w:val="14"/>
                <w:color w:val="0000FF"/>
              </w:rPr>
            </w:pPr>
            <w:hyperlink w:anchor="page28">
              <w:r>
                <w:rPr>
                  <w:rFonts w:ascii="Arial" w:cs="Arial" w:eastAsia="Arial" w:hAnsi="Arial"/>
                  <w:sz w:val="14"/>
                  <w:szCs w:val="14"/>
                  <w:color w:val="0000FF"/>
                </w:rPr>
                <w:t>28</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29">
              <w:r>
                <w:rPr>
                  <w:rFonts w:ascii="Arial" w:cs="Arial" w:eastAsia="Arial" w:hAnsi="Arial"/>
                  <w:sz w:val="14"/>
                  <w:szCs w:val="14"/>
                  <w:color w:val="0000FF"/>
                </w:rPr>
                <w:t>Note 15: Equity-Based Compensation</w:t>
              </w:r>
            </w:hyperlink>
          </w:p>
        </w:tc>
        <w:tc>
          <w:tcPr>
            <w:tcW w:w="1180" w:type="dxa"/>
            <w:vAlign w:val="bottom"/>
          </w:tcPr>
          <w:p>
            <w:pPr>
              <w:jc w:val="center"/>
              <w:ind w:left="948"/>
              <w:spacing w:after="0"/>
              <w:rPr>
                <w:rFonts w:ascii="Arial" w:cs="Arial" w:eastAsia="Arial" w:hAnsi="Arial"/>
                <w:sz w:val="14"/>
                <w:szCs w:val="14"/>
                <w:color w:val="0000FF"/>
              </w:rPr>
            </w:pPr>
            <w:hyperlink w:anchor="page29">
              <w:r>
                <w:rPr>
                  <w:rFonts w:ascii="Arial" w:cs="Arial" w:eastAsia="Arial" w:hAnsi="Arial"/>
                  <w:sz w:val="14"/>
                  <w:szCs w:val="14"/>
                  <w:color w:val="0000FF"/>
                </w:rPr>
                <w:t>29</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30">
              <w:r>
                <w:rPr>
                  <w:rFonts w:ascii="Arial" w:cs="Arial" w:eastAsia="Arial" w:hAnsi="Arial"/>
                  <w:sz w:val="14"/>
                  <w:szCs w:val="14"/>
                  <w:color w:val="0000FF"/>
                </w:rPr>
                <w:t>Note 16: Retirement Benefit Plans</w:t>
              </w:r>
            </w:hyperlink>
          </w:p>
        </w:tc>
        <w:tc>
          <w:tcPr>
            <w:tcW w:w="1180" w:type="dxa"/>
            <w:vAlign w:val="bottom"/>
          </w:tcPr>
          <w:p>
            <w:pPr>
              <w:jc w:val="center"/>
              <w:ind w:left="948"/>
              <w:spacing w:after="0"/>
              <w:rPr>
                <w:rFonts w:ascii="Arial" w:cs="Arial" w:eastAsia="Arial" w:hAnsi="Arial"/>
                <w:sz w:val="14"/>
                <w:szCs w:val="14"/>
                <w:color w:val="0000FF"/>
              </w:rPr>
            </w:pPr>
            <w:hyperlink w:anchor="page30">
              <w:r>
                <w:rPr>
                  <w:rFonts w:ascii="Arial" w:cs="Arial" w:eastAsia="Arial" w:hAnsi="Arial"/>
                  <w:sz w:val="14"/>
                  <w:szCs w:val="14"/>
                  <w:color w:val="0000FF"/>
                </w:rPr>
                <w:t>29</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31">
              <w:r>
                <w:rPr>
                  <w:rFonts w:ascii="Arial" w:cs="Arial" w:eastAsia="Arial" w:hAnsi="Arial"/>
                  <w:sz w:val="14"/>
                  <w:szCs w:val="14"/>
                  <w:color w:val="0000FF"/>
                </w:rPr>
                <w:t>Note 17: Income Taxes</w:t>
              </w:r>
            </w:hyperlink>
          </w:p>
        </w:tc>
        <w:tc>
          <w:tcPr>
            <w:tcW w:w="1180" w:type="dxa"/>
            <w:vAlign w:val="bottom"/>
          </w:tcPr>
          <w:p>
            <w:pPr>
              <w:jc w:val="center"/>
              <w:ind w:left="948"/>
              <w:spacing w:after="0"/>
              <w:rPr>
                <w:rFonts w:ascii="Arial" w:cs="Arial" w:eastAsia="Arial" w:hAnsi="Arial"/>
                <w:sz w:val="14"/>
                <w:szCs w:val="14"/>
                <w:color w:val="0000FF"/>
              </w:rPr>
            </w:pPr>
            <w:hyperlink w:anchor="page31">
              <w:r>
                <w:rPr>
                  <w:rFonts w:ascii="Arial" w:cs="Arial" w:eastAsia="Arial" w:hAnsi="Arial"/>
                  <w:sz w:val="14"/>
                  <w:szCs w:val="14"/>
                  <w:color w:val="0000FF"/>
                </w:rPr>
                <w:t>30</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31">
              <w:r>
                <w:rPr>
                  <w:rFonts w:ascii="Arial" w:cs="Arial" w:eastAsia="Arial" w:hAnsi="Arial"/>
                  <w:sz w:val="14"/>
                  <w:szCs w:val="14"/>
                  <w:color w:val="0000FF"/>
                </w:rPr>
                <w:t>Note 18: Management Agreement and Affiliate Transactions</w:t>
              </w:r>
            </w:hyperlink>
          </w:p>
        </w:tc>
        <w:tc>
          <w:tcPr>
            <w:tcW w:w="1180" w:type="dxa"/>
            <w:vAlign w:val="bottom"/>
          </w:tcPr>
          <w:p>
            <w:pPr>
              <w:jc w:val="center"/>
              <w:ind w:left="948"/>
              <w:spacing w:after="0"/>
              <w:rPr>
                <w:rFonts w:ascii="Arial" w:cs="Arial" w:eastAsia="Arial" w:hAnsi="Arial"/>
                <w:sz w:val="14"/>
                <w:szCs w:val="14"/>
                <w:color w:val="0000FF"/>
              </w:rPr>
            </w:pPr>
            <w:hyperlink w:anchor="page31">
              <w:r>
                <w:rPr>
                  <w:rFonts w:ascii="Arial" w:cs="Arial" w:eastAsia="Arial" w:hAnsi="Arial"/>
                  <w:sz w:val="14"/>
                  <w:szCs w:val="14"/>
                  <w:color w:val="0000FF"/>
                </w:rPr>
                <w:t>30</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34">
              <w:r>
                <w:rPr>
                  <w:rFonts w:ascii="Arial" w:cs="Arial" w:eastAsia="Arial" w:hAnsi="Arial"/>
                  <w:sz w:val="14"/>
                  <w:szCs w:val="14"/>
                  <w:color w:val="0000FF"/>
                </w:rPr>
                <w:t>Note 19: Segment Information</w:t>
              </w:r>
            </w:hyperlink>
          </w:p>
        </w:tc>
        <w:tc>
          <w:tcPr>
            <w:tcW w:w="1180" w:type="dxa"/>
            <w:vAlign w:val="bottom"/>
          </w:tcPr>
          <w:p>
            <w:pPr>
              <w:jc w:val="center"/>
              <w:ind w:left="948"/>
              <w:spacing w:after="0"/>
              <w:rPr>
                <w:rFonts w:ascii="Arial" w:cs="Arial" w:eastAsia="Arial" w:hAnsi="Arial"/>
                <w:sz w:val="14"/>
                <w:szCs w:val="14"/>
                <w:color w:val="0000FF"/>
              </w:rPr>
            </w:pPr>
            <w:hyperlink w:anchor="page34">
              <w:r>
                <w:rPr>
                  <w:rFonts w:ascii="Arial" w:cs="Arial" w:eastAsia="Arial" w:hAnsi="Arial"/>
                  <w:sz w:val="14"/>
                  <w:szCs w:val="14"/>
                  <w:color w:val="0000FF"/>
                </w:rPr>
                <w:t>33</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44">
              <w:r>
                <w:rPr>
                  <w:rFonts w:ascii="Arial" w:cs="Arial" w:eastAsia="Arial" w:hAnsi="Arial"/>
                  <w:sz w:val="14"/>
                  <w:szCs w:val="14"/>
                  <w:color w:val="0000FF"/>
                </w:rPr>
                <w:t>Note 20: Earnings per Share and Equity</w:t>
              </w:r>
            </w:hyperlink>
          </w:p>
        </w:tc>
        <w:tc>
          <w:tcPr>
            <w:tcW w:w="1180" w:type="dxa"/>
            <w:vAlign w:val="bottom"/>
          </w:tcPr>
          <w:p>
            <w:pPr>
              <w:jc w:val="center"/>
              <w:ind w:left="948"/>
              <w:spacing w:after="0"/>
              <w:rPr>
                <w:rFonts w:ascii="Arial" w:cs="Arial" w:eastAsia="Arial" w:hAnsi="Arial"/>
                <w:sz w:val="14"/>
                <w:szCs w:val="14"/>
                <w:color w:val="0000FF"/>
              </w:rPr>
            </w:pPr>
            <w:hyperlink w:anchor="page44">
              <w:r>
                <w:rPr>
                  <w:rFonts w:ascii="Arial" w:cs="Arial" w:eastAsia="Arial" w:hAnsi="Arial"/>
                  <w:sz w:val="14"/>
                  <w:szCs w:val="14"/>
                  <w:color w:val="0000FF"/>
                </w:rPr>
                <w:t>43</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9300" w:type="dxa"/>
            <w:vAlign w:val="bottom"/>
          </w:tcPr>
          <w:p>
            <w:pPr>
              <w:ind w:left="260"/>
              <w:spacing w:after="0"/>
              <w:rPr>
                <w:rFonts w:ascii="Arial" w:cs="Arial" w:eastAsia="Arial" w:hAnsi="Arial"/>
                <w:sz w:val="14"/>
                <w:szCs w:val="14"/>
                <w:color w:val="0000FF"/>
              </w:rPr>
            </w:pPr>
            <w:hyperlink w:anchor="page45">
              <w:r>
                <w:rPr>
                  <w:rFonts w:ascii="Arial" w:cs="Arial" w:eastAsia="Arial" w:hAnsi="Arial"/>
                  <w:sz w:val="14"/>
                  <w:szCs w:val="14"/>
                  <w:color w:val="0000FF"/>
                </w:rPr>
                <w:t>Note 21: Commitments and Contingencies</w:t>
              </w:r>
            </w:hyperlink>
          </w:p>
        </w:tc>
        <w:tc>
          <w:tcPr>
            <w:tcW w:w="1180" w:type="dxa"/>
            <w:vAlign w:val="bottom"/>
          </w:tcPr>
          <w:p>
            <w:pPr>
              <w:jc w:val="center"/>
              <w:ind w:left="948"/>
              <w:spacing w:after="0"/>
              <w:rPr>
                <w:rFonts w:ascii="Arial" w:cs="Arial" w:eastAsia="Arial" w:hAnsi="Arial"/>
                <w:sz w:val="14"/>
                <w:szCs w:val="14"/>
                <w:color w:val="0000FF"/>
              </w:rPr>
            </w:pPr>
            <w:hyperlink w:anchor="page45">
              <w:r>
                <w:rPr>
                  <w:rFonts w:ascii="Arial" w:cs="Arial" w:eastAsia="Arial" w:hAnsi="Arial"/>
                  <w:sz w:val="14"/>
                  <w:szCs w:val="14"/>
                  <w:color w:val="0000FF"/>
                </w:rPr>
                <w:t>44</w:t>
              </w:r>
            </w:hyperlink>
          </w:p>
        </w:tc>
        <w:tc>
          <w:tcPr>
            <w:tcW w:w="0" w:type="dxa"/>
            <w:vAlign w:val="bottom"/>
          </w:tcPr>
          <w:p>
            <w:pPr>
              <w:spacing w:after="0"/>
              <w:rPr>
                <w:sz w:val="1"/>
                <w:szCs w:val="1"/>
                <w:color w:val="auto"/>
              </w:rPr>
            </w:pPr>
          </w:p>
        </w:tc>
      </w:tr>
      <w:tr>
        <w:trPr>
          <w:trHeight w:val="189"/>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006EBF"/>
              </w:rPr>
              <w:t>Item 2.</w:t>
            </w:r>
          </w:p>
        </w:tc>
        <w:tc>
          <w:tcPr>
            <w:tcW w:w="9300" w:type="dxa"/>
            <w:vAlign w:val="bottom"/>
          </w:tcPr>
          <w:p>
            <w:pPr>
              <w:ind w:left="260"/>
              <w:spacing w:after="0"/>
              <w:rPr>
                <w:rFonts w:ascii="Arial" w:cs="Arial" w:eastAsia="Arial" w:hAnsi="Arial"/>
                <w:sz w:val="14"/>
                <w:szCs w:val="14"/>
                <w:color w:val="0000FF"/>
              </w:rPr>
            </w:pPr>
            <w:hyperlink w:anchor="page45">
              <w:r>
                <w:rPr>
                  <w:rFonts w:ascii="Arial" w:cs="Arial" w:eastAsia="Arial" w:hAnsi="Arial"/>
                  <w:sz w:val="14"/>
                  <w:szCs w:val="14"/>
                  <w:color w:val="0000FF"/>
                </w:rPr>
                <w:t>Note 22: Subsequent Events</w:t>
              </w:r>
            </w:hyperlink>
          </w:p>
        </w:tc>
        <w:tc>
          <w:tcPr>
            <w:tcW w:w="1180" w:type="dxa"/>
            <w:vAlign w:val="bottom"/>
          </w:tcPr>
          <w:p>
            <w:pPr>
              <w:jc w:val="center"/>
              <w:ind w:left="948"/>
              <w:spacing w:after="0"/>
              <w:rPr>
                <w:rFonts w:ascii="Arial" w:cs="Arial" w:eastAsia="Arial" w:hAnsi="Arial"/>
                <w:sz w:val="14"/>
                <w:szCs w:val="14"/>
                <w:color w:val="0000FF"/>
              </w:rPr>
            </w:pPr>
            <w:hyperlink w:anchor="page45">
              <w:r>
                <w:rPr>
                  <w:rFonts w:ascii="Arial" w:cs="Arial" w:eastAsia="Arial" w:hAnsi="Arial"/>
                  <w:sz w:val="14"/>
                  <w:szCs w:val="14"/>
                  <w:color w:val="0000FF"/>
                </w:rPr>
                <w:t>44</w:t>
              </w:r>
            </w:hyperlink>
          </w:p>
        </w:tc>
        <w:tc>
          <w:tcPr>
            <w:tcW w:w="0" w:type="dxa"/>
            <w:vAlign w:val="bottom"/>
          </w:tcPr>
          <w:p>
            <w:pPr>
              <w:spacing w:after="0"/>
              <w:rPr>
                <w:sz w:val="1"/>
                <w:szCs w:val="1"/>
                <w:color w:val="auto"/>
              </w:rPr>
            </w:pPr>
          </w:p>
        </w:tc>
      </w:tr>
      <w:tr>
        <w:trPr>
          <w:trHeight w:val="188"/>
        </w:trPr>
        <w:tc>
          <w:tcPr>
            <w:tcW w:w="640" w:type="dxa"/>
            <w:vAlign w:val="bottom"/>
            <w:vMerge w:val="continue"/>
          </w:tcPr>
          <w:p>
            <w:pPr>
              <w:spacing w:after="0"/>
              <w:rPr>
                <w:sz w:val="16"/>
                <w:szCs w:val="16"/>
                <w:color w:val="auto"/>
              </w:rPr>
            </w:pPr>
          </w:p>
        </w:tc>
        <w:tc>
          <w:tcPr>
            <w:tcW w:w="9300" w:type="dxa"/>
            <w:vAlign w:val="bottom"/>
          </w:tcPr>
          <w:p>
            <w:pPr>
              <w:ind w:left="160"/>
              <w:spacing w:after="0"/>
              <w:rPr>
                <w:rFonts w:ascii="Arial" w:cs="Arial" w:eastAsia="Arial" w:hAnsi="Arial"/>
                <w:sz w:val="14"/>
                <w:szCs w:val="14"/>
                <w:color w:val="0000FF"/>
              </w:rPr>
            </w:pPr>
            <w:hyperlink w:anchor="page45">
              <w:r>
                <w:rPr>
                  <w:rFonts w:ascii="Arial" w:cs="Arial" w:eastAsia="Arial" w:hAnsi="Arial"/>
                  <w:sz w:val="14"/>
                  <w:szCs w:val="14"/>
                  <w:color w:val="0000FF"/>
                </w:rPr>
                <w:t>Management’s Discussion and Analysis of Financial Condition and Results of Operations</w:t>
              </w:r>
            </w:hyperlink>
          </w:p>
        </w:tc>
        <w:tc>
          <w:tcPr>
            <w:tcW w:w="1180" w:type="dxa"/>
            <w:vAlign w:val="bottom"/>
          </w:tcPr>
          <w:p>
            <w:pPr>
              <w:jc w:val="center"/>
              <w:ind w:left="948"/>
              <w:spacing w:after="0"/>
              <w:rPr>
                <w:rFonts w:ascii="Arial" w:cs="Arial" w:eastAsia="Arial" w:hAnsi="Arial"/>
                <w:sz w:val="14"/>
                <w:szCs w:val="14"/>
                <w:color w:val="0000FF"/>
              </w:rPr>
            </w:pPr>
            <w:hyperlink w:anchor="page45">
              <w:r>
                <w:rPr>
                  <w:rFonts w:ascii="Arial" w:cs="Arial" w:eastAsia="Arial" w:hAnsi="Arial"/>
                  <w:sz w:val="14"/>
                  <w:szCs w:val="14"/>
                  <w:color w:val="0000FF"/>
                </w:rPr>
                <w:t>45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300" w:type="dxa"/>
            <w:vAlign w:val="bottom"/>
          </w:tcPr>
          <w:p>
            <w:pPr>
              <w:ind w:left="160"/>
              <w:spacing w:after="0"/>
              <w:rPr>
                <w:rFonts w:ascii="Arial" w:cs="Arial" w:eastAsia="Arial" w:hAnsi="Arial"/>
                <w:sz w:val="14"/>
                <w:szCs w:val="14"/>
                <w:color w:val="0000FF"/>
              </w:rPr>
            </w:pPr>
            <w:hyperlink w:anchor="page67">
              <w:r>
                <w:rPr>
                  <w:rFonts w:ascii="Arial" w:cs="Arial" w:eastAsia="Arial" w:hAnsi="Arial"/>
                  <w:sz w:val="14"/>
                  <w:szCs w:val="14"/>
                  <w:color w:val="0000FF"/>
                </w:rPr>
                <w:t>Quantitative and Qualitative Disclosures About Market Risk</w:t>
              </w:r>
            </w:hyperlink>
          </w:p>
        </w:tc>
        <w:tc>
          <w:tcPr>
            <w:tcW w:w="1180" w:type="dxa"/>
            <w:vAlign w:val="bottom"/>
          </w:tcPr>
          <w:p>
            <w:pPr>
              <w:jc w:val="center"/>
              <w:ind w:left="948"/>
              <w:spacing w:after="0"/>
              <w:rPr>
                <w:rFonts w:ascii="Arial" w:cs="Arial" w:eastAsia="Arial" w:hAnsi="Arial"/>
                <w:sz w:val="14"/>
                <w:szCs w:val="14"/>
                <w:color w:val="0000FF"/>
              </w:rPr>
            </w:pPr>
            <w:hyperlink w:anchor="page67">
              <w:r>
                <w:rPr>
                  <w:rFonts w:ascii="Arial" w:cs="Arial" w:eastAsia="Arial" w:hAnsi="Arial"/>
                  <w:sz w:val="14"/>
                  <w:szCs w:val="14"/>
                  <w:color w:val="0000FF"/>
                </w:rPr>
                <w:t>66</w:t>
              </w:r>
            </w:hyperlink>
          </w:p>
        </w:tc>
        <w:tc>
          <w:tcPr>
            <w:tcW w:w="0" w:type="dxa"/>
            <w:vAlign w:val="bottom"/>
          </w:tcPr>
          <w:p>
            <w:pPr>
              <w:spacing w:after="0"/>
              <w:rPr>
                <w:sz w:val="1"/>
                <w:szCs w:val="1"/>
                <w:color w:val="auto"/>
              </w:rPr>
            </w:pPr>
          </w:p>
        </w:tc>
      </w:tr>
      <w:tr>
        <w:trPr>
          <w:trHeight w:val="190"/>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9300" w:type="dxa"/>
            <w:vAlign w:val="bottom"/>
          </w:tcPr>
          <w:p>
            <w:pPr>
              <w:ind w:left="160"/>
              <w:spacing w:after="0"/>
              <w:rPr>
                <w:rFonts w:ascii="Arial" w:cs="Arial" w:eastAsia="Arial" w:hAnsi="Arial"/>
                <w:sz w:val="14"/>
                <w:szCs w:val="14"/>
                <w:color w:val="0000FF"/>
              </w:rPr>
            </w:pPr>
            <w:hyperlink w:anchor="page68">
              <w:r>
                <w:rPr>
                  <w:rFonts w:ascii="Arial" w:cs="Arial" w:eastAsia="Arial" w:hAnsi="Arial"/>
                  <w:sz w:val="14"/>
                  <w:szCs w:val="14"/>
                  <w:color w:val="0000FF"/>
                </w:rPr>
                <w:t>Controls and Procedures</w:t>
              </w:r>
            </w:hyperlink>
          </w:p>
        </w:tc>
        <w:tc>
          <w:tcPr>
            <w:tcW w:w="1180" w:type="dxa"/>
            <w:vAlign w:val="bottom"/>
          </w:tcPr>
          <w:p>
            <w:pPr>
              <w:jc w:val="center"/>
              <w:ind w:left="948"/>
              <w:spacing w:after="0"/>
              <w:rPr>
                <w:rFonts w:ascii="Arial" w:cs="Arial" w:eastAsia="Arial" w:hAnsi="Arial"/>
                <w:sz w:val="14"/>
                <w:szCs w:val="14"/>
                <w:color w:val="0000FF"/>
              </w:rPr>
            </w:pPr>
            <w:hyperlink w:anchor="page68">
              <w:r>
                <w:rPr>
                  <w:rFonts w:ascii="Arial" w:cs="Arial" w:eastAsia="Arial" w:hAnsi="Arial"/>
                  <w:sz w:val="14"/>
                  <w:szCs w:val="14"/>
                  <w:color w:val="0000FF"/>
                </w:rPr>
                <w:t>67</w:t>
              </w:r>
            </w:hyperlink>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4020" w:type="dxa"/>
            <w:vAlign w:val="bottom"/>
          </w:tcPr>
          <w:p>
            <w:pPr>
              <w:spacing w:after="0"/>
              <w:rPr>
                <w:sz w:val="16"/>
                <w:szCs w:val="16"/>
                <w:color w:val="auto"/>
              </w:rPr>
            </w:pPr>
          </w:p>
        </w:tc>
        <w:tc>
          <w:tcPr>
            <w:tcW w:w="6420" w:type="dxa"/>
            <w:vAlign w:val="bottom"/>
          </w:tcPr>
          <w:p>
            <w:pPr>
              <w:jc w:val="right"/>
              <w:ind w:right="4128"/>
              <w:spacing w:after="0"/>
              <w:rPr>
                <w:sz w:val="20"/>
                <w:szCs w:val="20"/>
                <w:color w:val="auto"/>
              </w:rPr>
            </w:pPr>
            <w:r>
              <w:rPr>
                <w:rFonts w:ascii="Arial" w:cs="Arial" w:eastAsia="Arial" w:hAnsi="Arial"/>
                <w:sz w:val="14"/>
                <w:szCs w:val="14"/>
                <w:b w:val="1"/>
                <w:bCs w:val="1"/>
                <w:color w:val="006EBF"/>
              </w:rPr>
              <w:t>PART II - OTHER INFORMATION</w:t>
            </w:r>
          </w:p>
        </w:tc>
        <w:tc>
          <w:tcPr>
            <w:tcW w:w="0" w:type="dxa"/>
            <w:vAlign w:val="bottom"/>
          </w:tcPr>
          <w:p>
            <w:pPr>
              <w:spacing w:after="0"/>
              <w:rPr>
                <w:sz w:val="1"/>
                <w:szCs w:val="1"/>
                <w:color w:val="auto"/>
              </w:rPr>
            </w:pPr>
          </w:p>
        </w:tc>
      </w:tr>
      <w:tr>
        <w:trPr>
          <w:trHeight w:val="188"/>
        </w:trPr>
        <w:tc>
          <w:tcPr>
            <w:tcW w:w="680" w:type="dxa"/>
            <w:vAlign w:val="bottom"/>
            <w:vMerge w:val="continue"/>
          </w:tcPr>
          <w:p>
            <w:pPr>
              <w:spacing w:after="0"/>
              <w:rPr>
                <w:sz w:val="16"/>
                <w:szCs w:val="16"/>
                <w:color w:val="auto"/>
              </w:rPr>
            </w:pPr>
          </w:p>
        </w:tc>
        <w:tc>
          <w:tcPr>
            <w:tcW w:w="4020" w:type="dxa"/>
            <w:vAlign w:val="bottom"/>
          </w:tcPr>
          <w:p>
            <w:pPr>
              <w:ind w:left="120"/>
              <w:spacing w:after="0"/>
              <w:rPr>
                <w:rFonts w:ascii="Arial" w:cs="Arial" w:eastAsia="Arial" w:hAnsi="Arial"/>
                <w:sz w:val="14"/>
                <w:szCs w:val="14"/>
                <w:color w:val="0000FF"/>
              </w:rPr>
            </w:pPr>
            <w:hyperlink w:anchor="page69">
              <w:r>
                <w:rPr>
                  <w:rFonts w:ascii="Arial" w:cs="Arial" w:eastAsia="Arial" w:hAnsi="Arial"/>
                  <w:sz w:val="14"/>
                  <w:szCs w:val="14"/>
                  <w:color w:val="0000FF"/>
                </w:rPr>
                <w:t>Legal Proceedings</w:t>
              </w:r>
            </w:hyperlink>
          </w:p>
        </w:tc>
        <w:tc>
          <w:tcPr>
            <w:tcW w:w="6420" w:type="dxa"/>
            <w:vAlign w:val="bottom"/>
          </w:tcPr>
          <w:p>
            <w:pPr>
              <w:jc w:val="right"/>
              <w:spacing w:after="0"/>
              <w:rPr>
                <w:rFonts w:ascii="Arial" w:cs="Arial" w:eastAsia="Arial" w:hAnsi="Arial"/>
                <w:sz w:val="14"/>
                <w:szCs w:val="14"/>
                <w:color w:val="0000FF"/>
              </w:rPr>
            </w:pPr>
            <w:hyperlink w:anchor="page69">
              <w:r>
                <w:rPr>
                  <w:rFonts w:ascii="Arial" w:cs="Arial" w:eastAsia="Arial" w:hAnsi="Arial"/>
                  <w:sz w:val="14"/>
                  <w:szCs w:val="14"/>
                  <w:color w:val="0000FF"/>
                </w:rPr>
                <w:t>68</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4020" w:type="dxa"/>
            <w:vAlign w:val="bottom"/>
          </w:tcPr>
          <w:p>
            <w:pPr>
              <w:ind w:left="120"/>
              <w:spacing w:after="0"/>
              <w:rPr>
                <w:rFonts w:ascii="Arial" w:cs="Arial" w:eastAsia="Arial" w:hAnsi="Arial"/>
                <w:sz w:val="14"/>
                <w:szCs w:val="14"/>
                <w:color w:val="0000FF"/>
              </w:rPr>
            </w:pPr>
            <w:hyperlink w:anchor="page69">
              <w:r>
                <w:rPr>
                  <w:rFonts w:ascii="Arial" w:cs="Arial" w:eastAsia="Arial" w:hAnsi="Arial"/>
                  <w:sz w:val="14"/>
                  <w:szCs w:val="14"/>
                  <w:color w:val="0000FF"/>
                </w:rPr>
                <w:t>Risk Factors</w:t>
              </w:r>
            </w:hyperlink>
          </w:p>
        </w:tc>
        <w:tc>
          <w:tcPr>
            <w:tcW w:w="6420" w:type="dxa"/>
            <w:vAlign w:val="bottom"/>
          </w:tcPr>
          <w:p>
            <w:pPr>
              <w:jc w:val="right"/>
              <w:spacing w:after="0"/>
              <w:rPr>
                <w:rFonts w:ascii="Arial" w:cs="Arial" w:eastAsia="Arial" w:hAnsi="Arial"/>
                <w:sz w:val="14"/>
                <w:szCs w:val="14"/>
                <w:color w:val="0000FF"/>
              </w:rPr>
            </w:pPr>
            <w:hyperlink w:anchor="page69">
              <w:r>
                <w:rPr>
                  <w:rFonts w:ascii="Arial" w:cs="Arial" w:eastAsia="Arial" w:hAnsi="Arial"/>
                  <w:sz w:val="14"/>
                  <w:szCs w:val="14"/>
                  <w:color w:val="0000FF"/>
                </w:rPr>
                <w:t>68</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Unregistered Sales of Equity Securities and Use of Proceeds</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90</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Defaults Upon Senior Securities</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90</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Mine Safety Disclosures</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90</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Other Information</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90</w:t>
              </w:r>
            </w:hyperlink>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4020" w:type="dxa"/>
            <w:vAlign w:val="bottom"/>
          </w:tcPr>
          <w:p>
            <w:pPr>
              <w:ind w:left="120"/>
              <w:spacing w:after="0"/>
              <w:rPr>
                <w:rFonts w:ascii="Arial" w:cs="Arial" w:eastAsia="Arial" w:hAnsi="Arial"/>
                <w:sz w:val="14"/>
                <w:szCs w:val="14"/>
                <w:color w:val="0000FF"/>
              </w:rPr>
            </w:pPr>
            <w:hyperlink w:anchor="page91">
              <w:r>
                <w:rPr>
                  <w:rFonts w:ascii="Arial" w:cs="Arial" w:eastAsia="Arial" w:hAnsi="Arial"/>
                  <w:sz w:val="14"/>
                  <w:szCs w:val="14"/>
                  <w:color w:val="0000FF"/>
                </w:rPr>
                <w:t>Exhibits</w:t>
              </w:r>
            </w:hyperlink>
          </w:p>
        </w:tc>
        <w:tc>
          <w:tcPr>
            <w:tcW w:w="6420" w:type="dxa"/>
            <w:vAlign w:val="bottom"/>
          </w:tcPr>
          <w:p>
            <w:pPr>
              <w:jc w:val="right"/>
              <w:spacing w:after="0"/>
              <w:rPr>
                <w:rFonts w:ascii="Arial" w:cs="Arial" w:eastAsia="Arial" w:hAnsi="Arial"/>
                <w:sz w:val="14"/>
                <w:szCs w:val="14"/>
                <w:color w:val="0000FF"/>
              </w:rPr>
            </w:pPr>
            <w:hyperlink w:anchor="page91">
              <w:r>
                <w:rPr>
                  <w:rFonts w:ascii="Arial" w:cs="Arial" w:eastAsia="Arial" w:hAnsi="Arial"/>
                  <w:sz w:val="14"/>
                  <w:szCs w:val="14"/>
                  <w:color w:val="0000FF"/>
                </w:rPr>
                <w:t>90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212090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21"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18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9"/>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4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176,052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121,703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283,398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39,715</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205,680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91,691</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1,696,594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1,635,259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74,643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62,355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4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1,527,770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964,363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110,963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146,515</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80,737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18,786</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239,941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122,735</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272,944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177,928</w:t>
            </w:r>
          </w:p>
        </w:tc>
        <w:tc>
          <w:tcPr>
            <w:tcW w:w="0" w:type="dxa"/>
            <w:vAlign w:val="bottom"/>
          </w:tcPr>
          <w:p>
            <w:pPr>
              <w:spacing w:after="0"/>
              <w:rPr>
                <w:sz w:val="1"/>
                <w:szCs w:val="1"/>
                <w:color w:val="auto"/>
              </w:rPr>
            </w:pPr>
          </w:p>
        </w:tc>
      </w:tr>
      <w:tr>
        <w:trPr>
          <w:trHeight w:val="20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4,682,517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213,441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113,185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2,983,989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Maintenance deposits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100,700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148,293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35,167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37,064</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74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74,134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62,001</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71,044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23,351</w:t>
            </w:r>
          </w:p>
        </w:tc>
        <w:tc>
          <w:tcPr>
            <w:tcW w:w="0" w:type="dxa"/>
            <w:vAlign w:val="bottom"/>
          </w:tcPr>
          <w:p>
            <w:pPr>
              <w:spacing w:after="0"/>
              <w:rPr>
                <w:sz w:val="1"/>
                <w:szCs w:val="1"/>
                <w:color w:val="auto"/>
              </w:rPr>
            </w:pPr>
          </w:p>
        </w:tc>
      </w:tr>
      <w:tr>
        <w:trPr>
          <w:trHeight w:val="182"/>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3,478,475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2,288,656</w:t>
            </w:r>
          </w:p>
        </w:tc>
        <w:tc>
          <w:tcPr>
            <w:tcW w:w="0" w:type="dxa"/>
            <w:vAlign w:val="bottom"/>
          </w:tcPr>
          <w:p>
            <w:pPr>
              <w:spacing w:after="0"/>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40" w:type="dxa"/>
            <w:vAlign w:val="bottom"/>
          </w:tcPr>
          <w:p>
            <w:pPr>
              <w:jc w:val="center"/>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shares ($0.01 par value per share; 2,000,000,000 shares authorized; 97,896,522 and</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85,617,146 shares issued and outstanding as of September 30, 2021 and December 31, 2020,</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979</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respectively)</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4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13,320,000 and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4"/>
                <w:szCs w:val="14"/>
                <w:color w:val="auto"/>
              </w:rPr>
              <w:t>9,120,000 shares issued and outstanding as of September 30, 2021 and December 31, 2020,</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vMerge w:val="restart"/>
          </w:tcPr>
          <w:p>
            <w:pPr>
              <w:jc w:val="right"/>
              <w:ind w:right="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respectively)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1,420,247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1,130,106</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(120,136)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(28,158)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(103,755)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(26,237)</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1,197,468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1,076,658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6,574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22,663</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1,204,042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20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4,682,517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 w:name="page6"/>
    <w:bookmarkEnd w:id="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Notes</w:t>
            </w:r>
          </w:p>
        </w:tc>
        <w:tc>
          <w:tcPr>
            <w:tcW w:w="1340" w:type="dxa"/>
            <w:vAlign w:val="bottom"/>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99,174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69,799</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237,352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236,082</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36,788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13,910</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72,674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54,776</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135,962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83,709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310,026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290,858</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52,793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23,128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108,973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81,144</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13,292</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7,130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2,442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13,172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9,297</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11,948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14,113</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jc w:val="center"/>
              <w:spacing w:after="0"/>
              <w:rPr>
                <w:sz w:val="20"/>
                <w:szCs w:val="20"/>
                <w:color w:val="auto"/>
              </w:rPr>
            </w:pPr>
            <w:r>
              <w:rPr>
                <w:rFonts w:ascii="Arial" w:cs="Arial" w:eastAsia="Arial" w:hAnsi="Arial"/>
                <w:sz w:val="14"/>
                <w:szCs w:val="14"/>
                <w:color w:val="auto"/>
              </w:rPr>
              <w:t>5, 7, 9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53,368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42,626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145,274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126,543</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3,048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14,391</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54,500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26,904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124,994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71,559</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176,917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107,847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419,738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330,339</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12,685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17,483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(8,771)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1,018</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(3,557)</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(3,180)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(12,181)</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(112,892)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(51,662)</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(6,334)</w:t>
            </w:r>
          </w:p>
        </w:tc>
        <w:tc>
          <w:tcPr>
            <w:tcW w:w="0" w:type="dxa"/>
            <w:vAlign w:val="bottom"/>
          </w:tcPr>
          <w:p>
            <w:pPr>
              <w:spacing w:after="0"/>
              <w:rPr>
                <w:sz w:val="1"/>
                <w:szCs w:val="1"/>
                <w:color w:val="auto"/>
              </w:rPr>
            </w:pPr>
          </w:p>
        </w:tc>
      </w:tr>
      <w:tr>
        <w:trPr>
          <w:trHeight w:val="182"/>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(39,443)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(110,927)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(45,328)</w:t>
            </w:r>
          </w:p>
        </w:tc>
        <w:tc>
          <w:tcPr>
            <w:tcW w:w="0" w:type="dxa"/>
            <w:vAlign w:val="bottom"/>
          </w:tcPr>
          <w:p>
            <w:pPr>
              <w:spacing w:after="0"/>
              <w:rPr>
                <w:sz w:val="1"/>
                <w:szCs w:val="1"/>
                <w:color w:val="auto"/>
              </w:rPr>
            </w:pPr>
          </w:p>
        </w:tc>
      </w:tr>
      <w:tr>
        <w:trPr>
          <w:trHeight w:val="153"/>
        </w:trPr>
        <w:tc>
          <w:tcPr>
            <w:tcW w:w="3880" w:type="dxa"/>
            <w:vAlign w:val="bottom"/>
          </w:tcPr>
          <w:p>
            <w:pPr>
              <w:ind w:left="140"/>
              <w:spacing w:after="0" w:line="153" w:lineRule="exact"/>
              <w:rPr>
                <w:sz w:val="20"/>
                <w:szCs w:val="20"/>
                <w:color w:val="auto"/>
              </w:rPr>
            </w:pPr>
            <w:r>
              <w:rPr>
                <w:rFonts w:ascii="Arial" w:cs="Arial" w:eastAsia="Arial" w:hAnsi="Arial"/>
                <w:sz w:val="14"/>
                <w:szCs w:val="14"/>
                <w:color w:val="auto"/>
              </w:rPr>
              <w:t>Net income from discontinued operations, net of income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71"/>
        </w:trPr>
        <w:tc>
          <w:tcPr>
            <w:tcW w:w="3880" w:type="dxa"/>
            <w:vAlign w:val="bottom"/>
          </w:tcPr>
          <w:p>
            <w:pPr>
              <w:ind w:left="140"/>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(39,443)</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(25,209)</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(110,927)</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(43,997)</w:t>
            </w:r>
          </w:p>
        </w:tc>
        <w:tc>
          <w:tcPr>
            <w:tcW w:w="0" w:type="dxa"/>
            <w:vAlign w:val="bottom"/>
          </w:tcPr>
          <w:p>
            <w:pPr>
              <w:spacing w:after="0"/>
              <w:rPr>
                <w:sz w:val="1"/>
                <w:szCs w:val="1"/>
                <w:color w:val="auto"/>
              </w:rPr>
            </w:pPr>
          </w:p>
        </w:tc>
      </w:tr>
      <w:tr>
        <w:trPr>
          <w:trHeight w:val="133"/>
        </w:trPr>
        <w:tc>
          <w:tcPr>
            <w:tcW w:w="388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interests in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(7,363)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(3,876)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(18,949)</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(12,724)</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4,625</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17,967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13,243</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(38,871)</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(25,958)</w:t>
            </w:r>
          </w:p>
        </w:tc>
        <w:tc>
          <w:tcPr>
            <w:tcW w:w="8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(109,945)</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(44,516)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660" w:type="dxa"/>
            <w:vAlign w:val="bottom"/>
          </w:tcPr>
          <w:p>
            <w:pPr>
              <w:jc w:val="center"/>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(0.44)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89"/>
        </w:trPr>
        <w:tc>
          <w:tcPr>
            <w:tcW w:w="388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Basic</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88,277,897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86,022,302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86,787,072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86,013,485</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88,277,897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86,022,302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86,787,072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86,013,485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right="41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INCOME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(39,443)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(110,927)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(43,997)</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58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comprehensive loss related to equity method investees, net </w:t>
            </w:r>
            <w:r>
              <w:rPr>
                <w:rFonts w:ascii="Arial" w:cs="Arial" w:eastAsia="Arial" w:hAnsi="Arial"/>
                <w:sz w:val="18"/>
                <w:szCs w:val="18"/>
                <w:color w:val="auto"/>
                <w:vertAlign w:val="superscript"/>
              </w:rPr>
              <w:t>(1)</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(54,640)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(77,518)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(16,822)</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(94,083)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(38,677)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(188,445)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(60,819)</w:t>
            </w:r>
          </w:p>
        </w:tc>
      </w:tr>
      <w:tr>
        <w:trPr>
          <w:trHeight w:val="189"/>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(7,363)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(18,949)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(12,724)</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Comprehensive loss attributable to shareholders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(86,720)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(169,496)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(48,095)</w:t>
            </w: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right="20" w:hanging="172"/>
        <w:spacing w:after="0" w:line="228" w:lineRule="auto"/>
        <w:tabs>
          <w:tab w:leader="none" w:pos="177"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deferred tax expense (benefit) of $1,798 and $(3,580) for the three months ended September 30, 2021 and 2020, respectively, and $(2,674) and $(4,474)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18" w:right="339"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187325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9"/>
          </w:tcPr>
          <w:p>
            <w:pPr>
              <w:ind w:left="620"/>
              <w:spacing w:after="0"/>
              <w:rPr>
                <w:sz w:val="20"/>
                <w:szCs w:val="20"/>
                <w:color w:val="auto"/>
              </w:rPr>
            </w:pPr>
            <w:r>
              <w:rPr>
                <w:rFonts w:ascii="Arial" w:cs="Arial" w:eastAsia="Arial" w:hAnsi="Arial"/>
                <w:sz w:val="13"/>
                <w:szCs w:val="13"/>
                <w:b w:val="1"/>
                <w:bCs w:val="1"/>
                <w:color w:val="auto"/>
              </w:rPr>
              <w:t>Three and Nine Months Ended September 30, 2021</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Preferred</w:t>
            </w:r>
          </w:p>
        </w:tc>
        <w:tc>
          <w:tcPr>
            <w:tcW w:w="20" w:type="dxa"/>
            <w:vAlign w:val="bottom"/>
          </w:tcPr>
          <w:p>
            <w:pPr>
              <w:spacing w:after="0"/>
              <w:rPr>
                <w:sz w:val="10"/>
                <w:szCs w:val="10"/>
                <w:color w:val="auto"/>
              </w:rPr>
            </w:pP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7"/>
              </w:rPr>
              <w:t>Additional Paid</w:t>
            </w:r>
          </w:p>
        </w:tc>
        <w:tc>
          <w:tcPr>
            <w:tcW w:w="16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5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Comprehensive (Loss)</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0"/>
                <w:szCs w:val="10"/>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9"/>
              </w:rPr>
              <w:t>In Capital</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Subsidiaries</w:t>
            </w: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2020</w:t>
            </w: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1,130,106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(26,237)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22,663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1,099,321</w:t>
            </w:r>
          </w:p>
        </w:tc>
        <w:tc>
          <w:tcPr>
            <w:tcW w:w="0" w:type="dxa"/>
            <w:vAlign w:val="bottom"/>
          </w:tcPr>
          <w:p>
            <w:pPr>
              <w:spacing w:after="0"/>
              <w:rPr>
                <w:sz w:val="1"/>
                <w:szCs w:val="1"/>
                <w:color w:val="auto"/>
              </w:rPr>
            </w:pPr>
          </w:p>
        </w:tc>
      </w:tr>
      <w:tr>
        <w:trPr>
          <w:trHeight w:val="172"/>
        </w:trPr>
        <w:tc>
          <w:tcPr>
            <w:tcW w:w="27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(59,898)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(11,586)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(71,484)</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(22,878)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(22,878)</w:t>
            </w:r>
          </w:p>
        </w:tc>
        <w:tc>
          <w:tcPr>
            <w:tcW w:w="0" w:type="dxa"/>
            <w:vAlign w:val="bottom"/>
          </w:tcPr>
          <w:p>
            <w:pPr>
              <w:spacing w:after="0"/>
              <w:rPr>
                <w:sz w:val="1"/>
                <w:szCs w:val="1"/>
                <w:color w:val="auto"/>
              </w:rPr>
            </w:pPr>
          </w:p>
        </w:tc>
      </w:tr>
      <w:tr>
        <w:trPr>
          <w:trHeight w:val="165"/>
        </w:trPr>
        <w:tc>
          <w:tcPr>
            <w:tcW w:w="2720" w:type="dxa"/>
            <w:vAlign w:val="bottom"/>
          </w:tcPr>
          <w:p>
            <w:pPr>
              <w:ind w:left="20"/>
              <w:spacing w:after="0"/>
              <w:rPr>
                <w:sz w:val="20"/>
                <w:szCs w:val="20"/>
                <w:color w:val="auto"/>
              </w:rPr>
            </w:pPr>
            <w:r>
              <w:rPr>
                <w:rFonts w:ascii="Arial" w:cs="Arial" w:eastAsia="Arial" w:hAnsi="Arial"/>
                <w:sz w:val="13"/>
                <w:szCs w:val="13"/>
                <w:color w:val="auto"/>
              </w:rPr>
              <w:t>Total comprehensive (loss) income</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(59,898)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(22,878)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(11,586)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(94,362)</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equity-based compensation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(183)</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Issuance of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455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455</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(56,795)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(56,795)</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Issuance of preferred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101,158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101,200</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(11,176)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(11,176)</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2,553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2,553</w:t>
            </w:r>
          </w:p>
        </w:tc>
        <w:tc>
          <w:tcPr>
            <w:tcW w:w="0" w:type="dxa"/>
            <w:vAlign w:val="bottom"/>
          </w:tcPr>
          <w:p>
            <w:pPr>
              <w:spacing w:after="0"/>
              <w:rPr>
                <w:sz w:val="1"/>
                <w:szCs w:val="1"/>
                <w:color w:val="auto"/>
              </w:rPr>
            </w:pPr>
          </w:p>
        </w:tc>
      </w:tr>
      <w:tr>
        <w:trPr>
          <w:trHeight w:val="17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June 30, 2021</w:t>
            </w: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1,163,748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(88,056)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(49,115)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13,447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1,041,013</w:t>
            </w:r>
          </w:p>
        </w:tc>
        <w:tc>
          <w:tcPr>
            <w:tcW w:w="0" w:type="dxa"/>
            <w:vAlign w:val="bottom"/>
          </w:tcPr>
          <w:p>
            <w:pPr>
              <w:spacing w:after="0"/>
              <w:rPr>
                <w:sz w:val="1"/>
                <w:szCs w:val="1"/>
                <w:color w:val="auto"/>
              </w:rPr>
            </w:pPr>
          </w:p>
        </w:tc>
      </w:tr>
      <w:tr>
        <w:trPr>
          <w:trHeight w:val="165"/>
        </w:trPr>
        <w:tc>
          <w:tcPr>
            <w:tcW w:w="27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(32,080)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(7,363)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(39,443)</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(54,640)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(54,640)</w:t>
            </w:r>
          </w:p>
        </w:tc>
        <w:tc>
          <w:tcPr>
            <w:tcW w:w="0" w:type="dxa"/>
            <w:vAlign w:val="bottom"/>
          </w:tcPr>
          <w:p>
            <w:pPr>
              <w:spacing w:after="0"/>
              <w:rPr>
                <w:sz w:val="1"/>
                <w:szCs w:val="1"/>
                <w:color w:val="auto"/>
              </w:rPr>
            </w:pPr>
          </w:p>
        </w:tc>
      </w:tr>
      <w:tr>
        <w:trPr>
          <w:trHeight w:val="165"/>
        </w:trPr>
        <w:tc>
          <w:tcPr>
            <w:tcW w:w="272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(32,080)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(54,640)</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(7,363)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(94,083)</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equity-based compensation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(238)</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Issuance of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291,701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291,824</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participating securities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(28,409)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(28,409)</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(6,791)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(6,791)</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728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728</w:t>
            </w:r>
          </w:p>
        </w:tc>
        <w:tc>
          <w:tcPr>
            <w:tcW w:w="0" w:type="dxa"/>
            <w:vAlign w:val="bottom"/>
          </w:tcPr>
          <w:p>
            <w:pPr>
              <w:spacing w:after="0"/>
              <w:rPr>
                <w:sz w:val="1"/>
                <w:szCs w:val="1"/>
                <w:color w:val="auto"/>
              </w:rPr>
            </w:pPr>
          </w:p>
        </w:tc>
      </w:tr>
      <w:tr>
        <w:trPr>
          <w:trHeight w:val="19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Equity - September 30, 2021</w:t>
            </w: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979</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1,420,247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(120,136)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(103,755)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6,574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1,204,042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ind w:left="640"/>
              <w:spacing w:after="0"/>
              <w:rPr>
                <w:sz w:val="20"/>
                <w:szCs w:val="20"/>
                <w:color w:val="auto"/>
              </w:rPr>
            </w:pPr>
            <w:r>
              <w:rPr>
                <w:rFonts w:ascii="Arial" w:cs="Arial" w:eastAsia="Arial" w:hAnsi="Arial"/>
                <w:sz w:val="13"/>
                <w:szCs w:val="13"/>
                <w:b w:val="1"/>
                <w:bCs w:val="1"/>
                <w:color w:val="auto"/>
              </w:rPr>
              <w:t>Three and Nine Months Ended September 30, 2020</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Preferred</w:t>
            </w:r>
          </w:p>
        </w:tc>
        <w:tc>
          <w:tcPr>
            <w:tcW w:w="20" w:type="dxa"/>
            <w:vAlign w:val="bottom"/>
          </w:tcPr>
          <w:p>
            <w:pPr>
              <w:spacing w:after="0"/>
              <w:rPr>
                <w:sz w:val="10"/>
                <w:szCs w:val="10"/>
                <w:color w:val="auto"/>
              </w:rPr>
            </w:pP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7"/>
              </w:rPr>
              <w:t>Additional Paid</w:t>
            </w: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8"/>
              </w:rPr>
              <w:t>Retained Earnings</w:t>
            </w:r>
          </w:p>
        </w:tc>
        <w:tc>
          <w:tcPr>
            <w:tcW w:w="100" w:type="dxa"/>
            <w:vAlign w:val="bottom"/>
            <w:vMerge w:val="restart"/>
          </w:tcPr>
          <w:p>
            <w:pPr>
              <w:spacing w:after="0"/>
              <w:rPr>
                <w:sz w:val="10"/>
                <w:szCs w:val="10"/>
                <w:color w:val="auto"/>
              </w:rPr>
            </w:pPr>
          </w:p>
        </w:tc>
        <w:tc>
          <w:tcPr>
            <w:tcW w:w="15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Comprehensive Income</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0"/>
                <w:szCs w:val="10"/>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5"/>
              </w:rPr>
              <w:t>In Capital</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Subsidiaries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2019</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1,110,122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36,980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1,338,857</w:t>
            </w:r>
          </w:p>
        </w:tc>
        <w:tc>
          <w:tcPr>
            <w:tcW w:w="0" w:type="dxa"/>
            <w:vAlign w:val="bottom"/>
          </w:tcPr>
          <w:p>
            <w:pPr>
              <w:spacing w:after="0"/>
              <w:rPr>
                <w:sz w:val="1"/>
                <w:szCs w:val="1"/>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(8,848)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(18,788)</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(3,354)</w:t>
            </w:r>
          </w:p>
        </w:tc>
        <w:tc>
          <w:tcPr>
            <w:tcW w:w="0" w:type="dxa"/>
            <w:vAlign w:val="bottom"/>
          </w:tcPr>
          <w:p>
            <w:pPr>
              <w:spacing w:after="0"/>
              <w:rPr>
                <w:sz w:val="1"/>
                <w:szCs w:val="1"/>
                <w:color w:val="auto"/>
              </w:rPr>
            </w:pPr>
          </w:p>
        </w:tc>
      </w:tr>
      <w:tr>
        <w:trPr>
          <w:trHeight w:val="161"/>
        </w:trPr>
        <w:tc>
          <w:tcPr>
            <w:tcW w:w="272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(9,940)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(3,354)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(8,848)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(22,142)</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equity-based compensation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Issuance of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84"/>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participating securities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7"/>
        </w:trPr>
        <w:tc>
          <w:tcPr>
            <w:tcW w:w="2720" w:type="dxa"/>
            <w:vAlign w:val="bottom"/>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(56,782)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(56,782)</w:t>
            </w:r>
          </w:p>
        </w:tc>
        <w:tc>
          <w:tcPr>
            <w:tcW w:w="0" w:type="dxa"/>
            <w:vAlign w:val="bottom"/>
          </w:tcPr>
          <w:p>
            <w:pPr>
              <w:spacing w:after="0"/>
              <w:rPr>
                <w:sz w:val="1"/>
                <w:szCs w:val="1"/>
                <w:color w:val="auto"/>
              </w:rPr>
            </w:pPr>
          </w:p>
        </w:tc>
      </w:tr>
      <w:tr>
        <w:trPr>
          <w:trHeight w:val="184"/>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of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(8,618)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(8,618)</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63"/>
        </w:trPr>
        <w:tc>
          <w:tcPr>
            <w:tcW w:w="2720" w:type="dxa"/>
            <w:vAlign w:val="bottom"/>
          </w:tcPr>
          <w:p>
            <w:pPr>
              <w:ind w:left="20"/>
              <w:spacing w:after="0"/>
              <w:rPr>
                <w:sz w:val="20"/>
                <w:szCs w:val="20"/>
                <w:color w:val="auto"/>
              </w:rPr>
            </w:pPr>
            <w:r>
              <w:rPr>
                <w:rFonts w:ascii="Arial" w:cs="Arial" w:eastAsia="Arial" w:hAnsi="Arial"/>
                <w:sz w:val="13"/>
                <w:szCs w:val="13"/>
                <w:b w:val="1"/>
                <w:bCs w:val="1"/>
                <w:color w:val="auto"/>
              </w:rPr>
              <w:t>Equity - June 30, 2020</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1,109,631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115,113</w:t>
            </w:r>
          </w:p>
        </w:tc>
        <w:tc>
          <w:tcPr>
            <w:tcW w:w="1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(2,982)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28,792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1,251,491</w:t>
            </w:r>
          </w:p>
        </w:tc>
        <w:tc>
          <w:tcPr>
            <w:tcW w:w="0" w:type="dxa"/>
            <w:vAlign w:val="bottom"/>
          </w:tcPr>
          <w:p>
            <w:pPr>
              <w:spacing w:after="0"/>
              <w:rPr>
                <w:sz w:val="1"/>
                <w:szCs w:val="1"/>
                <w:color w:val="auto"/>
              </w:rPr>
            </w:pPr>
          </w:p>
        </w:tc>
      </w:tr>
      <w:tr>
        <w:trPr>
          <w:trHeight w:val="176"/>
        </w:trPr>
        <w:tc>
          <w:tcPr>
            <w:tcW w:w="27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(25,209)</w:t>
            </w:r>
          </w:p>
        </w:tc>
        <w:tc>
          <w:tcPr>
            <w:tcW w:w="0" w:type="dxa"/>
            <w:vAlign w:val="bottom"/>
          </w:tcPr>
          <w:p>
            <w:pPr>
              <w:spacing w:after="0"/>
              <w:rPr>
                <w:sz w:val="1"/>
                <w:szCs w:val="1"/>
                <w:color w:val="auto"/>
              </w:rPr>
            </w:pPr>
          </w:p>
        </w:tc>
      </w:tr>
      <w:tr>
        <w:trPr>
          <w:trHeight w:val="169"/>
        </w:trPr>
        <w:tc>
          <w:tcPr>
            <w:tcW w:w="2720" w:type="dxa"/>
            <w:vAlign w:val="bottom"/>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(13,468)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(13,468)</w:t>
            </w:r>
          </w:p>
        </w:tc>
        <w:tc>
          <w:tcPr>
            <w:tcW w:w="0" w:type="dxa"/>
            <w:vAlign w:val="bottom"/>
          </w:tcPr>
          <w:p>
            <w:pPr>
              <w:spacing w:after="0"/>
              <w:rPr>
                <w:sz w:val="1"/>
                <w:szCs w:val="1"/>
                <w:color w:val="auto"/>
              </w:rPr>
            </w:pPr>
          </w:p>
        </w:tc>
      </w:tr>
      <w:tr>
        <w:trPr>
          <w:trHeight w:val="175"/>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comprehensive loss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(13,468)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(38,677)</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Settlement of equity-based 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(28,395)</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Issuance of preferred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20,490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20,500</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(4,625)</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w:t>
            </w:r>
          </w:p>
        </w:tc>
        <w:tc>
          <w:tcPr>
            <w:tcW w:w="0" w:type="dxa"/>
            <w:vAlign w:val="bottom"/>
          </w:tcPr>
          <w:p>
            <w:pPr>
              <w:spacing w:after="0"/>
              <w:rPr>
                <w:sz w:val="1"/>
                <w:szCs w:val="1"/>
                <w:color w:val="auto"/>
              </w:rPr>
            </w:pPr>
          </w:p>
        </w:tc>
      </w:tr>
      <w:tr>
        <w:trPr>
          <w:trHeight w:val="195"/>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September 30, 2020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1,130,121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25,469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1,200,847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(110,927)</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(43,997)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9,860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5,445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(17,483)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2,165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(30,866)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(12,275)</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3,254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4,724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145,274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126,543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3,048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Deferred taxes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(2,311)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(7,374)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21,348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23,394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18,853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Bad debt expense, net</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817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1,997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(100,821)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(43,014)</w:t>
            </w: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(34,499)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1,253</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71,285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(32,415)</w:t>
            </w: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Management fees payable to affiliate</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(844)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(20,965)</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2,242</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w:t>
            </w:r>
          </w:p>
        </w:tc>
      </w:tr>
      <w:tr>
        <w:trPr>
          <w:trHeight w:val="18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(20,708)</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28,393</w:t>
            </w:r>
          </w:p>
        </w:tc>
      </w:tr>
      <w:tr>
        <w:trPr>
          <w:trHeight w:val="196"/>
        </w:trPr>
        <w:tc>
          <w:tcPr>
            <w:tcW w:w="7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(54,499)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(4,407)</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1,707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7,001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(627,399)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(299,564)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(252,859)</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(109,405)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(209,662)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lease intangibles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(7,403)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1,997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deposits for acquisitions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(13,790)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78,463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53,707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deposit on sale of aircraft and engine</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Return of deposit on sale of engine</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2,350</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(1,030,280)</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(407,193)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2,553,600</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883,981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(1,452,704)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(495,991)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(45,123)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(20,416)</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(1,034)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(3,815)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23,075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(19,615)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(12,429)</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291,822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101,201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20,223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w:t>
            </w: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common shares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(85,204)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(85,177)</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dividends - preferred shares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(17,967)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(13,243)</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1,349,020</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299,689</w:t>
            </w:r>
          </w:p>
        </w:tc>
      </w:tr>
      <w:tr>
        <w:trPr>
          <w:trHeight w:val="196"/>
        </w:trPr>
        <w:tc>
          <w:tcPr>
            <w:tcW w:w="7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298,032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(79,111)</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161,418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242,517</w:t>
            </w:r>
          </w:p>
        </w:tc>
      </w:tr>
      <w:tr>
        <w:trPr>
          <w:trHeight w:val="20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459,450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163,406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66,988</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59,056</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Settled and assumed security deposits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(1,909)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(6,215)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(30,302)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(34,253)</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(77,518)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(16,822)</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and multiple industrial development opportunities (“Repauno”), (iii) an equity method investment in a multi-modal terminal located along the Ohio River with multiple industrial development opportunities, including a power plant under construction (“Long Ridge”) and (iv) five freight railroads and one switching company (“Transtar”) that provide rail service to certain manufacturing and production facilities. Additionally, we own and lease offshore energy equipment and shipping containers. We have four reportable segments, (i) Aviation Leasing, (ii) Jefferson Terminal, (iii) Ports and Terminals and (iv) Transtar, which operate in two primary businesses, Equipment Leasing and Infrastructure (see Note 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are denominated in U.S. dollars.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GM-FTAI Holdco LLC</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September 2021, through GM-FTAI Holdco LLC (“Holdco”), we acquired a 50% interest in Aleon Renewable Metals LLC (“Aleon”) and a 1% interest in Gladieux Metals Recycling (“GMR”) for $52.5 million. Aleon plans to develop a lithium-ion battery recycling business across the United States. Each planned location will collect, discharge and disassemble lithium-ion batteries to extract various metals in high-purity form for resale into the lithium-ion battery production market. GMR specializes in recycling spent catalyst produced in the petroleum refining industry. Aleon and GMR are governed by separate boards of directors. Holdco is solely reliant on its interest holders to finance its activities and therefore is a VIE. We concluded that we are not the primary beneficiary of Holdco; therefore, we do not consolidate Holdco and account for this investment in accordance with the equity method.</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10)</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qualifying construction projects at Jefferson Terminal.</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We hold aircraft engine modules, spare parts and used material inventory for trading and to support operations within our Aviation Leasing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segment. Aviation inventory is carried at the lower of cost or net realizable value on our balance sheet. We had Aviation inventory of $82.3 million and $58.2 million as of September 30, 2021 and December 31, 2020, respectively, which is included in Other assets in the Consolidated Balance Sheets.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Commodities inventory is carried at the lower of cost or net realizable value on our balance sheet. Commodities are removed from inventory based on the average cost at the time of sale. We had commodities inventory of $4.7 million and $0.1 million as of September 30, 2021 and December 31, 2020, respectively, which is included in Other assets in the Consolidated Balance Sheets.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$60.9 million and $36.2 million as of September 30, 2021 and December 31, 2020, respectively, are recorded as a component of debt in the Consolidated Balance Sheets.</w:t>
      </w:r>
    </w:p>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$0.4 million and $1.6 million as of September 30, 2021 and December 31, 2020, respectively, which are included in Other assets in the Consolidated Balance Sheets.</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Amortization expense was $14.4 million and $2.1 million for the three months ended September 30, 2021 and 2020, respectively, and $18.9 million and $6.2 million for the nine months ended September 30, 2021 and 2020, respectively, and is included in Interest expense in the Consolidated Statements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April 2020, the FASB Staff issued a question-and-answer document (the “Q&amp;A”) regarding accounting for lease concessions related to the effects of the COVID-19 pandemic. The Q&amp;A permits an entity to elect to forgo the evaluation of the enforceable rights and obligations of a lease contract required under ASC 842, </w:t>
      </w:r>
      <w:r>
        <w:rPr>
          <w:rFonts w:ascii="Arial" w:cs="Arial" w:eastAsia="Arial" w:hAnsi="Arial"/>
          <w:sz w:val="16"/>
          <w:szCs w:val="16"/>
          <w:i w:val="1"/>
          <w:iCs w:val="1"/>
          <w:color w:val="auto"/>
        </w:rPr>
        <w:t>Leases</w:t>
      </w:r>
      <w:r>
        <w:rPr>
          <w:rFonts w:ascii="Arial" w:cs="Arial" w:eastAsia="Arial" w:hAnsi="Arial"/>
          <w:sz w:val="16"/>
          <w:szCs w:val="16"/>
          <w:color w:val="auto"/>
        </w:rPr>
        <w:t>, as long as the total rent payments after the lease concessions are substantially the same, or less than, the total rent payments in the existing lease. The impact of the COVID-19 related lease concessions granted above did not have a material impact on our results of operations during the nine months ended September 30, 2021.</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generally consist of the following performance obligations: industrial switching, interline services, demurrage and storage.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Switching revenues are derived from the performance of switching services, which involve the movement of cars from one point to another within the limits of an individual plant, industrial area, or a rail yard. Switching revenues are recognized as the services are performed, and the services are completed on the same day they are initiated.</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Interline revenues are derived from transportation services for railcars that originate or terminate at our railroads and involve one or more other carriers. For interline traffic, one railroad typically invoices a customer on behalf of all railroads participating in the route directed by the customer. The invoicing railroad then pays the other railroads its portion of the total amount invoiced on a monthly basis. We record revenue related to interline traffic for transportation service segments provided by carriers along railroads that are not owned or controlled by us on a net basis. Interline revenues are recognized as the transportation movements occur.</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ancillary services revenue primarily relates to demurrage and storage services. Demurrage represents charges assessed by railroads for the detention of cars by shippers or receivers of freight beyond a specified free time and is recognized on a per day basis. Storage services revenue is earned for the provision of storage of shippers’ railcars and is generally recognized on a per day, per car basis, as the storage services are provided.</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relevant lease agreement.</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 of marketing revenue related to Canadian crude oil. The revenues are recognized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time, i.e., as the services are rendered and the customer simultaneously receives and consumes the benefit over time.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Additionally, other revenue consists of revenue related to derivative trading activities. See Commodity Derivatives below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and, when deemed necessary, enter into collateral arrangements. During both the three and nine months ended September 30, 2021 and 2020, one customer in the Aviation Leasing segment accounted for approximately 10% of total revenue. During the three months ended September 30, 2021, one customer in the Transtar segment accounted for approximately 14% of total revenue.</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2021, there were two customers in the Aviation Leasing segment that represented 26% and 10% of total accounts receivable, net and one customer in the Jefferson Terminal segment that represented 21% of total accounts receivable, net. As of December 31, 2020, accounts receivable from two customers in the Aviation Leasing segment represented 40% and 15% of total accounts receivable, net.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497F"/>
        </w:rPr>
        <w:t>—</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$4.9 million and $4.6 million as of September 30, 2021 and December 31, 2020, respectively. There was bad debt expense of $1.6 million and $0.2 million for the three months ended September 30, 2021 and 2020, respectively, and $0.8 million and $2.0 million for the nine months ended September 30, 2021 and 2020, respectively, and is included in Operating expenses in the Consolidated Statements of Operations.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related to other comprehensive income (loss) related to our equity method investees.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designated and qualify as cash flow hedges. Our share of the derivative's gain or loss is reported as Other comprehensive income (loss) related to equity method investees in our Consolidated Statements of Comprehensive (Loss) Income and recorded in Accumulated other comprehensive (loss) income in our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Equity in earnings (losses) in unconsolidated entities in the Consolidated Statements of Operations. The cash flow impact of derivative contracts that are not designated as hedging instruments is recognized in Equity in earnings (losses) in unconsolidated entities in our Consolidated Statements of Cash Flows.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depending on market conditions, we enter into short-term forward purchase and sales contracts for butane. Gains and losses related to our butane derivatives are recorded on a net basis and are included in Other revenue in our Consolidated Statements of Operations, as these contracts are considered part of central operating activities. The cash flow impact of these derivatives is recognized in Change in fair value of non-hedge derivatives in our Consolidated Statements of Cash Flows.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See Note 12 for additional details related to our commodity derivatives.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Some of our derivatives are used for speculative purposes. We record all derivative assets and liabilities on a gross basis at fair value, which are included in Other assets and Other liabilities, respectively, in our Consolidated Balance Sheets.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lease incentives of $44.6 million and $55.1 million, purchase deposits of $12.2 million and $6.1</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prepaid expenses of $23.7 million and $10.1 million, notes receivable of $31.7 million and $0.7 million, maintenance right assets of $22.6 million and $6.4 million and aircraft engine modules, spare parts and used material inventory of $82.3 million and $58.2 million as of September 30, 2021 and December 31, 2020, respectively.</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nine months ended September 30, 2021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2020, the Board of Directors declared cash dividends of $0.33 and $0.99 per common share, respectively.</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in the quarter ended September 30, 2021, the Board of Directors declared cash dividends on the Series A Preferred Shares, Series B Preferred Shares and Series C Preferred Shares of $0.52, $0.50 and $0.52 per share, respectively.</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March 2020 and January 2021, the FASB issued ASU 2020-04,</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Reference Rate Reform (Topic 848): Facilitation</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 xml:space="preserve">of the Effects of Reference Rate Reform on Financial Reporting </w:t>
      </w:r>
      <w:r>
        <w:rPr>
          <w:rFonts w:ascii="Arial" w:cs="Arial" w:eastAsia="Arial" w:hAnsi="Arial"/>
          <w:sz w:val="16"/>
          <w:szCs w:val="16"/>
          <w:color w:val="000000"/>
        </w:rPr>
        <w:t>and ASU 2021-01,</w:t>
      </w:r>
      <w:r>
        <w:rPr>
          <w:rFonts w:ascii="Arial" w:cs="Arial" w:eastAsia="Arial" w:hAnsi="Arial"/>
          <w:sz w:val="16"/>
          <w:szCs w:val="16"/>
          <w:i w:val="1"/>
          <w:iCs w:val="1"/>
          <w:color w:val="000000"/>
        </w:rPr>
        <w:t xml:space="preserve"> Reference Rate Reform: Scope</w:t>
      </w:r>
      <w:r>
        <w:rPr>
          <w:rFonts w:ascii="Arial" w:cs="Arial" w:eastAsia="Arial" w:hAnsi="Arial"/>
          <w:sz w:val="16"/>
          <w:szCs w:val="16"/>
          <w:color w:val="000000"/>
        </w:rPr>
        <w:t>, respectively. Together, the ASUs</w:t>
      </w:r>
      <w:r>
        <w:rPr>
          <w:rFonts w:ascii="Arial" w:cs="Arial" w:eastAsia="Arial" w:hAnsi="Arial"/>
          <w:sz w:val="16"/>
          <w:szCs w:val="16"/>
          <w:i w:val="1"/>
          <w:iCs w:val="1"/>
          <w:color w:val="000000"/>
        </w:rPr>
        <w:t xml:space="preserve"> </w:t>
      </w:r>
      <w:r>
        <w:rPr>
          <w:rFonts w:ascii="Arial" w:cs="Arial" w:eastAsia="Arial" w:hAnsi="Arial"/>
          <w:sz w:val="16"/>
          <w:szCs w:val="16"/>
          <w:color w:val="000000"/>
        </w:rPr>
        <w:t>temporarily simplify the accounting for contract modifications, including hedging relationships, due to the transition from LIBOR and other interbank offered rates to alternative reference interest rates. For example, entities can elect not to remeasure the contracts at the modification date or reassess a previous accounting determination if certain conditions are met. Additionally, entities can elect to continue applying hedge accounting for hedging relationships affected by reference rate reform if certain conditions are met. The new standard was effective upon issuance and generally can be applied to applicable contract modifications through December 31, 2022. Adoption did not have a material impact on our consolidated financial statements.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This standard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The standard is effective for public companies for fiscal years, and interim periods within those fiscal years, beginning after December 15, 2020 and early adoption is permitted. We adopted this guidance in the first quarter of 2021, which did not have a material impact on our consolidated financial statements.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July 2021, the FASB issued ASU 2021-05,</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 (Topic 842): Lessors—Certain Leases with Variable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 Payments</w:t>
      </w:r>
      <w:r>
        <w:rPr>
          <w:rFonts w:ascii="Arial" w:cs="Arial" w:eastAsia="Arial" w:hAnsi="Arial"/>
          <w:sz w:val="16"/>
          <w:szCs w:val="16"/>
          <w:color w:val="000000"/>
        </w:rPr>
        <w:t>. This ASU requires lessors to classify and account for a lease with variable lease payments that do not depend on a reference index or a</w:t>
      </w:r>
      <w:r>
        <w:rPr>
          <w:rFonts w:ascii="Arial" w:cs="Arial" w:eastAsia="Arial" w:hAnsi="Arial"/>
          <w:sz w:val="16"/>
          <w:szCs w:val="16"/>
          <w:i w:val="1"/>
          <w:iCs w:val="1"/>
          <w:color w:val="000000"/>
        </w:rPr>
        <w:t xml:space="preserve"> </w:t>
      </w:r>
      <w:r>
        <w:rPr>
          <w:rFonts w:ascii="Arial" w:cs="Arial" w:eastAsia="Arial" w:hAnsi="Arial"/>
          <w:sz w:val="16"/>
          <w:szCs w:val="16"/>
          <w:color w:val="000000"/>
        </w:rPr>
        <w:t>rate as an operating lease if (i) the lease would have been classified as a sales-type lease or a direct financing lease under Topic 842 and (ii) the lessor would have otherwise recognized a day-one loss. This standard is effective for all reporting periods beginning after December 15, 2021. We are currently assessing the impact this guidance may have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December 2019, we completed the sale of substantially all of our railroad business (“CMQR”), which was previously reported as our Railroad segment. Under ASC 205-20, this disposition met the criteria to be reported as discontinued operations. Accordingly, the results of operations of CMQR have been reported as discontinued operations for all periods presented. During the nine months ended September 30, 2020, we recognized a gain on sale of $1.3 million which is reported in Net income from discontinued operations, net of income taxes in the Consolidated Statements of Operations. There were no non-cash items or capital expenditures during the nine months ended September 30,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ACQUISITION OF TRANSTAR, LLC</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28, 2021, we completed the acquisition for 100% of the equity interests of Transtar, LLC (“Transtar”) from United States Steel Corporation (“USS”) for total consideration of $636.0 million. Transtar is comprised of five freight railroads and one switching company, of which two railroads are connected to USS’s largest production facilities. We also entered into an exclusive rail partnership with USS, under which we will provide rail service to USS for an initial term of 15 years with minimum volume commitments for the first five years. Transtar operates as a separate reportable segment within our Infrastructure business. See Note 19 for additional information. The results of operations at Transtar have been included in the Consolidated Statements of Operations as of the effective date of the acquisition. In connection with the acquisition, we recorded $3.9 million and $7.0 million of acquisition and transaction expense during the three and nine months ended September 30, 2021, respectively.</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funded the transaction with bridge loans in an aggregate principal amount of $650 million. In September 2021, we issued new equity and debt and repaid in full the bridge loans. See Notes 10 and 20 for additional information.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fair values assigned to assets acquired and liabilities assumed are preliminary based on management’s estimates and assumptions. The final valuation and related allocation of the purchase price is subject to change as additional information is received and will be completed no later than 12 months after the closing date. The final acquisition accounting adjustments may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 materially different and may include (i) changes in fair values of Property, plant and equipment and associated salvage values; (ii) changes in allocations to Intangible assets, such as above or below market leases, customer relationships, as well as goodwill; and, (iii) other changes to assets and liabilities, such as working capital accounts and inventory.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allocation of the purchase price, as presented in our 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94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8,610</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18,625</w:t>
            </w:r>
          </w:p>
        </w:tc>
      </w:tr>
      <w:tr>
        <w:trPr>
          <w:trHeight w:val="189"/>
        </w:trPr>
        <w:tc>
          <w:tcPr>
            <w:tcW w:w="946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10,831</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506,479</w:t>
            </w:r>
          </w:p>
        </w:tc>
      </w:tr>
      <w:tr>
        <w:trPr>
          <w:trHeight w:val="189"/>
        </w:trPr>
        <w:tc>
          <w:tcPr>
            <w:tcW w:w="94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62,500</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6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15,594</w:t>
            </w:r>
          </w:p>
        </w:tc>
      </w:tr>
      <w:tr>
        <w:trPr>
          <w:trHeight w:val="183"/>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622,639</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946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47,010</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6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10,689</w:t>
            </w:r>
          </w:p>
        </w:tc>
      </w:tr>
      <w:tr>
        <w:trPr>
          <w:trHeight w:val="189"/>
        </w:trPr>
        <w:tc>
          <w:tcPr>
            <w:tcW w:w="94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Pension and other postretirement benefits </w:t>
            </w:r>
            <w:r>
              <w:rPr>
                <w:rFonts w:ascii="Arial" w:cs="Arial" w:eastAsia="Arial" w:hAnsi="Arial"/>
                <w:sz w:val="18"/>
                <w:szCs w:val="18"/>
                <w:color w:val="auto"/>
                <w:vertAlign w:val="superscript"/>
              </w:rPr>
              <w:t>(1)</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37,552</w:t>
            </w: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6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8,587</w:t>
            </w:r>
          </w:p>
        </w:tc>
      </w:tr>
      <w:tr>
        <w:trPr>
          <w:trHeight w:val="183"/>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103,838</w:t>
            </w:r>
          </w:p>
        </w:tc>
      </w:tr>
      <w:tr>
        <w:trPr>
          <w:trHeight w:val="189"/>
        </w:trPr>
        <w:tc>
          <w:tcPr>
            <w:tcW w:w="94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18"/>
                <w:szCs w:val="18"/>
                <w:color w:val="auto"/>
                <w:vertAlign w:val="superscript"/>
              </w:rPr>
              <w:t>(2)</w:t>
            </w:r>
          </w:p>
        </w:tc>
        <w:tc>
          <w:tcPr>
            <w:tcW w:w="6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117,206</w:t>
            </w:r>
          </w:p>
        </w:tc>
      </w:tr>
      <w:tr>
        <w:trPr>
          <w:trHeight w:val="183"/>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purchase consideration</w:t>
            </w: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636,007</w:t>
            </w:r>
          </w:p>
        </w:tc>
      </w:tr>
      <w:tr>
        <w:trPr>
          <w:trHeight w:val="20"/>
        </w:trPr>
        <w:tc>
          <w:tcPr>
            <w:tcW w:w="9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in Other liabilities in the Consolidated Balance Sheets.</w:t>
      </w:r>
    </w:p>
    <w:p>
      <w:pPr>
        <w:spacing w:after="0" w:line="43" w:lineRule="exact"/>
        <w:rPr>
          <w:rFonts w:ascii="Arial" w:cs="Arial" w:eastAsia="Arial" w:hAnsi="Arial"/>
          <w:sz w:val="18"/>
          <w:szCs w:val="18"/>
          <w:color w:val="auto"/>
          <w:vertAlign w:val="superscript"/>
        </w:rPr>
      </w:pPr>
    </w:p>
    <w:p>
      <w:pPr>
        <w:ind w:left="180" w:hanging="172"/>
        <w:spacing w:after="0" w:line="217" w:lineRule="auto"/>
        <w:tabs>
          <w:tab w:leader="none" w:pos="15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Goodwill is primarily attributable to the assembled workforce of Transtar and the synergies expected to be achieved. This goodwill is assigned to the new Transtar segment and is tax deductible for income tax purposes.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identifiable intangible assets and their estimated useful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Estimated useful life in</w:t>
            </w:r>
          </w:p>
        </w:tc>
        <w:tc>
          <w:tcPr>
            <w:tcW w:w="200" w:type="dxa"/>
            <w:vAlign w:val="bottom"/>
          </w:tcPr>
          <w:p>
            <w:pPr>
              <w:spacing w:after="0"/>
              <w:rPr>
                <w:sz w:val="14"/>
                <w:szCs w:val="14"/>
                <w:color w:val="auto"/>
              </w:rPr>
            </w:pP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786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Above/below market leases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w:t>
            </w:r>
          </w:p>
        </w:tc>
        <w:tc>
          <w:tcPr>
            <w:tcW w:w="1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61,000</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62,500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property, plant and equipment and their estimated useful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useful life in</w:t>
            </w:r>
          </w:p>
        </w:tc>
        <w:tc>
          <w:tcPr>
            <w:tcW w:w="200" w:type="dxa"/>
            <w:vAlign w:val="bottom"/>
          </w:tcPr>
          <w:p>
            <w:pPr>
              <w:spacing w:after="0"/>
              <w:rPr>
                <w:sz w:val="14"/>
                <w:szCs w:val="14"/>
                <w:color w:val="auto"/>
              </w:rPr>
            </w:pP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7860" w:type="dxa"/>
            <w:vAlign w:val="bottom"/>
          </w:tcPr>
          <w:p>
            <w:pPr>
              <w:spacing w:after="0"/>
              <w:rPr>
                <w:sz w:val="15"/>
                <w:szCs w:val="15"/>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1 - 40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126,055</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1960" w:type="dxa"/>
            <w:vAlign w:val="bottom"/>
          </w:tcPr>
          <w:p>
            <w:pPr>
              <w:jc w:val="center"/>
              <w:spacing w:after="0"/>
              <w:rPr>
                <w:sz w:val="20"/>
                <w:szCs w:val="20"/>
                <w:color w:val="auto"/>
              </w:rPr>
            </w:pPr>
            <w:r>
              <w:rPr>
                <w:rFonts w:ascii="Arial" w:cs="Arial" w:eastAsia="Arial" w:hAnsi="Arial"/>
                <w:sz w:val="14"/>
                <w:szCs w:val="14"/>
                <w:color w:val="auto"/>
              </w:rPr>
              <w:t>1 - 40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88,121</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91,890</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Bridges and tunnels</w:t>
            </w:r>
          </w:p>
        </w:tc>
        <w:tc>
          <w:tcPr>
            <w:tcW w:w="1960" w:type="dxa"/>
            <w:vAlign w:val="bottom"/>
          </w:tcPr>
          <w:p>
            <w:pPr>
              <w:jc w:val="center"/>
              <w:spacing w:after="0"/>
              <w:rPr>
                <w:sz w:val="20"/>
                <w:szCs w:val="20"/>
                <w:color w:val="auto"/>
              </w:rPr>
            </w:pPr>
            <w:r>
              <w:rPr>
                <w:rFonts w:ascii="Arial" w:cs="Arial" w:eastAsia="Arial" w:hAnsi="Arial"/>
                <w:sz w:val="14"/>
                <w:szCs w:val="14"/>
                <w:color w:val="auto"/>
              </w:rPr>
              <w:t>15 - 55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176,309</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3 - 25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12,533</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1960" w:type="dxa"/>
            <w:vAlign w:val="bottom"/>
          </w:tcPr>
          <w:p>
            <w:pPr>
              <w:jc w:val="center"/>
              <w:spacing w:after="0"/>
              <w:rPr>
                <w:sz w:val="20"/>
                <w:szCs w:val="20"/>
                <w:color w:val="auto"/>
              </w:rPr>
            </w:pPr>
            <w:r>
              <w:rPr>
                <w:rFonts w:ascii="Arial" w:cs="Arial" w:eastAsia="Arial" w:hAnsi="Arial"/>
                <w:sz w:val="14"/>
                <w:szCs w:val="14"/>
                <w:color w:val="auto"/>
              </w:rPr>
              <w:t>2 - 15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2,712</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machinery and equipment</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2 - 15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3,215</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Vehicles</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2 - 5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3,538</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Computer hardware and software</w:t>
            </w: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2 - 22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506,479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FTAI and Transtar on a pro forma basis, as though the companies had been combined as of January 1, 2020. These pro forma results were based on estimates and assumptions which we believe are reasonable. The pro forma adjustments are primarily comprised of the following:</w:t>
      </w:r>
    </w:p>
    <w:p>
      <w:pPr>
        <w:spacing w:after="0" w:line="39" w:lineRule="exact"/>
        <w:rPr>
          <w:sz w:val="20"/>
          <w:szCs w:val="20"/>
          <w:color w:val="auto"/>
        </w:rPr>
      </w:pPr>
    </w:p>
    <w:p>
      <w:pPr>
        <w:ind w:left="660" w:right="34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allocation of the purchase price and related adjustments, including adjustments to depreciation and amortization expense related to the fair value of property, plant and equipment and intangible assets acquired;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Impacts of debt financing, including interest for debt issued and amortization of deferred financing costs;</w:t>
      </w:r>
    </w:p>
    <w:p>
      <w:pPr>
        <w:spacing w:after="0" w:line="59" w:lineRule="exact"/>
        <w:rPr>
          <w:rFonts w:ascii="Arial" w:cs="Arial" w:eastAsia="Arial" w:hAnsi="Arial"/>
          <w:sz w:val="16"/>
          <w:szCs w:val="16"/>
          <w:color w:val="auto"/>
        </w:rPr>
      </w:pPr>
    </w:p>
    <w:p>
      <w:pPr>
        <w:ind w:left="660" w:right="20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exclusion of acquisition-related costs incurred during the three and nine months ended September 30, 2021 and allocation of substantially all acquisition-related costs to the nine months ended September 30, 2020;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Associated tax-related impacts of adjustments.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pro forma financial information is presented for informational purposes only and is not indicative of the results of operations that would have been achieved if the acquisition had taken place as of January 1,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33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0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6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146,233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389,569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374,184</w:t>
            </w: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(24,778)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(23,549)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(87,666)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(62,521)</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LEASING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2,137,509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2,042,404</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(440,915)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(407,145)</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1,696,594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1,635,259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During the nine months ended September 30, 2021, we evaluated our leasing equipment portfolio and identified certain assets with indicators of impairment, including, but not limited to, the redelivery of unserviceable leasing equipment and a decline in market values due to the ongoing COVID-19 pandemic for leasing equipment we have decided to sell. For these assets, we performed a recoverability assessment at the individual asset level and determined that the carrying amounts exceeded the estimated future undiscounted net cash flows and these assets were impaired. To determine fair value, we used both a market approach, using quoted market prices for the same or similar assets, and an income approach, using discounted cash flows and an estimated discount rate. As a result, we adjusted the carrying value of these assets to fair value and recognized transactional impairment charges of $3.0 million, net of redelivery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acquisitions and dispositions of aviation leasing equipment during the nine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5320" w:type="dxa"/>
            <w:vAlign w:val="bottom"/>
            <w:shd w:val="clear" w:color="auto" w:fill="CCEEFF"/>
          </w:tcPr>
          <w:p>
            <w:pPr>
              <w:spacing w:after="0"/>
              <w:rPr>
                <w:sz w:val="16"/>
                <w:szCs w:val="16"/>
                <w:color w:val="auto"/>
              </w:rPr>
            </w:pP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89"/>
        </w:trPr>
        <w:tc>
          <w:tcPr>
            <w:tcW w:w="5920" w:type="dxa"/>
            <w:vAlign w:val="bottom"/>
          </w:tcPr>
          <w:p>
            <w:pPr>
              <w:ind w:left="20"/>
              <w:spacing w:after="0"/>
              <w:rPr>
                <w:sz w:val="20"/>
                <w:szCs w:val="20"/>
                <w:color w:val="auto"/>
              </w:rPr>
            </w:pPr>
            <w:r>
              <w:rPr>
                <w:rFonts w:ascii="Arial" w:cs="Arial" w:eastAsia="Arial" w:hAnsi="Arial"/>
                <w:sz w:val="14"/>
                <w:szCs w:val="14"/>
                <w:color w:val="auto"/>
              </w:rPr>
              <w:t>Dispositions:</w:t>
            </w:r>
          </w:p>
        </w:tc>
        <w:tc>
          <w:tcPr>
            <w:tcW w:w="5320" w:type="dxa"/>
            <w:vAlign w:val="bottom"/>
          </w:tcPr>
          <w:p>
            <w:pPr>
              <w:spacing w:after="0"/>
              <w:rPr>
                <w:sz w:val="16"/>
                <w:szCs w:val="16"/>
                <w:color w:val="auto"/>
              </w:rPr>
            </w:pP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tcPr>
          <w:p>
            <w:pPr>
              <w:jc w:val="right"/>
              <w:spacing w:after="0"/>
              <w:rPr>
                <w:sz w:val="20"/>
                <w:szCs w:val="20"/>
                <w:color w:val="auto"/>
              </w:rPr>
            </w:pPr>
            <w:r>
              <w:rPr>
                <w:rFonts w:ascii="Arial" w:cs="Arial" w:eastAsia="Arial" w:hAnsi="Arial"/>
                <w:sz w:val="14"/>
                <w:szCs w:val="14"/>
                <w:color w:val="auto"/>
              </w:rPr>
              <w:t>31</w:t>
            </w: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36,406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104,121</w:t>
            </w: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FINANCE LEASES,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1760" w:type="dxa"/>
            <w:vAlign w:val="bottom"/>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16,148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center"/>
              <w:ind w:left="1208"/>
              <w:spacing w:after="0"/>
              <w:rPr>
                <w:sz w:val="20"/>
                <w:szCs w:val="20"/>
                <w:color w:val="auto"/>
              </w:rPr>
            </w:pPr>
            <w:r>
              <w:rPr>
                <w:rFonts w:ascii="Arial" w:cs="Arial" w:eastAsia="Arial" w:hAnsi="Arial"/>
                <w:sz w:val="14"/>
                <w:szCs w:val="14"/>
                <w:color w:val="auto"/>
              </w:rPr>
              <w:t>9,389</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left="1188"/>
              <w:spacing w:after="0"/>
              <w:rPr>
                <w:sz w:val="20"/>
                <w:szCs w:val="20"/>
                <w:color w:val="auto"/>
              </w:rPr>
            </w:pPr>
            <w:r>
              <w:rPr>
                <w:rFonts w:ascii="Arial" w:cs="Arial" w:eastAsia="Arial" w:hAnsi="Arial"/>
                <w:sz w:val="14"/>
                <w:szCs w:val="14"/>
                <w:color w:val="auto"/>
              </w:rPr>
              <w:t>(2,462)</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13,795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center"/>
              <w:ind w:left="1208"/>
              <w:spacing w:after="0"/>
              <w:rPr>
                <w:sz w:val="20"/>
                <w:szCs w:val="20"/>
                <w:color w:val="auto"/>
              </w:rPr>
            </w:pPr>
            <w:r>
              <w:rPr>
                <w:rFonts w:ascii="Arial" w:cs="Arial" w:eastAsia="Arial" w:hAnsi="Arial"/>
                <w:sz w:val="14"/>
                <w:szCs w:val="14"/>
                <w:color w:val="auto"/>
              </w:rPr>
              <w:t>6,927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2021, we entered into 52-month sales-type lease arrangements for five airframes.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PROPERTY, PLANT AND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151,185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52,047</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126,537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425,261</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Bridges and tunnels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176,310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18,826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4,491</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machinery and equipment</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937,319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557,788</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96,497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2,349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5,560</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Railcars and locomotives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126,429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3,113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2,449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10,033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5,870</w:t>
            </w:r>
          </w:p>
        </w:tc>
      </w:tr>
      <w:tr>
        <w:trPr>
          <w:trHeight w:val="183"/>
        </w:trPr>
        <w:tc>
          <w:tcPr>
            <w:tcW w:w="7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1,659,378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1,060,916</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(131,608)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(96,553)</w:t>
            </w:r>
          </w:p>
        </w:tc>
      </w:tr>
      <w:tr>
        <w:trPr>
          <w:trHeight w:val="183"/>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1,527,770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964,363</w:t>
            </w: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nine months ended September 30, 2021, we added property, plant and equipment and placed additional assets into service of $598.5 million, which primarily consist of assets acquired in our acquisition of Transtar and terminal machinery and equipment placed in service or under development at Jefferson Terminal and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15,291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34,826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19,757</w:t>
            </w: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3080" w:type="dxa"/>
            <w:vAlign w:val="bottom"/>
            <w:tcBorders>
              <w:bottom w:val="single" w:sz="8" w:color="CCEEFF"/>
            </w:tcBorders>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22,721</w:t>
            </w: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Intermodal Finance I, Ltd.</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122,539</w:t>
            </w: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FYX Trust Holdco LLC</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1,255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1,255</w:t>
            </w: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GM-FTAI Holdco LLC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52,500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Investments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110,963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146,515</w:t>
            </w:r>
          </w:p>
        </w:tc>
      </w:tr>
      <w:tr>
        <w:trPr>
          <w:trHeight w:val="21"/>
        </w:trPr>
        <w:tc>
          <w:tcPr>
            <w:tcW w:w="3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and nine months ended September 30, 2021 or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Intermodal Finance I, Ltd.</w:t>
            </w:r>
          </w:p>
        </w:tc>
        <w:tc>
          <w:tcPr>
            <w:tcW w:w="102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(9,262)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(3,962)</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(4,082)</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(9,860)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(5,445)</w:t>
            </w:r>
          </w:p>
        </w:tc>
      </w:tr>
      <w:tr>
        <w:trPr>
          <w:trHeight w:val="21"/>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Terminal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Ohio River Shareholder LLC (“ORP”) contributed its equity interests in Long Ridge into Long Ridge Terminal LLC and sold a 49.9% interest (the “Long Ridge Transaction”) for $150 million in cash, plus an earn out.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We focus on developing new cost savings programs for engine repairs. We exercise significant influence over this investment and account for this investment as an equity method investment.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GM-FTAI Holdco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September 2021, through GM-FTAI Holdco LLC, we invested $52.5 million for a 50% interest in Aleon and a 1% interest in GMR. Aleon plans to develop a lithium-ion battery recycling business across the United States. Each planned location will collect, discharge and disassemble lithium-ion batteries to extract various metals in high-purity form for resale into the lithium-ion battery production market. GMR specializes in recycling spent catalyst produced in the petroleum refining industry.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FYX Trust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2020, we invested $1.3 million for a 14% interest in an operating company that provides roadside assistance services for the intermodal and over-the-road trucking industries. FYX Trust Holdco LLC (“FYX”) has developed a mobile and web-based application that connects fleet managers, owner-operators, and drivers with repair vendors to efficiently and reliably quote, dispatch, monitor, and bill roadside repair services.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INTANGIBLE ASSETS AND LIABILITIES,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September 30, 2021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2"/>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30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Transtar</w:t>
            </w:r>
          </w:p>
        </w:tc>
        <w:tc>
          <w:tcPr>
            <w:tcW w:w="36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42,751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1,500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44,251</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(34,092)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(34,155)</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8,659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1,437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10,096</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96,513</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(25,150)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(25,872)</w:t>
            </w: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70,641</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8,659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10,363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61,715</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80,737</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7,248</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(5,886)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(5,888)</w:t>
            </w:r>
          </w:p>
        </w:tc>
      </w:tr>
      <w:tr>
        <w:trPr>
          <w:trHeight w:val="20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1,360</w:t>
            </w: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93"/>
        </w:trPr>
        <w:tc>
          <w:tcPr>
            <w:tcW w:w="4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3"/>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30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Transtar</w:t>
            </w:r>
          </w:p>
        </w:tc>
        <w:tc>
          <w:tcPr>
            <w:tcW w:w="36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35,349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35,349</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(29,591)</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5,758</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(22,485)</w:t>
            </w: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13,028</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5,758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13,028</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18,786</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r>
      <w:tr>
        <w:trPr>
          <w:trHeight w:val="20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Classification in Consolidated</w:t>
            </w:r>
          </w:p>
        </w:tc>
        <w:tc>
          <w:tcPr>
            <w:tcW w:w="240" w:type="dxa"/>
            <w:vAlign w:val="bottom"/>
          </w:tcPr>
          <w:p>
            <w:pPr>
              <w:spacing w:after="0"/>
              <w:rPr>
                <w:sz w:val="16"/>
                <w:szCs w:val="16"/>
                <w:color w:val="auto"/>
              </w:rPr>
            </w:pPr>
          </w:p>
        </w:tc>
        <w:tc>
          <w:tcPr>
            <w:tcW w:w="31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9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2860" w:type="dxa"/>
            <w:vAlign w:val="bottom"/>
            <w:gridSpan w:val="2"/>
            <w:vMerge w:val="continue"/>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6"/>
        </w:trPr>
        <w:tc>
          <w:tcPr>
            <w:tcW w:w="178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3,016</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Lease intangibles</w:t>
            </w: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3,387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1,841</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6,664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5,681</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estimated net annual amortization of intangibles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2,818</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2022</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10,333</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9,577</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8,374</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5,209</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43,066</w:t>
            </w:r>
          </w:p>
        </w:tc>
      </w:tr>
      <w:tr>
        <w:trPr>
          <w:trHeight w:val="20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79,377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DEBT,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rPr>
              <w:t>September 30, 2021</w:t>
            </w: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2"/>
                <w:szCs w:val="12"/>
                <w:color w:val="auto"/>
              </w:rPr>
            </w:pPr>
          </w:p>
        </w:tc>
        <w:tc>
          <w:tcPr>
            <w:tcW w:w="3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Stated Interest Rate</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Borrowings</w:t>
            </w:r>
          </w:p>
        </w:tc>
        <w:tc>
          <w:tcPr>
            <w:tcW w:w="8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2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4"/>
                <w:szCs w:val="14"/>
                <w:color w:val="auto"/>
              </w:rPr>
              <w:t>Revolving Credit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50,000</w:t>
            </w:r>
          </w:p>
        </w:tc>
        <w:tc>
          <w:tcPr>
            <w:tcW w:w="80" w:type="dxa"/>
            <w:vAlign w:val="bottom"/>
          </w:tcPr>
          <w:p>
            <w:pPr>
              <w:spacing w:after="0"/>
              <w:rPr>
                <w:sz w:val="17"/>
                <w:szCs w:val="17"/>
                <w:color w:val="auto"/>
              </w:rPr>
            </w:pPr>
          </w:p>
        </w:tc>
        <w:tc>
          <w:tcPr>
            <w:tcW w:w="3960" w:type="dxa"/>
            <w:vAlign w:val="bottom"/>
            <w:gridSpan w:val="2"/>
          </w:tcPr>
          <w:p>
            <w:pPr>
              <w:jc w:val="center"/>
              <w:ind w:right="100"/>
              <w:spacing w:after="0"/>
              <w:rPr>
                <w:sz w:val="20"/>
                <w:szCs w:val="20"/>
                <w:color w:val="auto"/>
              </w:rPr>
            </w:pPr>
            <w:r>
              <w:rPr>
                <w:rFonts w:ascii="Arial" w:cs="Arial" w:eastAsia="Arial" w:hAnsi="Arial"/>
                <w:sz w:val="14"/>
                <w:szCs w:val="14"/>
                <w:color w:val="auto"/>
              </w:rPr>
              <w:t>(i) Base Rate + 2.00%; or</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1/31/22</w:t>
            </w:r>
          </w:p>
        </w:tc>
        <w:tc>
          <w:tcPr>
            <w:tcW w:w="100" w:type="dxa"/>
            <w:vAlign w:val="bottom"/>
          </w:tcPr>
          <w:p>
            <w:pPr>
              <w:spacing w:after="0"/>
              <w:rPr>
                <w:sz w:val="17"/>
                <w:szCs w:val="17"/>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6"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8"/>
                <w:szCs w:val="18"/>
                <w:color w:val="auto"/>
                <w:vertAlign w:val="superscript"/>
              </w:rPr>
              <w:t>(1)</w:t>
            </w:r>
          </w:p>
        </w:tc>
        <w:tc>
          <w:tcPr>
            <w:tcW w:w="2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2"/>
          </w:tcPr>
          <w:p>
            <w:pPr>
              <w:jc w:val="center"/>
              <w:ind w:right="80"/>
              <w:spacing w:after="0"/>
              <w:rPr>
                <w:sz w:val="20"/>
                <w:szCs w:val="20"/>
                <w:color w:val="auto"/>
              </w:rPr>
            </w:pPr>
            <w:r>
              <w:rPr>
                <w:rFonts w:ascii="Arial" w:cs="Arial" w:eastAsia="Arial" w:hAnsi="Arial"/>
                <w:sz w:val="14"/>
                <w:szCs w:val="14"/>
                <w:color w:val="auto"/>
              </w:rPr>
              <w:t>(ii) Adjusted Eurodollar Rate + 3.00%</w:t>
            </w:r>
          </w:p>
        </w:tc>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25,000</w:t>
            </w:r>
          </w:p>
        </w:tc>
        <w:tc>
          <w:tcPr>
            <w:tcW w:w="8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Base Rate + 1.50%; or</w:t>
            </w:r>
          </w:p>
        </w:tc>
        <w:tc>
          <w:tcPr>
            <w:tcW w:w="1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11/5/21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22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Base Rate + 2.50% (Eurodollar)</w:t>
            </w:r>
          </w:p>
        </w:tc>
        <w:tc>
          <w:tcPr>
            <w:tcW w:w="1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EB-5 Loan Agreement</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26,100</w:t>
            </w:r>
          </w:p>
        </w:tc>
        <w:tc>
          <w:tcPr>
            <w:tcW w:w="39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5.75%</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1/25/26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loans payable</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101,100</w:t>
            </w:r>
          </w:p>
        </w:tc>
        <w:tc>
          <w:tcPr>
            <w:tcW w:w="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jc w:val="center"/>
              <w:ind w:right="80"/>
              <w:spacing w:after="0" w:line="153" w:lineRule="exact"/>
              <w:rPr>
                <w:sz w:val="20"/>
                <w:szCs w:val="20"/>
                <w:color w:val="auto"/>
              </w:rPr>
            </w:pPr>
            <w:r>
              <w:rPr>
                <w:rFonts w:ascii="Arial" w:cs="Arial" w:eastAsia="Arial" w:hAnsi="Arial"/>
                <w:sz w:val="14"/>
                <w:szCs w:val="14"/>
                <w:color w:val="auto"/>
              </w:rPr>
              <w:t>(i) Tax Exempt Series 2020A Bonds: 3.625%</w:t>
            </w:r>
          </w:p>
        </w:tc>
        <w:tc>
          <w:tcPr>
            <w:tcW w:w="174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1/1/35</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263,980</w:t>
            </w:r>
          </w:p>
        </w:tc>
        <w:tc>
          <w:tcPr>
            <w:tcW w:w="8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rPr>
              <w:t>(ii) Tax Exempt Series 2020A Bonds: 4.00%</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rPr>
              <w:t>(ii) 1/1/50</w:t>
            </w:r>
          </w:p>
        </w:tc>
        <w:tc>
          <w:tcPr>
            <w:tcW w:w="1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71"/>
        </w:trPr>
        <w:tc>
          <w:tcPr>
            <w:tcW w:w="22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(iii) Taxable Series 2020B Bonds: 6.00%</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(iii) 1/1/25</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Series 2021 Bonds</w:t>
            </w:r>
          </w:p>
        </w:tc>
        <w:tc>
          <w:tcPr>
            <w:tcW w:w="20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425,000</w:t>
            </w:r>
          </w:p>
        </w:tc>
        <w:tc>
          <w:tcPr>
            <w:tcW w:w="80" w:type="dxa"/>
            <w:vAlign w:val="bottom"/>
          </w:tcPr>
          <w:p>
            <w:pPr>
              <w:spacing w:after="0"/>
              <w:rPr>
                <w:sz w:val="13"/>
                <w:szCs w:val="13"/>
                <w:color w:val="auto"/>
              </w:rPr>
            </w:pPr>
          </w:p>
        </w:tc>
        <w:tc>
          <w:tcPr>
            <w:tcW w:w="396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(i) Series 2021A Bonds: 1.875% to 3.000%</w:t>
            </w:r>
          </w:p>
        </w:tc>
        <w:tc>
          <w:tcPr>
            <w:tcW w:w="174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1/1/26 to 1/1/50</w:t>
            </w:r>
          </w:p>
        </w:tc>
        <w:tc>
          <w:tcPr>
            <w:tcW w:w="1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gridSpan w:val="2"/>
          </w:tcPr>
          <w:p>
            <w:pPr>
              <w:jc w:val="center"/>
              <w:ind w:right="80"/>
              <w:spacing w:after="0"/>
              <w:rPr>
                <w:sz w:val="20"/>
                <w:szCs w:val="20"/>
                <w:color w:val="auto"/>
              </w:rPr>
            </w:pPr>
            <w:r>
              <w:rPr>
                <w:rFonts w:ascii="Arial" w:cs="Arial" w:eastAsia="Arial" w:hAnsi="Arial"/>
                <w:sz w:val="14"/>
                <w:szCs w:val="14"/>
                <w:color w:val="auto"/>
              </w:rPr>
              <w:t>(ii) Series 2021B Bonds: 4.100%</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color w:val="auto"/>
              </w:rPr>
              <w:t>(ii) 1/1/28</w:t>
            </w: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2022 </w:t>
            </w:r>
            <w:r>
              <w:rPr>
                <w:rFonts w:ascii="Arial" w:cs="Arial" w:eastAsia="Arial" w:hAnsi="Arial"/>
                <w:sz w:val="18"/>
                <w:szCs w:val="18"/>
                <w:color w:val="auto"/>
                <w:vertAlign w:val="superscript"/>
              </w:rPr>
              <w:t>(3)</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N/A</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399,331</w:t>
            </w:r>
          </w:p>
        </w:tc>
        <w:tc>
          <w:tcPr>
            <w:tcW w:w="0" w:type="dxa"/>
            <w:vAlign w:val="bottom"/>
          </w:tcPr>
          <w:p>
            <w:pPr>
              <w:spacing w:after="0"/>
              <w:rPr>
                <w:sz w:val="1"/>
                <w:szCs w:val="1"/>
                <w:color w:val="auto"/>
              </w:rPr>
            </w:pPr>
          </w:p>
        </w:tc>
      </w:tr>
      <w:tr>
        <w:trPr>
          <w:trHeight w:val="185"/>
        </w:trPr>
        <w:tc>
          <w:tcPr>
            <w:tcW w:w="2220" w:type="dxa"/>
            <w:vAlign w:val="bottom"/>
          </w:tcPr>
          <w:p>
            <w:pPr>
              <w:ind w:left="20"/>
              <w:spacing w:after="0"/>
              <w:rPr>
                <w:sz w:val="20"/>
                <w:szCs w:val="20"/>
                <w:color w:val="auto"/>
              </w:rPr>
            </w:pPr>
            <w:r>
              <w:rPr>
                <w:rFonts w:ascii="Arial" w:cs="Arial" w:eastAsia="Arial" w:hAnsi="Arial"/>
                <w:sz w:val="14"/>
                <w:szCs w:val="14"/>
                <w:color w:val="auto"/>
              </w:rPr>
              <w:t>Senior Notes due</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line="193" w:lineRule="exact"/>
              <w:rPr>
                <w:sz w:val="20"/>
                <w:szCs w:val="20"/>
                <w:color w:val="auto"/>
              </w:rPr>
            </w:pPr>
            <w:r>
              <w:rPr>
                <w:rFonts w:ascii="Arial" w:cs="Arial" w:eastAsia="Arial" w:hAnsi="Arial"/>
                <w:sz w:val="14"/>
                <w:szCs w:val="14"/>
                <w:color w:val="auto"/>
              </w:rPr>
              <w:t xml:space="preserve">2025 </w:t>
            </w:r>
            <w:r>
              <w:rPr>
                <w:rFonts w:ascii="Arial" w:cs="Arial" w:eastAsia="Arial" w:hAnsi="Arial"/>
                <w:sz w:val="18"/>
                <w:szCs w:val="18"/>
                <w:color w:val="auto"/>
                <w:vertAlign w:val="superscript"/>
              </w:rPr>
              <w:t>(4)</w:t>
            </w:r>
          </w:p>
        </w:tc>
        <w:tc>
          <w:tcPr>
            <w:tcW w:w="2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852,320</w:t>
            </w:r>
          </w:p>
        </w:tc>
        <w:tc>
          <w:tcPr>
            <w:tcW w:w="3940" w:type="dxa"/>
            <w:vAlign w:val="bottom"/>
            <w:gridSpan w:val="2"/>
          </w:tcPr>
          <w:p>
            <w:pPr>
              <w:jc w:val="center"/>
              <w:ind w:left="2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10/1/25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852,673</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400,000</w:t>
            </w:r>
          </w:p>
        </w:tc>
        <w:tc>
          <w:tcPr>
            <w:tcW w:w="39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16"/>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Senior Notes due 2028 </w:t>
            </w:r>
            <w:r>
              <w:rPr>
                <w:rFonts w:ascii="Arial" w:cs="Arial" w:eastAsia="Arial" w:hAnsi="Arial"/>
                <w:sz w:val="18"/>
                <w:szCs w:val="18"/>
                <w:color w:val="auto"/>
                <w:vertAlign w:val="superscript"/>
              </w:rPr>
              <w:t>(5)</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1,002,494</w:t>
            </w:r>
          </w:p>
        </w:tc>
        <w:tc>
          <w:tcPr>
            <w:tcW w:w="39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5/1/28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2,943,794</w:t>
            </w:r>
          </w:p>
        </w:tc>
        <w:tc>
          <w:tcPr>
            <w:tcW w:w="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1,915,984</w:t>
            </w: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3,044,894</w:t>
            </w:r>
          </w:p>
        </w:tc>
        <w:tc>
          <w:tcPr>
            <w:tcW w:w="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1,940,984</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(60,905)</w:t>
            </w:r>
          </w:p>
        </w:tc>
        <w:tc>
          <w:tcPr>
            <w:tcW w:w="8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(36,222)</w:t>
            </w:r>
          </w:p>
        </w:tc>
        <w:tc>
          <w:tcPr>
            <w:tcW w:w="0" w:type="dxa"/>
            <w:vAlign w:val="bottom"/>
          </w:tcPr>
          <w:p>
            <w:pPr>
              <w:spacing w:after="0"/>
              <w:rPr>
                <w:sz w:val="1"/>
                <w:szCs w:val="1"/>
                <w:color w:val="auto"/>
              </w:rPr>
            </w:pPr>
          </w:p>
        </w:tc>
      </w:tr>
      <w:tr>
        <w:trPr>
          <w:trHeight w:val="20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2,983,989</w:t>
            </w:r>
          </w:p>
        </w:tc>
        <w:tc>
          <w:tcPr>
            <w:tcW w:w="80" w:type="dxa"/>
            <w:vAlign w:val="bottom"/>
            <w:tcBorders>
              <w:bottom w:val="single" w:sz="8" w:color="CCEEFF"/>
            </w:tcBorders>
            <w:shd w:val="clear" w:color="auto" w:fill="CCEEFF"/>
          </w:tcPr>
          <w:p>
            <w:pPr>
              <w:spacing w:after="0"/>
              <w:rPr>
                <w:sz w:val="17"/>
                <w:szCs w:val="17"/>
                <w:color w:val="auto"/>
              </w:rPr>
            </w:pPr>
          </w:p>
        </w:tc>
        <w:tc>
          <w:tcPr>
            <w:tcW w:w="3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75,000</w:t>
            </w:r>
          </w:p>
        </w:tc>
        <w:tc>
          <w:tcPr>
            <w:tcW w:w="80" w:type="dxa"/>
            <w:vAlign w:val="bottom"/>
            <w:tcBorders>
              <w:bottom w:val="single" w:sz="8" w:color="CCEEFF"/>
            </w:tcBorders>
            <w:shd w:val="clear" w:color="auto" w:fill="CCEEFF"/>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0.875%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discount of $2,230 and an unamortized premium of $1,561 at December 31, 2020.</w:t>
      </w:r>
    </w:p>
    <w:p>
      <w:pPr>
        <w:spacing w:after="0" w:line="44" w:lineRule="exact"/>
        <w:rPr>
          <w:rFonts w:ascii="Arial" w:cs="Arial" w:eastAsia="Arial" w:hAnsi="Arial"/>
          <w:sz w:val="18"/>
          <w:szCs w:val="18"/>
          <w:color w:val="auto"/>
          <w:vertAlign w:val="superscript"/>
        </w:rPr>
      </w:pPr>
    </w:p>
    <w:p>
      <w:pPr>
        <w:ind w:left="180" w:hanging="172"/>
        <w:spacing w:after="0" w:line="211" w:lineRule="auto"/>
        <w:tabs>
          <w:tab w:leader="none" w:pos="176"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an unamortized discount of $3,713 and $4,303 at September 30, 2021 and December 31, 2020, respectively, and an unamortized premium of $6,033 and $6,976 at September 30, 2021 and December 31, 2020, respectively.</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premium of $2,494 at September 30, 2021.</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EB-5 Loan Agreement</w:t>
      </w:r>
      <w:r>
        <w:rPr>
          <w:rFonts w:ascii="Arial" w:cs="Arial" w:eastAsia="Arial" w:hAnsi="Arial"/>
          <w:sz w:val="16"/>
          <w:szCs w:val="16"/>
          <w:b w:val="1"/>
          <w:bCs w:val="1"/>
          <w:color w:val="00497F"/>
        </w:rPr>
        <w:t>—</w:t>
      </w:r>
      <w:r>
        <w:rPr>
          <w:rFonts w:ascii="Arial" w:cs="Arial" w:eastAsia="Arial" w:hAnsi="Arial"/>
          <w:sz w:val="16"/>
          <w:szCs w:val="16"/>
          <w:color w:val="000000"/>
        </w:rPr>
        <w:t>On January 25, 2021, Jefferson entered into a non-recourse loan agreement under the U.S. Citizenship and Immigration Services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EB-5 Program (“EB-5 Loan Agreement”) to pay for the development, construction and acquisition of certain facilities at Jefferson Terminal. The maximum aggregate principal amount available under the EB-5 Loan Agreement is $61.2 million, of which $26.1 million is available under the first tranche and $35.1 million is available under the second tranche. The loans mature in 5 years from the funding of each individual tranche with an option to extend the maturity for both tranches by two one-year periods. If the option to extend the maturity is exercised, the interest rate will increase to 6.25% from 5.75% for the extension period.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Senior Notes due 2028</w:t>
      </w:r>
      <w:r>
        <w:rPr>
          <w:rFonts w:ascii="Arial" w:cs="Arial" w:eastAsia="Arial" w:hAnsi="Arial"/>
          <w:sz w:val="16"/>
          <w:szCs w:val="16"/>
          <w:b w:val="1"/>
          <w:bCs w:val="1"/>
          <w:color w:val="00497F"/>
        </w:rPr>
        <w:t>—</w:t>
      </w:r>
      <w:r>
        <w:rPr>
          <w:rFonts w:ascii="Arial" w:cs="Arial" w:eastAsia="Arial" w:hAnsi="Arial"/>
          <w:sz w:val="16"/>
          <w:szCs w:val="16"/>
          <w:color w:val="000000"/>
        </w:rPr>
        <w:t>On April 12, 2021, we issued $500 million aggregate principal amount of senior unsecured notes due 2028 (the “Senior Notes due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2028”). The Senior Notes due 2028 bear interest at a rate of 5.50% per annum, payable semi-annually in arrears on May 1 and November 1 of each year, commencing on November 1, 2021. We used a portion of the proceeds to redeem in full the Senior Notes due 2022 (see below), and used the remaining net proceeds for general corporate purposes, including the funding of acquisitions and investments, including aviation investments.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September 24, 2021, we issued an additional $500 million aggregate principal amount of the Senior Notes due 2028 at an offering price of 100.50%, plus accrued interest from and including April 12, 2021. We used a portion of the net proceeds in the amount of $358.3 million to repay in full the Bridge Loans (as defined below).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Senior Notes due 2022</w:t>
      </w:r>
      <w:r>
        <w:rPr>
          <w:rFonts w:ascii="Arial" w:cs="Arial" w:eastAsia="Arial" w:hAnsi="Arial"/>
          <w:sz w:val="16"/>
          <w:szCs w:val="16"/>
          <w:b w:val="1"/>
          <w:bCs w:val="1"/>
          <w:color w:val="00497F"/>
        </w:rPr>
        <w:t>—</w:t>
      </w:r>
      <w:r>
        <w:rPr>
          <w:rFonts w:ascii="Arial" w:cs="Arial" w:eastAsia="Arial" w:hAnsi="Arial"/>
          <w:sz w:val="16"/>
          <w:szCs w:val="16"/>
          <w:color w:val="000000"/>
        </w:rPr>
        <w:t>On May 7, 2021, we redeemed in full the Senior Notes due 2022, which totaled $400 million aggregate principal plus accrued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unpaid interest, and recognized a loss on extinguishment of debt of $3.3 million.</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Bridge Loan Agreement</w:t>
      </w:r>
      <w:r>
        <w:rPr>
          <w:rFonts w:ascii="Arial" w:cs="Arial" w:eastAsia="Arial" w:hAnsi="Arial"/>
          <w:sz w:val="16"/>
          <w:szCs w:val="16"/>
          <w:b w:val="1"/>
          <w:bCs w:val="1"/>
          <w:color w:val="00497F"/>
        </w:rPr>
        <w:t>—</w:t>
      </w:r>
      <w:r>
        <w:rPr>
          <w:rFonts w:ascii="Arial" w:cs="Arial" w:eastAsia="Arial" w:hAnsi="Arial"/>
          <w:sz w:val="16"/>
          <w:szCs w:val="16"/>
          <w:color w:val="000000"/>
        </w:rPr>
        <w:t>On July 28, 2021, in connection with our acquisition of Transtar, we entered into an agreement for senior unsecured bridge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loans (“Bridge Loans”) in an aggregate principal amount of $650 million, which we used to finance the acquisition and other certain fees associated with the transaction.</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September 14, 2021, we used net proceeds in the amount of $291.7 million from an equity offering (see Note 20) to repay a portion of the Bridge Loans. On September 24, 2021, we used a portion of the net proceeds in the amount of $358.3 million from our issuance of the Senior Notes due 2028 to repay in full the Bridge Loans. We recorded fees of approximately $12.2 million which are included in Interest expense in the Consolidated Statements of Operations.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Series 2021 Bonds</w:t>
      </w:r>
      <w:r>
        <w:rPr>
          <w:rFonts w:ascii="Arial" w:cs="Arial" w:eastAsia="Arial" w:hAnsi="Arial"/>
          <w:sz w:val="16"/>
          <w:szCs w:val="16"/>
          <w:b w:val="1"/>
          <w:bCs w:val="1"/>
          <w:color w:val="00497F"/>
        </w:rPr>
        <w:t>—</w:t>
      </w:r>
      <w:r>
        <w:rPr>
          <w:rFonts w:ascii="Arial" w:cs="Arial" w:eastAsia="Arial" w:hAnsi="Arial"/>
          <w:sz w:val="16"/>
          <w:szCs w:val="16"/>
          <w:color w:val="000000"/>
        </w:rPr>
        <w:t>On August 18, 2021, Jefferson issued $425 million aggregate principal amount of Series 2021 Bonds, which are designated as $225</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of Series 2021A Dock and Wharf Facility Revenue Bonds (the “Series 2021A Bonds”) and $200 million of Series 2021B Taxable Facility Revenue Bonds (the “Taxable Series 2021B Bonds”).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Series 2021A Bonds consist of:</w:t>
      </w:r>
    </w:p>
    <w:p>
      <w:pPr>
        <w:spacing w:after="0" w:line="113" w:lineRule="exact"/>
        <w:rPr>
          <w:sz w:val="20"/>
          <w:szCs w:val="20"/>
          <w:color w:val="auto"/>
        </w:rPr>
      </w:pPr>
    </w:p>
    <w:p>
      <w:pPr>
        <w:ind w:left="660" w:right="20" w:hanging="328"/>
        <w:spacing w:after="0" w:line="260"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$39.1 million aggregate principal amount of Serial Bonds maturing between January 1, 2026 and January 1, 2031, and bearing interest at specified fixed rates ranging from 1.875% to 2.625% per annum,</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$38.2 million aggregate principal amount of Term Bonds maturing January 1, 2036, and bearing interest at a fixed rate of 2.750% per annum,</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$44.9 million aggregate principal amount of Term Bonds maturing January 1, 2041, and bearing interest at a fixed rate of 2.875% per annum,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$102.8 million aggregate principal amount of Term Bonds maturing January 1, 2050, and bearing interest at a fixed rate of 3.00% per annum.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Taxable Series 2021B Bonds will mature on January 1, 2028, and bear interest at a fixed rate of 4.100% per annum.</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Jefferson used a portion of the net proceeds from the Series 2021 Bonds to repay certain indebtedness, and intend to use a portion of the net proceeds to pay for or reimburse the cost of development, construction and acquisition of certain facilities.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September 30,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FAIR VALUE MEASUREMENTS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September 30, 2021 and December 31, 2020, by level within the fair value hierarchy. Assets measured at fair value are classified in their entirety based on the lowest level of input that is significant to their fair value measurement.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16"/>
                <w:szCs w:val="16"/>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September 30, 2021</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b w:val="1"/>
                <w:bCs w:val="1"/>
                <w:color w:val="auto"/>
              </w:rPr>
              <w:t>176,052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176,052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283,398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283,398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18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b w:val="1"/>
                <w:bCs w:val="1"/>
                <w:color w:val="auto"/>
              </w:rPr>
              <w:t>1,979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1,979</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461,429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459,450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1,979</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24"/>
                <w:szCs w:val="24"/>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2020</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121,703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121,703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39,715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39,715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161,418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161,418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3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Series 2020 A Bonds </w:t>
            </w:r>
            <w:r>
              <w:rPr>
                <w:rFonts w:ascii="Arial" w:cs="Arial" w:eastAsia="Arial" w:hAnsi="Arial"/>
                <w:sz w:val="18"/>
                <w:szCs w:val="18"/>
                <w:color w:val="auto"/>
                <w:vertAlign w:val="superscript"/>
              </w:rPr>
              <w:t>(1)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191,362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186,306</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2020 B Bonds </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81,768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79,723</w:t>
            </w:r>
          </w:p>
        </w:tc>
      </w:tr>
      <w:tr>
        <w:trPr>
          <w:trHeight w:val="189"/>
        </w:trPr>
        <w:tc>
          <w:tcPr>
            <w:tcW w:w="73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Series 2021 A Bonds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219,071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2021 B Bonds </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196,042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403,536</w:t>
            </w:r>
          </w:p>
        </w:tc>
      </w:tr>
      <w:tr>
        <w:trPr>
          <w:trHeight w:val="189"/>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876,299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888,701</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453,256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460,340</w:t>
            </w:r>
          </w:p>
        </w:tc>
      </w:tr>
      <w:tr>
        <w:trPr>
          <w:trHeight w:val="191"/>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2028</w:t>
            </w:r>
          </w:p>
        </w:tc>
        <w:tc>
          <w:tcPr>
            <w:tcW w:w="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1,008,960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Fair value is based upon market prices for similar municipal securities.</w:t>
      </w:r>
    </w:p>
    <w:p>
      <w:pPr>
        <w:spacing w:after="0" w:line="10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Sheets approximate their carrying values due to their bearing market rates of interest and are classified as Level 2 within the fair value hierarchy.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at acquisition or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DERIVATIVE 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Crude Oil</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We exited this strategy in the fourth quarter of 2019. These crude oil forward purchase and sales contracts are not designated in hedging relationships.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Butane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Depending on market conditions, Repauno enters into forward purchase and sales contracts for butane. These derivatives are short-term in nature and are used for trading purposes.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butane derivative contracts: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Notional Amount </w:t>
            </w:r>
            <w:r>
              <w:rPr>
                <w:rFonts w:ascii="Arial" w:cs="Arial" w:eastAsia="Arial" w:hAnsi="Arial"/>
                <w:sz w:val="14"/>
                <w:szCs w:val="14"/>
                <w:i w:val="1"/>
                <w:iCs w:val="1"/>
                <w:color w:val="auto"/>
              </w:rPr>
              <w:t>(BBL in thousands)</w:t>
            </w:r>
          </w:p>
        </w:tc>
        <w:tc>
          <w:tcPr>
            <w:tcW w:w="16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ind w:left="1308"/>
              <w:spacing w:after="0"/>
              <w:rPr>
                <w:sz w:val="20"/>
                <w:szCs w:val="20"/>
                <w:color w:val="auto"/>
              </w:rPr>
            </w:pPr>
            <w:r>
              <w:rPr>
                <w:rFonts w:ascii="Arial" w:cs="Arial" w:eastAsia="Arial" w:hAnsi="Arial"/>
                <w:sz w:val="14"/>
                <w:szCs w:val="14"/>
                <w:color w:val="auto"/>
              </w:rPr>
              <w:t>N/A</w:t>
            </w:r>
          </w:p>
        </w:tc>
      </w:tr>
      <w:tr>
        <w:trPr>
          <w:trHeight w:val="189"/>
        </w:trPr>
        <w:tc>
          <w:tcPr>
            <w:tcW w:w="74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Fair Value of Assets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1,979</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center"/>
              <w:ind w:left="1308"/>
              <w:spacing w:after="0"/>
              <w:rPr>
                <w:sz w:val="20"/>
                <w:szCs w:val="20"/>
                <w:color w:val="auto"/>
              </w:rPr>
            </w:pPr>
            <w:r>
              <w:rPr>
                <w:rFonts w:ascii="Arial" w:cs="Arial" w:eastAsia="Arial" w:hAnsi="Arial"/>
                <w:sz w:val="14"/>
                <w:szCs w:val="14"/>
                <w:color w:val="auto"/>
              </w:rPr>
              <w:t>—</w:t>
            </w:r>
          </w:p>
        </w:tc>
      </w:tr>
      <w:tr>
        <w:trPr>
          <w:trHeight w:val="18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w:t>
            </w:r>
          </w:p>
        </w:tc>
        <w:tc>
          <w:tcPr>
            <w:tcW w:w="16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1 to 6 months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center"/>
              <w:ind w:left="1308"/>
              <w:spacing w:after="0"/>
              <w:rPr>
                <w:sz w:val="20"/>
                <w:szCs w:val="20"/>
                <w:color w:val="auto"/>
              </w:rPr>
            </w:pPr>
            <w:r>
              <w:rPr>
                <w:rFonts w:ascii="Arial" w:cs="Arial" w:eastAsia="Arial" w:hAnsi="Arial"/>
                <w:sz w:val="14"/>
                <w:szCs w:val="14"/>
                <w:color w:val="auto"/>
              </w:rPr>
              <w:t>N/A</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Included in Other assets in the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derivatives: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18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losses recognized in earnings</w:t>
            </w: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r>
      <w:tr>
        <w:trPr>
          <w:trHeight w:val="20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into or out of Level 3 during the periods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REVENUES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842,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13"/>
          </w:tcPr>
          <w:p>
            <w:pPr>
              <w:ind w:left="680"/>
              <w:spacing w:after="0"/>
              <w:rPr>
                <w:sz w:val="20"/>
                <w:szCs w:val="20"/>
                <w:color w:val="auto"/>
              </w:rPr>
            </w:pPr>
            <w:r>
              <w:rPr>
                <w:rFonts w:ascii="Arial" w:cs="Arial" w:eastAsia="Arial" w:hAnsi="Arial"/>
                <w:sz w:val="14"/>
                <w:szCs w:val="14"/>
                <w:b w:val="1"/>
                <w:bCs w:val="1"/>
                <w:color w:val="auto"/>
              </w:rPr>
              <w:t>Three Months Ended September 30, 2021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rPr>
              <w:t>Infrastructure</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rPr>
              <w:t>Jefferson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Terminal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b w:val="1"/>
                <w:bCs w:val="1"/>
                <w:color w:val="auto"/>
              </w:rPr>
              <w:t>40,392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2,386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42,778</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40,252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40,252</w:t>
            </w: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b w:val="1"/>
                <w:bCs w:val="1"/>
                <w:color w:val="auto"/>
              </w:rPr>
              <w:t>439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439</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12,855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2,850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15,705</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b w:val="1"/>
                <w:bCs w:val="1"/>
                <w:color w:val="auto"/>
              </w:rPr>
              <w:t>93,938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5,236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99,174</w:t>
            </w: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791</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Rail revenues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24,182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24,182</w:t>
            </w: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Terminal services revenues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11,469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11,469</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Crude marketing revenues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revenue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w:t>
            </w: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11,902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24,540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36,788</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93,938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11,902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24,540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6,040</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135,962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3"/>
          </w:tcPr>
          <w:p>
            <w:pPr>
              <w:ind w:left="720"/>
              <w:spacing w:after="0"/>
              <w:rPr>
                <w:sz w:val="20"/>
                <w:szCs w:val="20"/>
                <w:color w:val="auto"/>
              </w:rPr>
            </w:pPr>
            <w:r>
              <w:rPr>
                <w:rFonts w:ascii="Arial" w:cs="Arial" w:eastAsia="Arial" w:hAnsi="Arial"/>
                <w:sz w:val="14"/>
                <w:szCs w:val="14"/>
                <w:b w:val="1"/>
                <w:bCs w:val="1"/>
                <w:color w:val="auto"/>
              </w:rPr>
              <w:t>Three Months Ended September 30, 2020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Equipment Leasing</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Infrastructure</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Aviation Leasing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rPr>
              <w:t>Jefferson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Transtar</w:t>
            </w:r>
          </w:p>
        </w:tc>
        <w:tc>
          <w:tcPr>
            <w:tcW w:w="12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Terminal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Terminals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38,537</w:t>
            </w:r>
          </w:p>
        </w:tc>
        <w:tc>
          <w:tcPr>
            <w:tcW w:w="4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1,903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40,440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25,609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25,609</w:t>
            </w: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591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1,754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3,159</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66,491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69,799</w:t>
            </w: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11,329</w:t>
            </w: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Crude marketing revenues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11,697</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13,910</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66,491</w:t>
            </w:r>
          </w:p>
        </w:tc>
        <w:tc>
          <w:tcPr>
            <w:tcW w:w="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Nine Months Ended September 30, 2021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Transtar</w:t>
            </w:r>
          </w:p>
        </w:tc>
        <w:tc>
          <w:tcPr>
            <w:tcW w:w="12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120,389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5,518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125,907</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87,763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87,763</w:t>
            </w: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1,285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1,285</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19,045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22,397</w:t>
            </w:r>
          </w:p>
        </w:tc>
        <w:tc>
          <w:tcPr>
            <w:tcW w:w="0" w:type="dxa"/>
            <w:vAlign w:val="bottom"/>
          </w:tcPr>
          <w:p>
            <w:pPr>
              <w:spacing w:after="0"/>
              <w:rPr>
                <w:sz w:val="1"/>
                <w:szCs w:val="1"/>
                <w:color w:val="auto"/>
              </w:rPr>
            </w:pPr>
          </w:p>
        </w:tc>
      </w:tr>
      <w:tr>
        <w:trPr>
          <w:trHeight w:val="183"/>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228,482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8,870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237,352</w:t>
            </w:r>
          </w:p>
        </w:tc>
        <w:tc>
          <w:tcPr>
            <w:tcW w:w="0" w:type="dxa"/>
            <w:vAlign w:val="bottom"/>
          </w:tcPr>
          <w:p>
            <w:pPr>
              <w:spacing w:after="0"/>
              <w:rPr>
                <w:sz w:val="1"/>
                <w:szCs w:val="1"/>
                <w:color w:val="auto"/>
              </w:rPr>
            </w:pPr>
          </w:p>
        </w:tc>
      </w:tr>
      <w:tr>
        <w:trPr>
          <w:trHeight w:val="16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1,653</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Rail revenues</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24,182</w:t>
            </w: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32,853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33,010</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Crude marketing revenues</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4,004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13,829</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72,674</w:t>
            </w:r>
          </w:p>
        </w:tc>
        <w:tc>
          <w:tcPr>
            <w:tcW w:w="0" w:type="dxa"/>
            <w:vAlign w:val="bottom"/>
          </w:tcPr>
          <w:p>
            <w:pPr>
              <w:spacing w:after="0"/>
              <w:rPr>
                <w:sz w:val="1"/>
                <w:szCs w:val="1"/>
                <w:color w:val="auto"/>
              </w:rPr>
            </w:pPr>
          </w:p>
        </w:tc>
      </w:tr>
      <w:tr>
        <w:trPr>
          <w:trHeight w:val="183"/>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228,482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34,148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9,982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24,540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12,874</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310,026</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Nine Months Ended September 30, 2020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Transtar</w:t>
            </w:r>
          </w:p>
        </w:tc>
        <w:tc>
          <w:tcPr>
            <w:tcW w:w="12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127,983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6,904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134,887</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84,709</w:t>
            </w: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15,053</w:t>
            </w:r>
          </w:p>
        </w:tc>
        <w:tc>
          <w:tcPr>
            <w:tcW w:w="0" w:type="dxa"/>
            <w:vAlign w:val="bottom"/>
          </w:tcPr>
          <w:p>
            <w:pPr>
              <w:spacing w:after="0"/>
              <w:rPr>
                <w:sz w:val="1"/>
                <w:szCs w:val="1"/>
                <w:color w:val="auto"/>
              </w:rPr>
            </w:pPr>
          </w:p>
        </w:tc>
      </w:tr>
      <w:tr>
        <w:trPr>
          <w:trHeight w:val="183"/>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224,742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236,082</w:t>
            </w:r>
          </w:p>
        </w:tc>
        <w:tc>
          <w:tcPr>
            <w:tcW w:w="0" w:type="dxa"/>
            <w:vAlign w:val="bottom"/>
          </w:tcPr>
          <w:p>
            <w:pPr>
              <w:spacing w:after="0"/>
              <w:rPr>
                <w:sz w:val="1"/>
                <w:szCs w:val="1"/>
                <w:color w:val="auto"/>
              </w:rPr>
            </w:pPr>
          </w:p>
        </w:tc>
      </w:tr>
      <w:tr>
        <w:trPr>
          <w:trHeight w:val="16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40,534</w:t>
            </w: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5,257</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49,519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54,776</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290,858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September 30,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46,354</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189"/>
        </w:trPr>
        <w:tc>
          <w:tcPr>
            <w:tcW w:w="738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134,253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1,291</w:t>
            </w:r>
          </w:p>
        </w:tc>
      </w:tr>
      <w:tr>
        <w:trPr>
          <w:trHeight w:val="189"/>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96,095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r>
      <w:tr>
        <w:trPr>
          <w:trHeight w:val="189"/>
        </w:trPr>
        <w:tc>
          <w:tcPr>
            <w:tcW w:w="738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69,352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89"/>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47,450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32,865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426,369</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LEASES</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have commitments as lessees under lease arrangements primarily for real estate, equipment and vehicles. Our leases have remaining lease terms ranging from approximately two months to 41 years.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4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right-of-use assets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 on lease liabilities</w:t>
            </w: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expense</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60" w:type="dxa"/>
            <w:vAlign w:val="bottom"/>
          </w:tcPr>
          <w:p>
            <w:pPr>
              <w:ind w:left="20"/>
              <w:spacing w:after="0"/>
              <w:rPr>
                <w:sz w:val="20"/>
                <w:szCs w:val="20"/>
                <w:color w:val="auto"/>
              </w:rPr>
            </w:pPr>
            <w:r>
              <w:rPr>
                <w:rFonts w:ascii="Arial" w:cs="Arial" w:eastAsia="Arial" w:hAnsi="Arial"/>
                <w:sz w:val="14"/>
                <w:szCs w:val="14"/>
                <w:color w:val="auto"/>
              </w:rPr>
              <w:t>Operating lease expense</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1,780</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1,230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4,227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3,594</w:t>
            </w: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expense</w:t>
            </w: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r>
      <w:tr>
        <w:trPr>
          <w:trHeight w:val="18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lease expense</w:t>
            </w: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540</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w:t>
            </w:r>
          </w:p>
        </w:tc>
      </w:tr>
      <w:tr>
        <w:trPr>
          <w:trHeight w:val="20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expense</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2,812</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1,425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6,476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5,343</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nine months ended September 30,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net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74,643</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74,134</w:t>
            </w:r>
          </w:p>
        </w:tc>
      </w:tr>
      <w:tr>
        <w:trPr>
          <w:trHeight w:val="270"/>
        </w:trPr>
        <w:tc>
          <w:tcPr>
            <w:tcW w:w="716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Weighted average remaining lease term</w:t>
            </w:r>
          </w:p>
        </w:tc>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33.6 years</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2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5.6 %</w:t>
            </w:r>
          </w:p>
        </w:tc>
      </w:tr>
      <w:tr>
        <w:trPr>
          <w:trHeight w:val="270"/>
        </w:trPr>
        <w:tc>
          <w:tcPr>
            <w:tcW w:w="71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89"/>
        </w:trPr>
        <w:tc>
          <w:tcPr>
            <w:tcW w:w="7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4,208</w:t>
            </w:r>
          </w:p>
        </w:tc>
      </w:tr>
      <w:tr>
        <w:trPr>
          <w:trHeight w:val="440"/>
        </w:trPr>
        <w:tc>
          <w:tcPr>
            <w:tcW w:w="9260" w:type="dxa"/>
            <w:vAlign w:val="bottom"/>
            <w:gridSpan w:val="2"/>
          </w:tcPr>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September 30, 2021:</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71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2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2022</w:t>
            </w:r>
          </w:p>
        </w:tc>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9,589</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2024</w:t>
            </w:r>
          </w:p>
        </w:tc>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6,901</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6,677</w:t>
            </w:r>
          </w:p>
        </w:tc>
      </w:tr>
      <w:tr>
        <w:trPr>
          <w:trHeight w:val="18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148,455</w:t>
            </w:r>
          </w:p>
        </w:tc>
      </w:tr>
      <w:tr>
        <w:trPr>
          <w:trHeight w:val="18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2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183,721</w:t>
            </w:r>
          </w:p>
        </w:tc>
      </w:tr>
      <w:tr>
        <w:trPr>
          <w:trHeight w:val="18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109,587</w:t>
            </w:r>
          </w:p>
        </w:tc>
      </w:tr>
      <w:tr>
        <w:trPr>
          <w:trHeight w:val="20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2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74,134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2021, in connection with our acquisition of Transtar, we assumed ROU assets of approximately $10.8 million with a weighted average remaining term of 5.5 years.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during the nine months ended September 30, 2021, we entered into a new lease for real estate, which had a ROU asset value of $2.7 million and a lease term of approximately five years at commencement.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EQUITY-BASED COMPENSATION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September 30, 2021, the Incentive Plan provides for the issuance of up to 29.8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80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6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2160" w:type="dxa"/>
            <w:vAlign w:val="bottom"/>
          </w:tcPr>
          <w:p>
            <w:pPr>
              <w:jc w:val="center"/>
              <w:ind w:right="128"/>
              <w:spacing w:after="0"/>
              <w:rPr>
                <w:sz w:val="20"/>
                <w:szCs w:val="20"/>
                <w:color w:val="auto"/>
              </w:rPr>
            </w:pPr>
            <w:r>
              <w:rPr>
                <w:rFonts w:ascii="Arial" w:cs="Arial" w:eastAsia="Arial" w:hAnsi="Arial"/>
                <w:sz w:val="14"/>
                <w:szCs w:val="14"/>
                <w:b w:val="1"/>
                <w:bCs w:val="1"/>
                <w:color w:val="auto"/>
              </w:rPr>
              <w:t>Remaining Expense To Be</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280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266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216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20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Conditions Are Met</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4,712</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9"/>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1,230</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08"/>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5,942</w:t>
            </w:r>
          </w:p>
        </w:tc>
        <w:tc>
          <w:tcPr>
            <w:tcW w:w="2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nine months ended September 30, 2021, FIG LLC (the “Manager”), an affiliate of Fortress Investment Group LLC, transferred 25,998 of its options to certain of the Manager’s employees. Additionally, certain of the Manager’s employees exercised 165,268 options at a weighted average exercise price of $18.22 and received a net 55,092 common shares.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March 2021 offering of preferred shares (see Note 20), we granted options to the Manager related to 355,932 common shares at an exercise price of $29.50, which had a grant date fair value of $3.7 million. The assumptions used in valuing the options were: a 1.70% risk-free rate, a 3.16% dividend yield, a 45.60% volatility and a ten-year term.</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September 2021 offering of common shares (see Note 20), we granted options to the Manager related to 1,200,000 common shares at an exercise price of $25.50, which had a grant date fair value of $9.2 million. The assumptions used in valuing the options were: a 1.34% risk-free rate, a 3.64% dividend yield, a 44.78% volatility and a ten-year term.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nine months ended September 30, 2021, we issued 1,052,632 common units of our subsidiary that had a grant date fair value of $1.2 million and vest over three years. These awards are subject to continued employment, and the compensation expense is recognized ratably over the vesting periods. The fair value of these awards was based on the fair value of the operating subsidiary on the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Restricted Shares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nine months ended September 30, 2021, we issued restricted shares of our subsidiary that had a grant date fair value of $5.3 million and vest over three years. These awards are subject to continued employment, and the compensation expense is recognized ratably over the vesting periods. The fair value of these awards was based on the fair value of the operating subsidiary on the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RETIREMENT BENEFIT PLANS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acquisition of Transtar (see Note 4), we assumed certain retirement benefit obligations related to eligible Transtar employees.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Defined Benefit Pensions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pension plan covers certain eligible Transtar employees. These plans are noncontributory. Pension benefits earned are generally based on years of service and compensation during active employment.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Postretirement Benefits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unfunded postretirement plan provides healthcare and life insurance benefits for eligible retirees and dependents of Transtar. Depending on retirement date and employee classification, certain healthcare plans contain contribution and cost-sharing features such as deductibles and co-insurance. The remaining healthcare and life insurance plans are non-contributory.</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summarizes our retirement benefit plan costs for the three and nine months ended September 30, 2021. Service costs and interest costs are recorded in Operating expenses and Other (expense) income, respectively, in the Consolidated Statements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Pension Benefits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Postretirement Benefits</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costs</w:t>
            </w:r>
          </w:p>
        </w:tc>
        <w:tc>
          <w:tcPr>
            <w:tcW w:w="1780" w:type="dxa"/>
            <w:vAlign w:val="bottom"/>
            <w:shd w:val="clear" w:color="auto" w:fill="CCEEFF"/>
          </w:tcPr>
          <w:p>
            <w:pPr>
              <w:jc w:val="right"/>
              <w:ind w:right="1628"/>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431</w:t>
            </w:r>
          </w:p>
        </w:tc>
      </w:tr>
      <w:tr>
        <w:trPr>
          <w:trHeight w:val="18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costs</w:t>
            </w:r>
          </w:p>
        </w:tc>
        <w:tc>
          <w:tcPr>
            <w:tcW w:w="1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w:t>
            </w:r>
          </w:p>
        </w:tc>
      </w:tr>
      <w:tr>
        <w:trPr>
          <w:trHeight w:val="20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tcBorders>
            <w:shd w:val="clear" w:color="auto" w:fill="CCEEFF"/>
          </w:tcPr>
          <w:p>
            <w:pPr>
              <w:jc w:val="right"/>
              <w:ind w:right="1628"/>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included in the Consolidated Statements of Operations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3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6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6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456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r>
      <w:tr>
        <w:trPr>
          <w:trHeight w:val="189"/>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10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r>
      <w:tr>
        <w:trPr>
          <w:trHeight w:val="182"/>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Deferred:</w:t>
            </w: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w:t>
            </w:r>
          </w:p>
        </w:tc>
      </w:tr>
      <w:tr>
        <w:trPr>
          <w:trHeight w:val="189"/>
        </w:trPr>
        <w:tc>
          <w:tcPr>
            <w:tcW w:w="4560" w:type="dxa"/>
            <w:vAlign w:val="bottom"/>
          </w:tcPr>
          <w:p>
            <w:pPr>
              <w:ind w:left="140"/>
              <w:spacing w:after="0"/>
              <w:rPr>
                <w:sz w:val="20"/>
                <w:szCs w:val="20"/>
                <w:color w:val="auto"/>
              </w:rPr>
            </w:pPr>
            <w:r>
              <w:rPr>
                <w:rFonts w:ascii="Arial" w:cs="Arial" w:eastAsia="Arial" w:hAnsi="Arial"/>
                <w:sz w:val="14"/>
                <w:szCs w:val="14"/>
                <w:color w:val="auto"/>
              </w:rPr>
              <w:t>State and local</w:t>
            </w:r>
          </w:p>
        </w:tc>
        <w:tc>
          <w:tcPr>
            <w:tcW w:w="10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10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(5,458)</w:t>
            </w:r>
          </w:p>
        </w:tc>
      </w:tr>
      <w:tr>
        <w:trPr>
          <w:trHeight w:val="18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benefit</w:t>
            </w: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(2,311)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(6,992)</w:t>
            </w:r>
          </w:p>
        </w:tc>
      </w:tr>
      <w:tr>
        <w:trPr>
          <w:trHeight w:val="20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nine months ended September 30, 2021,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2017. We do not believe that it is reasonably possible that the total amount of unrecognized tax benefits will significantly change within 12 months of the reporting date of September 30,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MANAGEMENT AGREEMENT AND AFFILIATE TRANSACTIONS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0.05% of the Partnership and is the general partner of the Partnership.</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our subsidiaries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3,845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14,113</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0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0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3,845</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4,591</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11,948</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14,113</w:t>
            </w:r>
          </w:p>
        </w:tc>
      </w:tr>
      <w:tr>
        <w:trPr>
          <w:trHeight w:val="21"/>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6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1,927</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2,347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6,138</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6,737</w:t>
            </w: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2,544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2,862</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7,726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8,299</w:t>
            </w:r>
          </w:p>
        </w:tc>
      </w:tr>
      <w:tr>
        <w:trPr>
          <w:trHeight w:val="21"/>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6"/>
                <w:szCs w:val="16"/>
                <w:color w:val="auto"/>
              </w:rPr>
            </w:pPr>
          </w:p>
        </w:tc>
        <w:tc>
          <w:tcPr>
            <w:tcW w:w="184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w:t>
            </w:r>
          </w:p>
        </w:tc>
      </w:tr>
      <w:tr>
        <w:trPr>
          <w:trHeight w:val="190"/>
        </w:trPr>
        <w:tc>
          <w:tcPr>
            <w:tcW w:w="694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2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724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1,317</w:t>
            </w: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and December 31, 2020, there were no receivables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2021 and December 31, 2020 an affiliate of our Manager owns an approximately 20% interest in Jefferson Terminal which has been accounted for as a component of non-controlling interest in consolidated subsidiaries in the consolidated financial statements. The carrying amount of this non-controlling interest at September 30, 2021 and December 31, 2020 was $1.6 million and $17.2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12,490</w:t>
            </w:r>
          </w:p>
        </w:tc>
      </w:tr>
    </w:tbl>
    <w:p>
      <w:pPr>
        <w:spacing w:after="0" w:line="200" w:lineRule="exact"/>
        <w:rPr>
          <w:sz w:val="20"/>
          <w:szCs w:val="20"/>
          <w:color w:val="auto"/>
        </w:rPr>
      </w:pPr>
    </w:p>
    <w:p>
      <w:pPr>
        <w:spacing w:after="0" w:line="3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18 for details related to conversions during the period.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2020, we purchased a 14% interest in FYX from an affiliate of our Manager, which retained a non-controlling interest in FYX subsequent to the transaction. Additionally, other investors in FYX are also affiliates of our Manager. See Note 7 for additional information related to FYX.</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nine months ended September 30, 2021, we granted options to the Manager in connection with the offering of the Series C Preferred Shares (as defined in Note 20) and the offering of common shares in September 2021. See Notes 15 and 20 for additional information.</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May 4, 2021, the Company received a promissory note from Long Ridge Terminal LLC, an affiliate, in exchange for a loan in the principal amount of $5.8 million. The note bears interest at a rate of 10% per annum, with a maturity date of December 31, 2021. The total principal amount plus all accrued and unpaid interest will be due and payable on the maturity date. Interest income was $0.1 million and $0.2 million during the three and nine months ended September 30,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19. SEGMENT INFORMATION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four reportable segments which operate in the Equipment Leasing and Infrastructure businesses across several market sectors. Our reportable segments are (i) Aviation Leasing, (ii) Jefferson Terminal, (iii) Ports and Terminals and (iv) Transtar.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1,630-acre deep-water port located along the Delaware River with an underground storage cavern and multiple industrial development opportunities, and an equity method investment in Long Ridge, which is a 1,660-acre multi-modal port located along the Ohio River with rail, dock, and multiple industrial development opportunities, including a power plant under construction.</w:t>
      </w:r>
    </w:p>
    <w:p>
      <w:pPr>
        <w:spacing w:after="0" w:line="15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July 2021, we acquired Transtar and it operates as a separate reportable segment within our Infrastructure business. Transtar is comprised of five freight railroads and one switching company that provide rail service to certain manufacturing and production facilities. See Note 4 for additional information.</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company level general and administrative expenses, and management fees. Additionally, Corporate and Other includes (i) offshore energy related assets, which consist of vessels and equipment that support offshore oil and gas drilling and production which are typically subject to operating leases, (ii) an investment in an unconsolidated entity engaged in the acquisition and leasing of shipping containers and (iii) railroad assets which consist of equipment that support a railcar cleaning business.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Three Months Ended September 30,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93,938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5,236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99,174</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36,788</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93,938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11,902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24,540</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6,040</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135,962</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15,411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12,877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52,793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4,422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4,422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7,130</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3,845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3,845</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34,288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53,368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859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859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54,500</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51,416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25,926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7,854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19,035</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72,686</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176,917</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(3,789)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(4,082)</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12,685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12,685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483</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(8,068)</w:t>
            </w: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10,975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(7,744)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1,018</w:t>
            </w: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tcPr>
          <w:p>
            <w:pPr>
              <w:spacing w:after="0"/>
              <w:rPr>
                <w:sz w:val="11"/>
                <w:szCs w:val="11"/>
                <w:color w:val="auto"/>
              </w:rPr>
            </w:pPr>
          </w:p>
        </w:tc>
        <w:tc>
          <w:tcPr>
            <w:tcW w:w="1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53,497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(16,114)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(16,056)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5,308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(66,572)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(39,937)</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(494)</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53,368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(16,161)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(14,258)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4,180</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(66,572)</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(39,443)</w:t>
            </w:r>
          </w:p>
        </w:tc>
        <w:tc>
          <w:tcPr>
            <w:tcW w:w="0" w:type="dxa"/>
            <w:vAlign w:val="bottom"/>
          </w:tcPr>
          <w:p>
            <w:pPr>
              <w:spacing w:after="0"/>
              <w:rPr>
                <w:sz w:val="1"/>
                <w:szCs w:val="1"/>
                <w:color w:val="auto"/>
              </w:rPr>
            </w:pPr>
          </w:p>
        </w:tc>
      </w:tr>
      <w:tr>
        <w:trPr>
          <w:trHeight w:val="133"/>
        </w:trPr>
        <w:tc>
          <w:tcPr>
            <w:tcW w:w="33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shd w:val="clear" w:color="auto" w:fill="CCEEFF"/>
          </w:tcPr>
          <w:p>
            <w:pPr>
              <w:spacing w:after="0"/>
              <w:rPr>
                <w:sz w:val="11"/>
                <w:szCs w:val="11"/>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(7,189)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(7,363)</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6,791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6,791</w:t>
            </w:r>
          </w:p>
        </w:tc>
        <w:tc>
          <w:tcPr>
            <w:tcW w:w="0" w:type="dxa"/>
            <w:vAlign w:val="bottom"/>
          </w:tcPr>
          <w:p>
            <w:pPr>
              <w:spacing w:after="0"/>
              <w:rPr>
                <w:sz w:val="1"/>
                <w:szCs w:val="1"/>
                <w:color w:val="auto"/>
              </w:rPr>
            </w:pPr>
          </w:p>
        </w:tc>
      </w:tr>
      <w:tr>
        <w:trPr>
          <w:trHeight w:val="128"/>
        </w:trPr>
        <w:tc>
          <w:tcPr>
            <w:tcW w:w="33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53,368</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(8,972)</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(14,084)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4,180</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(73,363)</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(38,871)</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Three Months Ended September 30,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96,002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11,466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(15,791)</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96,389</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3,420</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(4,082)</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(7,470)</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(54,500)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(59,811)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(859)</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(4,594)</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(7,130)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(728)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494</w:t>
            </w: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(38,871)</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center"/>
              <w:ind w:left="368"/>
              <w:spacing w:after="0"/>
              <w:rPr>
                <w:sz w:val="20"/>
                <w:szCs w:val="20"/>
                <w:color w:val="auto"/>
              </w:rPr>
            </w:pPr>
            <w:r>
              <w:rPr>
                <w:rFonts w:ascii="Arial" w:cs="Arial" w:eastAsia="Arial" w:hAnsi="Arial"/>
                <w:sz w:val="14"/>
                <w:szCs w:val="14"/>
                <w:b w:val="1"/>
                <w:bCs w:val="1"/>
                <w:color w:val="auto"/>
              </w:rPr>
              <w:t>Three Months Ended September 30, 2021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36,421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5,236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41,657</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35,708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35,708</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18,152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11,902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left="488"/>
              <w:spacing w:after="0"/>
              <w:rPr>
                <w:sz w:val="20"/>
                <w:szCs w:val="20"/>
                <w:color w:val="auto"/>
              </w:rPr>
            </w:pPr>
            <w:r>
              <w:rPr>
                <w:rFonts w:ascii="Arial" w:cs="Arial" w:eastAsia="Arial" w:hAnsi="Arial"/>
                <w:sz w:val="14"/>
                <w:szCs w:val="14"/>
                <w:b w:val="1"/>
                <w:bCs w:val="1"/>
                <w:color w:val="auto"/>
              </w:rPr>
              <w:t>(458)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24,540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54,940</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3,657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3,657</w:t>
            </w:r>
          </w:p>
        </w:tc>
        <w:tc>
          <w:tcPr>
            <w:tcW w:w="0" w:type="dxa"/>
            <w:vAlign w:val="bottom"/>
          </w:tcPr>
          <w:p>
            <w:pPr>
              <w:spacing w:after="0"/>
              <w:rPr>
                <w:sz w:val="1"/>
                <w:szCs w:val="1"/>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93,938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11,902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rPr>
              <w:t>(458)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24,540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6,040</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135,962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Nine Months Ended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Nine Months Ended September 30,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228,482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8,870</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237,352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72,674</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228,482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34,148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9,982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24,540</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12,874</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310,026</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28,806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12,877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19,149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108,973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12,329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12,329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9,431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13,172</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11,948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11,948</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100,583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6,257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145,274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3,048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3,048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115,604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124,994</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135,327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70,873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19,785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19,035</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174,718</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419,738</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(1,050)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(9,262)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452</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(9,860)</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17,467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17,483</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963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1,222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(8,771)</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15,700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(2,795)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(3,180)</w:t>
            </w:r>
          </w:p>
        </w:tc>
        <w:tc>
          <w:tcPr>
            <w:tcW w:w="0" w:type="dxa"/>
            <w:vAlign w:val="bottom"/>
          </w:tcPr>
          <w:p>
            <w:pPr>
              <w:spacing w:after="0"/>
              <w:rPr>
                <w:sz w:val="1"/>
                <w:szCs w:val="1"/>
                <w:color w:val="auto"/>
              </w:rPr>
            </w:pPr>
          </w:p>
        </w:tc>
      </w:tr>
      <w:tr>
        <w:trPr>
          <w:trHeight w:val="129"/>
        </w:trPr>
        <w:tc>
          <w:tcPr>
            <w:tcW w:w="33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108,855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(39,520)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(22,913)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5,308</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(164,622)</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(112,892)</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(3,265)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(1,965)</w:t>
            </w: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108,772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(39,683)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(19,648)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4,180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(164,548)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(110,927)</w:t>
            </w: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tcPr>
          <w:p>
            <w:pPr>
              <w:spacing w:after="0"/>
              <w:rPr>
                <w:sz w:val="11"/>
                <w:szCs w:val="11"/>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(18,743)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(18,949)</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17,967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17,967</w:t>
            </w: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108,772</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(20,940)</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(19,442)</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4,180</w:t>
            </w:r>
          </w:p>
        </w:tc>
        <w:tc>
          <w:tcPr>
            <w:tcW w:w="12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(182,515)</w:t>
            </w:r>
          </w:p>
        </w:tc>
        <w:tc>
          <w:tcPr>
            <w:tcW w:w="120" w:type="dxa"/>
            <w:vAlign w:val="bottom"/>
          </w:tcPr>
          <w:p>
            <w:pPr>
              <w:spacing w:after="0"/>
              <w:rPr>
                <w:sz w:val="11"/>
                <w:szCs w:val="11"/>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(109,945)</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Nine Months Ended September 30,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236,868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8,329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11,466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(48,440)</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211,497</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8,706</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(9,860)</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(9,861)</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(124,994)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(166,622)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(3,048)</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1,979</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(3,254)</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(13,172)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(3,281)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1,965</w:t>
            </w: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(109,945)</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93,924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8,870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102,794</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89,109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89,109</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39,102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111,776</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6,112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6,112</w:t>
            </w:r>
          </w:p>
        </w:tc>
        <w:tc>
          <w:tcPr>
            <w:tcW w:w="0" w:type="dxa"/>
            <w:vAlign w:val="bottom"/>
          </w:tcPr>
          <w:p>
            <w:pPr>
              <w:spacing w:after="0"/>
              <w:rPr>
                <w:sz w:val="1"/>
                <w:szCs w:val="1"/>
                <w:color w:val="auto"/>
              </w:rPr>
            </w:pPr>
          </w:p>
        </w:tc>
      </w:tr>
      <w:tr>
        <w:trPr>
          <w:trHeight w:val="208"/>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228,482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310,026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Three Months Ended September 30,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Three Months Ended September 30, 2020</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66,491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3,308</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69,799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13,910</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66,491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83,709</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4,241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4,591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4,591</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33,014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42,626</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3,915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25,119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26,904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43,504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18,398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42,555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107,847</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128"/>
        </w:trPr>
        <w:tc>
          <w:tcPr>
            <w:tcW w:w="33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21,667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(6,701)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(38,228)</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(27,695)</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23,540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(38,268)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(25,209)</w:t>
            </w: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tcPr>
          <w:p>
            <w:pPr>
              <w:spacing w:after="0"/>
              <w:rPr>
                <w:sz w:val="11"/>
                <w:szCs w:val="11"/>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(3,809)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(3,876)</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8"/>
              <w:spacing w:after="0"/>
              <w:rPr>
                <w:sz w:val="20"/>
                <w:szCs w:val="20"/>
                <w:color w:val="auto"/>
              </w:rPr>
            </w:pPr>
            <w:r>
              <w:rPr>
                <w:rFonts w:ascii="Arial" w:cs="Arial" w:eastAsia="Arial" w:hAnsi="Arial"/>
                <w:sz w:val="14"/>
                <w:szCs w:val="14"/>
                <w:color w:val="auto"/>
              </w:rPr>
              <w:t>23,540</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(2,895)</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(3,710)</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(42,893)</w:t>
            </w:r>
          </w:p>
        </w:tc>
        <w:tc>
          <w:tcPr>
            <w:tcW w:w="12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(25,958)</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center"/>
              <w:ind w:left="348"/>
              <w:spacing w:after="0"/>
              <w:rPr>
                <w:sz w:val="20"/>
                <w:szCs w:val="20"/>
                <w:color w:val="auto"/>
              </w:rPr>
            </w:pPr>
            <w:r>
              <w:rPr>
                <w:rFonts w:ascii="Arial" w:cs="Arial" w:eastAsia="Arial" w:hAnsi="Arial"/>
                <w:sz w:val="14"/>
                <w:szCs w:val="14"/>
                <w:b w:val="1"/>
                <w:bCs w:val="1"/>
                <w:color w:val="auto"/>
              </w:rPr>
              <w:t>Three Months Ended September 30, 2020</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 w:type="dxa"/>
            <w:vAlign w:val="bottom"/>
            <w:vMerge w:val="restart"/>
          </w:tcPr>
          <w:p>
            <w:pPr>
              <w:spacing w:after="0"/>
              <w:rPr>
                <w:sz w:val="12"/>
                <w:szCs w:val="12"/>
                <w:color w:val="auto"/>
              </w:rPr>
            </w:pP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70,562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58,636</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(52,532)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(25,958)</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2020</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1,781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31,830</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29,011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29,011</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20,821</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83,709</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For the Nine Months Ended September 30,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Nine Months Ended September 30, 2020</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224,742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11,340</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236,082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49,519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54,776</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224,742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49,519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15,041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290,858</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81,144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13,292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9,297</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14,113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14,113</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97,848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126,543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14,391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14,391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63,289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71,559</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132,247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72,755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115,770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330,339</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2"/>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(12,181)</w:t>
            </w:r>
          </w:p>
        </w:tc>
        <w:tc>
          <w:tcPr>
            <w:tcW w:w="0" w:type="dxa"/>
            <w:vAlign w:val="bottom"/>
          </w:tcPr>
          <w:p>
            <w:pPr>
              <w:spacing w:after="0"/>
              <w:rPr>
                <w:sz w:val="1"/>
                <w:szCs w:val="1"/>
                <w:color w:val="auto"/>
              </w:rPr>
            </w:pPr>
          </w:p>
        </w:tc>
      </w:tr>
      <w:tr>
        <w:trPr>
          <w:trHeight w:val="129"/>
        </w:trPr>
        <w:tc>
          <w:tcPr>
            <w:tcW w:w="33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88,975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(11,972)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(100,752)</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(51,662)</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(6,334)</w:t>
            </w: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94,230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(28,125)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(100,995)</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(45,328)</w:t>
            </w: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tcPr>
          <w:p>
            <w:pPr>
              <w:spacing w:after="0"/>
              <w:rPr>
                <w:sz w:val="11"/>
                <w:szCs w:val="11"/>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(12,490)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(12,724)</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13,243</w:t>
            </w: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8"/>
              <w:spacing w:after="0"/>
              <w:rPr>
                <w:sz w:val="20"/>
                <w:szCs w:val="20"/>
                <w:color w:val="auto"/>
              </w:rPr>
            </w:pPr>
            <w:r>
              <w:rPr>
                <w:rFonts w:ascii="Arial" w:cs="Arial" w:eastAsia="Arial" w:hAnsi="Arial"/>
                <w:sz w:val="14"/>
                <w:szCs w:val="14"/>
                <w:color w:val="auto"/>
              </w:rPr>
              <w:t>94,230</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(15,635)</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(10,204)</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(114,238)</w:t>
            </w:r>
          </w:p>
        </w:tc>
        <w:tc>
          <w:tcPr>
            <w:tcW w:w="12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(45,847)</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Nine Months Ended September 30, 2020</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 w:type="dxa"/>
            <w:vAlign w:val="bottom"/>
            <w:vMerge w:val="restart"/>
          </w:tcPr>
          <w:p>
            <w:pPr>
              <w:spacing w:after="0"/>
              <w:rPr>
                <w:sz w:val="12"/>
                <w:szCs w:val="12"/>
                <w:color w:val="auto"/>
              </w:rPr>
            </w:pP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231,453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(43,197)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197,103</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7,406</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(71,559)</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(149,937)</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(14,391)</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6,334</w:t>
            </w: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(45,847)</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2020</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10,254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10,254</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86,799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98,139</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99,870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99,870</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79,756</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224,742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290,858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1,869,233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1,304,236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364,058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771,895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373,095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4,682,517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692,970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2,266,019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2,983,989</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171,434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825,331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36,541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112,860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2,332,309</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3,478,475</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4,352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1,698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6,574</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1,697,799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478,905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327,517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659,035</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(1,959,214)</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1,204,042</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1,869,233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1,304,236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364,058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771,895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373,095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4,682,517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Equipment Leasing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400,718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66,490</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467,208</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738,692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738,692</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279,794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741,606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279,360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502,219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113,402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1,916,381</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102,083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102,083</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1,521,287</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741,606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279,360</w:t>
            </w:r>
          </w:p>
        </w:tc>
        <w:tc>
          <w:tcPr>
            <w:tcW w:w="10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502,219</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179,892</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3,224,364</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Equipment Leasing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Aviation Leasing</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 w:type="dxa"/>
            <w:vAlign w:val="bottom"/>
            <w:vMerge w:val="restart"/>
          </w:tcPr>
          <w:p>
            <w:pPr>
              <w:spacing w:after="0"/>
              <w:rPr>
                <w:sz w:val="12"/>
                <w:szCs w:val="12"/>
                <w:color w:val="auto"/>
              </w:rPr>
            </w:pP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1,704,205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989,928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400,217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293,627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1,626,289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365,629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1,665,093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2,288,656</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20,785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22,663</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1,484,513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624,299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361,975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(1,371,466)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1,704,205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989,928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400,217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293,627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Transtar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445,566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56,702</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502,268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774,300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774,300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208,190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702,393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269,680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117,782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1,298,045</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25,009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25,009</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1,453,065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702,393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269,680</w:t>
            </w:r>
          </w:p>
        </w:tc>
        <w:tc>
          <w:tcPr>
            <w:tcW w:w="10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174,484</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2,599,622</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20. EARNINGS PER SHARE AND EQUITY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9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(39,443)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(110,927)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(45,328)</w:t>
            </w:r>
          </w:p>
        </w:tc>
        <w:tc>
          <w:tcPr>
            <w:tcW w:w="0" w:type="dxa"/>
            <w:vAlign w:val="bottom"/>
          </w:tcPr>
          <w:p>
            <w:pPr>
              <w:spacing w:after="0"/>
              <w:rPr>
                <w:sz w:val="1"/>
                <w:szCs w:val="1"/>
                <w:color w:val="auto"/>
              </w:rPr>
            </w:pPr>
          </w:p>
        </w:tc>
      </w:tr>
      <w:tr>
        <w:trPr>
          <w:trHeight w:val="189"/>
        </w:trPr>
        <w:tc>
          <w:tcPr>
            <w:tcW w:w="4740" w:type="dxa"/>
            <w:vAlign w:val="bottom"/>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(39,443)</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(25,209)</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(110,927)</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(43,997)</w:t>
            </w:r>
          </w:p>
        </w:tc>
        <w:tc>
          <w:tcPr>
            <w:tcW w:w="0" w:type="dxa"/>
            <w:vAlign w:val="bottom"/>
          </w:tcPr>
          <w:p>
            <w:pPr>
              <w:spacing w:after="0"/>
              <w:rPr>
                <w:sz w:val="1"/>
                <w:szCs w:val="1"/>
                <w:color w:val="auto"/>
              </w:rPr>
            </w:pPr>
          </w:p>
        </w:tc>
      </w:tr>
      <w:tr>
        <w:trPr>
          <w:trHeight w:val="133"/>
        </w:trPr>
        <w:tc>
          <w:tcPr>
            <w:tcW w:w="474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interests in consolidated</w:t>
            </w:r>
          </w:p>
        </w:tc>
        <w:tc>
          <w:tcPr>
            <w:tcW w:w="2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(7,363)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(3,876)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(18,949)</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(12,724)</w:t>
            </w: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4,625</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17,967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13,243</w:t>
            </w:r>
          </w:p>
        </w:tc>
        <w:tc>
          <w:tcPr>
            <w:tcW w:w="0" w:type="dxa"/>
            <w:vAlign w:val="bottom"/>
          </w:tcPr>
          <w:p>
            <w:pPr>
              <w:spacing w:after="0"/>
              <w:rPr>
                <w:sz w:val="1"/>
                <w:szCs w:val="1"/>
                <w:color w:val="auto"/>
              </w:rPr>
            </w:pPr>
          </w:p>
        </w:tc>
      </w:tr>
      <w:tr>
        <w:trPr>
          <w:trHeight w:val="183"/>
        </w:trPr>
        <w:tc>
          <w:tcPr>
            <w:tcW w:w="474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(38,871)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(25,958)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(109,945)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(44,516)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Weighted Average Common Shares Outstanding - Basic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88,277,897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86,022,302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86,787,072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86,013,485</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88,277,897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86,022,302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86,787,072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86,013,485</w:t>
            </w: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(0.44)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90"/>
        </w:trPr>
        <w:tc>
          <w:tcPr>
            <w:tcW w:w="47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29"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Three and nine months ended September 30, 2021 and 2020 includes participating securities which can be converted into a fixed amount of our shares.</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the three months ended September 30, 2021 and 2020, 950,524 and 21,244 shares, respectively, and for the nine months ended September 30, 2021 and 2020, 940,254 and 504 shares, respectively, have been excluded from the calculation of Diluted EPS because the impact would be anti-dilutive.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2021, we issued 17,155 common shares to certain directors as compensation.</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During the nine months ended September 30, 2021, certain holders of Class B Units (see Note 18) converted 279,678 Class B Units in exchange for 207,129 common shares.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Preferred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March 2021, in a public offering, we issued 4,200,000 shares of 8.25% Fixed-Rate Reset Series C Cumulative Perpetual Redeemable Preferred Shares (“Series C Preferred Shares”), par value $0.01 per share, with a liquidation preference of $25.00 per share for net proceeds of approximately $101.2 million. See Note 15 for information related to options issued to the Manager in connection with such offering.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September 2021, we issued 12,000,000 common shares, par value $0.01 per share, at a price of $25.50 per share. We received net proceeds of $291.7 million after deducting underwriting discounts and offering expenses. The proceeds were used to repay a portion of the Bridge Loans (see Note 10). See Note 15 for information related to options issued to the Manager in connection with such offering.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21. COMMITMENTS AND CONTINGENCIES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also entered into an arrangement with our non-controlling interest holder of Repauno, as part of the initial acquisition, whereby the non-controlling interest holder may receive additional payments contingent upon the achievement of certain conditions, not to exceed $15.0 million. We will account for such amounts when and if such conditions are achieved. The contingency related to $5.0 million of the total $15.0 million was resolved during the nine months ended September 30, 2021. The $5.0 million payment was recorded as a payable and included in the cost of the asset acquisition.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Jefferson entered into a two-year pipeline capacity agreement for a recently completed pipeline. Under the agreement, which took effect in the second quarter of 2021, Jefferson is obligated to pay fixed marketing fees over the two-year agreement, which totals a minimum of $10.2 million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22. SUBSEQUENT EVENTS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October 2021, the underwriters of our September 2021 equity offering exercised an option to purchase an additional 1,283,863 common shares, par value $0.01 per share, at a price of $25.50 per share.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Dividends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28, 2021, our Board of Directors declared a cash dividend on our common shares and eligible participating securities of $0.33 per share for the quarter ended September 30, 2021, payable on November 29, 2021 to the holders of record on November 15, 2021.</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Additionally, on October 28, 2021, our Board of Directors also declared cash dividends on the Series A Preferred Shares, Series B Preferred Shares and Series C Preferred Shares of $0.52, $0.50 and $0.52 per share, respectively, payable on December 15, 2021 to the holders of record on December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September 30, 2021, we had total consolidated assets of $4.7 billion and total equity of $1.2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Market conditions due to the outbreak of COVID-19 resulted in asset impairment charges and a decline in our equipment leasing revenues during the nine months ended September 30, 2021. A number of our lessees continue to experience increased financial stress due to the significant decline in travel demand, particularly as various regions experience spikes in COVID-19 cases. A number of these lessees have been placed on non-accrual status as of September 30, 2021; however, we believe our overall portfolio exposure is limited by maintenance reserves and security deposits which are secured against lessee defaults. The value of these deposits was $134.4 million as of September 30, 2021. The extent of the impact of the COVID-19 pandemic on our operational and financial performance will depend on future developments, including the duration, severity and spread of the pandemic, as well as additional waves of COVID-19 infections and the ultimate impact of related restrictions imposed by the U.S. and international governments, all of which remain uncertain. For additional detail, see Liquidity and Capital Resources and Part II, Item 1A. Risk Factors—“The COVID-19 pandemic has severely disrupted the global economy and may have, and the emergence of similar crises could have, material adverse effects on our business, results of operations or financial condition.”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four reportable segments: (i) Aviation Leasing, which is within the Equipment Leasing Business, and (ii) Jefferson Terminal, (iii) Ports and Terminals and (iv) Transtar,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which were acquired in 2014. The Ports and Terminals segment consists of Repauno, acquired in 2016, a 1,630-acre deep-water port located along the Delaware River with an underground storage cavern and multiple industrial development opportunities. Additionally, Ports and Terminals includes an equity method investment (“Long Ridge”), which is a 1,660-acre multi-modal port located along the Ohio River with rail, dock, and multiple industrial development opportunities, including a power plant under construction.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2021, we acquired Transtar and it operates as a separate reportable segment. Transtar is comprised of five freight railroads and one switching company that provide rail service to certain manufacturing and production facilities. See Note 4 to the consolidated financial statements for additional information.</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operating leases, (ii) an investment in an unconsolidated entity engaged in the leasing of shipping containers and (iii) railroad assets which consist of equipment that support a railcar cleaning business.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December 27, 2017, SoftBank Group Corp. (“SoftBank”) completed its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chief operating decision maker (“CODM”) utilizes Adjusted EBITDA as the key performance measure. This performance measure provides the CODM with the information necessary to assess operational performance, as well as make resource and allocation decisions. We believe Adjusted EBITDA is a useful metric for investors and analysts for similar purposes of assessing our operational performance.</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497F"/>
        </w:rPr>
        <w:t>Comparison of the three and nine months ended September 30,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42,778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40,440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125,907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(8,980)</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40,252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25,609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87,763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84,709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15,705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22,397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7,344</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99,174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69,799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29,375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237,352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236,082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24,182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24,182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24,182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33,010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13,829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8,572</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36,788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22,878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72,674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54,776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135,962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83,709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52,253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310,026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290,858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19,168</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52,793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23,128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108,973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81,144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27,829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7,130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13,172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53,368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42,626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145,274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126,543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18,731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(11,343)</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54,500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26,904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27,596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124,994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71,559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53,435</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176,917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107,847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69,070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419,738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330,339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89,399</w:t>
            </w: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(9,860)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(4,415)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assets, net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(8,068)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(8,771)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(8,803)</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9,001</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(39,937)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(27,695)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(112,892)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(51,662)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(61,230)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4,369</w:t>
            </w:r>
          </w:p>
        </w:tc>
        <w:tc>
          <w:tcPr>
            <w:tcW w:w="0" w:type="dxa"/>
            <w:vAlign w:val="bottom"/>
          </w:tcPr>
          <w:p>
            <w:pPr>
              <w:spacing w:after="0"/>
              <w:rPr>
                <w:sz w:val="1"/>
                <w:szCs w:val="1"/>
                <w:color w:val="auto"/>
              </w:rPr>
            </w:pPr>
          </w:p>
        </w:tc>
      </w:tr>
      <w:tr>
        <w:trPr>
          <w:trHeight w:val="183"/>
        </w:trPr>
        <w:tc>
          <w:tcPr>
            <w:tcW w:w="4400" w:type="dxa"/>
            <w:vAlign w:val="bottom"/>
          </w:tcPr>
          <w:p>
            <w:pPr>
              <w:ind w:left="140"/>
              <w:spacing w:after="0"/>
              <w:rPr>
                <w:sz w:val="20"/>
                <w:szCs w:val="20"/>
                <w:color w:val="auto"/>
              </w:rPr>
            </w:pPr>
            <w:r>
              <w:rPr>
                <w:rFonts w:ascii="Arial" w:cs="Arial" w:eastAsia="Arial" w:hAnsi="Arial"/>
                <w:sz w:val="14"/>
                <w:szCs w:val="14"/>
                <w:color w:val="auto"/>
              </w:rPr>
              <w:t>Net loss from continued operations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(39,443)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(25,209)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(110,927)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(45,328)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(65,599)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(39,443)</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(25,209)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(14,234)</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(110,927)</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(43,997)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(66,930)</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(7,363)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(18,949)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(12,724)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(6,225)</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17,967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20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(109,945)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(44,516)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(65,429)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from continuing operations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4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loss attributable to shareholders from continuing</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(38,871)</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(25,958)</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(12,913)</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(109,945)</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(45,847)</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(64,098)</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4,369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7,130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13,172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4,594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59,811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166,622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54,500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26,904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124,994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71,559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53,435</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7,470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7,350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9,861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10,028</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4,082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9,860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4,415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(8,706)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96,389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58,636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37,753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211,497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197,103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8" w:lineRule="auto"/>
        <w:tabs>
          <w:tab w:leader="none" w:pos="15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2021 and 2020: (i) depreciation and amortization expense of $53,368 and $42,626, (ii) lease intangible amortization of $1,266 and $953 and (iii) amortization for lease incentives of $5,177 and $8,953, respectively. Includes the following items for the nine months ended September 30, 2021 and 2020: (i) depreciation and amortization expense of $145,274 and $126,543, (ii) lease intangible amortization of $3,216 and $3,016 and (iii) amortization for lease incentives of $18,132 and $20,378, respectively.</w:t>
      </w:r>
    </w:p>
    <w:p>
      <w:pPr>
        <w:spacing w:after="0" w:line="5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2021 and 2020: (i) net loss of $(4,163) and $(2,590), (ii) interest expense of $300 and $367,</w:t>
      </w:r>
    </w:p>
    <w:p>
      <w:pPr>
        <w:jc w:val="both"/>
        <w:ind w:left="180" w:hanging="10"/>
        <w:spacing w:after="0" w:line="241" w:lineRule="auto"/>
        <w:tabs>
          <w:tab w:leader="none" w:pos="433" w:val="left"/>
        </w:tabs>
        <w:numPr>
          <w:ilvl w:val="1"/>
          <w:numId w:val="12"/>
        </w:numPr>
        <w:rPr>
          <w:rFonts w:ascii="Arial" w:cs="Arial" w:eastAsia="Arial" w:hAnsi="Arial"/>
          <w:sz w:val="14"/>
          <w:szCs w:val="14"/>
          <w:color w:val="auto"/>
        </w:rPr>
      </w:pPr>
      <w:r>
        <w:rPr>
          <w:rFonts w:ascii="Arial" w:cs="Arial" w:eastAsia="Arial" w:hAnsi="Arial"/>
          <w:sz w:val="14"/>
          <w:szCs w:val="14"/>
          <w:color w:val="auto"/>
        </w:rPr>
        <w:t>depreciation and amortization expense of $3,009 and $1,389, (iv) acquisition and transaction expenses of $0 and $(79) and (v) changes in fair value of non-hedge derivative instruments of $8,324 and $1,033, respectively. Includes the following items for the nine months ended September 30, 2021 and 2020: (i) net loss of $(10,336) and $(5,593), (ii) interest expense of $827 and $848, (iii) depreciation and amortization expense of $6,821 and $3,797, (iv) acquisition and transaction expenses of $0 and $533,</w:t>
      </w:r>
    </w:p>
    <w:p>
      <w:pPr>
        <w:spacing w:after="0" w:line="1" w:lineRule="exact"/>
        <w:rPr>
          <w:rFonts w:ascii="Arial" w:cs="Arial" w:eastAsia="Arial" w:hAnsi="Arial"/>
          <w:sz w:val="14"/>
          <w:szCs w:val="14"/>
          <w:color w:val="auto"/>
        </w:rPr>
      </w:pPr>
    </w:p>
    <w:p>
      <w:pPr>
        <w:ind w:left="380" w:hanging="210"/>
        <w:spacing w:after="0"/>
        <w:tabs>
          <w:tab w:leader="none" w:pos="380" w:val="left"/>
        </w:tabs>
        <w:numPr>
          <w:ilvl w:val="1"/>
          <w:numId w:val="13"/>
        </w:numPr>
        <w:rPr>
          <w:rFonts w:ascii="Arial" w:cs="Arial" w:eastAsia="Arial" w:hAnsi="Arial"/>
          <w:sz w:val="14"/>
          <w:szCs w:val="14"/>
          <w:color w:val="auto"/>
        </w:rPr>
      </w:pPr>
      <w:r>
        <w:rPr>
          <w:rFonts w:ascii="Arial" w:cs="Arial" w:eastAsia="Arial" w:hAnsi="Arial"/>
          <w:sz w:val="14"/>
          <w:szCs w:val="14"/>
          <w:color w:val="auto"/>
        </w:rPr>
        <w:t>changes in fair value of non-hedge derivative instruments of $12,525 and $248 and (vi) asset impairment of $24 and $0, respectively.</w:t>
      </w:r>
    </w:p>
    <w:p>
      <w:pPr>
        <w:spacing w:after="0" w:line="109" w:lineRule="exact"/>
        <w:rPr>
          <w:rFonts w:ascii="Arial" w:cs="Arial" w:eastAsia="Arial" w:hAnsi="Arial"/>
          <w:sz w:val="14"/>
          <w:szCs w:val="14"/>
          <w:color w:val="auto"/>
        </w:rPr>
      </w:pPr>
    </w:p>
    <w:p>
      <w:pPr>
        <w:jc w:val="both"/>
        <w:ind w:left="180" w:hanging="172"/>
        <w:spacing w:after="0" w:line="228" w:lineRule="auto"/>
        <w:tabs>
          <w:tab w:leader="none" w:pos="175"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September 30, 2021 and 2020: (i) equity-based compensation of $130 and $97, (ii) provision for income taxes of $10 and $1, (iii) interest expense of $927 and $322, (iv) depreciation and amortization expense of $2,194 and $1,535 and (v) changes in fair value of non-hedge derivative instruments of $159 and $0, respectively. Includes the following items for the nine months ended September 30, 2021 and 2020: (i) equity based compensation of $620 and $196, (ii) provision for income taxes of $36 and $44, (iii) interest expense of $1,940 and $1,553, (iv) depreciation and amortization expense of $6,177 and $4,583, (v) changes in fair value of non-hedge derivative instruments of $(67) and $38 and (vi) loss on extinguishment of debt of $0 and $992,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2021 and 2020</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$52.3 million primarily due to higher revenues of $24.5 million in the Transtar segment and $27.4 million in the Aviation Leasing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Maintenance revenue increased $14.6 million, primarily due to an increase in the number of engines placed on lease and higher aircraft and engine utilization.</w:t>
      </w:r>
    </w:p>
    <w:p>
      <w:pPr>
        <w:spacing w:after="0" w:line="2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increased $12.5 million, which primarily reflects (i) an increase of $11.1 million in the Aviation Leasing segment primarily due to an increase in engine parts sales and higher end-of-lease redelivery compensation and (ii) an increase of $1.4 million in the offshore energy business which reflects higher victualling income on one of our vessels.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Lease income increased $2.3 million, primarily due to an increase in the number of aircraft and engines placed on lease, partially offset by an increase in aircraft redelivered.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Rail revenues increased $24.2 million due to our acquisition of Transtar in July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Other revenue decreased $1.9 million, primarily due to a loss on butane forward purchase contracts at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2021 and 2020</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increased $19.2 million, primarily due to higher revenues of $24.5 million in the Transtar segment, $8.4 million in the Ports and Terminals segment and $3.7 million in the Aviation Leasing segment, partially offset by lower revenues of $15.4 million in the Jefferson Terminal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Lease income decreased $9.0 million, primarily due to an increase in aircraft redelivered and an increase in the number of customers placed on non-accrual status, partially offset by an increase in the number of aircraft and engines placed on lease.</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Other revenue increased $7.3 million, primarily due to an increase in engine parts sales, partially offset by lower end-of-lease redelivery compensation and the settlement of an engine loss during the nine months ended September 30, 2020.</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Maintenance revenue increased $3.1 million, primarily due to an increase in aircraft and engine utilization, partially offset by an increase in aircraft and engines redelivered and a decrease in the recognition of maintenance deposits due to the early redelivery of aircraft.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Rail revenues increased $24.2 million due to our acquisition of Transtar in July 2021.</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Other revenue increased $8.6 million, primarily due to (i) a gain on butane forward purchase and sale contracts at Repauno and (ii) operations commencing at the LPG facility at Repauno.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Crude marketing revenues decreased $8.2 million due to Jefferson Terminal exiting the crude marketing strategy in the fourth quarter of 2019.</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Terminal services revenues decreased $7.5 million which primarily reflects lower volumes at Jefferson Terminal due to lower global oil demand related to COVID-19.</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2021 and 2020</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$69.1 million, primarily due to higher (i) interest expense, (ii) operating expenses, (iii) depreciation and amortization and (iv) acquisition and transaction expenses, partially offset by lower (v) asset impairment charges.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$27.6 million, primarily due to:</w:t>
      </w:r>
    </w:p>
    <w:p>
      <w:pPr>
        <w:spacing w:after="0" w:line="113" w:lineRule="exact"/>
        <w:rPr>
          <w:sz w:val="20"/>
          <w:szCs w:val="20"/>
          <w:color w:val="auto"/>
        </w:rPr>
      </w:pPr>
    </w:p>
    <w:p>
      <w:pPr>
        <w:jc w:val="both"/>
        <w:ind w:left="660" w:hanging="328"/>
        <w:spacing w:after="0" w:line="251"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$25.0 million in Corporate and Other which reflects an increase in the average outstanding debt of approximately $892.7 million due to increases in (i) the Senior Notes due 2028 of $667.5 million, (ii) the Bridge Loans (as defined below in Liquidity and Capital Resources) of $433.3 million, (iii) the Senior Notes due 2025 of $406.8 million and (iv) the Revolving Credit Facility (as defined below in Liquidity and Capital Resources) of $83.3 million, partially offset by a decrease in (v) the Senior Notes due 2022 of $698.3 million, which was redeemed in full in May 2021.</w:t>
      </w:r>
    </w:p>
    <w:p>
      <w:pPr>
        <w:spacing w:after="0" w:line="9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$2.6 million at Jefferson Terminal due to the issuance of the Series 2021 Bonds in August 2021 and EB-5 Loan Agreement which commenced in January 2021.</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$29.7 million which primarily reflects:</w:t>
      </w:r>
    </w:p>
    <w:p>
      <w:pPr>
        <w:spacing w:after="0" w:line="113"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in compensation and benefits of $8.9 million primarily due to the acquisition of Transtar in July 2021;</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$8.2 million in facility operating expense which primarily reflects (i) an increase of $3.2 million due to the acquisition of Transtar in July 2021, (ii) an increase of $2.6 million in the Aviation Leasing segment primarily due to shipping and storage costs and (iii) an increase of $1.3 million in the Jefferson Terminal segment primarily due to an increase in third-party services;</w:t>
      </w:r>
    </w:p>
    <w:p>
      <w:pPr>
        <w:spacing w:after="0" w:line="9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$6.4 million in costs associated with the sale of inventory in the Aviation Leasing segment;</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$1.5 million in repairs and maintenance primarily due to (i) the acquisition of Transtar in July 2021 and (ii) increases in the Aviation Leasing segment and our offshore energy business;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$1.3 million in bad debt expense in the Aviation Leasing segment.</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Depreciation and amortization increased $10.7 million primarily due to (i) the acquisition of Transtar in July 2021 and (ii) assets placed into service at Repauno and Jefferson Terminal.</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increased $4.7 million primarily due to professional fees related to the acquisition of Transtar in July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decreased $3.1 million due to higher impairment charges in 2020 compared to 2021 in the Aviation Leasing segment.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00497F"/>
        </w:rPr>
        <w:t>Comparison of the nine months ended September 30, 2021 and 2020</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$89.4 million, primarily due to higher (i) interest expense, (ii) operating expenses and (iii) depreciation and amortization, partially offset by lower (iv) asset impairment charges.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$53.4 million, primarily due to:</w:t>
      </w:r>
    </w:p>
    <w:p>
      <w:pPr>
        <w:spacing w:after="0" w:line="113" w:lineRule="exact"/>
        <w:rPr>
          <w:sz w:val="20"/>
          <w:szCs w:val="20"/>
          <w:color w:val="auto"/>
        </w:rPr>
      </w:pPr>
    </w:p>
    <w:p>
      <w:pPr>
        <w:jc w:val="both"/>
        <w:ind w:left="660" w:hanging="328"/>
        <w:spacing w:after="0" w:line="251"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of $52.3 million in Corporate and Other which reflects an increase in the average outstanding debt of approximately $688.8 million primarily due to increases in (i) the Senior Notes due 2025 of $407.1 million, (ii) the Senior Notes due 2028 of $389.2 million, (iii) the Senior Notes due 2027 of $266.7 million, (iv) the Bridge Loans of $144.4 million and (v) the Revolving Credit Facility of $10.0 million, partially offset by a decrease in (vi) the Senior Notes due 2022 of $520.7 million, which was redeemed in full in May 2021.</w:t>
      </w:r>
    </w:p>
    <w:p>
      <w:pPr>
        <w:spacing w:after="0" w:line="9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of $1.3 million at Jefferson Terminal due to (i) the issuance of the Series 2021 Bonds in August 2021 and the EB-5 Loan Agreement which commenced in January 2021, partially offset by (ii) a debt refinancing in the first quarter of 2020 which lowered their average interest rate.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$27.8 million which primarily reflects:</w:t>
      </w:r>
    </w:p>
    <w:p>
      <w:pPr>
        <w:spacing w:after="0" w:line="113" w:lineRule="exact"/>
        <w:rPr>
          <w:sz w:val="20"/>
          <w:szCs w:val="20"/>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of $10.7 million in compensation and benefits primarily due to (i) the acquisition of Transtar in July 2021 and (ii) increases at Repauno and our railcar cleaning business due to an increase in headcount;</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of $7.0 million in facility operating expense which primarily reflects (i) an increase of $4.1 million in the Aviation Leasing segment primarily due to shipping and storage costs, (ii) an increase of $3.2 million due to the acquisition of Transtar in July 2021 and (iii) an increase of $1.1 million at Repauno primarily due to increased activity;</w:t>
      </w:r>
    </w:p>
    <w:p>
      <w:pPr>
        <w:spacing w:after="0" w:line="9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of $3.4 million in repairs and maintenance primarily due to (i) our offshore energy business and (ii) the acquisition of Transtar in July 2021;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of $2.2 million in insurance costs in the Jefferson Terminal segment due to build out of new assets.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$18.7 million primarily due to (i) assets placed into service at Repauno and Jefferson Terminal, (ii) the acquisition of Transtar in July 2021 and (iii) additional assets acquired in the Aviation Leasing segment.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decreased $11.3 million due to higher impairment charges in 2020 compared to 2021 in the Aviation Leasing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other income increased $4.6 million during the three months ended September 30, 2021, which primarily reflects (i) an increase of $13.8 million in gain on sale of assets, net in the Aviation Leasing segment, partially offset by (ii) an increase of $8.1 million in other expense primarily due to (a) a write-off of an earn-out receivable at Long Ridge and (b) losses related to crude oil forward transactions at Jefferson Terminal and (iii) an increase of $1.6 million in equity in losses of unconsolidated entities primarily due to an unrealized loss on power swaps at Long Ridge.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other expense decreased $9.0 million during the nine months ended September 30, 2021, which primarily reflects (i) an increase of $19.6 million in gain on sale of assets, net in the Aviation Leasing segment, partially offset by (ii) an increase of $8.8 million in other expense primarily due to (a) a write-off of an earn-out receivable at Long Ridge and (b) losses related to crude oil forward transactions at Jefferson Terminal and (iii) an increase of $4.4 million in equity in losses in unconsolidated entities primarily due to an unrealized loss on power swaps at Long Ridge.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from continuing operations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loss from continuing operations increased $14.2 million and $65.6 million during the three and nine months ended September 30, 2021, respectively,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$37.8 million and $14.4 million during the three and nine months ended September 30, 2021,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in our Aviation Leasing segment, we own and manage 294 aviation assets, consisting of 90 commercial aircraft and 204 engines.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September 30, 2021, 77 of our commercial aircraft and 127 of our engines were leased to operators or other third parties. Aviation assets currently off lease are either undergoing repair and/or maintenance, being prepared to go on lease or held in short term storage awaiting a future lease. Our aviation equipment was approximately 74% utilized during the three months ended September 30, 2021, based on the percent of days on-lease in the quarter weighted by the monthly average equity value of our aviation leasing equipment, excluding airframes. Our aircraft currently have a weighted average remaining lease term of 36 months, and our engines currently on-lease have an average remaining lease term of 18 months. The table below provides additional information on the assets in our Aviation Leasing segment: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00" w:type="dxa"/>
            <w:vAlign w:val="bottom"/>
            <w:tcBorders>
              <w:left w:val="single" w:sz="8" w:color="00497F"/>
            </w:tcBorders>
            <w:gridSpan w:val="2"/>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0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3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9"/>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w:t>
            </w:r>
          </w:p>
        </w:tc>
      </w:tr>
      <w:tr>
        <w:trPr>
          <w:trHeight w:val="189"/>
        </w:trPr>
        <w:tc>
          <w:tcPr>
            <w:tcW w:w="450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16"/>
                <w:szCs w:val="16"/>
                <w:color w:val="auto"/>
              </w:rPr>
            </w:pPr>
          </w:p>
        </w:tc>
        <w:tc>
          <w:tcPr>
            <w:tcW w:w="2300" w:type="dxa"/>
            <w:vAlign w:val="bottom"/>
            <w:gridSpan w:val="3"/>
          </w:tcPr>
          <w:p>
            <w:pPr>
              <w:jc w:val="right"/>
              <w:ind w:right="17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color w:val="auto"/>
              </w:rPr>
              <w:t>24</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Sales</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4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September 30, 2021</w:t>
            </w:r>
          </w:p>
        </w:tc>
        <w:tc>
          <w:tcPr>
            <w:tcW w:w="16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c>
          <w:tcPr>
            <w:tcW w:w="12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w:t>
            </w:r>
          </w:p>
        </w:tc>
      </w:tr>
      <w:tr>
        <w:trPr>
          <w:trHeight w:val="250"/>
        </w:trPr>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7"/>
        </w:trPr>
        <w:tc>
          <w:tcPr>
            <w:tcW w:w="580" w:type="dxa"/>
            <w:vAlign w:val="bottom"/>
            <w:tcBorders>
              <w:left w:val="single" w:sz="8" w:color="CCEEFF"/>
              <w:right w:val="single" w:sz="8" w:color="auto"/>
            </w:tcBorders>
            <w:shd w:val="clear" w:color="auto" w:fill="000000"/>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r>
        <w:trPr>
          <w:trHeight w:val="189"/>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b w:val="1"/>
                <w:bCs w:val="1"/>
                <w:color w:val="auto"/>
              </w:rPr>
              <w:t>186</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Purchases</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r>
      <w:tr>
        <w:trPr>
          <w:trHeight w:val="189"/>
        </w:trPr>
        <w:tc>
          <w:tcPr>
            <w:tcW w:w="450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r>
      <w:tr>
        <w:trPr>
          <w:trHeight w:val="183"/>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September 30, 2021</w:t>
            </w:r>
          </w:p>
        </w:tc>
        <w:tc>
          <w:tcPr>
            <w:tcW w:w="1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40,392</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38,537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1,855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120,389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127,983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(7,594)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40,252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87,763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12,855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19,045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8,428</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93,938</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66,491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27,447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228,482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224,742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28,806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34,288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33,014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100,583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(11,343)</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51,416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43,504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135,327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132,247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3,080</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assets, net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12,685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10,975</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12,295</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15,700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19,220</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53,497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108,855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19,880</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53,368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23,540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108,772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94,230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14,542</w:t>
            </w:r>
          </w:p>
        </w:tc>
        <w:tc>
          <w:tcPr>
            <w:tcW w:w="0" w:type="dxa"/>
            <w:vAlign w:val="bottom"/>
          </w:tcPr>
          <w:p>
            <w:pPr>
              <w:spacing w:after="0"/>
              <w:rPr>
                <w:sz w:val="1"/>
                <w:szCs w:val="1"/>
                <w:color w:val="auto"/>
              </w:rPr>
            </w:pP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53,368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108,772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14,542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53,368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29,828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108,772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94,230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14,542</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5,338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40,731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121,931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(312)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96,002</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70,562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25,440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236,868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231,453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5,415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8" w:lineRule="auto"/>
        <w:tabs>
          <w:tab w:leader="none" w:pos="158"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2021 and 2020: (i) depreciation expense of $34,288 and $33,014, (ii) lease intangible amortization of $1,266 and $953 and (iii) amortization for lease incentives of $5,177 and $8,953, respectively. Includes the following items for the nine months ended September 30, 2021 and 2020: (i) depreciation expense of $100,583 and $97,848, (ii) lease intangible amortization of $3,216 and $3,016 and (iii) amortization for lease incentives of $18,132 and $20,378, respectively.</w:t>
      </w:r>
    </w:p>
    <w:p>
      <w:pPr>
        <w:spacing w:after="0" w:line="78"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September 30, 2021 and 2020: (i) net loss of $(369) and $(247) and (ii) depreciation and amortization of $57 and $0,</w:t>
      </w:r>
    </w:p>
    <w:p>
      <w:pPr>
        <w:ind w:left="180"/>
        <w:spacing w:after="0" w:line="258" w:lineRule="auto"/>
        <w:rPr>
          <w:rFonts w:ascii="Arial" w:cs="Arial" w:eastAsia="Arial" w:hAnsi="Arial"/>
          <w:sz w:val="16"/>
          <w:szCs w:val="16"/>
          <w:color w:val="auto"/>
          <w:vertAlign w:val="superscript"/>
        </w:rPr>
      </w:pPr>
      <w:r>
        <w:rPr>
          <w:rFonts w:ascii="Arial" w:cs="Arial" w:eastAsia="Arial" w:hAnsi="Arial"/>
          <w:sz w:val="14"/>
          <w:szCs w:val="14"/>
          <w:color w:val="auto"/>
        </w:rPr>
        <w:t>respectively. Includes the following items for the nine months ended September 30, 2021 and 2020: (i) net loss of $(1,050) and $(1,432) and (ii) depreciation and amortization of $144 and $0,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$27.4 million driven by higher maintenance revenue, other revenue and lease income.</w:t>
      </w:r>
    </w:p>
    <w:p>
      <w:pPr>
        <w:spacing w:after="0" w:line="113" w:lineRule="exact"/>
        <w:rPr>
          <w:sz w:val="20"/>
          <w:szCs w:val="20"/>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Maintenance revenue increased $14.6 million primarily due to an increase in the number of engines placed on lease and higher aircraft and engine utilization.</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revenue increased $11.1 million primarily due to an increase in engine parts sales and higher end-of-lease redelivery compensation.</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Lease income increased $1.9 million primarily due to an increase in the number of aircraft and engines placed on lease, partially offset by an increase in aircraft redelivered.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$3.7 million driven by higher other revenue and maintenance revenue, partially offset by lower lease income.</w:t>
      </w:r>
    </w:p>
    <w:p>
      <w:pPr>
        <w:spacing w:after="0" w:line="113" w:lineRule="exact"/>
        <w:rPr>
          <w:sz w:val="20"/>
          <w:szCs w:val="20"/>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revenue increased $8.4 million primarily due to an increase in engine parts sales, partially offset by lower end-of-lease redelivery compensation and the settlement of an engine loss during the nine months ended September 30, 2020.</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Maintenance revenue increased $3.1 million primarily due to an increase in aircraft and engine utilization, partially offset by an increase in aircraft and engines redelivered and a decrease in the recognition of maintenance deposits due to the early redelivery of aircraft.</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Lease income decreased $7.6 million primarily due to an increase in aircraft redelivered and an increase in the number of customers placed on non-accrual status, partially offset by an increase in the number of aircraft and engines placed on lease.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2021 and 2020</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$7.9 million primarily due to an increase in operating expenses and depreciation and amortization expense, partially offset by a decrease in asset impairment and acquisition and transaction expenses.</w:t>
      </w:r>
    </w:p>
    <w:p>
      <w:pPr>
        <w:spacing w:after="0" w:line="87" w:lineRule="exact"/>
        <w:rPr>
          <w:sz w:val="20"/>
          <w:szCs w:val="20"/>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Operating expenses increased $10.9 million primarily as a result of an increase in costs associated with the sale of engine parts, shipping and storage fees, bad debt expense and other operating expenses.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Depreciation and amortization expense increased $1.3 million driven by an increase in the number of assets owned and on lease, partially offset by an increase in the number of aircraft redelivered and parted out into our engine leasing pool.</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Asset impairment decreased $3.1 million for the adjustment of the carrying value of leasing equipment to fair value, net of redelivery compensation. See Note 5 to the consolidated financial statements for additional information.</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Acquisition and transaction expense decreased $1.2 million driven by lower compensation and related costs associated with the acquisition of aviation leasing equipment.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2021 and 2020</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$3.1 million primarily due to an increase in operating expenses and depreciation and amortization expense, partially offset by a decrease in asset impairment and acquisition and transaction expenses.</w:t>
      </w:r>
    </w:p>
    <w:p>
      <w:pPr>
        <w:spacing w:after="0" w:line="87" w:lineRule="exact"/>
        <w:rPr>
          <w:sz w:val="20"/>
          <w:szCs w:val="20"/>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expenses increased $15.6 million primarily as a result of an increase in costs associated with the sale of engine parts, shipping and storage fees and other operating expense.</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Depreciation and amortization expense increased $2.7 million driven by an increase in the number of assets owned and on lease, partially offset by an increase in the number of aircraft redelivered and parted out into our engine leasing pool.</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Asset impairment decreased $11.3 million for the adjustment of the carrying value of leasing equipment to fair value, net of redelivery compensation. See Note 5 to the consolidated financial statements for additional information.</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Acquisition and transaction expense decreased $4.0 million driven by lower compensation and related costs associated with the acquisition of aviation leasing equipment.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increased $12.3 million during the three months ended September 30, 2021, primarily due to an increase of $13.8 million in gain on the sale of leasing equipment in 2021 and an increase of $0.3 million in interest income, partially offset by an increase of $1.7 million in other expenses and an increase of $0.1 million in Aviation Leasing’s proportionate share of the unconsolidated entities’ net loss.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increased $19.2 million during the nine months ended September 30, 2021, primarily due to an increase of $19.6 million in gain on the sale of leasing equipment in 2021, an increase of $0.9 million in interest income and a decrease of $0.4 million in Aviation Leasing’s proportionate share of the unconsolidated entities’ net loss, partially offset by an increase of $1.7 million in other expenses.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$25.4 million and $5.4 million during the three and nine months ended September 30, 2021,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1,295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(7,681)</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11,902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34,148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(15,371)</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12,441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35,939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(7,955)</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4,802</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4,080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8,496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25,926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18,398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70,873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72,755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236"/>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(16,114)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(39,520)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(11,607)</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(16,161)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(39,683)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(28,125)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(11,558)</w:t>
            </w:r>
          </w:p>
        </w:tc>
        <w:tc>
          <w:tcPr>
            <w:tcW w:w="0" w:type="dxa"/>
            <w:vAlign w:val="bottom"/>
          </w:tcPr>
          <w:p>
            <w:pPr>
              <w:spacing w:after="0"/>
              <w:rPr>
                <w:sz w:val="1"/>
                <w:szCs w:val="1"/>
                <w:color w:val="auto"/>
              </w:rPr>
            </w:pPr>
          </w:p>
        </w:tc>
      </w:tr>
      <w:tr>
        <w:trPr>
          <w:trHeight w:val="133"/>
        </w:trPr>
        <w:tc>
          <w:tcPr>
            <w:tcW w:w="442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(7,189)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(3,809)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(3,380)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(18,743)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(12,490)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(6,253)</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(20,940)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(8,972)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(20,940)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(5,305)</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4,802</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4,080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8,496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(8,492)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4,348</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8,329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8" w:lineRule="auto"/>
        <w:tabs>
          <w:tab w:leader="none" w:pos="175"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September 30, 2021 and 2020: (i) equity-based compensation of $124 and $90, (ii) provision for income taxes of $10 and $1, (iii) interest expense of $918 and $312 and (iv) depreciation and amortization expense of $2,115 and $1,522, respectively. Includes the following items for the nine months ended September 30, 2021 and 2020: (i) equity-based compensation of $599 and $180, (ii) provision for income taxes of $36 and $44, (iii) interest expense of $1,911 and $1,517, (iv) changes in fair value of non-hedge derivative instruments of $0 and $38, (v) depreciation and amortization expense of $5,946 and $4,544 and (vi) loss on extinguishment of debt of $0 and $992,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$15.4 million during the nine months ended September 30, 2021, primarily due to decreases in (i) crude marketing revenues of $8.2 million due to Jefferson Terminal exiting the crude marketing strategy in the fourth quarter of 2019 and (ii) terminal services revenue of $7.7 million which primarily reflects lower volumes due to lower global oil demand related to COVID-19.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$7.5 million during the three months ended September 30, 2021, which reflects:</w:t>
      </w:r>
    </w:p>
    <w:p>
      <w:pPr>
        <w:spacing w:after="0" w:line="113" w:lineRule="exact"/>
        <w:rPr>
          <w:sz w:val="20"/>
          <w:szCs w:val="20"/>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interest expense of $2.6 million due to the issuance of the Series 2021 Bonds in August 2021 and EB-5 Loan Agreement which commenced in January 2021;</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operating expenses of $2.8 million primarily due to increases in (i) facility operations expense of $1.3 million due to an increase in third-party services, (ii) insurance expense of $0.8 million due to build out of new assets and (iii) compensation and benefits of $0.6 million due to increased headcount; and</w:t>
      </w:r>
    </w:p>
    <w:p>
      <w:pPr>
        <w:spacing w:after="0" w:line="9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depreciation and amortization of $2.2 million due to additional assets being placed into service.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decreased $1.9 million during the nine months ended September 30, 2021, which reflects:</w:t>
      </w:r>
    </w:p>
    <w:p>
      <w:pPr>
        <w:spacing w:after="0" w:line="113" w:lineRule="exact"/>
        <w:rPr>
          <w:sz w:val="20"/>
          <w:szCs w:val="20"/>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decrease in operating expenses of $8.0 million, primarily due to (i) Jefferson Terminal exiting the crude marketing strategy in the fourth quarter of 2019, partially offset by (ii) an increase in facility operations expense;</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depreciation and amortization of $4.8 million due to additional assets being placed into service; and</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interest expense of $1.3 million due to (i) the issuance of the Series 2021 Bonds in August 2021 and the EB-5 Loan Agreement which commenced in January 2021, partially offset by (ii) a debt refinancing in the first quarter of 2020 which lowered their average interest rate.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expense increased $2.1 million during the three months ended September 30, 2021, primarily due to losses related to crude oil forward transactions.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7" w:name="page58"/>
    <w:bookmarkEnd w:id="57"/>
    <w:p>
      <w:pPr>
        <w:ind w:right="20"/>
        <w:spacing w:after="0" w:line="260" w:lineRule="auto"/>
        <w:rPr>
          <w:sz w:val="20"/>
          <w:szCs w:val="20"/>
          <w:color w:val="auto"/>
        </w:rPr>
      </w:pPr>
      <w:r>
        <w:rPr>
          <w:rFonts w:ascii="Arial" w:cs="Arial" w:eastAsia="Arial" w:hAnsi="Arial"/>
          <w:sz w:val="16"/>
          <w:szCs w:val="16"/>
          <w:color w:val="auto"/>
        </w:rPr>
        <w:t>Total other expense decreased $1.9 million during the nine months ended September 30, 2021, which primarily reflects a loss on extinguishment of debt of $4.7 million in 2020, partially offset by losses related to crude oil forward transactions.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Adjusted EBITDA decreased $2.4 million and $3.6 million during the three and nine months ended September 30, 2021, respectively,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9,825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8,269</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9,982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8,426</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7,854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3,390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19,785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10,218</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(9,262)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equipment, net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(4,100)</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(7,744)</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(5,459)</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(13,110)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(3,961)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(9,149)</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(16,056)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(10,941)</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income taxes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(3,265)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(19,648)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(9,210)</w:t>
            </w:r>
          </w:p>
        </w:tc>
        <w:tc>
          <w:tcPr>
            <w:tcW w:w="0" w:type="dxa"/>
            <w:vAlign w:val="bottom"/>
          </w:tcPr>
          <w:p>
            <w:pPr>
              <w:spacing w:after="0"/>
              <w:rPr>
                <w:sz w:val="1"/>
                <w:szCs w:val="1"/>
                <w:color w:val="auto"/>
              </w:rPr>
            </w:pP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(14,084)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(19,442)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(14,084)</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(19,442)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4,594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7,761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10,712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9,336</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9,262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2,766</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3,274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6,312</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15" w:lineRule="auto"/>
        <w:tabs>
          <w:tab w:leader="none" w:pos="188"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September 30, 2021 and 2020: (i) net loss of $(3,789) and $(2,285), (ii) interest expense of $274 and $337, (iii) depreciation and amortization expense of $2,952 and $1,389, (iv) acquisition and transaction expenses of $0 and $(79) and (v) changes in fair value of non-hedge derivative instruments of $8,324 and $1,033, respectively. Includes the following items for the nine months ended September 30, 2021 and 2020: (i) net loss of $(9,262) and $(3,961),</w:t>
      </w:r>
    </w:p>
    <w:p>
      <w:pPr>
        <w:spacing w:after="0" w:line="1" w:lineRule="exact"/>
        <w:rPr>
          <w:rFonts w:ascii="Arial" w:cs="Arial" w:eastAsia="Arial" w:hAnsi="Arial"/>
          <w:sz w:val="19"/>
          <w:szCs w:val="19"/>
          <w:color w:val="auto"/>
          <w:vertAlign w:val="superscript"/>
        </w:rPr>
      </w:pPr>
    </w:p>
    <w:p>
      <w:pPr>
        <w:ind w:left="180" w:hanging="10"/>
        <w:spacing w:after="0" w:line="258" w:lineRule="auto"/>
        <w:tabs>
          <w:tab w:leader="none" w:pos="401" w:val="left"/>
        </w:tabs>
        <w:numPr>
          <w:ilvl w:val="1"/>
          <w:numId w:val="27"/>
        </w:numPr>
        <w:rPr>
          <w:rFonts w:ascii="Arial" w:cs="Arial" w:eastAsia="Arial" w:hAnsi="Arial"/>
          <w:sz w:val="14"/>
          <w:szCs w:val="14"/>
          <w:color w:val="auto"/>
        </w:rPr>
      </w:pPr>
      <w:r>
        <w:rPr>
          <w:rFonts w:ascii="Arial" w:cs="Arial" w:eastAsia="Arial" w:hAnsi="Arial"/>
          <w:sz w:val="14"/>
          <w:szCs w:val="14"/>
          <w:color w:val="auto"/>
        </w:rPr>
        <w:t>interest expense of $748 and $759, (iii) depreciation and amortization expense of $6,677 and $3,797, (iv) acquisition and transaction expenses of $0 and $533, (v) changes in fair value of non-hedge derivative instruments of $12,525 and $248 and (vi) asset impairment of $24 and $0, respectively.</w:t>
      </w:r>
    </w:p>
    <w:p>
      <w:pPr>
        <w:spacing w:after="0" w:line="85" w:lineRule="exact"/>
        <w:rPr>
          <w:rFonts w:ascii="Arial" w:cs="Arial" w:eastAsia="Arial" w:hAnsi="Arial"/>
          <w:sz w:val="14"/>
          <w:szCs w:val="14"/>
          <w:color w:val="auto"/>
        </w:rPr>
      </w:pPr>
    </w:p>
    <w:p>
      <w:pPr>
        <w:jc w:val="both"/>
        <w:ind w:left="180" w:hanging="172"/>
        <w:spacing w:after="0" w:line="225" w:lineRule="auto"/>
        <w:tabs>
          <w:tab w:leader="none" w:pos="179"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September 30, 2021 and 2020: (i) equity-based compensation of $6 and $7, (ii) interest expense of $9 and $10, (iii) depreciation and amortization expense of $79 and $13 and (iv) changes in fair value of non-hedge derivative instruments of $159 and $0, respectively. Includes the following items for the nine months ended September 30, 2021 and 2020: (i) equity-based compensation of $21 and $16, (ii) interest expense of $29 and $36, (iii) depreciation and amortization expense of $231 and $39 and (iv) changes in fair value of non-hedge derivative instruments of $(67) and $0,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 decreased $1.7 million during the three months ended September 30, 2021, primarily due to a loss on butane forward purchase contracts at Repauno.</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 increased $8.4 million during the nine months ended September 30, 2021, primarily due to (i) a gain on butane forward purchase and sale contracts at Repauno and (ii) operations commencing at the LPG facility at Repauno.</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Total expenses increased $4.5 million during the three months ended September 30, 2021 which reflects (i) higher operating expenses of $2.6 million due to increased activity at Repauno and (ii) higher depreciation and amortization of $1.9 million due to operations commencing at the LPG facility and additional assets placed into service at Repauno.</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expenses increased $10.2 million during the nine months ended September 30, 2021 which reflects (i) higher operating expenses of $5.6 million due to increased activity at Repauno and (ii) higher depreciation and amortization of $5.6 million due to operations commencing at the LPG facility and additional assets placed into service at Repauno, partially offset by (iii) lower acquisition and transaction expense of $0.8 million at Long Ridge due to lower professional fees.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expense increased $5.5 million and $9.1 million during the three and nine months ended September 30, 2021, respectively, which reflects an increase in other expense and equity in losses in unconsolidated entities primarily due to unrealized losses on power swaps at Long Ridge.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increased $3.6 million and $6.3 million during the three and nine months ended September 30, 2021,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497F"/>
        </w:rPr>
        <w:t>Transtar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0"/>
                <w:szCs w:val="20"/>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0"/>
                <w:szCs w:val="20"/>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20" w:type="dxa"/>
            <w:vAlign w:val="bottom"/>
          </w:tcPr>
          <w:p>
            <w:pPr>
              <w:spacing w:after="0"/>
              <w:rPr>
                <w:sz w:val="16"/>
                <w:szCs w:val="16"/>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66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24,182</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24,182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24,182</w:t>
            </w:r>
          </w:p>
        </w:tc>
        <w:tc>
          <w:tcPr>
            <w:tcW w:w="6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24,182</w:t>
            </w: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24,540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24,540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24,540</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24,540</w:t>
            </w:r>
          </w:p>
        </w:tc>
        <w:tc>
          <w:tcPr>
            <w:tcW w:w="0" w:type="dxa"/>
            <w:vAlign w:val="bottom"/>
          </w:tcPr>
          <w:p>
            <w:pPr>
              <w:spacing w:after="0"/>
              <w:rPr>
                <w:sz w:val="1"/>
                <w:szCs w:val="1"/>
                <w:color w:val="auto"/>
              </w:rPr>
            </w:pPr>
          </w:p>
        </w:tc>
      </w:tr>
      <w:tr>
        <w:trPr>
          <w:trHeight w:val="236"/>
        </w:trPr>
        <w:tc>
          <w:tcPr>
            <w:tcW w:w="4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12,877</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12,877</w:t>
            </w: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12,877</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851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851</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5,270</w:t>
            </w: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19,035</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19,035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19,035</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19,035</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w:t>
            </w:r>
          </w:p>
        </w:tc>
        <w:tc>
          <w:tcPr>
            <w:tcW w:w="6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5,308</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5,308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5,308</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5,308</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1,128</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1,128</w:t>
            </w:r>
          </w:p>
        </w:tc>
        <w:tc>
          <w:tcPr>
            <w:tcW w:w="6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4,180</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4,180</w:t>
            </w:r>
          </w:p>
        </w:tc>
        <w:tc>
          <w:tcPr>
            <w:tcW w:w="6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4,180</w:t>
            </w:r>
          </w:p>
        </w:tc>
        <w:tc>
          <w:tcPr>
            <w:tcW w:w="0" w:type="dxa"/>
            <w:vAlign w:val="bottom"/>
          </w:tcPr>
          <w:p>
            <w:pPr>
              <w:spacing w:after="0"/>
              <w:rPr>
                <w:sz w:val="1"/>
                <w:szCs w:val="1"/>
                <w:color w:val="auto"/>
              </w:rPr>
            </w:pPr>
          </w:p>
        </w:tc>
      </w:tr>
      <w:tr>
        <w:trPr>
          <w:trHeight w:val="133"/>
        </w:trPr>
        <w:tc>
          <w:tcPr>
            <w:tcW w:w="41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w:t>
            </w:r>
          </w:p>
        </w:tc>
        <w:tc>
          <w:tcPr>
            <w:tcW w:w="2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4,180</w:t>
            </w:r>
          </w:p>
        </w:tc>
        <w:tc>
          <w:tcPr>
            <w:tcW w:w="120" w:type="dxa"/>
            <w:vAlign w:val="bottom"/>
          </w:tcPr>
          <w:p>
            <w:pPr>
              <w:spacing w:after="0"/>
              <w:rPr>
                <w:sz w:val="15"/>
                <w:szCs w:val="15"/>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4,180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4,180</w:t>
            </w:r>
          </w:p>
        </w:tc>
        <w:tc>
          <w:tcPr>
            <w:tcW w:w="66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4,180</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4,180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4,180</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1,128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1,128</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851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851</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5,270</w:t>
            </w: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11,466</w:t>
            </w:r>
          </w:p>
        </w:tc>
        <w:tc>
          <w:tcPr>
            <w:tcW w:w="120" w:type="dxa"/>
            <w:vAlign w:val="bottom"/>
          </w:tcPr>
          <w:p>
            <w:pPr>
              <w:spacing w:after="0"/>
              <w:rPr>
                <w:sz w:val="15"/>
                <w:szCs w:val="15"/>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11,466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11,466</w:t>
            </w:r>
          </w:p>
        </w:tc>
        <w:tc>
          <w:tcPr>
            <w:tcW w:w="66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11,466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All variances during the three and nine months ended September 30, 2021 reflect our acquisition of Transtar in July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2,850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5,236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3,308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8,870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804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4,004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6,040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4,279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12,874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15,041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(2,167)</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6,792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6,248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19,149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5,421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9,431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7,800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2,106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6,257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50,100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25,119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24,981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115,604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63,289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52,315</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72,686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42,555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30,131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174,718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115,770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58,948</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(2,778)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(66,572)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(38,228)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(164,622)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(100,752)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(63,870)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(66,572)</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(38,268)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(28,304)</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(164,548)</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(100,995)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(63,553)</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17,967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20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(73,363)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(42,893)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(30,470)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(182,515)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(114,238)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(68,277)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(73,363)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(42,893)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(30,470)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(182,515)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(114,238)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(68,277)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5,421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9,431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7,800</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50,100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115,604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52,315</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(15,791)</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(15,437)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(48,440)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(43,197)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(5,243)</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September 30, 2021 and 2020: (i) net loss of $(5) and $(58) and (ii) interest expense of $26 and $30, respectively.</w:t>
      </w:r>
    </w:p>
    <w:p>
      <w:pPr>
        <w:ind w:left="180"/>
        <w:spacing w:after="0"/>
        <w:rPr>
          <w:rFonts w:ascii="Arial" w:cs="Arial" w:eastAsia="Arial" w:hAnsi="Arial"/>
          <w:sz w:val="16"/>
          <w:szCs w:val="16"/>
          <w:color w:val="auto"/>
          <w:vertAlign w:val="superscript"/>
        </w:rPr>
      </w:pPr>
      <w:r>
        <w:rPr>
          <w:rFonts w:ascii="Arial" w:cs="Arial" w:eastAsia="Arial" w:hAnsi="Arial"/>
          <w:sz w:val="14"/>
          <w:szCs w:val="14"/>
          <w:color w:val="auto"/>
        </w:rPr>
        <w:t>Includes the following items for the nine months ended September 30, 2021 and 2020: (i) net loss of $(24) and $(200) and (ii) interest expense of $79 and $89,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$1.8 million during the three months ended September 30, 2021, primarily due to an increase of $1.9 million in the offshore energy business which reflects higher victualling income on one of our vessels.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decreased $2.2 million during the nine months ended September 30, 2021, primarily due to a decrease of $2.5 million in the offshore energy business as one of our vessels was on hire longer in 2020 compared to 2021.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$30.1 million primarily due to higher (i) interest expense and (ii) acquisition and transaction expenses.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expense increased $25.0 million, which reflects an increase in the average outstanding debt of approximately $892.7 million due to increases in (i) the Senior Notes due 2028 of $667.5 million, (ii) the Bridge Loans (as defined in Note 8) of $433.3 million, (iii) the Senior Notes due 2025 of $406.8 million and (iv) the Revolving Credit Facility (as defined below in Liquidity and Capital Resources) of $83.3 million, partially offset by a decrease in (v) the Senior Notes due 2022 of $698.3 million, which was redeemed in full in May 2021.</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increased $5.1 million, primarily due to professional fees related to the acquisition of Transtar in July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2021 and 2020</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$58.9 million primarily due to higher (i) interest expense and (ii) acquisition and transaction expense, partially offset by lower (iii) management fees and incentive allocation to affiliate.</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expense increased $52.3 million, which reflects an increase in the average outstanding debt of approximately $688.8 million primarily due to increases in (i) the Senior Notes due 2025 of $407.1 million, (ii) the Senior Notes due 2028 of $389.2 million, (iii) the Senior Notes due 2027 of $266.7 million, (iv) the Bridge Loans of $144.4 million and (v) the Revolving Credit Facility of $10.0 million, partially offset by a decrease in (vi) the Senior Notes due 2022 of $520.7 million, which was redeemed in full in May 2021.</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increased $7.8 million, primarily due to professional fees related to the acquisition of Transtar in July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2" w:name="page63"/>
    <w:bookmarkEnd w:id="62"/>
    <w:p>
      <w:pPr>
        <w:jc w:val="both"/>
        <w:spacing w:after="0" w:line="260" w:lineRule="auto"/>
        <w:rPr>
          <w:sz w:val="20"/>
          <w:szCs w:val="20"/>
          <w:color w:val="auto"/>
        </w:rPr>
      </w:pPr>
      <w:r>
        <w:rPr>
          <w:rFonts w:ascii="Arial" w:cs="Arial" w:eastAsia="Arial" w:hAnsi="Arial"/>
          <w:sz w:val="16"/>
          <w:szCs w:val="16"/>
          <w:color w:val="auto"/>
        </w:rPr>
        <w:t>Management fees and incentive allocation to affiliate decreased $2.2 million, which reflects a decrease in the base management fee as our average total equity is lower in 2021 compared to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expense increased $2.8 million during the nine months ended September 30, 2021, primarily due to (i) a loss on extinguishment of debt of $3.3 million related to the redemption of the Senior Notes due 2022 in May 2021, partially offset by (ii) an increase of $0.5 million in equity in earnings of unconsolidated entities.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decreased $0.4 million and $5.2 million during the three and nine months ended September 30, 2021, respectively, primarily due to the changes noted above.</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April 2021, we issued $500 million aggregate principal amount of senior unsecured notes due 2028 (see Note 10 to the consolidated financial statements). On May 7, 2021, we used a portion of the net proceeds to redeem in full the Senior Notes due 2022, which totaled $400 million aggregate principal plus accrued and unpaid interest.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2021, we entered into a senior unsecured bridge term loan facility (the “Bridge Loans”) in an aggregate principal amount of $650 million in order to finance the acquisition of Transtar, which closed on July 28, 2021. We issued new equity and debt in September 2021, as described below, and repaid in full the Bridge Loans.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2021, Jefferson issued $425 million aggregate principal amount of Series 2021 Bonds (see Note 10 to the consolidated financial statements). Jefferson used a portion of the net proceeds from the Series 2021 Bonds to repay certain indebtedness, and intend to use a portion of the net proceeds to pay for or reimburse the cost of development, construction and acquisition of certain facilities.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September 2021, we issued 12,000,000 common shares and received net proceeds of approximately $291.7 million after deducting underwriting discounts and offering expenses (see Note 20 to the consolidated financial statements). The proceeds were used to repay a portion of the Bridge Loans. Additionally, in October 2021, the underwriters exercised an option to purchase an additional 1,283,863 common shares and we received net proceeds of approximately $31 million.</w:t>
      </w:r>
    </w:p>
    <w:p>
      <w:pPr>
        <w:spacing w:after="0" w:line="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September 2021, we issued an additional $500 million aggregate principal amount of the Senior Notes due 2028 (see Note 10 to the consolidated financial statements). We used a portion of the net proceeds to repay in full the Bridge Loans.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93" w:lineRule="exact"/>
        <w:rPr>
          <w:sz w:val="20"/>
          <w:szCs w:val="20"/>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$484.7 million and $470.3 million during the nine months ended September 30, 2021 and 2020, respectively.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used for the acquisition of a business, net of cash acquired was $627.4 million during the nine months ended September 30, 2021.</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$103.2 million and $98.4 million during the nine months ended September 30, 2021 and 2020,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flows provided from operating activities, plus the principal collections on finance leases and maintenance reserve collections were $4.1 million and $60.5 million during the nine months ended September 30, 2021 and 2020, respectively.</w:t>
      </w:r>
    </w:p>
    <w:p>
      <w:pPr>
        <w:spacing w:after="0" w:line="87" w:lineRule="exact"/>
        <w:rPr>
          <w:rFonts w:ascii="Arial" w:cs="Arial" w:eastAsia="Arial" w:hAnsi="Arial"/>
          <w:sz w:val="16"/>
          <w:szCs w:val="16"/>
          <w:color w:val="auto"/>
        </w:rPr>
      </w:pPr>
    </w:p>
    <w:p>
      <w:pPr>
        <w:jc w:val="both"/>
        <w:ind w:left="660" w:hanging="328"/>
        <w:spacing w:after="0" w:line="25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nine months ended September 30, 2021, additional borrowings were obtained in connection with the (i) Senior Notes due 2028 of $1,002.5 million, (ii) Bridge Loans of $650.0 million, (iii) Revolving Credit Facility of $450.0 million, (iv) Series 2021 Bonds of $425.0 million and (v) EB-5 Loan Agreement of $26.1 million. We made total principal repayments of $1,452.7 million relating to the Bridge Loans, Senior Notes due 2022 and Revolving Credit Facility. During the nine months ended September 30, 2020, additional borrowings were obtained in connection with the (i) 2027 Notes of $400.0 million, (ii) Series 2020 Bonds of $264.0 million and (iii) Revolving Credit Facility of $220.0 million. We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3" w:name="page64"/>
    <w:bookmarkEnd w:id="63"/>
    <w:p>
      <w:pPr>
        <w:ind w:left="660"/>
        <w:spacing w:after="0" w:line="260" w:lineRule="auto"/>
        <w:rPr>
          <w:sz w:val="20"/>
          <w:szCs w:val="20"/>
          <w:color w:val="auto"/>
        </w:rPr>
      </w:pPr>
      <w:r>
        <w:rPr>
          <w:rFonts w:ascii="Arial" w:cs="Arial" w:eastAsia="Arial" w:hAnsi="Arial"/>
          <w:sz w:val="16"/>
          <w:szCs w:val="16"/>
          <w:color w:val="auto"/>
        </w:rPr>
        <w:t>made total principal repayments of $496.0 million relating to the Revolving Credit Facility, Series 2016 Bonds, Series 2012 Bonds, Jefferson Revolver and FTAI Pride Credit Agreement.</w:t>
      </w:r>
    </w:p>
    <w:p>
      <w:pPr>
        <w:spacing w:after="0" w:line="87"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Proceeds from the sale of assets were $78.5 million and $53.7 million during the nine months ended September 30, 2021 and 2020, respectively.</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Proceeds from the issuance of common shares, net of underwriter’s discount and issuance costs were $291.8 million during the nine months ended September 30, 2021.</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$101.2 million and $20.2 million during the nine months ended September 30, 2021 and 2020, respectively.</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other than the acquisition of Transtar, LLC, none of these transactions or negotiations are definitive or included within our planned liquidity needs. We cannot assure if or when any such transaction will be consummated or the terms of any such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nine months ended September 30,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nine months ended September 30,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6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(20,708)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28,393</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(1,030,280)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(407,193)</w:t>
            </w:r>
          </w:p>
        </w:tc>
      </w:tr>
      <w:tr>
        <w:trPr>
          <w:trHeight w:val="190"/>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1,349,020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299,689</w:t>
            </w:r>
          </w:p>
        </w:tc>
      </w:tr>
    </w:tbl>
    <w:p>
      <w:pPr>
        <w:spacing w:after="0" w:line="2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used in operating activities increased $49.1 million, which primarily reflects (i) an increase in our net loss of $66.9 million primarily due to higher interest expense and operating expenses and (ii) changes in working capital of $31.5 million.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used in investing activities increased $623.1 million, primarily due to (i) our acquisition of Transtar, (ii) an increase in investments in unconsolidated entities of $50.1 million, (iii) an increase in acquisitions of leasing equipment of $46.7 million, partially offset by (iv) a decrease in acquisitions of property, plant and equipment of $100.3 million and (v) lower proceeds from the sale of leasing equipment of $24.8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financing activities increased $1,049.3 million, primarily due to (i) an increase in proceeds from debt of $1,669.6 million, (ii) an increase in proceeds from the issuance of common shares of $291.8 million and (iii) an increase in proceeds from the issuance of preferred shares of $81.0 million, partially offset by (iv) an increase in repayments of debt of $956.7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(Used in) Provided by Operating Activities to FAD: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28,393</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1,707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7,001</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78,463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53,707</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26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26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62,637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94,101</w:t>
            </w: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122,099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183,202</w:t>
            </w:r>
          </w:p>
        </w:tc>
      </w:tr>
      <w:tr>
        <w:trPr>
          <w:trHeight w:val="21"/>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5" w:lineRule="auto"/>
        <w:tabs>
          <w:tab w:leader="none" w:pos="158"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Required payments on debt obligations for the nine months ended September 30, 2021 exclude repayments of $650,000 for the Bridge Loans, $400,000 for the Revolving Credit Facility and $402,704 for the Senior Notes due 2022 and for the nine months ended September 30, 2020 exclude repayments of $220,000 for the Revolving Credit Facility, $144,200 for the Series 2016 Bonds, $50,262 for the Jefferson Revolver, $45,520 for the Series 2012 Bonds and $36,009 for the FTAI Pride Credit Agreement.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4" w:lineRule="exact"/>
        <w:rPr>
          <w:sz w:val="20"/>
          <w:szCs w:val="20"/>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10 of the Consolidated Financial Statements for additional information.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future obligations, by period due, as of September 30, 2021, under our various contractual obligations and commitments.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had no off-balance sheet arrangements as of September 30, 2021.</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Thereafter</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184,920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Series 2021 Bonds</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425,000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425,000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Revolver</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EB-5 Loan Agreement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26,100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Senior Notes due 2028</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3"/>
        </w:trPr>
        <w:tc>
          <w:tcPr>
            <w:tcW w:w="29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principal payments on loans and bonds</w:t>
            </w: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929,060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2,036,020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3,040,080</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w:t>
            </w: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441,064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1,168,497</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Third-party obligations </w:t>
            </w:r>
            <w:r>
              <w:rPr>
                <w:rFonts w:ascii="Arial" w:cs="Arial" w:eastAsia="Arial" w:hAnsi="Arial"/>
                <w:sz w:val="18"/>
                <w:szCs w:val="18"/>
                <w:color w:val="auto"/>
                <w:vertAlign w:val="superscript"/>
              </w:rPr>
              <w:t>(2)</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16,016</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obligations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148,455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183,721</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183"/>
        </w:trPr>
        <w:tc>
          <w:tcPr>
            <w:tcW w:w="29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44,674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196,126</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186,752</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184,324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168,973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589,519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1,370,368</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69,674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246,126</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186,752</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184,324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1,098,033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2,625,539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4,410,448</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Estimated interest rates as of September 30, 2021.</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Relates to a two-year pipeline capacity agreement at Jefferson Terminal.</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The carrying amount of goodwill was approximately $239.9 million and $122.7 million as of September 30, 2021 and December 31, 2020. The increase in goodwill was due to our acquisition of Transtar in July 2021.</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quantitative impairment test is performed to identify potential goodwill impairment and measure an impairment loss. A qualitative analysis was not elected for the year ended December 31, 2020.</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Beginning in 2020, we adopted new guidance regarding the testing and recognition of a goodwill impairment which prior to 2020 required two steps. 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of any goodwill recorded in the reporting unit.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jc w:val="both"/>
        <w:spacing w:after="0" w:line="251" w:lineRule="auto"/>
        <w:rPr>
          <w:sz w:val="20"/>
          <w:szCs w:val="20"/>
          <w:color w:val="auto"/>
        </w:rPr>
      </w:pPr>
      <w:r>
        <w:rPr>
          <w:rFonts w:ascii="Arial" w:cs="Arial" w:eastAsia="Arial" w:hAnsi="Arial"/>
          <w:sz w:val="16"/>
          <w:szCs w:val="16"/>
          <w:color w:val="auto"/>
        </w:rPr>
        <w:t>We estimate the fair value of the reporting units using an income approach, specifically a discounted cash flow analysis. This analysis requires us to make significant assumptions and estimates about the extent and timing of future cash flows (including forecasted revenue growth rates and EBITDA margins), capital expenditures and discount rates. The estimates and assumptions used consider historical performance if indicative of future performance, and are consistent with the assumptions used in determining future profit plans for the reporting units.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reporting unit or other key inputs are negatively revised in the future, the estimated fair value of the Jefferson Terminal reporting unit could be adversely impacted, potentially leading to an impairment in the future that could materially affect our operating results. The Jefferson Terminal segment forecasted revenue is dependent on the ramp up of volumes under current and expected future contracts for storage of heavy and light crude and refined products during 2021 and beyond subject to obtaining rail capacity for crude, expansion of refined product distribution to Mexico and movements in future oil spreads. Jefferson Terminal was designed to reach a storage capacity of 21.7 million barrels, and 4.4 million of storage, or approximately 20.3%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effect long term refining planned output could impact Jefferson Terminal operations. Other assumptions utilized in our annual impairment analysis that are significant in determination of the fair value of the reporting unit include the discount rate utilized in our discounted cash flow analysis of 13.5% and our terminal growth rate of 2%.</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both inbound and outbound pipelines projects are becoming fully operational early in 2021 to and from the Jefferson Terminal and will affect our forecasted growth and therefore our estimated fair value. We expect the Jefferson Terminal segment to continue to generate positive Adjusted EBITDA during 2021. Although certain of our anticipated contracts or expected volumes from existing contracts for Jefferson Terminal have been delayed, we continue to believe our projected revenues are achievable. Further delays in executing these contracts or achieving our projections could adversely affect the fair value of the reporting unit. The impact of the COVID-19 global pandemic during 2020 certainly negatively affected refining volumes and therefore Jefferson Terminal crude throughput but we anticipate the impact to normalize over 2021 and ramp back to normal levels by 2022. Furthermore, we anticipate strengthening macroeconomic demand for storage and the increasing spread between Western Canadian Crude and Western Texas Intermediate as Canadian crude pipeline apportionment increases and our pipeline connections become fully operational during 2021, we remain positive for the outlook of Jefferson Terminal’s earnings potential.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goodwill for the year ended December 31,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On March 5, 2021, the IBA Benchmark Administration confirmed its intention to cease publication of (i) one week and two month USD LIBOR settings after December 31, 2021 and (ii) the remaining USD LIBOR settings after June 30, 2023. We currently have agreements that are indexed to LIBOR and are monitoring related reform proposals and evaluating the related risks; however, it is not possible to predict the effects of any of these developments, and any future initiatives to regulate, reform or change the manner of administration of LIBOR could result in adverse consequences to the rate of interest payable and receivable on, market value of and market liquidity for LIBOR-based financial instruments.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may elect to manage our exposure to interest rate movements through the use of interest rate derivatives (interest rate swaps and caps).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7" w:name="page68"/>
    <w:bookmarkEnd w:id="67"/>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 In addition, the following discussion does not take into account our Series A preferred shares, on which distributions currently accrue interest at a fixed rate but will accrue interest at a floating rate based on three-month LIBOR plus a spread from and after September 15,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2021, assuming we do not hedge our exposure to interest rate fluctuations related to our outstanding floating rate debt, a hypothetical 100-basis point increase/decrease in our variable interest rate on our borrowings would result in an increase of approximately $0.2 million or an immaterial decrease in interest expense over the next 12 months.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28, 2021, we completed the acquisition of Transtar. Our management is in the process of reviewing the operations of Transtar, and implementing our internal control structure over the operations of the recently acquired entity; however, we will elect to exclude Transtar when conducting our annual evaluation of the effectiveness of internal controls over financial reporting, as permitted by applicable regulations.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for the preceding changes, there have not been any other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risks related to our common shares and general risks. However, these categories do overlap and should not be considered exclusive.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COVID-19 pandemic has severely disrupted the global economy and may have, and the emergence of similar crises could have, material adverse effects on our business, results of operations or financial condition.</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ongoing COVID-19 pandemic has led to severe disruptions in the market and the global, U.S. and regional economies that may continue for a prolonged duration and trigger a recession or a period of economic slowdown. In response, various governmental bodies and private enterprises have implemented numerous measures to mitigate the outbreak, such as travel bans and restrictions, quarantines, shelter-in-place orders and shutdowns. The COVID-19 outbreak continues to be dynamic and evolving, including a resurgence of COVID-19 cases in certain geographies, and its ultimate scope, duration, effects and the availability of vaccines remain uncertain.</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industry and customers, which in turn may impact our business, results of operations and financial condition. Effects of the current pandemic include, or may include, among others:</w:t>
      </w:r>
    </w:p>
    <w:p>
      <w:pPr>
        <w:spacing w:after="0" w:line="33" w:lineRule="exact"/>
        <w:rPr>
          <w:sz w:val="20"/>
          <w:szCs w:val="20"/>
          <w:color w:val="auto"/>
        </w:rPr>
      </w:pPr>
    </w:p>
    <w:p>
      <w:pPr>
        <w:jc w:val="both"/>
        <w:ind w:left="660" w:hanging="328"/>
        <w:spacing w:after="0" w:line="257"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further reduce or prolong the recent significant declines in energy prices, or adversely affect global demand for crude oil and petroleum products, demand for our services, and time charter and spot rates;</w:t>
      </w:r>
    </w:p>
    <w:p>
      <w:pPr>
        <w:spacing w:after="0" w:line="226"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such as the availability and efficacy of vaccines, on our employees and crew, and on the workforces of our customers and business partners;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our lessees;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delays in the loading and discharging of cargo on or from our vessels, and any related off hire due to quarantines, worker health or regulations, which in turn could disrupt our operations and result in a reduction of revenue;</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reduced access to capital, including the ability to refinance any existing obligations, as a result of any credit tightening generally or due to continued declines in global financial markets, including to the prices of publicly-traded securities of us, our peers and of listed companies generally;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disruption and effects from the COVID-19 pandemic may be temporary, given the dynamic nature of these circumstances, the duration of any business disruption and the related financial impact to us is uncertain at this time and could materially affect our business, results of operations and financial condition. The ongoing impact of COVID-19 also heightens many of the other risks described in this report, including those relating to our target returns, liquidity and asset values.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9" w:name="page70"/>
    <w:bookmarkEnd w:id="69"/>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0" w:name="page71"/>
    <w:bookmarkEnd w:id="70"/>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86"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2" w:name="page73"/>
    <w:bookmarkEnd w:id="72"/>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Department of Transportation (DOT), the Occupational Safety and Health Act (OSHA), the U.S. Federal Railroad Administration (FRA), and the U.S. Surface Transportation Board (STB), as well as numerous other state, provincial, local and federal agencies. Ongoing compliance with, or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16"/>
          <w:szCs w:val="16"/>
          <w:color w:val="auto"/>
        </w:rPr>
        <w:t>a violation of, these laws, regulations and other requirements could have a material adverse effect on our business, financial condition and results of operations.</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difficulties, strikes, lockouts or bottlenecks, could adversely impact our customers’ ability to move their product and, as a result, could affect our business.</w:t>
      </w:r>
    </w:p>
    <w:p>
      <w:pPr>
        <w:spacing w:after="0" w:line="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derailments, major plant breakdowns, pipeline or electricity line ruptures or other disasters.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5" w:name="page76"/>
    <w:bookmarkEnd w:id="75"/>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7"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foreign currencies, may, if not appropriately hedged by us, have a material adverse effect on us and increase the volatility of our earnings.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7"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9" w:name="page80"/>
    <w:bookmarkEnd w:id="79"/>
    <w:p>
      <w:pPr>
        <w:jc w:val="both"/>
        <w:spacing w:after="0" w:line="248" w:lineRule="auto"/>
        <w:rPr>
          <w:sz w:val="20"/>
          <w:szCs w:val="20"/>
          <w:color w:val="auto"/>
        </w:rPr>
      </w:pPr>
      <w:r>
        <w:rPr>
          <w:rFonts w:ascii="Arial" w:cs="Arial" w:eastAsia="Arial" w:hAnsi="Arial"/>
          <w:sz w:val="16"/>
          <w:szCs w:val="16"/>
          <w:color w:val="auto"/>
        </w:rPr>
        <w:t>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expected discontinuation of the LIBOR benchmark interest rate may have an impact on our business.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As a result, LIBOR may be discontinued after 2021. The FCA and the submitting LIBOR banks have indicated they will support the LIBOR indices through 2021 to allow for an orderly transition to an alternative reference rate. Financial services regulators and industry groups are evaluating the phase-out of LIBOR and the development of alternate reference rate indices or reference rates.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On March 5, 2021, the IBA Benchmark Administration confirmed its intention to cease publication of (i) one week and two month USD LIBOR settings after December 31, 2021 and (ii) the remaining USD LIBOR settings after June 30, 2023.</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 as the transition away from LIBOR is anticipated to be gradual over the coming years.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September 30, 2021, we had $75.0 million of total debt outstanding under facilities with interest rates based on floating-rate indices. We cannot predict what reference rate would be agreed upon or what the impact of any such replacement rate would be to our interest expense. Potential changes to the underlying floating-rate indices and reference rates may have an adverse impact on our agreements indexed to LIBOR and could have a negative impact on our profitability and cash flows.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or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0" w:name="page81"/>
    <w:bookmarkEnd w:id="80"/>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Acquisition of Transtar, LLC</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acquisition of Transtar, LLC (“Transtar”) may not achieve its intended results and we may be unable to successfully integrate the operations of Transtar.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28, 2021, we completed our previously announced acquisition of 100% of the equity interests of Transtar (the “Transtar Acquisition”), a wholly-owned short-line railroad subsidiary of United States Steel Corporation (the “Seller”). Transtar is comprised of five short-line freight railroads and one switching company, including two that connect to Seller’s largest production facilities in North America: the Gary Railway Company, Indiana; The Lake Terminal Railroad Company, Ohio; Union Railroad Company LLC, Pennsylvania; Fairfield Southern Company Inc., Alabama (switching company); Delray Connecting Railroad Company, Michigan; and the Texas &amp; Northern Railroad Company, Texas. We are subject to certain risks relating to the Transtar Acquisition, which could have a material adverse effect on our business, results of operations and financial condition. Such risks may include, but are not limited to:</w:t>
      </w:r>
    </w:p>
    <w:p>
      <w:pPr>
        <w:spacing w:after="0" w:line="286"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failure to successfully integrate Transtar in a manner that permits us to realize the anticipated benefits of the acquisition;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difficulties and delays integrating Transtar’s personnel, operations and systems and retaining key employees;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higher than anticipated costs incurred in connection with the integration of the business and operations of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challenges in operating and managing rail lines across geographically disparate regions;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disruptions to our ongoing business and diversions of our management’s attention caused by transition or integration activities involving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challenges with implementing adequate and appropriate controls, procedures and policies in Transtar’s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Transtar’s dependence on the Seller as its primary customer;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difficulties expanding our customer base;</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difficulties arising from Transtar’s dependence on the Seller to provide a variety of necessary transition services to Transtar and any failure by the Seller to adequately provide such services;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assumption of pre-existing contractual relationships of Transtar that we may not have otherwise entered into, the termination or modification of which may be costly or disruptive to our business;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incurring debt to finance the Transtar Acquisition, which increased our debt service requirements, expense and leverage;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potential litigation arising from the transaction;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risks described in Part II, Item 1A, “Risk Factors” of this Quarterly Report on Form 10-Q.</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successful integration of a new business also depends on our ability to manage the new business, realize forecasted synergies and full value from the combined business. Our business, results of operations, financial condition and cash flows could be materially adversely affected if we are unable to successfully integrate Transtar.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Aviation, Jefferson, Repauno and Long Ridge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Florida East Coast Industries, LLC (“FECI”) and FYX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and FYX. Although we have the same Manager, we may compete with entities affiliated with our Manager or Fortress, including Seacastle Inc., FECI and FYX,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including, but not limited to, a potential spin-off of our infrastructure business,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2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jc w:val="both"/>
        <w:spacing w:after="0" w:line="248" w:lineRule="auto"/>
        <w:rPr>
          <w:sz w:val="20"/>
          <w:szCs w:val="20"/>
          <w:color w:val="auto"/>
        </w:rPr>
      </w:pPr>
      <w:r>
        <w:rPr>
          <w:rFonts w:ascii="Arial" w:cs="Arial" w:eastAsia="Arial" w:hAnsi="Arial"/>
          <w:sz w:val="16"/>
          <w:szCs w:val="16"/>
          <w:color w:val="auto"/>
        </w:rPr>
        <w:t>addition, we may engage (subject to our strategy) in material transactions with our Manager or another entity managed by our Manager or one of its affiliates, including Seacastle Inc., FECI and FYX,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As part of our continuing efforts to provide value to our shareholders, we are currently considering a spin-off of our infrastructure business from the remainder of our asset portfolio. Our board has not formally evaluated any such transaction, and there can be no assurance as to the timing, terms, structure or completion of any such transaction. Any such transaction would be subject to a number of risks and uncertainties, could have tax implications for the holders of our common shares, and could adversely affect the price of our common shares and our liquidity. As part of our continuing efforts to provide value to our shareholders, we are currently considering a spin-off of our infrastructure business from the remainder of our asset portfolio. Our board has not formally evaluated any such transaction, and there can be no assurance as to the timing, terms, structure or completion of any such transaction. Any such transaction would be subject to a number of risks and uncertainties, could have tax implications for the holders of our common shares, and could adversely affect the price of our common shares and our liquidity.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3" w:name="page84"/>
    <w:bookmarkEnd w:id="83"/>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Such shareholders may not receive cash dividends equal to their allocable share of our net taxable income or even the tax liability that results from that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shareholders could be subject to income inclusions in respect of the "global intangible low-taxed income" of the CFC. Treasury regulations have been proposed that, if finalized, will generally have the effect of limiting certain adverse consequences of the CFC rules to shareholders treated for U.S. federal income tax purposes as owning indirectly or constructively (including through other partnerships) stock possessing 10% or more of the voting power or value of such CFCs. Taxpayers are permitted to rely, and we intend to rely, on such proposed regulations.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to certain “excess distributions” from the PFIC and gain realized upon the direct or indirect sale of the PFIC (including through the sale our common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holders of our preferred shares are generally not anticipated to share in our items of income, gain, loss or deduction, nor are they anticipated to be allocated any share of our nonrecourse liabilities. If our preferred shares were treated as indebtedness for tax purposes, rather than as guaranteed payments for the use of capital, distributions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Tax Cuts and Jobs Act (the “TCJA”), which is generally effective for taxable years beginning after December 31, 2017, amended the Code in a manner that significantly changed the taxation of individuals and business entities, including with respect to the taxation of offshore earnings and the deductibility of interest. In some cases, there is still uncertainty around the scope and application of the TCJA that may be addressed in future guidance issued by the U.S. Department of Treasury and the IRS. Some of the changes could adversely affect our business and financial condition and the value of our shares. The Coronavirus Aid, Relief, and Economic Security Act (the “CARES Act”), which was enacted on March 27, 2020, temporarily modifies some provisions of the TCJA.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5" w:name="page86"/>
    <w:bookmarkEnd w:id="85"/>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on gain at the highest marginal U.S. federal income tax rates applicable to ordinary income.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 cause an ownership change in one or more of our corporate subsidiaries. Sales of our shares by our shareholders, as well as future issuances of our shares, could contribute to a potential ownership change in our corporate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7" w:name="page88"/>
    <w:bookmarkEnd w:id="87"/>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This differs from the rules that apply for taxable years beginning before January 1, 2018, which generally provide that tax adjustments only affect the persons who were shareholders in the tax year in which the item was reported on our tax return. The manner in which these rules apply is uncertain and in many respects depends on the promulgation of future regulations or other guidance by the U.S. Treasury Department or the IRS.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95"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whether we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starting with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3,774,624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9" w:name="page90"/>
    <w:bookmarkEnd w:id="89"/>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September 30, 2021, rights relating to 3,609,356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dividends on or repurchasing our common shares or other junior capital unless all accrued distributions on such preferred shares have been paid in full.</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006EBF"/>
        </w:rPr>
        <w:t>Item 6. Exhibits</w:t>
      </w:r>
    </w:p>
    <w:p>
      <w:pPr>
        <w:spacing w:after="0" w:line="59" w:lineRule="exact"/>
        <w:rPr>
          <w:sz w:val="20"/>
          <w:szCs w:val="20"/>
          <w:color w:val="auto"/>
        </w:rPr>
      </w:pPr>
    </w:p>
    <w:p>
      <w:pPr>
        <w:ind w:left="58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71995" cy="300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71995" cy="300355"/>
                    </a:xfrm>
                    <a:prstGeom prst="rect">
                      <a:avLst/>
                    </a:prstGeom>
                    <a:noFill/>
                  </pic:spPr>
                </pic:pic>
              </a:graphicData>
            </a:graphic>
          </wp:anchor>
        </w:drawing>
      </w:r>
    </w:p>
    <w:p>
      <w:pPr>
        <w:spacing w:after="0" w:line="40" w:lineRule="exact"/>
        <w:rPr>
          <w:sz w:val="20"/>
          <w:szCs w:val="20"/>
          <w:color w:val="auto"/>
        </w:rPr>
      </w:pPr>
    </w:p>
    <w:p>
      <w:pPr>
        <w:jc w:val="both"/>
        <w:ind w:left="1480" w:hanging="343"/>
        <w:spacing w:after="0" w:line="219" w:lineRule="auto"/>
        <w:tabs>
          <w:tab w:leader="none" w:pos="1460" w:val="left"/>
        </w:tabs>
        <w:rPr>
          <w:rFonts w:ascii="Arial" w:cs="Arial" w:eastAsia="Arial" w:hAnsi="Arial"/>
          <w:sz w:val="14"/>
          <w:szCs w:val="14"/>
          <w:color w:val="0000FF"/>
        </w:rPr>
      </w:pPr>
      <w:hyperlink r:id="rId102">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18" w:lineRule="exact"/>
        <w:rPr>
          <w:sz w:val="20"/>
          <w:szCs w:val="20"/>
          <w:color w:val="auto"/>
        </w:rPr>
      </w:pPr>
    </w:p>
    <w:p>
      <w:pPr>
        <w:ind w:left="1480" w:right="140" w:hanging="343"/>
        <w:spacing w:after="0" w:line="229" w:lineRule="auto"/>
        <w:tabs>
          <w:tab w:leader="none" w:pos="1460" w:val="left"/>
        </w:tabs>
        <w:rPr>
          <w:rFonts w:ascii="Arial" w:cs="Arial" w:eastAsia="Arial" w:hAnsi="Arial"/>
          <w:sz w:val="14"/>
          <w:szCs w:val="14"/>
          <w:color w:val="0000FF"/>
        </w:rPr>
      </w:pPr>
      <w:hyperlink r:id="rId103">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line="226" w:lineRule="auto"/>
        <w:tabs>
          <w:tab w:leader="none" w:pos="1460" w:val="left"/>
        </w:tabs>
        <w:rPr>
          <w:rFonts w:ascii="Arial" w:cs="Arial" w:eastAsia="Arial" w:hAnsi="Arial"/>
          <w:sz w:val="14"/>
          <w:szCs w:val="14"/>
          <w:color w:val="0000FF"/>
        </w:rPr>
      </w:pPr>
      <w:hyperlink r:id="rId105">
        <w:r>
          <w:rPr>
            <w:rFonts w:ascii="Arial" w:cs="Arial" w:eastAsia="Arial" w:hAnsi="Arial"/>
            <w:sz w:val="14"/>
            <w:szCs w:val="14"/>
            <w:u w:val="single" w:color="auto"/>
            <w:color w:val="0000FF"/>
          </w:rPr>
          <w:t>3.2</w:t>
        </w:r>
      </w:hyperlink>
      <w:r>
        <w:rPr>
          <w:rFonts w:ascii="Arial" w:cs="Arial" w:eastAsia="Arial" w:hAnsi="Arial"/>
          <w:sz w:val="14"/>
          <w:szCs w:val="14"/>
          <w:color w:val="0000FF"/>
        </w:rPr>
        <w:tab/>
        <w:t>Fourth Amended and Restated Limited Liability Company Agreement of Fortress Transportation and Infrastructure Investors LLC, dated as of March</w:t>
      </w:r>
    </w:p>
    <w:p>
      <w:pPr>
        <w:ind w:left="1480"/>
        <w:spacing w:after="0"/>
        <w:rPr>
          <w:sz w:val="20"/>
          <w:szCs w:val="20"/>
          <w:color w:val="auto"/>
        </w:rPr>
      </w:pPr>
      <w:r>
        <w:rPr>
          <w:rFonts w:ascii="Arial" w:cs="Arial" w:eastAsia="Arial" w:hAnsi="Arial"/>
          <w:sz w:val="14"/>
          <w:szCs w:val="14"/>
          <w:color w:val="auto"/>
        </w:rPr>
        <w:t>25, 2021 (incorporated by reference to Exhibit 3.2 to Fortress Transportation and Infrastructure Investors LLC’s Form 8-A, filed March 25, 2021).</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5">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w:t>
      </w:r>
    </w:p>
    <w:p>
      <w:pPr>
        <w:ind w:left="1480"/>
        <w:spacing w:after="0"/>
        <w:rPr>
          <w:sz w:val="20"/>
          <w:szCs w:val="20"/>
          <w:color w:val="auto"/>
        </w:rPr>
      </w:pPr>
      <w:r>
        <w:rPr>
          <w:rFonts w:ascii="Arial" w:cs="Arial" w:eastAsia="Arial" w:hAnsi="Arial"/>
          <w:sz w:val="14"/>
          <w:szCs w:val="14"/>
          <w:color w:val="auto"/>
        </w:rPr>
        <w:t>12, 2019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05">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8.00% Fixed-to-Floating Series B Cumulative Perpetual Redeemable Preferred Shares, dated as of November</w:t>
      </w:r>
    </w:p>
    <w:p>
      <w:pPr>
        <w:ind w:left="1480"/>
        <w:spacing w:after="0"/>
        <w:rPr>
          <w:sz w:val="20"/>
          <w:szCs w:val="20"/>
          <w:color w:val="auto"/>
        </w:rPr>
      </w:pPr>
      <w:r>
        <w:rPr>
          <w:rFonts w:ascii="Arial" w:cs="Arial" w:eastAsia="Arial" w:hAnsi="Arial"/>
          <w:sz w:val="14"/>
          <w:szCs w:val="14"/>
          <w:color w:val="auto"/>
        </w:rPr>
        <w:t>27, 2019 (included as part of Exhibit 3.2).</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5">
        <w:r>
          <w:rPr>
            <w:rFonts w:ascii="Arial" w:cs="Arial" w:eastAsia="Arial" w:hAnsi="Arial"/>
            <w:sz w:val="14"/>
            <w:szCs w:val="14"/>
            <w:u w:val="single" w:color="auto"/>
            <w:color w:val="0000FF"/>
          </w:rPr>
          <w:t>3.5</w:t>
        </w:r>
      </w:hyperlink>
      <w:r>
        <w:rPr>
          <w:rFonts w:ascii="Arial" w:cs="Arial" w:eastAsia="Arial" w:hAnsi="Arial"/>
          <w:sz w:val="14"/>
          <w:szCs w:val="14"/>
          <w:color w:val="0000FF"/>
        </w:rPr>
        <w:tab/>
        <w:t>Share Designation with respect to the 8.25% Fixed-Rate Reset Series C Cumulative Perpetual Redeemable Preferred Shares, dated as of March 25,</w:t>
      </w:r>
    </w:p>
    <w:p>
      <w:pPr>
        <w:ind w:left="1480"/>
        <w:spacing w:after="0"/>
        <w:rPr>
          <w:sz w:val="20"/>
          <w:szCs w:val="20"/>
          <w:color w:val="auto"/>
        </w:rPr>
      </w:pPr>
      <w:r>
        <w:rPr>
          <w:rFonts w:ascii="Arial" w:cs="Arial" w:eastAsia="Arial" w:hAnsi="Arial"/>
          <w:sz w:val="14"/>
          <w:szCs w:val="14"/>
          <w:color w:val="auto"/>
        </w:rPr>
        <w:t>2021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480" w:right="60" w:hanging="343"/>
        <w:spacing w:after="0" w:line="219" w:lineRule="auto"/>
        <w:tabs>
          <w:tab w:leader="none" w:pos="1460" w:val="left"/>
        </w:tabs>
        <w:rPr>
          <w:rFonts w:ascii="Arial" w:cs="Arial" w:eastAsia="Arial" w:hAnsi="Arial"/>
          <w:sz w:val="14"/>
          <w:szCs w:val="14"/>
          <w:color w:val="0000FF"/>
        </w:rPr>
      </w:pPr>
      <w:hyperlink r:id="rId108">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18"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8">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10">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1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80" w:right="20" w:hanging="343"/>
        <w:spacing w:after="0" w:line="219" w:lineRule="auto"/>
        <w:tabs>
          <w:tab w:leader="none" w:pos="1460"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1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14">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80" w:right="100" w:hanging="343"/>
        <w:spacing w:after="0" w:line="219" w:lineRule="auto"/>
        <w:tabs>
          <w:tab w:leader="none" w:pos="1460" w:val="left"/>
        </w:tabs>
        <w:rPr>
          <w:rFonts w:ascii="Arial" w:cs="Arial" w:eastAsia="Arial" w:hAnsi="Arial"/>
          <w:sz w:val="14"/>
          <w:szCs w:val="14"/>
          <w:color w:val="0000FF"/>
        </w:rPr>
      </w:pPr>
      <w:hyperlink r:id="rId116">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18" w:lineRule="exact"/>
        <w:rPr>
          <w:sz w:val="20"/>
          <w:szCs w:val="20"/>
          <w:color w:val="auto"/>
        </w:rPr>
      </w:pPr>
    </w:p>
    <w:p>
      <w:pPr>
        <w:ind w:left="1480" w:right="120" w:hanging="343"/>
        <w:spacing w:after="0" w:line="219" w:lineRule="auto"/>
        <w:tabs>
          <w:tab w:leader="none" w:pos="1460" w:val="left"/>
        </w:tabs>
        <w:rPr>
          <w:rFonts w:ascii="Arial" w:cs="Arial" w:eastAsia="Arial" w:hAnsi="Arial"/>
          <w:sz w:val="14"/>
          <w:szCs w:val="14"/>
          <w:color w:val="0000FF"/>
        </w:rPr>
      </w:pPr>
      <w:hyperlink r:id="rId117">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17">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8" w:lineRule="exact"/>
        <w:rPr>
          <w:sz w:val="20"/>
          <w:szCs w:val="20"/>
          <w:color w:val="auto"/>
        </w:rPr>
      </w:pPr>
    </w:p>
    <w:p>
      <w:pPr>
        <w:ind w:left="1480" w:right="100" w:hanging="423"/>
        <w:spacing w:after="0" w:line="219" w:lineRule="auto"/>
        <w:tabs>
          <w:tab w:leader="none" w:pos="1460" w:val="left"/>
        </w:tabs>
        <w:rPr>
          <w:rFonts w:ascii="Arial" w:cs="Arial" w:eastAsia="Arial" w:hAnsi="Arial"/>
          <w:sz w:val="14"/>
          <w:szCs w:val="14"/>
          <w:color w:val="0000FF"/>
        </w:rPr>
      </w:pPr>
      <w:hyperlink r:id="rId119">
        <w:r>
          <w:rPr>
            <w:rFonts w:ascii="Arial" w:cs="Arial" w:eastAsia="Arial" w:hAnsi="Arial"/>
            <w:sz w:val="14"/>
            <w:szCs w:val="14"/>
            <w:u w:val="single" w:color="auto"/>
            <w:color w:val="0000FF"/>
          </w:rPr>
          <w:t>4.10</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jc w:val="both"/>
        <w:ind w:left="1480" w:right="60" w:hanging="423"/>
        <w:spacing w:after="0" w:line="219" w:lineRule="auto"/>
        <w:tabs>
          <w:tab w:leader="none" w:pos="1460" w:val="left"/>
        </w:tabs>
        <w:rPr>
          <w:rFonts w:ascii="Arial" w:cs="Arial" w:eastAsia="Arial" w:hAnsi="Arial"/>
          <w:sz w:val="14"/>
          <w:szCs w:val="14"/>
          <w:color w:val="0000FF"/>
        </w:rPr>
      </w:pPr>
      <w:hyperlink r:id="rId121">
        <w:r>
          <w:rPr>
            <w:rFonts w:ascii="Arial" w:cs="Arial" w:eastAsia="Arial" w:hAnsi="Arial"/>
            <w:sz w:val="14"/>
            <w:szCs w:val="14"/>
            <w:u w:val="single" w:color="auto"/>
            <w:color w:val="0000FF"/>
          </w:rPr>
          <w:t>4.11</w:t>
        </w:r>
      </w:hyperlink>
      <w:r>
        <w:rPr>
          <w:rFonts w:ascii="Arial" w:cs="Arial" w:eastAsia="Arial" w:hAnsi="Arial"/>
          <w:sz w:val="14"/>
          <w:szCs w:val="14"/>
          <w:color w:val="0000FF"/>
        </w:rPr>
        <w:tab/>
        <w:t>Second Supplemental Indenture, dated December 23, 2020, between Fortress Transportation and Infrastructure Investors LLC and U.S. Bank National Association, as trustee, relating to the Company’s 6.50% senior unsecured notes due 2025 (incorporated by reference to Exhibit 4.1 of the Company’s Current Report on Form 8-K, filed on December 23, 2020).</w:t>
      </w:r>
    </w:p>
    <w:p>
      <w:pPr>
        <w:spacing w:after="0" w:line="18" w:lineRule="exact"/>
        <w:rPr>
          <w:sz w:val="20"/>
          <w:szCs w:val="20"/>
          <w:color w:val="auto"/>
        </w:rPr>
      </w:pPr>
    </w:p>
    <w:p>
      <w:pPr>
        <w:ind w:left="1480" w:right="380" w:hanging="423"/>
        <w:spacing w:after="0" w:line="229" w:lineRule="auto"/>
        <w:tabs>
          <w:tab w:leader="none" w:pos="1460" w:val="left"/>
        </w:tabs>
        <w:rPr>
          <w:rFonts w:ascii="Arial" w:cs="Arial" w:eastAsia="Arial" w:hAnsi="Arial"/>
          <w:sz w:val="14"/>
          <w:szCs w:val="14"/>
          <w:color w:val="0000FF"/>
        </w:rPr>
      </w:pPr>
      <w:hyperlink r:id="rId122">
        <w:r>
          <w:rPr>
            <w:rFonts w:ascii="Arial" w:cs="Arial" w:eastAsia="Arial" w:hAnsi="Arial"/>
            <w:sz w:val="14"/>
            <w:szCs w:val="14"/>
            <w:u w:val="single" w:color="auto"/>
            <w:color w:val="0000FF"/>
          </w:rPr>
          <w:t>4.12</w:t>
        </w:r>
      </w:hyperlink>
      <w:r>
        <w:rPr>
          <w:rFonts w:ascii="Arial" w:cs="Arial" w:eastAsia="Arial" w:hAnsi="Arial"/>
          <w:sz w:val="14"/>
          <w:szCs w:val="14"/>
          <w:color w:val="0000FF"/>
        </w:rPr>
        <w:tab/>
        <w:t>Indenture, dated April 12, 2021, between Fortress Transportation and Infrastructure Investors LLC and U.S. Bank National Association, as trustee (incorporated by reference to Exhibit 4.1 to Fortress Transportation and Infrastructure Investors LLC’s Form 8-K, filed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060"/>
        <w:spacing w:after="0"/>
        <w:tabs>
          <w:tab w:leader="none" w:pos="1460" w:val="left"/>
        </w:tabs>
        <w:rPr>
          <w:rFonts w:ascii="Arial" w:cs="Arial" w:eastAsia="Arial" w:hAnsi="Arial"/>
          <w:sz w:val="14"/>
          <w:szCs w:val="14"/>
          <w:color w:val="0000FF"/>
        </w:rPr>
      </w:pPr>
      <w:hyperlink r:id="rId122">
        <w:r>
          <w:rPr>
            <w:rFonts w:ascii="Arial" w:cs="Arial" w:eastAsia="Arial" w:hAnsi="Arial"/>
            <w:sz w:val="14"/>
            <w:szCs w:val="14"/>
            <w:u w:val="single" w:color="auto"/>
            <w:color w:val="0000FF"/>
          </w:rPr>
          <w:t>4.13</w:t>
        </w:r>
      </w:hyperlink>
      <w:r>
        <w:rPr>
          <w:rFonts w:ascii="Arial" w:cs="Arial" w:eastAsia="Arial" w:hAnsi="Arial"/>
          <w:sz w:val="14"/>
          <w:szCs w:val="14"/>
          <w:color w:val="0000FF"/>
        </w:rPr>
        <w:tab/>
        <w:t>Form of global note representing the Company’s 5.50% senior unsecured notes due 2028 (included in Exhibit 4.12).</w:t>
      </w:r>
    </w:p>
    <w:p>
      <w:pPr>
        <w:spacing w:after="0" w:line="28" w:lineRule="exact"/>
        <w:rPr>
          <w:sz w:val="20"/>
          <w:szCs w:val="20"/>
          <w:color w:val="auto"/>
        </w:rPr>
      </w:pPr>
    </w:p>
    <w:p>
      <w:pPr>
        <w:ind w:left="1480" w:right="300" w:hanging="423"/>
        <w:spacing w:after="0" w:line="233" w:lineRule="auto"/>
        <w:tabs>
          <w:tab w:leader="none" w:pos="1460" w:val="left"/>
        </w:tabs>
        <w:rPr>
          <w:rFonts w:ascii="Arial" w:cs="Arial" w:eastAsia="Arial" w:hAnsi="Arial"/>
          <w:sz w:val="14"/>
          <w:szCs w:val="14"/>
          <w:color w:val="0000FF"/>
        </w:rPr>
      </w:pPr>
      <w:hyperlink r:id="rId124">
        <w:r>
          <w:rPr>
            <w:rFonts w:ascii="Arial" w:cs="Arial" w:eastAsia="Arial" w:hAnsi="Arial"/>
            <w:sz w:val="14"/>
            <w:szCs w:val="14"/>
            <w:u w:val="single" w:color="auto"/>
            <w:color w:val="0000FF"/>
          </w:rPr>
          <w:t>4.14</w:t>
        </w:r>
      </w:hyperlink>
      <w:r>
        <w:rPr>
          <w:rFonts w:ascii="Arial" w:cs="Arial" w:eastAsia="Arial" w:hAnsi="Arial"/>
          <w:sz w:val="14"/>
          <w:szCs w:val="14"/>
          <w:color w:val="0000FF"/>
        </w:rPr>
        <w:tab/>
        <w:t>First Supplemental Indenture, dated as of September 24, 2021, between Fortress Transportation and Infrastructure Investors LLC and U.S. Bank National Association, as trustee, relating to the Company’s 5.50% senior unsecured notes due 2028 (incorporated by reference to Exhibit 4.1 of the Company’s Current Report on Form 8-K, filed on September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7199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11" w:lineRule="exact"/>
        <w:rPr>
          <w:sz w:val="20"/>
          <w:szCs w:val="20"/>
          <w:color w:val="auto"/>
        </w:rPr>
      </w:pPr>
    </w:p>
    <w:p>
      <w:pPr>
        <w:ind w:left="1480" w:right="440" w:hanging="423"/>
        <w:spacing w:after="0" w:line="229" w:lineRule="auto"/>
        <w:tabs>
          <w:tab w:leader="none" w:pos="1460" w:val="left"/>
        </w:tabs>
        <w:rPr>
          <w:rFonts w:ascii="Arial" w:cs="Arial" w:eastAsia="Arial" w:hAnsi="Arial"/>
          <w:sz w:val="14"/>
          <w:szCs w:val="14"/>
          <w:color w:val="0000FF"/>
        </w:rPr>
      </w:pPr>
      <w:hyperlink r:id="rId126">
        <w:r>
          <w:rPr>
            <w:rFonts w:ascii="Arial" w:cs="Arial" w:eastAsia="Arial" w:hAnsi="Arial"/>
            <w:sz w:val="14"/>
            <w:szCs w:val="14"/>
            <w:u w:val="single" w:color="auto"/>
            <w:color w:val="0000FF"/>
          </w:rPr>
          <w:t>4.15</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17" w:lineRule="exact"/>
        <w:rPr>
          <w:sz w:val="20"/>
          <w:szCs w:val="20"/>
          <w:color w:val="auto"/>
        </w:rPr>
      </w:pPr>
    </w:p>
    <w:p>
      <w:pPr>
        <w:ind w:left="1480" w:right="480" w:hanging="423"/>
        <w:spacing w:after="0" w:line="258" w:lineRule="auto"/>
        <w:tabs>
          <w:tab w:leader="none" w:pos="1460" w:val="left"/>
        </w:tabs>
        <w:rPr>
          <w:rFonts w:ascii="Arial" w:cs="Arial" w:eastAsia="Arial" w:hAnsi="Arial"/>
          <w:sz w:val="14"/>
          <w:szCs w:val="14"/>
          <w:color w:val="0000FF"/>
        </w:rPr>
      </w:pPr>
      <w:hyperlink r:id="rId127">
        <w:r>
          <w:rPr>
            <w:rFonts w:ascii="Arial" w:cs="Arial" w:eastAsia="Arial" w:hAnsi="Arial"/>
            <w:sz w:val="14"/>
            <w:szCs w:val="14"/>
            <w:u w:val="single" w:color="auto"/>
            <w:color w:val="0000FF"/>
          </w:rPr>
          <w:t>4.16</w:t>
        </w:r>
      </w:hyperlink>
      <w:r>
        <w:rPr>
          <w:rFonts w:ascii="Arial" w:cs="Arial" w:eastAsia="Arial" w:hAnsi="Arial"/>
          <w:sz w:val="14"/>
          <w:szCs w:val="14"/>
          <w:color w:val="0000FF"/>
        </w:rPr>
        <w:tab/>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71995" cy="3429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p>
      <w:pPr>
        <w:spacing w:after="0" w:line="32" w:lineRule="exact"/>
        <w:rPr>
          <w:sz w:val="20"/>
          <w:szCs w:val="20"/>
          <w:color w:val="auto"/>
        </w:rPr>
      </w:pPr>
    </w:p>
    <w:p>
      <w:pPr>
        <w:ind w:left="1060"/>
        <w:spacing w:after="0"/>
        <w:rPr>
          <w:rFonts w:ascii="Arial" w:cs="Arial" w:eastAsia="Arial" w:hAnsi="Arial"/>
          <w:sz w:val="14"/>
          <w:szCs w:val="14"/>
          <w:u w:val="single" w:color="auto"/>
          <w:color w:val="0000FF"/>
        </w:rPr>
      </w:pPr>
      <w:hyperlink r:id="rId105">
        <w:r>
          <w:rPr>
            <w:rFonts w:ascii="Arial" w:cs="Arial" w:eastAsia="Arial" w:hAnsi="Arial"/>
            <w:sz w:val="14"/>
            <w:szCs w:val="14"/>
            <w:u w:val="single" w:color="auto"/>
            <w:color w:val="0000FF"/>
          </w:rPr>
          <w:t>4.17</w:t>
        </w:r>
      </w:hyperlink>
    </w:p>
    <w:p>
      <w:pPr>
        <w:spacing w:after="0" w:line="379" w:lineRule="exact"/>
        <w:rPr>
          <w:sz w:val="20"/>
          <w:szCs w:val="20"/>
          <w:color w:val="auto"/>
        </w:rPr>
      </w:pPr>
    </w:p>
    <w:p>
      <w:pPr>
        <w:ind w:left="1060"/>
        <w:spacing w:after="0"/>
        <w:rPr>
          <w:rFonts w:ascii="Arial" w:cs="Arial" w:eastAsia="Arial" w:hAnsi="Arial"/>
          <w:sz w:val="14"/>
          <w:szCs w:val="14"/>
          <w:u w:val="single" w:color="auto"/>
          <w:color w:val="0000FF"/>
        </w:rPr>
      </w:pPr>
      <w:hyperlink r:id="rId129">
        <w:r>
          <w:rPr>
            <w:rFonts w:ascii="Arial" w:cs="Arial" w:eastAsia="Arial" w:hAnsi="Arial"/>
            <w:sz w:val="14"/>
            <w:szCs w:val="14"/>
            <w:u w:val="single" w:color="auto"/>
            <w:color w:val="0000FF"/>
          </w:rPr>
          <w:t>4.18</w:t>
        </w:r>
      </w:hyperlink>
    </w:p>
    <w:p>
      <w:pPr>
        <w:spacing w:after="0" w:line="217" w:lineRule="exact"/>
        <w:rPr>
          <w:sz w:val="20"/>
          <w:szCs w:val="20"/>
          <w:color w:val="auto"/>
        </w:rPr>
      </w:pPr>
    </w:p>
    <w:p>
      <w:pPr>
        <w:ind w:left="1060"/>
        <w:spacing w:after="0"/>
        <w:rPr>
          <w:rFonts w:ascii="Arial" w:cs="Arial" w:eastAsia="Arial" w:hAnsi="Arial"/>
          <w:sz w:val="14"/>
          <w:szCs w:val="14"/>
          <w:u w:val="single" w:color="auto"/>
          <w:color w:val="0000FF"/>
        </w:rPr>
      </w:pPr>
      <w:hyperlink r:id="rId130">
        <w:r>
          <w:rPr>
            <w:rFonts w:ascii="Arial" w:cs="Arial" w:eastAsia="Arial" w:hAnsi="Arial"/>
            <w:sz w:val="14"/>
            <w:szCs w:val="14"/>
            <w:u w:val="single" w:color="auto"/>
            <w:color w:val="0000FF"/>
          </w:rPr>
          <w:t>10.1</w:t>
        </w:r>
      </w:hyperlink>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120"/>
        <w:spacing w:after="0" w:line="249" w:lineRule="auto"/>
        <w:rPr>
          <w:sz w:val="20"/>
          <w:szCs w:val="20"/>
          <w:color w:val="auto"/>
        </w:rPr>
      </w:pPr>
      <w:r>
        <w:rPr>
          <w:rFonts w:ascii="Arial" w:cs="Arial" w:eastAsia="Arial" w:hAnsi="Arial"/>
          <w:sz w:val="14"/>
          <w:szCs w:val="14"/>
          <w:color w:val="auto"/>
        </w:rPr>
        <w:t>Form of certificate representing the 8.25% Fixed-Rate Reset Series C Cumulative Perpetual Redeemable Preferred Shares of Fortress Transportation and Infrastructure Investors LLC (incorporated by reference to Exhibit 4.1 to Fortress Transportation and Infrastructure Investors LLC’s Form 8-A, filed March 25, 2021).</w:t>
      </w:r>
    </w:p>
    <w:p>
      <w:pPr>
        <w:spacing w:after="0" w:line="39"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Description of Securities Registered under Section 12 of the Exchange Act (incorporated by reference to Exhibit 4.13 to the Company’s Form 10-K, filed 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0</wp:posOffset>
            </wp:positionV>
            <wp:extent cx="707199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right="180"/>
        <w:spacing w:after="0" w:line="229" w:lineRule="auto"/>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 reference to Exhibit 10.1 of the Company's Current Report on Form 8-K, filed on May 21, 2015).</w:t>
      </w:r>
    </w:p>
    <w:p>
      <w:pPr>
        <w:spacing w:after="0" w:line="200" w:lineRule="exact"/>
        <w:rPr>
          <w:sz w:val="20"/>
          <w:szCs w:val="20"/>
          <w:color w:val="auto"/>
        </w:rPr>
      </w:pPr>
    </w:p>
    <w:p>
      <w:pPr>
        <w:sectPr>
          <w:pgSz w:w="11900" w:h="16838" w:orient="portrait"/>
          <w:cols w:equalWidth="0" w:num="2">
            <w:col w:w="1340" w:space="140"/>
            <w:col w:w="9640"/>
          </w:cols>
          <w:pgMar w:left="320" w:top="927" w:right="459" w:bottom="1440" w:gutter="0" w:footer="0" w:header="0"/>
          <w:type w:val="continuous"/>
        </w:sect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type w:val="continuous"/>
        </w:sectPr>
      </w:pPr>
    </w:p>
    <w:bookmarkStart w:id="92" w:name="page93"/>
    <w:bookmarkEnd w:id="92"/>
    <w:p>
      <w:pPr>
        <w:ind w:left="554"/>
        <w:spacing w:after="0"/>
        <w:tabs>
          <w:tab w:leader="none" w:pos="587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26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40" w:lineRule="exact"/>
        <w:rPr>
          <w:sz w:val="20"/>
          <w:szCs w:val="20"/>
          <w:color w:val="auto"/>
        </w:rPr>
      </w:pPr>
    </w:p>
    <w:p>
      <w:pPr>
        <w:ind w:left="1454" w:right="360" w:hanging="1454"/>
        <w:spacing w:after="0" w:line="229" w:lineRule="auto"/>
        <w:tabs>
          <w:tab w:leader="none" w:pos="1030" w:val="left"/>
        </w:tabs>
        <w:numPr>
          <w:ilvl w:val="0"/>
          <w:numId w:val="45"/>
        </w:numPr>
        <w:rPr>
          <w:rFonts w:ascii="Arial" w:cs="Arial" w:eastAsia="Arial" w:hAnsi="Arial"/>
          <w:sz w:val="14"/>
          <w:szCs w:val="14"/>
          <w:color w:val="0000FF"/>
        </w:rPr>
      </w:pPr>
      <w:hyperlink r:id="rId134">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16" w:lineRule="exact"/>
        <w:rPr>
          <w:rFonts w:ascii="Arial" w:cs="Arial" w:eastAsia="Arial" w:hAnsi="Arial"/>
          <w:sz w:val="14"/>
          <w:szCs w:val="14"/>
          <w:color w:val="0000FF"/>
        </w:rPr>
      </w:pPr>
    </w:p>
    <w:p>
      <w:pPr>
        <w:ind w:left="1454" w:hanging="1454"/>
        <w:spacing w:after="0" w:line="219" w:lineRule="auto"/>
        <w:tabs>
          <w:tab w:leader="none" w:pos="1030" w:val="left"/>
        </w:tabs>
        <w:numPr>
          <w:ilvl w:val="0"/>
          <w:numId w:val="45"/>
        </w:numPr>
        <w:rPr>
          <w:rFonts w:ascii="Arial" w:cs="Arial" w:eastAsia="Arial" w:hAnsi="Arial"/>
          <w:sz w:val="14"/>
          <w:szCs w:val="14"/>
          <w:color w:val="0000FF"/>
        </w:rPr>
      </w:pPr>
      <w:hyperlink r:id="rId135">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18" w:lineRule="exact"/>
        <w:rPr>
          <w:rFonts w:ascii="Arial" w:cs="Arial" w:eastAsia="Arial" w:hAnsi="Arial"/>
          <w:sz w:val="14"/>
          <w:szCs w:val="14"/>
          <w:color w:val="0000FF"/>
        </w:rPr>
      </w:pPr>
    </w:p>
    <w:p>
      <w:pPr>
        <w:ind w:left="1454" w:hanging="1454"/>
        <w:spacing w:after="0" w:line="229" w:lineRule="auto"/>
        <w:tabs>
          <w:tab w:leader="none" w:pos="1030" w:val="left"/>
        </w:tabs>
        <w:numPr>
          <w:ilvl w:val="0"/>
          <w:numId w:val="45"/>
        </w:numPr>
        <w:rPr>
          <w:rFonts w:ascii="Arial" w:cs="Arial" w:eastAsia="Arial" w:hAnsi="Arial"/>
          <w:sz w:val="14"/>
          <w:szCs w:val="14"/>
          <w:color w:val="0000FF"/>
        </w:rPr>
      </w:pPr>
      <w:hyperlink r:id="rId136">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w:t>
      </w:r>
      <w:r>
        <w:rPr>
          <w:rFonts w:ascii="Arial" w:cs="Arial" w:eastAsia="Arial" w:hAnsi="Arial"/>
          <w:sz w:val="14"/>
          <w:szCs w:val="14"/>
          <w:color w:val="0000FF"/>
        </w:rPr>
        <w:t xml:space="preserve"> </w:t>
      </w:r>
      <w:r>
        <w:rPr>
          <w:rFonts w:ascii="Arial" w:cs="Arial" w:eastAsia="Arial" w:hAnsi="Arial"/>
          <w:sz w:val="14"/>
          <w:szCs w:val="14"/>
          <w:color w:val="000000"/>
        </w:rPr>
        <w:t>of 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-497205</wp:posOffset>
            </wp:positionV>
            <wp:extent cx="7071995" cy="291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034"/>
        <w:spacing w:after="0" w:line="226" w:lineRule="auto"/>
        <w:tabs>
          <w:tab w:leader="none" w:pos="1434" w:val="left"/>
        </w:tabs>
        <w:rPr>
          <w:rFonts w:ascii="Arial" w:cs="Arial" w:eastAsia="Arial" w:hAnsi="Arial"/>
          <w:sz w:val="14"/>
          <w:szCs w:val="14"/>
          <w:color w:val="0000FF"/>
        </w:rPr>
      </w:pPr>
      <w:hyperlink r:id="rId139">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ind w:left="1454"/>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8" w:lineRule="exact"/>
        <w:rPr>
          <w:rFonts w:ascii="Arial" w:cs="Arial" w:eastAsia="Arial" w:hAnsi="Arial"/>
          <w:sz w:val="14"/>
          <w:szCs w:val="14"/>
          <w:color w:val="auto"/>
        </w:rPr>
      </w:pPr>
    </w:p>
    <w:p>
      <w:pPr>
        <w:jc w:val="both"/>
        <w:ind w:left="1454" w:right="140" w:hanging="423"/>
        <w:spacing w:after="0" w:line="219" w:lineRule="auto"/>
        <w:tabs>
          <w:tab w:leader="none" w:pos="1434" w:val="left"/>
        </w:tabs>
        <w:rPr>
          <w:rFonts w:ascii="Arial" w:cs="Arial" w:eastAsia="Arial" w:hAnsi="Arial"/>
          <w:sz w:val="14"/>
          <w:szCs w:val="14"/>
          <w:color w:val="0000FF"/>
        </w:rPr>
      </w:pPr>
      <w:hyperlink r:id="rId140">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377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ind w:left="1454" w:right="20" w:hanging="423"/>
        <w:spacing w:after="0"/>
        <w:tabs>
          <w:tab w:leader="none" w:pos="1434" w:val="left"/>
        </w:tabs>
        <w:rPr>
          <w:rFonts w:ascii="Arial" w:cs="Arial" w:eastAsia="Arial" w:hAnsi="Arial"/>
          <w:sz w:val="14"/>
          <w:szCs w:val="14"/>
          <w:color w:val="0000FF"/>
        </w:rPr>
      </w:pPr>
      <w:hyperlink r:id="rId142">
        <w:r>
          <w:rPr>
            <w:rFonts w:ascii="Arial" w:cs="Arial" w:eastAsia="Arial" w:hAnsi="Arial"/>
            <w:sz w:val="14"/>
            <w:szCs w:val="14"/>
            <w:u w:val="single" w:color="auto"/>
            <w:color w:val="0000FF"/>
          </w:rPr>
          <w:t>10.7</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111" w:lineRule="exact"/>
        <w:rPr>
          <w:rFonts w:ascii="Arial" w:cs="Arial" w:eastAsia="Arial" w:hAnsi="Arial"/>
          <w:sz w:val="14"/>
          <w:szCs w:val="14"/>
          <w:color w:val="auto"/>
        </w:rPr>
      </w:pPr>
    </w:p>
    <w:p>
      <w:pPr>
        <w:ind w:left="1454" w:right="160" w:hanging="423"/>
        <w:spacing w:after="0" w:line="215" w:lineRule="auto"/>
        <w:tabs>
          <w:tab w:leader="none" w:pos="1434" w:val="left"/>
        </w:tabs>
        <w:rPr>
          <w:rFonts w:ascii="Arial" w:cs="Arial" w:eastAsia="Arial" w:hAnsi="Arial"/>
          <w:sz w:val="14"/>
          <w:szCs w:val="14"/>
          <w:color w:val="0000FF"/>
        </w:rPr>
      </w:pPr>
      <w:hyperlink r:id="rId143">
        <w:r>
          <w:rPr>
            <w:rFonts w:ascii="Arial" w:cs="Arial" w:eastAsia="Arial" w:hAnsi="Arial"/>
            <w:sz w:val="14"/>
            <w:szCs w:val="14"/>
            <w:u w:val="single" w:color="auto"/>
            <w:color w:val="0000FF"/>
          </w:rPr>
          <w:t>10.8</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February 11,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3771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ind w:left="1454" w:right="160" w:hanging="423"/>
        <w:spacing w:after="0" w:line="215" w:lineRule="auto"/>
        <w:tabs>
          <w:tab w:leader="none" w:pos="1434" w:val="left"/>
        </w:tabs>
        <w:rPr>
          <w:rFonts w:ascii="Arial" w:cs="Arial" w:eastAsia="Arial" w:hAnsi="Arial"/>
          <w:sz w:val="14"/>
          <w:szCs w:val="14"/>
          <w:color w:val="0000FF"/>
        </w:rPr>
      </w:pPr>
      <w:hyperlink r:id="rId145">
        <w:r>
          <w:rPr>
            <w:rFonts w:ascii="Arial" w:cs="Arial" w:eastAsia="Arial" w:hAnsi="Arial"/>
            <w:sz w:val="14"/>
            <w:szCs w:val="14"/>
            <w:u w:val="single" w:color="auto"/>
            <w:color w:val="0000FF"/>
          </w:rPr>
          <w:t>10.9</w:t>
        </w:r>
      </w:hyperlink>
      <w:r>
        <w:rPr>
          <w:rFonts w:ascii="Arial" w:cs="Arial" w:eastAsia="Arial" w:hAnsi="Arial"/>
          <w:sz w:val="14"/>
          <w:szCs w:val="14"/>
          <w:color w:val="0000FF"/>
        </w:rPr>
        <w:tab/>
        <w:t>Credit Agreement Amendment No. 3 dated as of August 6,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August 9, 2019).</w:t>
      </w:r>
    </w:p>
    <w:p>
      <w:pPr>
        <w:spacing w:after="0" w:line="17" w:lineRule="exact"/>
        <w:rPr>
          <w:rFonts w:ascii="Arial" w:cs="Arial" w:eastAsia="Arial" w:hAnsi="Arial"/>
          <w:sz w:val="14"/>
          <w:szCs w:val="14"/>
          <w:color w:val="auto"/>
        </w:rPr>
      </w:pPr>
    </w:p>
    <w:p>
      <w:pPr>
        <w:ind w:left="1454" w:right="60" w:hanging="503"/>
        <w:spacing w:after="0" w:line="247" w:lineRule="auto"/>
        <w:tabs>
          <w:tab w:leader="none" w:pos="1434" w:val="left"/>
        </w:tabs>
        <w:rPr>
          <w:rFonts w:ascii="Arial" w:cs="Arial" w:eastAsia="Arial" w:hAnsi="Arial"/>
          <w:sz w:val="14"/>
          <w:szCs w:val="14"/>
          <w:color w:val="0000FF"/>
        </w:rPr>
      </w:pPr>
      <w:hyperlink r:id="rId146">
        <w:r>
          <w:rPr>
            <w:rFonts w:ascii="Arial" w:cs="Arial" w:eastAsia="Arial" w:hAnsi="Arial"/>
            <w:sz w:val="14"/>
            <w:szCs w:val="14"/>
            <w:u w:val="single" w:color="auto"/>
            <w:color w:val="0000FF"/>
          </w:rPr>
          <w:t>10.10</w:t>
        </w:r>
      </w:hyperlink>
      <w:r>
        <w:rPr>
          <w:rFonts w:ascii="Arial" w:cs="Arial" w:eastAsia="Arial" w:hAnsi="Arial"/>
          <w:sz w:val="14"/>
          <w:szCs w:val="14"/>
          <w:color w:val="0000FF"/>
        </w:rPr>
        <w:tab/>
        <w:t>Credit Agreement Amendment No. 4 dated as of May 11, 2020,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10.10 of the Company’s Quarterly Report on Form 10-Q, filed on July 31,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54" w:right="240" w:hanging="1454"/>
        <w:spacing w:after="0" w:line="229" w:lineRule="auto"/>
        <w:tabs>
          <w:tab w:leader="none" w:pos="950" w:val="left"/>
        </w:tabs>
        <w:numPr>
          <w:ilvl w:val="0"/>
          <w:numId w:val="46"/>
        </w:numPr>
        <w:rPr>
          <w:rFonts w:ascii="Arial" w:cs="Arial" w:eastAsia="Arial" w:hAnsi="Arial"/>
          <w:sz w:val="14"/>
          <w:szCs w:val="14"/>
          <w:color w:val="0000FF"/>
        </w:rPr>
      </w:pPr>
      <w:hyperlink r:id="rId148">
        <w:r>
          <w:rPr>
            <w:rFonts w:ascii="Arial" w:cs="Arial" w:eastAsia="Arial" w:hAnsi="Arial"/>
            <w:sz w:val="14"/>
            <w:szCs w:val="14"/>
            <w:u w:val="single" w:color="auto"/>
            <w:color w:val="0000FF"/>
          </w:rPr>
          <w:t>10.11</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16" w:lineRule="exact"/>
        <w:rPr>
          <w:rFonts w:ascii="Arial" w:cs="Arial" w:eastAsia="Arial" w:hAnsi="Arial"/>
          <w:sz w:val="14"/>
          <w:szCs w:val="14"/>
          <w:color w:val="0000FF"/>
        </w:rPr>
      </w:pPr>
    </w:p>
    <w:p>
      <w:pPr>
        <w:ind w:left="1454" w:right="120" w:hanging="1454"/>
        <w:spacing w:after="0" w:line="219" w:lineRule="auto"/>
        <w:tabs>
          <w:tab w:leader="none" w:pos="950" w:val="left"/>
        </w:tabs>
        <w:numPr>
          <w:ilvl w:val="0"/>
          <w:numId w:val="46"/>
        </w:numPr>
        <w:rPr>
          <w:rFonts w:ascii="Arial" w:cs="Arial" w:eastAsia="Arial" w:hAnsi="Arial"/>
          <w:sz w:val="14"/>
          <w:szCs w:val="14"/>
          <w:color w:val="0000FF"/>
        </w:rPr>
      </w:pPr>
      <w:hyperlink r:id="rId149">
        <w:r>
          <w:rPr>
            <w:rFonts w:ascii="Arial" w:cs="Arial" w:eastAsia="Arial" w:hAnsi="Arial"/>
            <w:sz w:val="14"/>
            <w:szCs w:val="14"/>
            <w:u w:val="single" w:color="auto"/>
            <w:color w:val="0000FF"/>
          </w:rPr>
          <w:t>10.12</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54" w:right="100" w:hanging="503"/>
        <w:spacing w:after="0" w:line="219" w:lineRule="auto"/>
        <w:tabs>
          <w:tab w:leader="none" w:pos="1434" w:val="left"/>
        </w:tabs>
        <w:rPr>
          <w:rFonts w:ascii="Arial" w:cs="Arial" w:eastAsia="Arial" w:hAnsi="Arial"/>
          <w:sz w:val="14"/>
          <w:szCs w:val="14"/>
          <w:color w:val="0000FF"/>
        </w:rPr>
      </w:pPr>
      <w:hyperlink r:id="rId151">
        <w:r>
          <w:rPr>
            <w:rFonts w:ascii="Arial" w:cs="Arial" w:eastAsia="Arial" w:hAnsi="Arial"/>
            <w:sz w:val="14"/>
            <w:szCs w:val="14"/>
            <w:u w:val="single" w:color="auto"/>
            <w:color w:val="0000FF"/>
          </w:rPr>
          <w:t>10.13</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18" w:lineRule="exact"/>
        <w:rPr>
          <w:rFonts w:ascii="Arial" w:cs="Arial" w:eastAsia="Arial" w:hAnsi="Arial"/>
          <w:sz w:val="14"/>
          <w:szCs w:val="14"/>
          <w:color w:val="auto"/>
        </w:rPr>
      </w:pPr>
    </w:p>
    <w:p>
      <w:pPr>
        <w:ind w:left="1454" w:right="240" w:hanging="503"/>
        <w:spacing w:after="0" w:line="219" w:lineRule="auto"/>
        <w:tabs>
          <w:tab w:leader="none" w:pos="1434" w:val="left"/>
        </w:tabs>
        <w:rPr>
          <w:rFonts w:ascii="Arial" w:cs="Arial" w:eastAsia="Arial" w:hAnsi="Arial"/>
          <w:sz w:val="14"/>
          <w:szCs w:val="14"/>
          <w:color w:val="0000FF"/>
        </w:rPr>
      </w:pPr>
      <w:hyperlink r:id="rId152">
        <w:r>
          <w:rPr>
            <w:rFonts w:ascii="Arial" w:cs="Arial" w:eastAsia="Arial" w:hAnsi="Arial"/>
            <w:sz w:val="14"/>
            <w:szCs w:val="14"/>
            <w:u w:val="single" w:color="auto"/>
            <w:color w:val="0000FF"/>
          </w:rPr>
          <w:t>10.14</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454" w:right="620" w:hanging="1454"/>
        <w:spacing w:after="0" w:line="229" w:lineRule="auto"/>
        <w:tabs>
          <w:tab w:leader="none" w:pos="950" w:val="left"/>
        </w:tabs>
        <w:numPr>
          <w:ilvl w:val="0"/>
          <w:numId w:val="47"/>
        </w:numPr>
        <w:rPr>
          <w:rFonts w:ascii="Arial" w:cs="Arial" w:eastAsia="Arial" w:hAnsi="Arial"/>
          <w:sz w:val="14"/>
          <w:szCs w:val="14"/>
          <w:color w:val="0000FF"/>
        </w:rPr>
      </w:pPr>
      <w:hyperlink r:id="rId154">
        <w:r>
          <w:rPr>
            <w:rFonts w:ascii="Arial" w:cs="Arial" w:eastAsia="Arial" w:hAnsi="Arial"/>
            <w:sz w:val="14"/>
            <w:szCs w:val="14"/>
            <w:u w:val="single" w:color="auto"/>
            <w:color w:val="0000FF"/>
          </w:rPr>
          <w:t>10.15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17" w:lineRule="exact"/>
        <w:rPr>
          <w:rFonts w:ascii="Arial" w:cs="Arial" w:eastAsia="Arial" w:hAnsi="Arial"/>
          <w:sz w:val="14"/>
          <w:szCs w:val="14"/>
          <w:color w:val="auto"/>
        </w:rPr>
      </w:pPr>
    </w:p>
    <w:p>
      <w:pPr>
        <w:ind w:left="1454" w:right="20" w:hanging="503"/>
        <w:spacing w:after="0" w:line="249" w:lineRule="auto"/>
        <w:tabs>
          <w:tab w:leader="none" w:pos="1434" w:val="left"/>
        </w:tabs>
        <w:rPr>
          <w:rFonts w:ascii="Arial" w:cs="Arial" w:eastAsia="Arial" w:hAnsi="Arial"/>
          <w:sz w:val="14"/>
          <w:szCs w:val="14"/>
          <w:color w:val="0000FF"/>
        </w:rPr>
      </w:pPr>
      <w:hyperlink r:id="rId155">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dated as of February 11, 2020, among Jefferson 2020 Bond Borrower LLC, as the borrower and Fortress Transportation and Infrastructure Investors LLC, acting through one or more affiliates, as the lender (incorporated by reference to Exhibit 10.15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342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54" w:right="40" w:hanging="503"/>
        <w:spacing w:after="0" w:line="249" w:lineRule="auto"/>
        <w:tabs>
          <w:tab w:leader="none" w:pos="1434" w:val="left"/>
        </w:tabs>
        <w:rPr>
          <w:rFonts w:ascii="Arial" w:cs="Arial" w:eastAsia="Arial" w:hAnsi="Arial"/>
          <w:sz w:val="14"/>
          <w:szCs w:val="14"/>
          <w:color w:val="0000FF"/>
        </w:rPr>
      </w:pPr>
      <w:hyperlink r:id="rId157">
        <w:r>
          <w:rPr>
            <w:rFonts w:ascii="Arial" w:cs="Arial" w:eastAsia="Arial" w:hAnsi="Arial"/>
            <w:sz w:val="14"/>
            <w:szCs w:val="14"/>
            <w:u w:val="single" w:color="auto"/>
            <w:color w:val="0000FF"/>
          </w:rPr>
          <w:t>10.17</w:t>
        </w:r>
      </w:hyperlink>
      <w:r>
        <w:rPr>
          <w:rFonts w:ascii="Arial" w:cs="Arial" w:eastAsia="Arial" w:hAnsi="Arial"/>
          <w:sz w:val="14"/>
          <w:szCs w:val="14"/>
          <w:color w:val="0000FF"/>
        </w:rPr>
        <w:tab/>
        <w:t>Senior Loan Agreement, dated as of February 1, 2020, between Port of Beaumont Navigation District of Jefferson County, Texas, as issuer and Jefferson 2020 Bond Borrower LLC, as borrower (incorporated by reference to Exhibit 10.16 of the Company’s Quarterly Report on Form 10-Q, filed on May 1, 2020).</w:t>
      </w:r>
    </w:p>
    <w:p>
      <w:pPr>
        <w:spacing w:after="0" w:line="39" w:lineRule="exact"/>
        <w:rPr>
          <w:rFonts w:ascii="Arial" w:cs="Arial" w:eastAsia="Arial" w:hAnsi="Arial"/>
          <w:sz w:val="14"/>
          <w:szCs w:val="14"/>
          <w:color w:val="auto"/>
        </w:rPr>
      </w:pPr>
    </w:p>
    <w:p>
      <w:pPr>
        <w:ind w:left="1454" w:right="80" w:hanging="503"/>
        <w:spacing w:after="0" w:line="249" w:lineRule="auto"/>
        <w:tabs>
          <w:tab w:leader="none" w:pos="1434" w:val="left"/>
        </w:tabs>
        <w:rPr>
          <w:rFonts w:ascii="Arial" w:cs="Arial" w:eastAsia="Arial" w:hAnsi="Arial"/>
          <w:sz w:val="14"/>
          <w:szCs w:val="14"/>
          <w:color w:val="0000FF"/>
        </w:rPr>
      </w:pPr>
      <w:hyperlink r:id="rId158">
        <w:r>
          <w:rPr>
            <w:rFonts w:ascii="Arial" w:cs="Arial" w:eastAsia="Arial" w:hAnsi="Arial"/>
            <w:sz w:val="14"/>
            <w:szCs w:val="14"/>
            <w:u w:val="single" w:color="auto"/>
            <w:color w:val="0000FF"/>
          </w:rPr>
          <w:t>10.18</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342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54" w:right="140" w:hanging="503"/>
        <w:spacing w:after="0" w:line="249" w:lineRule="auto"/>
        <w:tabs>
          <w:tab w:leader="none" w:pos="1434" w:val="left"/>
        </w:tabs>
        <w:rPr>
          <w:rFonts w:ascii="Arial" w:cs="Arial" w:eastAsia="Arial" w:hAnsi="Arial"/>
          <w:sz w:val="14"/>
          <w:szCs w:val="14"/>
          <w:color w:val="0000FF"/>
        </w:rPr>
      </w:pPr>
      <w:hyperlink r:id="rId160">
        <w:r>
          <w:rPr>
            <w:rFonts w:ascii="Arial" w:cs="Arial" w:eastAsia="Arial" w:hAnsi="Arial"/>
            <w:sz w:val="14"/>
            <w:szCs w:val="14"/>
            <w:u w:val="single" w:color="auto"/>
            <w:color w:val="0000FF"/>
          </w:rPr>
          <w:t>10.19</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the Company’s Quarterly Report on Form 10-Q, filed on May 1, 2020).</w:t>
      </w:r>
    </w:p>
    <w:p>
      <w:pPr>
        <w:spacing w:after="0" w:line="39" w:lineRule="exact"/>
        <w:rPr>
          <w:rFonts w:ascii="Arial" w:cs="Arial" w:eastAsia="Arial" w:hAnsi="Arial"/>
          <w:sz w:val="14"/>
          <w:szCs w:val="14"/>
          <w:color w:val="auto"/>
        </w:rPr>
      </w:pPr>
    </w:p>
    <w:p>
      <w:pPr>
        <w:ind w:left="1454" w:right="740" w:hanging="503"/>
        <w:spacing w:after="0" w:line="239" w:lineRule="auto"/>
        <w:tabs>
          <w:tab w:leader="none" w:pos="1434" w:val="left"/>
        </w:tabs>
        <w:rPr>
          <w:rFonts w:ascii="Arial" w:cs="Arial" w:eastAsia="Arial" w:hAnsi="Arial"/>
          <w:sz w:val="14"/>
          <w:szCs w:val="14"/>
          <w:color w:val="0000FF"/>
        </w:rPr>
      </w:pPr>
      <w:hyperlink r:id="rId161">
        <w:r>
          <w:rPr>
            <w:rFonts w:ascii="Arial" w:cs="Arial" w:eastAsia="Arial" w:hAnsi="Arial"/>
            <w:sz w:val="14"/>
            <w:szCs w:val="14"/>
            <w:u w:val="single" w:color="auto"/>
            <w:color w:val="0000FF"/>
          </w:rPr>
          <w:t>10.20</w:t>
        </w:r>
      </w:hyperlink>
      <w:r>
        <w:rPr>
          <w:rFonts w:ascii="Arial" w:cs="Arial" w:eastAsia="Arial" w:hAnsi="Arial"/>
          <w:sz w:val="14"/>
          <w:szCs w:val="14"/>
          <w:color w:val="0000FF"/>
        </w:rPr>
        <w:tab/>
        <w:t>Membership Interest Purchase Agreement, dated June 7, 2021, by and between United States Steel Corporation and Percy Acquisition LLC (incorporated by reference to Exhibit 10.1 of the Company’s Current Report on Form 8-K, filed on June 8, 2021).</w:t>
      </w:r>
    </w:p>
    <w:p>
      <w:pPr>
        <w:spacing w:after="0" w:line="200" w:lineRule="exact"/>
        <w:rPr>
          <w:rFonts w:ascii="Arial" w:cs="Arial" w:eastAsia="Arial" w:hAnsi="Arial"/>
          <w:sz w:val="14"/>
          <w:szCs w:val="14"/>
          <w:color w:val="auto"/>
        </w:rPr>
      </w:pPr>
    </w:p>
    <w:p>
      <w:pPr>
        <w:spacing w:after="0" w:line="286" w:lineRule="exact"/>
        <w:rPr>
          <w:rFonts w:ascii="Arial" w:cs="Arial" w:eastAsia="Arial" w:hAnsi="Arial"/>
          <w:sz w:val="14"/>
          <w:szCs w:val="14"/>
          <w:color w:val="auto"/>
        </w:rPr>
      </w:pPr>
    </w:p>
    <w:p>
      <w:pPr>
        <w:jc w:val="center"/>
        <w:ind w:right="-93"/>
        <w:spacing w:after="0"/>
        <w:rPr>
          <w:sz w:val="20"/>
          <w:szCs w:val="20"/>
          <w:color w:val="auto"/>
        </w:rPr>
      </w:pPr>
      <w:r>
        <w:rPr>
          <w:rFonts w:ascii="Arial" w:cs="Arial" w:eastAsia="Arial" w:hAnsi="Arial"/>
          <w:sz w:val="16"/>
          <w:szCs w:val="16"/>
          <w:color w:val="auto"/>
        </w:rPr>
        <w:t>92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-23495</wp:posOffset>
            </wp:positionH>
            <wp:positionV relativeFrom="paragraph">
              <wp:posOffset>212090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4"/>
          </w:cols>
          <w:pgMar w:left="346" w:top="977" w:right="459" w:bottom="1440" w:gutter="0" w:footer="0" w:header="0"/>
        </w:sectPr>
      </w:pPr>
    </w:p>
    <w:bookmarkStart w:id="93" w:name="page94"/>
    <w:bookmarkEnd w:id="93"/>
    <w:p>
      <w:pPr>
        <w:ind w:left="554"/>
        <w:spacing w:after="0"/>
        <w:tabs>
          <w:tab w:leader="none" w:pos="587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7071995" cy="325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40" w:lineRule="exact"/>
        <w:rPr>
          <w:sz w:val="20"/>
          <w:szCs w:val="20"/>
          <w:color w:val="auto"/>
        </w:rPr>
      </w:pPr>
    </w:p>
    <w:p>
      <w:pPr>
        <w:jc w:val="both"/>
        <w:ind w:left="1454" w:hanging="503"/>
        <w:spacing w:after="0" w:line="233" w:lineRule="auto"/>
        <w:tabs>
          <w:tab w:leader="none" w:pos="1434" w:val="left"/>
        </w:tabs>
        <w:rPr>
          <w:rFonts w:ascii="Arial" w:cs="Arial" w:eastAsia="Arial" w:hAnsi="Arial"/>
          <w:sz w:val="14"/>
          <w:szCs w:val="14"/>
          <w:color w:val="0000FF"/>
        </w:rPr>
      </w:pPr>
      <w:hyperlink r:id="rId164">
        <w:r>
          <w:rPr>
            <w:rFonts w:ascii="Arial" w:cs="Arial" w:eastAsia="Arial" w:hAnsi="Arial"/>
            <w:sz w:val="14"/>
            <w:szCs w:val="14"/>
            <w:u w:val="single" w:color="auto"/>
            <w:color w:val="0000FF"/>
          </w:rPr>
          <w:t>10.21</w:t>
        </w:r>
      </w:hyperlink>
      <w:r>
        <w:rPr>
          <w:rFonts w:ascii="Arial" w:cs="Arial" w:eastAsia="Arial" w:hAnsi="Arial"/>
          <w:sz w:val="14"/>
          <w:szCs w:val="14"/>
          <w:color w:val="0000FF"/>
        </w:rPr>
        <w:tab/>
        <w:t>Credit Agreement, dated July 28, 2021, among Fortress Transportation and Infrastructure Investors LLC, the guarantors from time to time party thereto, the lenders from time to time party thereto and Morgan Stanley Senior Funding, Inc., as administrative agent (incorporated by reference to Exhibit 10.21 of the Company’s Quarterly Report on Form 10-Q, filed on July 29, 2021).</w:t>
      </w:r>
    </w:p>
    <w:p>
      <w:pPr>
        <w:spacing w:after="0" w:line="31" w:lineRule="exact"/>
        <w:rPr>
          <w:sz w:val="20"/>
          <w:szCs w:val="20"/>
          <w:color w:val="auto"/>
        </w:rPr>
      </w:pPr>
    </w:p>
    <w:p>
      <w:pPr>
        <w:ind w:left="1454" w:right="220" w:hanging="503"/>
        <w:spacing w:after="0" w:line="233" w:lineRule="auto"/>
        <w:tabs>
          <w:tab w:leader="none" w:pos="1434" w:val="left"/>
        </w:tabs>
        <w:rPr>
          <w:rFonts w:ascii="Arial" w:cs="Arial" w:eastAsia="Arial" w:hAnsi="Arial"/>
          <w:sz w:val="14"/>
          <w:szCs w:val="14"/>
          <w:color w:val="0000FF"/>
        </w:rPr>
      </w:pPr>
      <w:hyperlink r:id="rId165">
        <w:r>
          <w:rPr>
            <w:rFonts w:ascii="Arial" w:cs="Arial" w:eastAsia="Arial" w:hAnsi="Arial"/>
            <w:sz w:val="14"/>
            <w:szCs w:val="14"/>
            <w:u w:val="single" w:color="auto"/>
            <w:color w:val="0000FF"/>
          </w:rPr>
          <w:t>10.22</w:t>
        </w:r>
      </w:hyperlink>
      <w:r>
        <w:rPr>
          <w:rFonts w:ascii="Arial" w:cs="Arial" w:eastAsia="Arial" w:hAnsi="Arial"/>
          <w:sz w:val="14"/>
          <w:szCs w:val="14"/>
          <w:color w:val="0000FF"/>
        </w:rPr>
        <w:tab/>
        <w:t>Railway Services Agreement, dated July 28, 2021, by and among United States Steel Corporation, Transtar, LLC, Delray Connecting Railroad Company, Fairfield Southern Company, Inc., Gary Railway Company, Lake Terminal Railroad Company, Texas &amp; Northern Railroad Company and Union Railroad Company, LLC (incorporated by reference to Exhibit 10.22 of the Company’s Quarterly Report on Form 10-Q, filed on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07199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11"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96">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28"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97">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98">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28"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99">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3771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spacing w:after="0" w:line="8" w:lineRule="exact"/>
        <w:rPr>
          <w:sz w:val="20"/>
          <w:szCs w:val="20"/>
          <w:color w:val="auto"/>
        </w:rPr>
      </w:pPr>
    </w:p>
    <w:p>
      <w:pPr>
        <w:ind w:left="1454" w:right="40" w:hanging="429"/>
        <w:spacing w:after="0" w:line="215" w:lineRule="auto"/>
        <w:tabs>
          <w:tab w:leader="none" w:pos="145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September 30, 2021,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17" w:lineRule="exact"/>
        <w:rPr>
          <w:sz w:val="20"/>
          <w:szCs w:val="20"/>
          <w:color w:val="auto"/>
        </w:rPr>
      </w:pPr>
    </w:p>
    <w:p>
      <w:pPr>
        <w:ind w:left="1454" w:hanging="429"/>
        <w:spacing w:after="0"/>
        <w:tabs>
          <w:tab w:leader="none" w:pos="1454" w:val="left"/>
        </w:tabs>
        <w:numPr>
          <w:ilvl w:val="1"/>
          <w:numId w:val="49"/>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4" w:lineRule="exact"/>
        <w:rPr>
          <w:rFonts w:ascii="Arial" w:cs="Arial" w:eastAsia="Arial" w:hAnsi="Arial"/>
          <w:sz w:val="14"/>
          <w:szCs w:val="14"/>
          <w:color w:val="auto"/>
        </w:rPr>
      </w:pPr>
    </w:p>
    <w:p>
      <w:pPr>
        <w:ind w:left="234" w:hanging="234"/>
        <w:spacing w:after="0"/>
        <w:tabs>
          <w:tab w:leader="none" w:pos="234"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-104140</wp:posOffset>
            </wp:positionV>
            <wp:extent cx="7071995"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8" w:lineRule="exact"/>
        <w:rPr>
          <w:sz w:val="20"/>
          <w:szCs w:val="20"/>
          <w:color w:val="auto"/>
        </w:rPr>
      </w:pPr>
    </w:p>
    <w:p>
      <w:pPr>
        <w:ind w:left="234" w:hanging="234"/>
        <w:spacing w:after="0"/>
        <w:tabs>
          <w:tab w:leader="none" w:pos="234"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3"/>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212090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4"/>
          </w:cols>
          <w:pgMar w:left="346" w:top="977" w:right="4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gridSpan w:val="3"/>
          </w:tcPr>
          <w:p>
            <w:pPr>
              <w:spacing w:after="0"/>
              <w:rPr>
                <w:sz w:val="20"/>
                <w:szCs w:val="20"/>
                <w:color w:val="auto"/>
              </w:rPr>
            </w:pPr>
            <w:r>
              <w:rPr>
                <w:rFonts w:ascii="Arial" w:cs="Arial" w:eastAsia="Arial" w:hAnsi="Arial"/>
                <w:sz w:val="16"/>
                <w:szCs w:val="16"/>
                <w:color w:val="auto"/>
              </w:rPr>
              <w:t>FORTRESS TRANSPORTATION AND INFRASTRUCTURE INVESTORS LLC</w:t>
            </w:r>
          </w:p>
        </w:tc>
        <w:tc>
          <w:tcPr>
            <w:tcW w:w="18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2"/>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c>
          <w:tcPr>
            <w:tcW w:w="2640" w:type="dxa"/>
            <w:vAlign w:val="bottom"/>
          </w:tcPr>
          <w:p>
            <w:pPr>
              <w:spacing w:after="0"/>
              <w:rPr>
                <w:sz w:val="20"/>
                <w:szCs w:val="20"/>
                <w:color w:val="auto"/>
              </w:rPr>
            </w:pPr>
          </w:p>
        </w:tc>
        <w:tc>
          <w:tcPr>
            <w:tcW w:w="1860" w:type="dxa"/>
            <w:vAlign w:val="bottom"/>
          </w:tcPr>
          <w:p>
            <w:pPr>
              <w:ind w:left="1180"/>
              <w:spacing w:after="0"/>
              <w:rPr>
                <w:sz w:val="20"/>
                <w:szCs w:val="20"/>
                <w:color w:val="auto"/>
              </w:rPr>
            </w:pPr>
            <w:r>
              <w:rPr>
                <w:rFonts w:ascii="Arial" w:cs="Arial" w:eastAsia="Arial" w:hAnsi="Arial"/>
                <w:sz w:val="16"/>
                <w:szCs w:val="16"/>
                <w:color w:val="auto"/>
              </w:rPr>
              <w:t>Date:</w:t>
            </w:r>
          </w:p>
        </w:tc>
        <w:tc>
          <w:tcPr>
            <w:tcW w:w="1540" w:type="dxa"/>
            <w:vAlign w:val="bottom"/>
          </w:tcPr>
          <w:p>
            <w:pPr>
              <w:ind w:left="280"/>
              <w:spacing w:after="0"/>
              <w:rPr>
                <w:sz w:val="20"/>
                <w:szCs w:val="20"/>
                <w:color w:val="auto"/>
              </w:rPr>
            </w:pPr>
            <w:r>
              <w:rPr>
                <w:rFonts w:ascii="Arial" w:cs="Arial" w:eastAsia="Arial" w:hAnsi="Arial"/>
                <w:sz w:val="16"/>
                <w:szCs w:val="16"/>
                <w:color w:val="auto"/>
              </w:rPr>
              <w:t>October 29, 2021</w:t>
            </w:r>
          </w:p>
        </w:tc>
      </w:tr>
      <w:tr>
        <w:trPr>
          <w:trHeight w:val="207"/>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Joseph P. Adams, Jr.</w:t>
            </w:r>
          </w:p>
        </w:tc>
        <w:tc>
          <w:tcPr>
            <w:tcW w:w="1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Chairman and Chief Executive Officer</w:t>
            </w: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48"/>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c>
          <w:tcPr>
            <w:tcW w:w="2640" w:type="dxa"/>
            <w:vAlign w:val="bottom"/>
          </w:tcPr>
          <w:p>
            <w:pPr>
              <w:spacing w:after="0"/>
              <w:rPr>
                <w:sz w:val="24"/>
                <w:szCs w:val="24"/>
                <w:color w:val="auto"/>
              </w:rPr>
            </w:pPr>
          </w:p>
        </w:tc>
        <w:tc>
          <w:tcPr>
            <w:tcW w:w="1860" w:type="dxa"/>
            <w:vAlign w:val="bottom"/>
          </w:tcPr>
          <w:p>
            <w:pPr>
              <w:ind w:left="1160"/>
              <w:spacing w:after="0"/>
              <w:rPr>
                <w:sz w:val="20"/>
                <w:szCs w:val="20"/>
                <w:color w:val="auto"/>
              </w:rPr>
            </w:pPr>
            <w:r>
              <w:rPr>
                <w:rFonts w:ascii="Arial" w:cs="Arial" w:eastAsia="Arial" w:hAnsi="Arial"/>
                <w:sz w:val="16"/>
                <w:szCs w:val="16"/>
                <w:color w:val="auto"/>
              </w:rPr>
              <w:t>Date:</w:t>
            </w:r>
          </w:p>
        </w:tc>
        <w:tc>
          <w:tcPr>
            <w:tcW w:w="1540" w:type="dxa"/>
            <w:vAlign w:val="bottom"/>
          </w:tcPr>
          <w:p>
            <w:pPr>
              <w:ind w:left="280"/>
              <w:spacing w:after="0"/>
              <w:rPr>
                <w:sz w:val="20"/>
                <w:szCs w:val="20"/>
                <w:color w:val="auto"/>
              </w:rPr>
            </w:pPr>
            <w:r>
              <w:rPr>
                <w:rFonts w:ascii="Arial" w:cs="Arial" w:eastAsia="Arial" w:hAnsi="Arial"/>
                <w:sz w:val="16"/>
                <w:szCs w:val="16"/>
                <w:color w:val="auto"/>
              </w:rPr>
              <w:t>October 29, 2021</w:t>
            </w:r>
          </w:p>
        </w:tc>
      </w:tr>
      <w:tr>
        <w:trPr>
          <w:trHeight w:val="206"/>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Scott Christopher</w:t>
            </w:r>
          </w:p>
        </w:tc>
        <w:tc>
          <w:tcPr>
            <w:tcW w:w="1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Chief Financial Officer</w:t>
            </w: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35"/>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Nam</w:t>
            </w:r>
          </w:p>
        </w:tc>
        <w:tc>
          <w:tcPr>
            <w:tcW w:w="2640" w:type="dxa"/>
            <w:vAlign w:val="bottom"/>
          </w:tcPr>
          <w:p>
            <w:pPr>
              <w:spacing w:after="0"/>
              <w:rPr>
                <w:sz w:val="24"/>
                <w:szCs w:val="24"/>
                <w:color w:val="auto"/>
              </w:rPr>
            </w:pPr>
          </w:p>
        </w:tc>
        <w:tc>
          <w:tcPr>
            <w:tcW w:w="1860" w:type="dxa"/>
            <w:vAlign w:val="bottom"/>
          </w:tcPr>
          <w:p>
            <w:pPr>
              <w:ind w:left="1160"/>
              <w:spacing w:after="0"/>
              <w:rPr>
                <w:sz w:val="20"/>
                <w:szCs w:val="20"/>
                <w:color w:val="auto"/>
              </w:rPr>
            </w:pPr>
            <w:r>
              <w:rPr>
                <w:rFonts w:ascii="Arial" w:cs="Arial" w:eastAsia="Arial" w:hAnsi="Arial"/>
                <w:sz w:val="16"/>
                <w:szCs w:val="16"/>
                <w:color w:val="auto"/>
              </w:rPr>
              <w:t>Date:</w:t>
            </w:r>
          </w:p>
        </w:tc>
        <w:tc>
          <w:tcPr>
            <w:tcW w:w="1540" w:type="dxa"/>
            <w:vAlign w:val="bottom"/>
          </w:tcPr>
          <w:p>
            <w:pPr>
              <w:ind w:left="280"/>
              <w:spacing w:after="0"/>
              <w:rPr>
                <w:sz w:val="20"/>
                <w:szCs w:val="20"/>
                <w:color w:val="auto"/>
              </w:rPr>
            </w:pPr>
            <w:r>
              <w:rPr>
                <w:rFonts w:ascii="Arial" w:cs="Arial" w:eastAsia="Arial" w:hAnsi="Arial"/>
                <w:sz w:val="16"/>
                <w:szCs w:val="16"/>
                <w:color w:val="auto"/>
              </w:rPr>
              <w:t>October 29, 2021</w:t>
            </w:r>
          </w:p>
        </w:tc>
      </w:tr>
      <w:tr>
        <w:trPr>
          <w:trHeight w:val="206"/>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Eun Nam</w:t>
            </w:r>
          </w:p>
        </w:tc>
        <w:tc>
          <w:tcPr>
            <w:tcW w:w="1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Chief Accounting Officer</w:t>
            </w: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20"/>
          </w:cols>
          <w:pgMar w:left="320" w:top="1039"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652"/>
        <w:spacing w:after="0" w:line="260" w:lineRule="auto"/>
        <w:tabs>
          <w:tab w:leader="none" w:pos="37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October 29, 2021</w:t>
            </w:r>
          </w:p>
        </w:tc>
        <w:tc>
          <w:tcPr>
            <w:tcW w:w="53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7"/>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2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2"/>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2"/>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2"/>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2"/>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571"/>
        <w:spacing w:after="0" w:line="260" w:lineRule="auto"/>
        <w:tabs>
          <w:tab w:leader="none" w:pos="443"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2"/>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2"/>
          <w:numId w:val="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October 29, 2021</w:t>
            </w:r>
          </w:p>
        </w:tc>
        <w:tc>
          <w:tcPr>
            <w:tcW w:w="55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07"/>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16"/>
        </w:trPr>
        <w:tc>
          <w:tcPr>
            <w:tcW w:w="19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2021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October 29, 2021</w:t>
      </w:r>
    </w:p>
    <w:p>
      <w:pPr>
        <w:sectPr>
          <w:pgSz w:w="11900" w:h="16838" w:orient="portrait"/>
          <w:cols w:equalWidth="0" w:num="1">
            <w:col w:w="11240"/>
          </w:cols>
          <w:pgMar w:left="320" w:top="891"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2021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October 29,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lowerRoman"/>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lvl w:ilvl="1">
      <w:lvlJc w:val="left"/>
      <w:lvlText w:val="(%2)"/>
      <w:numFmt w:val="lowerRoman"/>
      <w:start w:val="3"/>
    </w:lvl>
  </w:abstractNum>
  <w:abstractNum w:abstractNumId="12">
    <w:nsid w:val="3006C83E"/>
    <w:multiLevelType w:val="hybridMultilevel"/>
    <w:lvl w:ilvl="0">
      <w:lvlJc w:val="left"/>
      <w:lvlText w:val="%1"/>
      <w:numFmt w:val="decimal"/>
      <w:start w:val="1"/>
    </w:lvl>
    <w:lvl w:ilvl="1">
      <w:lvlJc w:val="left"/>
      <w:lvlText w:val="(%2)"/>
      <w:numFmt w:val="lowerRoman"/>
      <w:start w:val="5"/>
    </w:lvl>
  </w:abstractNum>
  <w:abstractNum w:abstractNumId="13">
    <w:nsid w:val="614FD4A1"/>
    <w:multiLevelType w:val="hybridMultilevel"/>
    <w:lvl w:ilvl="0">
      <w:lvlJc w:val="left"/>
      <w:lvlText w:val="(%1)"/>
      <w:numFmt w:val="decimal"/>
      <w:start w:val="3"/>
    </w:lvl>
    <w:lvl w:ilvl="1">
      <w:lvlJc w:val="left"/>
      <w:lvlText w:val="%2"/>
      <w:numFmt w:val="lowerRoman"/>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1"/>
    </w:lvl>
    <w:lvl w:ilvl="1">
      <w:lvlJc w:val="left"/>
      <w:lvlText w:val="(%2)"/>
      <w:numFmt w:val="lowerRoman"/>
      <w:start w:val="2"/>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101"/>
    </w:lvl>
  </w:abstractNum>
  <w:abstractNum w:abstractNumId="48">
    <w:nsid w:val="79A1DEAA"/>
    <w:multiLevelType w:val="hybridMultilevel"/>
    <w:lvl w:ilvl="0">
      <w:lvlJc w:val="left"/>
      <w:lvlText w:val="†"/>
      <w:numFmt w:val="bullet"/>
      <w:start w:val="1"/>
    </w:lvl>
    <w:lvl w:ilvl="1">
      <w:lvlJc w:val="left"/>
      <w:lvlText w:val="%2"/>
      <w:numFmt w:val="decimal"/>
      <w:start w:val="104"/>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4"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9" Type="http://schemas.openxmlformats.org/officeDocument/2006/relationships/image" Target="media/image98.png"/><Relationship Id="rId112" Type="http://schemas.openxmlformats.org/officeDocument/2006/relationships/image" Target="media/image99.png"/><Relationship Id="rId115" Type="http://schemas.openxmlformats.org/officeDocument/2006/relationships/image" Target="media/image100.png"/><Relationship Id="rId118" Type="http://schemas.openxmlformats.org/officeDocument/2006/relationships/image" Target="media/image101.png"/><Relationship Id="rId120" Type="http://schemas.openxmlformats.org/officeDocument/2006/relationships/image" Target="media/image102.png"/><Relationship Id="rId123" Type="http://schemas.openxmlformats.org/officeDocument/2006/relationships/image" Target="media/image103.png"/><Relationship Id="rId125" Type="http://schemas.openxmlformats.org/officeDocument/2006/relationships/image" Target="media/image104.png"/><Relationship Id="rId128"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41" Type="http://schemas.openxmlformats.org/officeDocument/2006/relationships/image" Target="media/image111.png"/><Relationship Id="rId144" Type="http://schemas.openxmlformats.org/officeDocument/2006/relationships/image" Target="media/image112.png"/><Relationship Id="rId147" Type="http://schemas.openxmlformats.org/officeDocument/2006/relationships/image" Target="media/image113.png"/><Relationship Id="rId150" Type="http://schemas.openxmlformats.org/officeDocument/2006/relationships/image" Target="media/image114.png"/><Relationship Id="rId153" Type="http://schemas.openxmlformats.org/officeDocument/2006/relationships/image" Target="media/image115.png"/><Relationship Id="rId156" Type="http://schemas.openxmlformats.org/officeDocument/2006/relationships/image" Target="media/image116.png"/><Relationship Id="rId159"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02" Type="http://schemas.openxmlformats.org/officeDocument/2006/relationships/hyperlink" Target="http://www.sec.gov/Archives/edgar/data/1590364/000114036120000280/ex2_1.htm" TargetMode="External"/><Relationship Id="rId103" Type="http://schemas.openxmlformats.org/officeDocument/2006/relationships/hyperlink" Target="http://www.sec.gov/Archives/edgar/data/1590364/000119312515163776/d616610dex31.htm" TargetMode="External"/><Relationship Id="rId105" Type="http://schemas.openxmlformats.org/officeDocument/2006/relationships/hyperlink" Target="http://www.sec.gov/Archives/edgar/data/1590364/000114036121009916/nt10021826x5_ex3-2.htm" TargetMode="External"/><Relationship Id="rId108" Type="http://schemas.openxmlformats.org/officeDocument/2006/relationships/hyperlink" Target="http://www.sec.gov/Archives/edgar/data/1590364/000095015717000381/ex4-1.htm" TargetMode="External"/><Relationship Id="rId110" Type="http://schemas.openxmlformats.org/officeDocument/2006/relationships/hyperlink" Target="http://www.sec.gov/Archives/edgar/data/1590364/000159036418000003/ftai12312017exhibit43.htm" TargetMode="External"/><Relationship Id="rId111" Type="http://schemas.openxmlformats.org/officeDocument/2006/relationships/hyperlink" Target="http://www.sec.gov/Archives/edgar/data/1590364/000095015717001232/ex4-1.htm" TargetMode="External"/><Relationship Id="rId113" Type="http://schemas.openxmlformats.org/officeDocument/2006/relationships/hyperlink" Target="http://www.sec.gov/Archives/edgar/data/1590364/000114036117046889/s001999x5_ex4-1.htm" TargetMode="External"/><Relationship Id="rId114" Type="http://schemas.openxmlformats.org/officeDocument/2006/relationships/hyperlink" Target="http://www.sec.gov/Archives/edgar/data/1590364/000114036118026546/ex4_1.htm" TargetMode="External"/><Relationship Id="rId116" Type="http://schemas.openxmlformats.org/officeDocument/2006/relationships/hyperlink" Target="http://www.sec.gov/Archives/edgar/data/1590364/000114036119002776/s002571x8_ex4-1.htm" TargetMode="External"/><Relationship Id="rId117" Type="http://schemas.openxmlformats.org/officeDocument/2006/relationships/hyperlink" Target="http://www.sec.gov/Archives/edgar/data/1590364/000114036118038650/ex4_1.htm" TargetMode="External"/><Relationship Id="rId119" Type="http://schemas.openxmlformats.org/officeDocument/2006/relationships/hyperlink" Target="http://www.sec.gov/Archives/edgar/data/1590364/000114036119009546/nc10001919x3_ex4-1.htm" TargetMode="External"/><Relationship Id="rId121" Type="http://schemas.openxmlformats.org/officeDocument/2006/relationships/hyperlink" Target="http://www.sec.gov/Archives/edgar/data/1590364/000114036120029408/brhc10018302_ex4-1.htm" TargetMode="External"/><Relationship Id="rId122" Type="http://schemas.openxmlformats.org/officeDocument/2006/relationships/hyperlink" Target="http://www.sec.gov/Archives/edgar/data/1590364/000114036121012434/nt10022837x5_ex4-1.htm" TargetMode="External"/><Relationship Id="rId124" Type="http://schemas.openxmlformats.org/officeDocument/2006/relationships/hyperlink" Target="http://www.sec.gov/Archives/edgar/data/1590364/000114036121032467/ny20000775x4_ex4-1.htm" TargetMode="External"/><Relationship Id="rId126" Type="http://schemas.openxmlformats.org/officeDocument/2006/relationships/hyperlink" Target="http://www.sec.gov/Archives/edgar/data/1590364/000114036119016562/ex3_2.htm#Exhibit4.1" TargetMode="External"/><Relationship Id="rId127" Type="http://schemas.openxmlformats.org/officeDocument/2006/relationships/hyperlink" Target="http://www.sec.gov/Archives/edgar/data/1590364/000114036119021576/nc10006381x2_ex3-2.htm" TargetMode="External"/><Relationship Id="rId129" Type="http://schemas.openxmlformats.org/officeDocument/2006/relationships/hyperlink" Target="http://www.sec.gov/Archives/edgar/data/1590364/000159036420000002/ftai12312019exhibit413.htm" TargetMode="External"/><Relationship Id="rId130" Type="http://schemas.openxmlformats.org/officeDocument/2006/relationships/hyperlink" Target="http://www.sec.gov/Archives/edgar/data/1590364/000119312515197222/d931434dex101.htm" TargetMode="External"/><Relationship Id="rId134" Type="http://schemas.openxmlformats.org/officeDocument/2006/relationships/hyperlink" Target="http://www.sec.gov/Archives/edgar/data/1590364/000119312515197222/d931434dex102.htm" TargetMode="External"/><Relationship Id="rId135" Type="http://schemas.openxmlformats.org/officeDocument/2006/relationships/hyperlink" Target="http://www.sec.gov/Archives/edgar/data/1590364/000119312515163776/d616610dex103.htm" TargetMode="External"/><Relationship Id="rId136" Type="http://schemas.openxmlformats.org/officeDocument/2006/relationships/hyperlink" Target="http://www.sec.gov/Archives/edgar/data/1590364/000119312515197222/d931434dex104.htm" TargetMode="External"/><Relationship Id="rId139" Type="http://schemas.openxmlformats.org/officeDocument/2006/relationships/hyperlink" Target="http://www.sec.gov/Archives/edgar/data/1590364/000119312515163776/d616610dex105.htm" TargetMode="External"/><Relationship Id="rId140" Type="http://schemas.openxmlformats.org/officeDocument/2006/relationships/hyperlink" Target="http://www.sec.gov/Archives/edgar/data/1590364/000156761917001299/s001761x1_ex10-1.htm" TargetMode="External"/><Relationship Id="rId142" Type="http://schemas.openxmlformats.org/officeDocument/2006/relationships/hyperlink" Target="http://www.sec.gov/Archives/edgar/data/1590364/000159036418000010/creditagreement-exhibit1015.htm" TargetMode="External"/><Relationship Id="rId143" Type="http://schemas.openxmlformats.org/officeDocument/2006/relationships/hyperlink" Target="http://www.sec.gov/Archives/edgar/data/1590364/000114036119002813/s002571x9_ex10-1.htm" TargetMode="External"/><Relationship Id="rId145" Type="http://schemas.openxmlformats.org/officeDocument/2006/relationships/hyperlink" Target="http://www.sec.gov/Archives/edgar/data/1590364/000114036119014758/ex10_1.htm" TargetMode="External"/><Relationship Id="rId146" Type="http://schemas.openxmlformats.org/officeDocument/2006/relationships/hyperlink" Target="http://www.sec.gov/Archives/edgar/data/1590364/000159036420000007/ftaifourthamendment2020.htm" TargetMode="External"/><Relationship Id="rId148" Type="http://schemas.openxmlformats.org/officeDocument/2006/relationships/hyperlink" Target="http://www.sec.gov/Archives/edgar/data/1590364/000159036419000004/epccontract-exhibit1017.htm" TargetMode="External"/><Relationship Id="rId149" Type="http://schemas.openxmlformats.org/officeDocument/2006/relationships/hyperlink" Target="http://www.sec.gov/Archives/edgar/data/1590364/000159036419000004/geequipmentsupplyagreement.htm" TargetMode="External"/><Relationship Id="rId151" Type="http://schemas.openxmlformats.org/officeDocument/2006/relationships/hyperlink" Target="http://www.sec.gov/Archives/edgar/data/1590364/000159036419000004/firstliencreditagreement-e.htm" TargetMode="External"/><Relationship Id="rId152" Type="http://schemas.openxmlformats.org/officeDocument/2006/relationships/hyperlink" Target="http://www.sec.gov/Archives/edgar/data/1590364/000159036419000004/secondliencreditagreement-.htm" TargetMode="External"/><Relationship Id="rId154" Type="http://schemas.openxmlformats.org/officeDocument/2006/relationships/hyperlink" Target="http://www.sec.gov/Archives/edgar/data/1590364/000114036118002262/s002014x3_ex10-1.htm" TargetMode="External"/><Relationship Id="rId155" Type="http://schemas.openxmlformats.org/officeDocument/2006/relationships/hyperlink" Target="http://www.sec.gov/Archives/edgar/data/1590364/000159036420000005/jeffersonintercompanyr.htm" TargetMode="External"/><Relationship Id="rId157" Type="http://schemas.openxmlformats.org/officeDocument/2006/relationships/hyperlink" Target="http://www.sec.gov/Archives/edgar/data/1590364/000159036420000005/jeffersonseniorloanagr.htm" TargetMode="External"/><Relationship Id="rId158" Type="http://schemas.openxmlformats.org/officeDocument/2006/relationships/hyperlink" Target="http://www.sec.gov/Archives/edgar/data/1590364/000159036420000005/jeffersondeedoftrust.htm" TargetMode="External"/><Relationship Id="rId160" Type="http://schemas.openxmlformats.org/officeDocument/2006/relationships/hyperlink" Target="http://www.sec.gov/Archives/edgar/data/1590364/000159036420000005/jeffersonfacilitieslea.htm" TargetMode="External"/><Relationship Id="rId161" Type="http://schemas.openxmlformats.org/officeDocument/2006/relationships/hyperlink" Target="http://www.sec.gov/Archives/edgar/data/1590364/000114036121020135/brhc10025553_ex10-1.htm" TargetMode="External"/><Relationship Id="rId164" Type="http://schemas.openxmlformats.org/officeDocument/2006/relationships/hyperlink" Target="http://www.sec.gov/Archives/edgar/data/1590364/000159036421000006/ftai_bridgecreditagreement.htm" TargetMode="External"/><Relationship Id="rId165" Type="http://schemas.openxmlformats.org/officeDocument/2006/relationships/hyperlink" Target="http://www.sec.gov/Archives/edgar/data/1590364/000159036421000006/railwayservices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2021-10-29T16:20:34Z</dcterms:created>
  <dcterms:modified xsi:type="dcterms:W3CDTF">2021-10-29T16:20:34Z</dcterms:modified>
</cp:coreProperties>
</file>