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7" w:lineRule="exact"/>
        <w:rPr>
          <w:sz w:val="24"/>
          <w:szCs w:val="24"/>
          <w:color w:val="auto"/>
        </w:rPr>
      </w:pPr>
    </w:p>
    <w:p>
      <w:pPr>
        <w:ind w:left="5280"/>
        <w:spacing w:after="0"/>
        <w:rPr>
          <w:sz w:val="20"/>
          <w:szCs w:val="20"/>
          <w:color w:val="auto"/>
        </w:rPr>
      </w:pPr>
      <w:r>
        <w:rPr>
          <w:rFonts w:ascii="Arial" w:cs="Arial" w:eastAsia="Arial" w:hAnsi="Arial"/>
          <w:sz w:val="16"/>
          <w:szCs w:val="16"/>
          <w:b w:val="1"/>
          <w:bCs w:val="1"/>
          <w:color w:val="auto"/>
        </w:rPr>
        <w:t>FORM 10-K</w:t>
      </w:r>
    </w:p>
    <w:p>
      <w:pPr>
        <w:spacing w:after="0" w:line="201" w:lineRule="exact"/>
        <w:rPr>
          <w:sz w:val="24"/>
          <w:szCs w:val="24"/>
          <w:color w:val="auto"/>
        </w:rPr>
      </w:pPr>
    </w:p>
    <w:p>
      <w:pPr>
        <w:ind w:left="5300"/>
        <w:spacing w:after="0"/>
        <w:rPr>
          <w:sz w:val="20"/>
          <w:szCs w:val="20"/>
          <w:color w:val="auto"/>
        </w:rPr>
      </w:pPr>
      <w:r>
        <w:rPr>
          <w:rFonts w:ascii="Arial" w:cs="Arial" w:eastAsia="Arial" w:hAnsi="Arial"/>
          <w:sz w:val="16"/>
          <w:szCs w:val="16"/>
          <w:color w:val="auto"/>
        </w:rPr>
        <w:t>(Mark One)</w:t>
      </w:r>
    </w:p>
    <w:p>
      <w:pPr>
        <w:spacing w:after="0" w:line="194" w:lineRule="exact"/>
        <w:rPr>
          <w:sz w:val="24"/>
          <w:szCs w:val="24"/>
          <w:color w:val="auto"/>
        </w:rPr>
      </w:pPr>
    </w:p>
    <w:p>
      <w:pPr>
        <w:ind w:left="1880" w:hanging="227"/>
        <w:spacing w:after="0"/>
        <w:tabs>
          <w:tab w:leader="none" w:pos="18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2017</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59" w:lineRule="exact"/>
        <w:rPr>
          <w:sz w:val="24"/>
          <w:szCs w:val="24"/>
          <w:color w:val="auto"/>
        </w:rPr>
      </w:pPr>
    </w:p>
    <w:p>
      <w:pPr>
        <w:ind w:left="1680" w:hanging="192"/>
        <w:spacing w:after="0"/>
        <w:tabs>
          <w:tab w:leader="none" w:pos="1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72" w:lineRule="exact"/>
        <w:rPr>
          <w:rFonts w:ascii="MS PGothic" w:cs="MS PGothic" w:eastAsia="MS PGothic" w:hAnsi="MS PGothic"/>
          <w:sz w:val="16"/>
          <w:szCs w:val="16"/>
          <w:color w:val="auto"/>
        </w:rPr>
      </w:pPr>
    </w:p>
    <w:p>
      <w:pPr>
        <w:ind w:left="4180"/>
        <w:spacing w:after="0"/>
        <w:rPr>
          <w:rFonts w:ascii="MS PGothic" w:cs="MS PGothic" w:eastAsia="MS PGothic" w:hAnsi="MS PGothic"/>
          <w:sz w:val="16"/>
          <w:szCs w:val="16"/>
          <w:color w:val="auto"/>
        </w:rPr>
      </w:pPr>
      <w:r>
        <w:rPr>
          <w:rFonts w:ascii="Arial" w:cs="Arial" w:eastAsia="Arial" w:hAnsi="Arial"/>
          <w:sz w:val="16"/>
          <w:szCs w:val="16"/>
          <w:color w:val="auto"/>
        </w:rPr>
        <w:t>For the transition period from ____ to ____</w:t>
      </w:r>
    </w:p>
    <w:p>
      <w:pPr>
        <w:spacing w:after="0" w:line="39" w:lineRule="exact"/>
        <w:rPr>
          <w:rFonts w:ascii="MS PGothic" w:cs="MS PGothic" w:eastAsia="MS PGothic" w:hAnsi="MS PGothic"/>
          <w:sz w:val="16"/>
          <w:szCs w:val="16"/>
          <w:color w:val="auto"/>
        </w:rPr>
      </w:pPr>
    </w:p>
    <w:p>
      <w:pPr>
        <w:ind w:left="44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48895</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FORTRESS TRANSPORTATION AND INFRASTRUCTURE INVESTORS LLC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19050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8" w:lineRule="exact"/>
        <w:rPr>
          <w:sz w:val="24"/>
          <w:szCs w:val="24"/>
          <w:color w:val="auto"/>
        </w:rPr>
      </w:pPr>
    </w:p>
    <w:tbl>
      <w:tblPr>
        <w:tblLayout w:type="fixed"/>
        <w:tblInd w:w="220" w:type="dxa"/>
        <w:tblCellMar>
          <w:top w:w="0" w:type="dxa"/>
          <w:left w:w="0" w:type="dxa"/>
          <w:bottom w:w="0" w:type="dxa"/>
          <w:right w:w="0" w:type="dxa"/>
        </w:tblCellMar>
      </w:tblPr>
      <w:tr>
        <w:trPr>
          <w:trHeight w:val="215"/>
        </w:trPr>
        <w:tc>
          <w:tcPr>
            <w:tcW w:w="584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9"/>
              </w:rPr>
              <w:t>Delaware</w:t>
            </w:r>
          </w:p>
        </w:tc>
        <w:tc>
          <w:tcPr>
            <w:tcW w:w="5180" w:type="dxa"/>
            <w:vAlign w:val="bottom"/>
          </w:tcPr>
          <w:p>
            <w:pPr>
              <w:jc w:val="right"/>
              <w:ind w:right="207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528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217"/>
        </w:trPr>
        <w:tc>
          <w:tcPr>
            <w:tcW w:w="5840" w:type="dxa"/>
            <w:vAlign w:val="bottom"/>
            <w:gridSpan w:val="2"/>
          </w:tcPr>
          <w:p>
            <w:pPr>
              <w:jc w:val="center"/>
              <w:ind w:right="580"/>
              <w:spacing w:after="0"/>
              <w:rPr>
                <w:sz w:val="20"/>
                <w:szCs w:val="20"/>
                <w:color w:val="auto"/>
              </w:rPr>
            </w:pPr>
            <w:r>
              <w:rPr>
                <w:rFonts w:ascii="Arial" w:cs="Arial" w:eastAsia="Arial" w:hAnsi="Arial"/>
                <w:sz w:val="16"/>
                <w:szCs w:val="16"/>
                <w:color w:val="auto"/>
              </w:rPr>
              <w:t>(State or other jurisdiction of incorporation or organization)</w:t>
            </w:r>
          </w:p>
        </w:tc>
        <w:tc>
          <w:tcPr>
            <w:tcW w:w="51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393"/>
        </w:trPr>
        <w:tc>
          <w:tcPr>
            <w:tcW w:w="584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rPr>
              <w:t>1345 Avenue of the Americas,</w:t>
            </w:r>
          </w:p>
        </w:tc>
        <w:tc>
          <w:tcPr>
            <w:tcW w:w="5180" w:type="dxa"/>
            <w:vAlign w:val="bottom"/>
          </w:tcPr>
          <w:p>
            <w:pPr>
              <w:spacing w:after="0"/>
              <w:rPr>
                <w:sz w:val="24"/>
                <w:szCs w:val="24"/>
                <w:color w:val="auto"/>
              </w:rPr>
            </w:pPr>
          </w:p>
        </w:tc>
      </w:tr>
      <w:tr>
        <w:trPr>
          <w:trHeight w:val="228"/>
        </w:trPr>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New York, NY</w:t>
            </w:r>
          </w:p>
        </w:tc>
        <w:tc>
          <w:tcPr>
            <w:tcW w:w="560" w:type="dxa"/>
            <w:vAlign w:val="bottom"/>
          </w:tcPr>
          <w:p>
            <w:pPr>
              <w:spacing w:after="0"/>
              <w:rPr>
                <w:sz w:val="19"/>
                <w:szCs w:val="19"/>
                <w:color w:val="auto"/>
              </w:rPr>
            </w:pPr>
          </w:p>
        </w:tc>
        <w:tc>
          <w:tcPr>
            <w:tcW w:w="5180" w:type="dxa"/>
            <w:vAlign w:val="bottom"/>
            <w:tcBorders>
              <w:bottom w:val="single" w:sz="8" w:color="auto"/>
            </w:tcBorders>
          </w:tcPr>
          <w:p>
            <w:pPr>
              <w:jc w:val="right"/>
              <w:ind w:right="2299"/>
              <w:spacing w:after="0"/>
              <w:rPr>
                <w:sz w:val="20"/>
                <w:szCs w:val="20"/>
                <w:color w:val="auto"/>
              </w:rPr>
            </w:pPr>
            <w:r>
              <w:rPr>
                <w:rFonts w:ascii="Arial" w:cs="Arial" w:eastAsia="Arial" w:hAnsi="Arial"/>
                <w:sz w:val="16"/>
                <w:szCs w:val="16"/>
                <w:b w:val="1"/>
                <w:bCs w:val="1"/>
                <w:color w:val="auto"/>
              </w:rPr>
              <w:t>10105</w:t>
            </w:r>
          </w:p>
        </w:tc>
      </w:tr>
      <w:tr>
        <w:trPr>
          <w:trHeight w:val="224"/>
        </w:trPr>
        <w:tc>
          <w:tcPr>
            <w:tcW w:w="5840" w:type="dxa"/>
            <w:vAlign w:val="bottom"/>
            <w:gridSpan w:val="2"/>
          </w:tcPr>
          <w:p>
            <w:pPr>
              <w:jc w:val="center"/>
              <w:ind w:right="580"/>
              <w:spacing w:after="0"/>
              <w:rPr>
                <w:sz w:val="20"/>
                <w:szCs w:val="20"/>
                <w:color w:val="auto"/>
              </w:rPr>
            </w:pPr>
            <w:r>
              <w:rPr>
                <w:rFonts w:ascii="Arial" w:cs="Arial" w:eastAsia="Arial" w:hAnsi="Arial"/>
                <w:sz w:val="16"/>
                <w:szCs w:val="16"/>
                <w:color w:val="auto"/>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20" w:type="dxa"/>
            <w:vAlign w:val="bottom"/>
          </w:tcPr>
          <w:p>
            <w:pPr>
              <w:spacing w:after="0"/>
              <w:rPr>
                <w:sz w:val="18"/>
                <w:szCs w:val="18"/>
                <w:color w:val="auto"/>
              </w:rPr>
            </w:pPr>
          </w:p>
        </w:tc>
        <w:tc>
          <w:tcPr>
            <w:tcW w:w="5940" w:type="dxa"/>
            <w:vAlign w:val="bottom"/>
            <w:gridSpan w:val="2"/>
          </w:tcPr>
          <w:p>
            <w:pPr>
              <w:jc w:val="center"/>
              <w:ind w:right="800"/>
              <w:spacing w:after="0"/>
              <w:rPr>
                <w:sz w:val="20"/>
                <w:szCs w:val="20"/>
                <w:color w:val="auto"/>
              </w:rPr>
            </w:pPr>
            <w:r>
              <w:rPr>
                <w:rFonts w:ascii="Arial" w:cs="Arial" w:eastAsia="Arial" w:hAnsi="Arial"/>
                <w:sz w:val="16"/>
                <w:szCs w:val="16"/>
                <w:b w:val="1"/>
                <w:bCs w:val="1"/>
                <w:color w:val="auto"/>
              </w:rPr>
              <w:t>Title of each class:</w:t>
            </w:r>
          </w:p>
        </w:tc>
        <w:tc>
          <w:tcPr>
            <w:tcW w:w="5260" w:type="dxa"/>
            <w:vAlign w:val="bottom"/>
          </w:tcPr>
          <w:p>
            <w:pPr>
              <w:jc w:val="center"/>
              <w:spacing w:after="0"/>
              <w:rPr>
                <w:sz w:val="20"/>
                <w:szCs w:val="20"/>
                <w:color w:val="auto"/>
              </w:rPr>
            </w:pPr>
            <w:r>
              <w:rPr>
                <w:rFonts w:ascii="Arial" w:cs="Arial" w:eastAsia="Arial" w:hAnsi="Arial"/>
                <w:sz w:val="16"/>
                <w:szCs w:val="16"/>
                <w:b w:val="1"/>
                <w:bCs w:val="1"/>
                <w:color w:val="auto"/>
              </w:rPr>
              <w:t>Name of exchange on which registered:</w:t>
            </w:r>
          </w:p>
        </w:tc>
      </w:tr>
      <w:tr>
        <w:trPr>
          <w:trHeight w:val="47"/>
        </w:trPr>
        <w:tc>
          <w:tcPr>
            <w:tcW w:w="120" w:type="dxa"/>
            <w:vAlign w:val="bottom"/>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r>
      <w:tr>
        <w:trPr>
          <w:trHeight w:val="217"/>
        </w:trPr>
        <w:tc>
          <w:tcPr>
            <w:tcW w:w="120" w:type="dxa"/>
            <w:vAlign w:val="bottom"/>
          </w:tcPr>
          <w:p>
            <w:pPr>
              <w:spacing w:after="0"/>
              <w:rPr>
                <w:sz w:val="18"/>
                <w:szCs w:val="18"/>
                <w:color w:val="auto"/>
              </w:rPr>
            </w:pPr>
          </w:p>
        </w:tc>
        <w:tc>
          <w:tcPr>
            <w:tcW w:w="5940" w:type="dxa"/>
            <w:vAlign w:val="bottom"/>
            <w:gridSpan w:val="2"/>
          </w:tcPr>
          <w:p>
            <w:pPr>
              <w:jc w:val="center"/>
              <w:ind w:right="800"/>
              <w:spacing w:after="0"/>
              <w:rPr>
                <w:sz w:val="20"/>
                <w:szCs w:val="20"/>
                <w:color w:val="auto"/>
              </w:rPr>
            </w:pPr>
            <w:r>
              <w:rPr>
                <w:rFonts w:ascii="Arial" w:cs="Arial" w:eastAsia="Arial" w:hAnsi="Arial"/>
                <w:sz w:val="16"/>
                <w:szCs w:val="16"/>
                <w:color w:val="auto"/>
              </w:rPr>
              <w:t>Class A common shares</w:t>
            </w:r>
          </w:p>
        </w:tc>
        <w:tc>
          <w:tcPr>
            <w:tcW w:w="5260" w:type="dxa"/>
            <w:vAlign w:val="bottom"/>
          </w:tcPr>
          <w:p>
            <w:pPr>
              <w:jc w:val="center"/>
              <w:spacing w:after="0"/>
              <w:rPr>
                <w:sz w:val="20"/>
                <w:szCs w:val="20"/>
                <w:color w:val="auto"/>
              </w:rPr>
            </w:pPr>
            <w:r>
              <w:rPr>
                <w:rFonts w:ascii="Arial" w:cs="Arial" w:eastAsia="Arial" w:hAnsi="Arial"/>
                <w:sz w:val="16"/>
                <w:szCs w:val="16"/>
                <w:color w:val="auto"/>
              </w:rPr>
              <w:t>New York Stock Exchange (NYSE)</w:t>
            </w:r>
          </w:p>
        </w:tc>
      </w:tr>
      <w:tr>
        <w:trPr>
          <w:trHeight w:val="284"/>
        </w:trPr>
        <w:tc>
          <w:tcPr>
            <w:tcW w:w="6060" w:type="dxa"/>
            <w:vAlign w:val="bottom"/>
            <w:gridSpan w:val="3"/>
          </w:tcPr>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5260" w:type="dxa"/>
            <w:vAlign w:val="bottom"/>
          </w:tcPr>
          <w:p>
            <w:pPr>
              <w:spacing w:after="0"/>
              <w:rPr>
                <w:sz w:val="24"/>
                <w:szCs w:val="24"/>
                <w:color w:val="auto"/>
              </w:rPr>
            </w:pPr>
          </w:p>
        </w:tc>
      </w:tr>
    </w:tbl>
    <w:p>
      <w:pPr>
        <w:spacing w:after="0" w:line="61" w:lineRule="exact"/>
        <w:rPr>
          <w:sz w:val="24"/>
          <w:szCs w:val="24"/>
          <w:color w:val="auto"/>
        </w:rPr>
      </w:pPr>
    </w:p>
    <w:p>
      <w:pPr>
        <w:ind w:right="200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ind w:right="1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ind w:right="80"/>
        <w:spacing w:after="0" w:line="197"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6" w:lineRule="exact"/>
        <w:rPr>
          <w:sz w:val="24"/>
          <w:szCs w:val="24"/>
          <w:color w:val="auto"/>
        </w:rPr>
      </w:pPr>
    </w:p>
    <w:p>
      <w:pPr>
        <w:ind w:right="20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1440" w:gutter="0" w:footer="0" w:header="0"/>
        </w:sectPr>
      </w:pPr>
    </w:p>
    <w:p>
      <w:pPr>
        <w:spacing w:after="0" w:line="100" w:lineRule="exact"/>
        <w:rPr>
          <w:sz w:val="24"/>
          <w:szCs w:val="24"/>
          <w:color w:val="auto"/>
        </w:rPr>
      </w:pPr>
    </w:p>
    <w:p>
      <w:pPr>
        <w:ind w:left="19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6960" w:space="720"/>
            <w:col w:w="3740"/>
          </w:cols>
          <w:pgMar w:left="240" w:top="229" w:right="239" w:bottom="1440" w:gutter="0" w:footer="0" w:header="0"/>
          <w:type w:val="continuous"/>
        </w:sectPr>
      </w:pPr>
    </w:p>
    <w:p>
      <w:pPr>
        <w:spacing w:after="0" w:line="37" w:lineRule="exact"/>
        <w:rPr>
          <w:sz w:val="24"/>
          <w:szCs w:val="24"/>
          <w:color w:val="auto"/>
        </w:rPr>
      </w:pPr>
    </w:p>
    <w:p>
      <w:pPr>
        <w:ind w:left="20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3">
            <w:col w:w="3320" w:space="80"/>
            <w:col w:w="3220" w:space="720"/>
            <w:col w:w="4080"/>
          </w:cols>
          <w:pgMar w:left="240" w:top="229" w:right="239" w:bottom="1440" w:gutter="0" w:footer="0" w:header="0"/>
          <w:type w:val="continuous"/>
        </w:sectPr>
      </w:pPr>
    </w:p>
    <w:p>
      <w:pPr>
        <w:jc w:val="center"/>
        <w:ind w:right="3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229" w:right="239" w:bottom="1440" w:gutter="0" w:footer="0" w:header="0"/>
          <w:type w:val="continuous"/>
        </w:sectPr>
      </w:pPr>
    </w:p>
    <w:p>
      <w:pPr>
        <w:spacing w:after="0" w:line="211" w:lineRule="exact"/>
        <w:rPr>
          <w:sz w:val="24"/>
          <w:szCs w:val="24"/>
          <w:color w:val="auto"/>
        </w:r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The aggregate market value of the voting and non-voting common equity of Fortress Transportation and Infrastructure Investors LLC held by non-affiliates as of the close of business as of June 30, 2017 was $1.2 billion.</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There were 82,779,232 common shares representing limited liability company interests outstanding at March 1, 2018.</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4" w:lineRule="exact"/>
        <w:rPr>
          <w:sz w:val="24"/>
          <w:szCs w:val="24"/>
          <w:color w:val="auto"/>
        </w:rPr>
      </w:pPr>
    </w:p>
    <w:p>
      <w:pPr>
        <w:ind w:right="40"/>
        <w:spacing w:after="0" w:line="260" w:lineRule="auto"/>
        <w:rPr>
          <w:sz w:val="20"/>
          <w:szCs w:val="20"/>
          <w:color w:val="auto"/>
        </w:rPr>
      </w:pPr>
      <w:r>
        <w:rPr>
          <w:rFonts w:ascii="Arial" w:cs="Arial" w:eastAsia="Arial" w:hAnsi="Arial"/>
          <w:sz w:val="16"/>
          <w:szCs w:val="16"/>
          <w:color w:val="auto"/>
        </w:rPr>
        <w:t>Portions of the registrant's definitive proxy statement for the registrant's 2018 annual meeting, to be filed within 120 days after the close of the registrant's fiscal year, are incorporated by reference into Part III of this Annual Report on Form 10-K.</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459"/>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86"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00497F"/>
        </w:rPr>
        <w:t>INDEX TO FORM 10-K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00" w:type="dxa"/>
            <w:vAlign w:val="bottom"/>
            <w:gridSpan w:val="13"/>
          </w:tcPr>
          <w:p>
            <w:pPr>
              <w:jc w:val="center"/>
              <w:ind w:right="4540"/>
              <w:spacing w:after="0"/>
              <w:rPr>
                <w:sz w:val="20"/>
                <w:szCs w:val="20"/>
                <w:color w:val="auto"/>
              </w:rPr>
            </w:pPr>
            <w:r>
              <w:rPr>
                <w:rFonts w:ascii="Arial" w:cs="Arial" w:eastAsia="Arial" w:hAnsi="Arial"/>
                <w:sz w:val="16"/>
                <w:szCs w:val="16"/>
                <w:b w:val="1"/>
                <w:bCs w:val="1"/>
                <w:color w:val="00497F"/>
                <w:w w:val="99"/>
              </w:rPr>
              <w:t>PART I</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1040" w:type="dxa"/>
            <w:vAlign w:val="bottom"/>
          </w:tcPr>
          <w:p>
            <w:pPr>
              <w:spacing w:after="0"/>
              <w:rPr>
                <w:sz w:val="20"/>
                <w:szCs w:val="20"/>
                <w:color w:val="auto"/>
              </w:rPr>
            </w:pPr>
          </w:p>
        </w:tc>
        <w:tc>
          <w:tcPr>
            <w:tcW w:w="2080" w:type="dxa"/>
            <w:vAlign w:val="bottom"/>
            <w:tcBorders>
              <w:bottom w:val="single" w:sz="8" w:color="0000EE"/>
            </w:tcBorders>
            <w:gridSpan w:val="16"/>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Forward-Looking Statements</w:t>
              </w:r>
            </w:hyperlink>
          </w:p>
        </w:tc>
        <w:tc>
          <w:tcPr>
            <w:tcW w:w="7500" w:type="dxa"/>
            <w:vAlign w:val="bottom"/>
            <w:gridSpan w:val="30"/>
          </w:tcPr>
          <w:p>
            <w:pPr>
              <w:spacing w:after="0"/>
              <w:rPr>
                <w:sz w:val="20"/>
                <w:szCs w:val="20"/>
                <w:color w:val="auto"/>
              </w:rPr>
            </w:pPr>
          </w:p>
        </w:tc>
        <w:tc>
          <w:tcPr>
            <w:tcW w:w="80" w:type="dxa"/>
            <w:vAlign w:val="bottom"/>
            <w:tcBorders>
              <w:bottom w:val="single" w:sz="8" w:color="0000EE"/>
            </w:tcBorders>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66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4">
              <w:r>
                <w:rPr>
                  <w:rFonts w:ascii="Arial" w:cs="Arial" w:eastAsia="Arial" w:hAnsi="Arial"/>
                  <w:sz w:val="16"/>
                  <w:szCs w:val="16"/>
                  <w:color w:val="0000EE"/>
                  <w:w w:val="98"/>
                </w:rPr>
                <w:t>Business</w:t>
              </w:r>
            </w:hyperlink>
          </w:p>
        </w:tc>
        <w:tc>
          <w:tcPr>
            <w:tcW w:w="8920" w:type="dxa"/>
            <w:vAlign w:val="bottom"/>
            <w:gridSpan w:val="43"/>
          </w:tcPr>
          <w:p>
            <w:pPr>
              <w:spacing w:after="0"/>
              <w:rPr>
                <w:sz w:val="19"/>
                <w:szCs w:val="19"/>
                <w:color w:val="auto"/>
              </w:rPr>
            </w:pPr>
          </w:p>
        </w:tc>
        <w:tc>
          <w:tcPr>
            <w:tcW w:w="80" w:type="dxa"/>
            <w:vAlign w:val="bottom"/>
            <w:tcBorders>
              <w:bottom w:val="single" w:sz="8" w:color="0000EE"/>
            </w:tcBorders>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EE"/>
            </w:tcBorders>
            <w:gridSpan w:val="5"/>
          </w:tcPr>
          <w:p>
            <w:pPr>
              <w:spacing w:after="0"/>
              <w:rPr>
                <w:rFonts w:ascii="Arial" w:cs="Arial" w:eastAsia="Arial" w:hAnsi="Arial"/>
                <w:sz w:val="16"/>
                <w:szCs w:val="16"/>
                <w:color w:val="0000EE"/>
                <w:w w:val="98"/>
              </w:rPr>
            </w:pPr>
            <w:hyperlink w:anchor="page13">
              <w:r>
                <w:rPr>
                  <w:rFonts w:ascii="Arial" w:cs="Arial" w:eastAsia="Arial" w:hAnsi="Arial"/>
                  <w:sz w:val="16"/>
                  <w:szCs w:val="16"/>
                  <w:color w:val="0000EE"/>
                  <w:w w:val="98"/>
                </w:rPr>
                <w:t>Risk Factors</w:t>
              </w:r>
            </w:hyperlink>
          </w:p>
        </w:tc>
        <w:tc>
          <w:tcPr>
            <w:tcW w:w="8680" w:type="dxa"/>
            <w:vAlign w:val="bottom"/>
            <w:gridSpan w:val="41"/>
          </w:tcPr>
          <w:p>
            <w:pPr>
              <w:spacing w:after="0"/>
              <w:rPr>
                <w:sz w:val="19"/>
                <w:szCs w:val="19"/>
                <w:color w:val="auto"/>
              </w:rPr>
            </w:pPr>
          </w:p>
        </w:tc>
        <w:tc>
          <w:tcPr>
            <w:tcW w:w="18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13">
              <w:r>
                <w:rPr>
                  <w:rFonts w:ascii="Arial" w:cs="Arial" w:eastAsia="Arial" w:hAnsi="Arial"/>
                  <w:sz w:val="16"/>
                  <w:szCs w:val="16"/>
                  <w:color w:val="0000EE"/>
                  <w:w w:val="89"/>
                </w:rPr>
                <w:t>13</w:t>
              </w:r>
            </w:hyperlink>
          </w:p>
        </w:tc>
        <w:tc>
          <w:tcPr>
            <w:tcW w:w="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1B.</w:t>
            </w:r>
          </w:p>
        </w:tc>
        <w:tc>
          <w:tcPr>
            <w:tcW w:w="2020" w:type="dxa"/>
            <w:vAlign w:val="bottom"/>
            <w:tcBorders>
              <w:bottom w:val="single" w:sz="8" w:color="0000EE"/>
            </w:tcBorders>
            <w:gridSpan w:val="15"/>
          </w:tcPr>
          <w:p>
            <w:pPr>
              <w:spacing w:after="0"/>
              <w:rPr>
                <w:rFonts w:ascii="Arial" w:cs="Arial" w:eastAsia="Arial" w:hAnsi="Arial"/>
                <w:sz w:val="16"/>
                <w:szCs w:val="16"/>
                <w:color w:val="0000EE"/>
                <w:w w:val="99"/>
              </w:rPr>
            </w:pPr>
            <w:hyperlink w:anchor="page33">
              <w:r>
                <w:rPr>
                  <w:rFonts w:ascii="Arial" w:cs="Arial" w:eastAsia="Arial" w:hAnsi="Arial"/>
                  <w:sz w:val="16"/>
                  <w:szCs w:val="16"/>
                  <w:color w:val="0000EE"/>
                  <w:w w:val="99"/>
                </w:rPr>
                <w:t>Unresolved Staff Comments</w:t>
              </w:r>
            </w:hyperlink>
          </w:p>
        </w:tc>
        <w:tc>
          <w:tcPr>
            <w:tcW w:w="7560" w:type="dxa"/>
            <w:vAlign w:val="bottom"/>
            <w:gridSpan w:val="31"/>
          </w:tcPr>
          <w:p>
            <w:pPr>
              <w:spacing w:after="0"/>
              <w:rPr>
                <w:sz w:val="19"/>
                <w:szCs w:val="19"/>
                <w:color w:val="auto"/>
              </w:rPr>
            </w:pPr>
          </w:p>
        </w:tc>
        <w:tc>
          <w:tcPr>
            <w:tcW w:w="18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33</w:t>
              </w:r>
            </w:hyperlink>
          </w:p>
        </w:tc>
        <w:tc>
          <w:tcPr>
            <w:tcW w:w="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74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33">
              <w:r>
                <w:rPr>
                  <w:rFonts w:ascii="Arial" w:cs="Arial" w:eastAsia="Arial" w:hAnsi="Arial"/>
                  <w:sz w:val="16"/>
                  <w:szCs w:val="16"/>
                  <w:color w:val="0000EE"/>
                  <w:w w:val="98"/>
                </w:rPr>
                <w:t>Properties</w:t>
              </w:r>
            </w:hyperlink>
          </w:p>
        </w:tc>
        <w:tc>
          <w:tcPr>
            <w:tcW w:w="8840" w:type="dxa"/>
            <w:vAlign w:val="bottom"/>
            <w:gridSpan w:val="42"/>
          </w:tcPr>
          <w:p>
            <w:pPr>
              <w:spacing w:after="0"/>
              <w:rPr>
                <w:sz w:val="19"/>
                <w:szCs w:val="19"/>
                <w:color w:val="auto"/>
              </w:rPr>
            </w:pPr>
          </w:p>
        </w:tc>
        <w:tc>
          <w:tcPr>
            <w:tcW w:w="18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33</w:t>
              </w:r>
            </w:hyperlink>
          </w:p>
        </w:tc>
        <w:tc>
          <w:tcPr>
            <w:tcW w:w="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134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33">
              <w:r>
                <w:rPr>
                  <w:rFonts w:ascii="Arial" w:cs="Arial" w:eastAsia="Arial" w:hAnsi="Arial"/>
                  <w:sz w:val="16"/>
                  <w:szCs w:val="16"/>
                  <w:color w:val="0000EE"/>
                  <w:w w:val="99"/>
                </w:rPr>
                <w:t>Legal Proceedings</w:t>
              </w:r>
            </w:hyperlink>
          </w:p>
        </w:tc>
        <w:tc>
          <w:tcPr>
            <w:tcW w:w="8240" w:type="dxa"/>
            <w:vAlign w:val="bottom"/>
            <w:gridSpan w:val="39"/>
          </w:tcPr>
          <w:p>
            <w:pPr>
              <w:spacing w:after="0"/>
              <w:rPr>
                <w:sz w:val="19"/>
                <w:szCs w:val="19"/>
                <w:color w:val="auto"/>
              </w:rPr>
            </w:pPr>
          </w:p>
        </w:tc>
        <w:tc>
          <w:tcPr>
            <w:tcW w:w="18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33</w:t>
              </w:r>
            </w:hyperlink>
          </w:p>
        </w:tc>
        <w:tc>
          <w:tcPr>
            <w:tcW w:w="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580" w:type="dxa"/>
            <w:vAlign w:val="bottom"/>
            <w:gridSpan w:val="4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Mine Safety Disclosures</w:t>
              </w:r>
            </w:hyperlink>
          </w:p>
        </w:tc>
        <w:tc>
          <w:tcPr>
            <w:tcW w:w="260" w:type="dxa"/>
            <w:vAlign w:val="bottom"/>
            <w:gridSpan w:val="3"/>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33</w:t>
              </w:r>
            </w:hyperlink>
          </w:p>
        </w:tc>
      </w:tr>
      <w:tr>
        <w:trPr>
          <w:trHeight w:val="285"/>
        </w:trPr>
        <w:tc>
          <w:tcPr>
            <w:tcW w:w="10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00" w:type="dxa"/>
            <w:vAlign w:val="bottom"/>
            <w:gridSpan w:val="13"/>
          </w:tcPr>
          <w:p>
            <w:pPr>
              <w:jc w:val="center"/>
              <w:ind w:right="4540"/>
              <w:spacing w:after="0"/>
              <w:rPr>
                <w:sz w:val="20"/>
                <w:szCs w:val="20"/>
                <w:color w:val="auto"/>
              </w:rPr>
            </w:pPr>
            <w:r>
              <w:rPr>
                <w:rFonts w:ascii="Arial" w:cs="Arial" w:eastAsia="Arial" w:hAnsi="Arial"/>
                <w:sz w:val="16"/>
                <w:szCs w:val="16"/>
                <w:b w:val="1"/>
                <w:bCs w:val="1"/>
                <w:color w:val="00497F"/>
                <w:w w:val="98"/>
              </w:rPr>
              <w:t>PART II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9580" w:type="dxa"/>
            <w:vAlign w:val="bottom"/>
            <w:gridSpan w:val="4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Market for Registrant’s Common Equity, Related Stockholder Matters and Issuer Purchases of Equity Securities</w:t>
              </w:r>
            </w:hyperlink>
          </w:p>
        </w:tc>
        <w:tc>
          <w:tcPr>
            <w:tcW w:w="260" w:type="dxa"/>
            <w:vAlign w:val="bottom"/>
            <w:gridSpan w:val="3"/>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33</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7980" w:type="dxa"/>
            <w:vAlign w:val="bottom"/>
            <w:tcBorders>
              <w:top w:val="single" w:sz="8" w:color="0000EE"/>
            </w:tcBorders>
            <w:gridSpan w:val="44"/>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Selected Financial Data</w:t>
              </w:r>
            </w:hyperlink>
          </w:p>
        </w:tc>
        <w:tc>
          <w:tcPr>
            <w:tcW w:w="1600" w:type="dxa"/>
            <w:vAlign w:val="bottom"/>
            <w:gridSpan w:val="2"/>
          </w:tcPr>
          <w:p>
            <w:pPr>
              <w:spacing w:after="0"/>
              <w:rPr>
                <w:sz w:val="19"/>
                <w:szCs w:val="19"/>
                <w:color w:val="auto"/>
              </w:rPr>
            </w:pPr>
          </w:p>
        </w:tc>
        <w:tc>
          <w:tcPr>
            <w:tcW w:w="180" w:type="dxa"/>
            <w:vAlign w:val="bottom"/>
            <w:tcBorders>
              <w:top w:val="single" w:sz="8" w:color="0000EE"/>
            </w:tcBorders>
            <w:gridSpan w:val="2"/>
          </w:tcPr>
          <w:p>
            <w:pPr>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35</w:t>
              </w:r>
            </w:hyperlink>
          </w:p>
        </w:tc>
        <w:tc>
          <w:tcPr>
            <w:tcW w:w="8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7.</w:t>
            </w:r>
          </w:p>
        </w:tc>
        <w:tc>
          <w:tcPr>
            <w:tcW w:w="9580" w:type="dxa"/>
            <w:vAlign w:val="bottom"/>
            <w:gridSpan w:val="46"/>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Management’s Discussion and Analysis of Financial Condition and Results of Operations</w:t>
              </w:r>
            </w:hyperlink>
          </w:p>
        </w:tc>
        <w:tc>
          <w:tcPr>
            <w:tcW w:w="260" w:type="dxa"/>
            <w:vAlign w:val="bottom"/>
            <w:gridSpan w:val="3"/>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37</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7A.</w:t>
            </w:r>
          </w:p>
        </w:tc>
        <w:tc>
          <w:tcPr>
            <w:tcW w:w="4240" w:type="dxa"/>
            <w:vAlign w:val="bottom"/>
            <w:tcBorders>
              <w:top w:val="single" w:sz="8" w:color="0000EE"/>
              <w:bottom w:val="single" w:sz="8" w:color="0000EE"/>
            </w:tcBorders>
            <w:gridSpan w:val="32"/>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Quantitative and Qualitative Disclosures About Market Risk</w:t>
              </w:r>
            </w:hyperlink>
          </w:p>
        </w:tc>
        <w:tc>
          <w:tcPr>
            <w:tcW w:w="2120" w:type="dxa"/>
            <w:vAlign w:val="bottom"/>
            <w:tcBorders>
              <w:top w:val="single" w:sz="8" w:color="0000EE"/>
            </w:tcBorders>
            <w:gridSpan w:val="5"/>
          </w:tcPr>
          <w:p>
            <w:pPr>
              <w:spacing w:after="0"/>
              <w:rPr>
                <w:sz w:val="19"/>
                <w:szCs w:val="19"/>
                <w:color w:val="auto"/>
              </w:rPr>
            </w:pPr>
          </w:p>
        </w:tc>
        <w:tc>
          <w:tcPr>
            <w:tcW w:w="3220" w:type="dxa"/>
            <w:vAlign w:val="bottom"/>
            <w:gridSpan w:val="9"/>
          </w:tcPr>
          <w:p>
            <w:pPr>
              <w:spacing w:after="0"/>
              <w:rPr>
                <w:sz w:val="19"/>
                <w:szCs w:val="19"/>
                <w:color w:val="auto"/>
              </w:rPr>
            </w:pPr>
          </w:p>
        </w:tc>
        <w:tc>
          <w:tcPr>
            <w:tcW w:w="1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9"/>
              </w:rPr>
            </w:pPr>
            <w:hyperlink w:anchor="page87">
              <w:r>
                <w:rPr>
                  <w:rFonts w:ascii="Arial" w:cs="Arial" w:eastAsia="Arial" w:hAnsi="Arial"/>
                  <w:sz w:val="16"/>
                  <w:szCs w:val="16"/>
                  <w:color w:val="0000EE"/>
                  <w:w w:val="89"/>
                </w:rPr>
                <w:t>87</w:t>
              </w:r>
            </w:hyperlink>
          </w:p>
        </w:tc>
        <w:tc>
          <w:tcPr>
            <w:tcW w:w="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8.</w:t>
            </w:r>
          </w:p>
        </w:tc>
        <w:tc>
          <w:tcPr>
            <w:tcW w:w="9580" w:type="dxa"/>
            <w:vAlign w:val="bottom"/>
            <w:gridSpan w:val="46"/>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Consolidated Financial Statements of Fortress Transportation and Infrastructure Investors LLC:</w:t>
              </w:r>
            </w:hyperlink>
          </w:p>
        </w:tc>
        <w:tc>
          <w:tcPr>
            <w:tcW w:w="260" w:type="dxa"/>
            <w:vAlign w:val="bottom"/>
            <w:gridSpan w:val="3"/>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r>
      <w:tr>
        <w:trPr>
          <w:trHeight w:val="250"/>
        </w:trPr>
        <w:tc>
          <w:tcPr>
            <w:tcW w:w="1040" w:type="dxa"/>
            <w:vAlign w:val="bottom"/>
          </w:tcPr>
          <w:p>
            <w:pPr>
              <w:spacing w:after="0"/>
              <w:rPr>
                <w:sz w:val="21"/>
                <w:szCs w:val="21"/>
                <w:color w:val="auto"/>
              </w:rPr>
            </w:pPr>
          </w:p>
        </w:tc>
        <w:tc>
          <w:tcPr>
            <w:tcW w:w="4140" w:type="dxa"/>
            <w:vAlign w:val="bottom"/>
            <w:tcBorders>
              <w:top w:val="single" w:sz="8" w:color="0000EE"/>
              <w:bottom w:val="single" w:sz="8" w:color="0000EE"/>
            </w:tcBorders>
            <w:gridSpan w:val="31"/>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Report of Independent Registered Public Accounting Firm</w:t>
              </w:r>
            </w:hyperlink>
          </w:p>
        </w:tc>
        <w:tc>
          <w:tcPr>
            <w:tcW w:w="2660" w:type="dxa"/>
            <w:vAlign w:val="bottom"/>
            <w:tcBorders>
              <w:top w:val="single" w:sz="8" w:color="0000EE"/>
            </w:tcBorders>
            <w:gridSpan w:val="8"/>
          </w:tcPr>
          <w:p>
            <w:pPr>
              <w:spacing w:after="0"/>
              <w:rPr>
                <w:sz w:val="21"/>
                <w:szCs w:val="21"/>
                <w:color w:val="auto"/>
              </w:rPr>
            </w:pPr>
          </w:p>
        </w:tc>
        <w:tc>
          <w:tcPr>
            <w:tcW w:w="2780" w:type="dxa"/>
            <w:vAlign w:val="bottom"/>
            <w:gridSpan w:val="7"/>
          </w:tcPr>
          <w:p>
            <w:pPr>
              <w:spacing w:after="0"/>
              <w:rPr>
                <w:sz w:val="21"/>
                <w:szCs w:val="21"/>
                <w:color w:val="auto"/>
              </w:rPr>
            </w:pPr>
          </w:p>
        </w:tc>
        <w:tc>
          <w:tcPr>
            <w:tcW w:w="1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9"/>
              </w:rPr>
            </w:pPr>
            <w:hyperlink w:anchor="page90">
              <w:r>
                <w:rPr>
                  <w:rFonts w:ascii="Arial" w:cs="Arial" w:eastAsia="Arial" w:hAnsi="Arial"/>
                  <w:sz w:val="16"/>
                  <w:szCs w:val="16"/>
                  <w:color w:val="0000EE"/>
                  <w:w w:val="89"/>
                </w:rPr>
                <w:t>90</w:t>
              </w:r>
            </w:hyperlink>
          </w:p>
        </w:tc>
        <w:tc>
          <w:tcPr>
            <w:tcW w:w="8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580" w:type="dxa"/>
            <w:vAlign w:val="bottom"/>
            <w:gridSpan w:val="46"/>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Consolidated Balance Sheets as of December 31, 2017 and December 31, 2016</w:t>
              </w:r>
            </w:hyperlink>
          </w:p>
        </w:tc>
        <w:tc>
          <w:tcPr>
            <w:tcW w:w="260" w:type="dxa"/>
            <w:vAlign w:val="bottom"/>
            <w:gridSpan w:val="3"/>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92</w:t>
              </w:r>
            </w:hyperlink>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920" w:type="dxa"/>
            <w:vAlign w:val="bottom"/>
            <w:tcBorders>
              <w:bottom w:val="single" w:sz="8" w:color="0000EE"/>
            </w:tcBorders>
            <w:gridSpan w:val="41"/>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Consolidated Statements of Operations for the years ended December 31, 2017, 2016 and 2015</w:t>
              </w:r>
            </w:hyperlink>
          </w:p>
        </w:tc>
        <w:tc>
          <w:tcPr>
            <w:tcW w:w="2660" w:type="dxa"/>
            <w:vAlign w:val="bottom"/>
            <w:gridSpan w:val="5"/>
          </w:tcPr>
          <w:p>
            <w:pPr>
              <w:spacing w:after="0"/>
              <w:rPr>
                <w:sz w:val="21"/>
                <w:szCs w:val="21"/>
                <w:color w:val="auto"/>
              </w:rPr>
            </w:pPr>
          </w:p>
        </w:tc>
        <w:tc>
          <w:tcPr>
            <w:tcW w:w="18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93</w:t>
              </w:r>
            </w:hyperlink>
          </w:p>
        </w:tc>
        <w:tc>
          <w:tcPr>
            <w:tcW w:w="8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8320" w:type="dxa"/>
            <w:vAlign w:val="bottom"/>
            <w:tcBorders>
              <w:bottom w:val="single" w:sz="8" w:color="0000EE"/>
            </w:tcBorders>
            <w:gridSpan w:val="45"/>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Consolidated Statements of Comprehensive (Loss) Income for the years ended December 31, 2017, 2016 and 2015</w:t>
              </w:r>
            </w:hyperlink>
          </w:p>
        </w:tc>
        <w:tc>
          <w:tcPr>
            <w:tcW w:w="1260" w:type="dxa"/>
            <w:vAlign w:val="bottom"/>
          </w:tcPr>
          <w:p>
            <w:pPr>
              <w:spacing w:after="0"/>
              <w:rPr>
                <w:sz w:val="21"/>
                <w:szCs w:val="21"/>
                <w:color w:val="auto"/>
              </w:rPr>
            </w:pPr>
          </w:p>
        </w:tc>
        <w:tc>
          <w:tcPr>
            <w:tcW w:w="18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94">
              <w:r>
                <w:rPr>
                  <w:rFonts w:ascii="Arial" w:cs="Arial" w:eastAsia="Arial" w:hAnsi="Arial"/>
                  <w:sz w:val="16"/>
                  <w:szCs w:val="16"/>
                  <w:color w:val="0000EE"/>
                  <w:w w:val="89"/>
                </w:rPr>
                <w:t>94</w:t>
              </w:r>
            </w:hyperlink>
          </w:p>
        </w:tc>
        <w:tc>
          <w:tcPr>
            <w:tcW w:w="8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6900" w:type="dxa"/>
            <w:vAlign w:val="bottom"/>
            <w:tcBorders>
              <w:bottom w:val="single" w:sz="8" w:color="0000EE"/>
            </w:tcBorders>
            <w:gridSpan w:val="40"/>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Consolidated Statement of Changes in Equity for the years ended December 31, 2017 and 2016</w:t>
              </w:r>
            </w:hyperlink>
          </w:p>
        </w:tc>
        <w:tc>
          <w:tcPr>
            <w:tcW w:w="2680" w:type="dxa"/>
            <w:vAlign w:val="bottom"/>
            <w:gridSpan w:val="6"/>
          </w:tcPr>
          <w:p>
            <w:pPr>
              <w:spacing w:after="0"/>
              <w:rPr>
                <w:sz w:val="21"/>
                <w:szCs w:val="21"/>
                <w:color w:val="auto"/>
              </w:rPr>
            </w:pPr>
          </w:p>
        </w:tc>
        <w:tc>
          <w:tcPr>
            <w:tcW w:w="18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95">
              <w:r>
                <w:rPr>
                  <w:rFonts w:ascii="Arial" w:cs="Arial" w:eastAsia="Arial" w:hAnsi="Arial"/>
                  <w:sz w:val="16"/>
                  <w:szCs w:val="16"/>
                  <w:color w:val="0000EE"/>
                  <w:w w:val="89"/>
                </w:rPr>
                <w:t>95</w:t>
              </w:r>
            </w:hyperlink>
          </w:p>
        </w:tc>
        <w:tc>
          <w:tcPr>
            <w:tcW w:w="8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6960" w:type="dxa"/>
            <w:vAlign w:val="bottom"/>
            <w:tcBorders>
              <w:bottom w:val="single" w:sz="8" w:color="0000EE"/>
            </w:tcBorders>
            <w:gridSpan w:val="42"/>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Consolidated Statements of Cash Flows for the years ended December 31, 2017, 2016 and 2015</w:t>
              </w:r>
            </w:hyperlink>
          </w:p>
        </w:tc>
        <w:tc>
          <w:tcPr>
            <w:tcW w:w="2620" w:type="dxa"/>
            <w:vAlign w:val="bottom"/>
            <w:gridSpan w:val="4"/>
          </w:tcPr>
          <w:p>
            <w:pPr>
              <w:spacing w:after="0"/>
              <w:rPr>
                <w:sz w:val="21"/>
                <w:szCs w:val="21"/>
                <w:color w:val="auto"/>
              </w:rPr>
            </w:pPr>
          </w:p>
        </w:tc>
        <w:tc>
          <w:tcPr>
            <w:tcW w:w="18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96">
              <w:r>
                <w:rPr>
                  <w:rFonts w:ascii="Arial" w:cs="Arial" w:eastAsia="Arial" w:hAnsi="Arial"/>
                  <w:sz w:val="16"/>
                  <w:szCs w:val="16"/>
                  <w:color w:val="0000EE"/>
                  <w:w w:val="89"/>
                </w:rPr>
                <w:t>96</w:t>
              </w:r>
            </w:hyperlink>
          </w:p>
        </w:tc>
        <w:tc>
          <w:tcPr>
            <w:tcW w:w="8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580" w:type="dxa"/>
            <w:vAlign w:val="bottom"/>
            <w:gridSpan w:val="46"/>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Notes to Consolidated Financial Statements</w:t>
              </w:r>
            </w:hyperlink>
          </w:p>
        </w:tc>
        <w:tc>
          <w:tcPr>
            <w:tcW w:w="260" w:type="dxa"/>
            <w:vAlign w:val="bottom"/>
            <w:gridSpan w:val="3"/>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98</w:t>
              </w:r>
            </w:hyperlink>
          </w:p>
        </w:tc>
      </w:tr>
      <w:tr>
        <w:trPr>
          <w:trHeight w:val="250"/>
        </w:trPr>
        <w:tc>
          <w:tcPr>
            <w:tcW w:w="104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900" w:type="dxa"/>
            <w:vAlign w:val="bottom"/>
            <w:tcBorders>
              <w:top w:val="single" w:sz="8" w:color="0000EE"/>
            </w:tcBorders>
            <w:gridSpan w:val="23"/>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Note 1: Organization</w:t>
              </w:r>
            </w:hyperlink>
          </w:p>
        </w:tc>
        <w:tc>
          <w:tcPr>
            <w:tcW w:w="6440" w:type="dxa"/>
            <w:vAlign w:val="bottom"/>
            <w:gridSpan w:val="22"/>
          </w:tcPr>
          <w:p>
            <w:pPr>
              <w:spacing w:after="0"/>
              <w:rPr>
                <w:sz w:val="21"/>
                <w:szCs w:val="21"/>
                <w:color w:val="auto"/>
              </w:rPr>
            </w:pPr>
          </w:p>
        </w:tc>
        <w:tc>
          <w:tcPr>
            <w:tcW w:w="180" w:type="dxa"/>
            <w:vAlign w:val="bottom"/>
            <w:tcBorders>
              <w:top w:val="single" w:sz="8" w:color="0000EE"/>
            </w:tcBorders>
            <w:gridSpan w:val="2"/>
          </w:tcPr>
          <w:p>
            <w:pPr>
              <w:spacing w:after="0"/>
              <w:rPr>
                <w:rFonts w:ascii="Arial" w:cs="Arial" w:eastAsia="Arial" w:hAnsi="Arial"/>
                <w:sz w:val="16"/>
                <w:szCs w:val="16"/>
                <w:color w:val="0000EE"/>
                <w:w w:val="89"/>
              </w:rPr>
            </w:pPr>
            <w:hyperlink w:anchor="page98">
              <w:r>
                <w:rPr>
                  <w:rFonts w:ascii="Arial" w:cs="Arial" w:eastAsia="Arial" w:hAnsi="Arial"/>
                  <w:sz w:val="16"/>
                  <w:szCs w:val="16"/>
                  <w:color w:val="0000EE"/>
                  <w:w w:val="89"/>
                </w:rPr>
                <w:t>98</w:t>
              </w:r>
            </w:hyperlink>
          </w:p>
        </w:tc>
        <w:tc>
          <w:tcPr>
            <w:tcW w:w="8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5"/>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Note 2: Summary of Significant Accounting Policies</w:t>
              </w:r>
            </w:hyperlink>
          </w:p>
        </w:tc>
        <w:tc>
          <w:tcPr>
            <w:tcW w:w="260" w:type="dxa"/>
            <w:vAlign w:val="bottom"/>
            <w:gridSpan w:val="3"/>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98</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27"/>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Note 3: Leasing Equipment, net</w:t>
              </w:r>
            </w:hyperlink>
          </w:p>
        </w:tc>
        <w:tc>
          <w:tcPr>
            <w:tcW w:w="5660" w:type="dxa"/>
            <w:vAlign w:val="bottom"/>
            <w:gridSpan w:val="18"/>
          </w:tcPr>
          <w:p>
            <w:pPr>
              <w:spacing w:after="0"/>
              <w:rPr>
                <w:sz w:val="21"/>
                <w:szCs w:val="21"/>
                <w:color w:val="auto"/>
              </w:rPr>
            </w:pPr>
          </w:p>
        </w:tc>
        <w:tc>
          <w:tcPr>
            <w:tcW w:w="260" w:type="dxa"/>
            <w:vAlign w:val="bottom"/>
            <w:gridSpan w:val="3"/>
          </w:tcPr>
          <w:p>
            <w:pPr>
              <w:spacing w:after="0"/>
              <w:rPr>
                <w:rFonts w:ascii="Arial" w:cs="Arial" w:eastAsia="Arial" w:hAnsi="Arial"/>
                <w:sz w:val="16"/>
                <w:szCs w:val="16"/>
                <w:color w:val="0000EE"/>
                <w:w w:val="89"/>
              </w:rPr>
            </w:pPr>
            <w:hyperlink w:anchor="page107">
              <w:r>
                <w:rPr>
                  <w:rFonts w:ascii="Arial" w:cs="Arial" w:eastAsia="Arial" w:hAnsi="Arial"/>
                  <w:sz w:val="16"/>
                  <w:szCs w:val="16"/>
                  <w:color w:val="0000EE"/>
                  <w:w w:val="89"/>
                </w:rPr>
                <w:t>107</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Borders>
              <w:top w:val="single" w:sz="8" w:color="0000EE"/>
            </w:tcBorders>
            <w:gridSpan w:val="19"/>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Note 4: Finance Leases, net</w:t>
              </w:r>
            </w:hyperlink>
          </w:p>
        </w:tc>
        <w:tc>
          <w:tcPr>
            <w:tcW w:w="7080" w:type="dxa"/>
            <w:vAlign w:val="bottom"/>
            <w:gridSpan w:val="26"/>
          </w:tcPr>
          <w:p>
            <w:pPr>
              <w:spacing w:after="0"/>
              <w:rPr>
                <w:sz w:val="21"/>
                <w:szCs w:val="21"/>
                <w:color w:val="auto"/>
              </w:rPr>
            </w:pPr>
          </w:p>
        </w:tc>
        <w:tc>
          <w:tcPr>
            <w:tcW w:w="260" w:type="dxa"/>
            <w:vAlign w:val="bottom"/>
            <w:tcBorders>
              <w:top w:val="single" w:sz="8" w:color="0000EE"/>
            </w:tcBorders>
            <w:gridSpan w:val="3"/>
          </w:tcPr>
          <w:p>
            <w:pPr>
              <w:spacing w:after="0"/>
              <w:rPr>
                <w:rFonts w:ascii="Arial" w:cs="Arial" w:eastAsia="Arial" w:hAnsi="Arial"/>
                <w:sz w:val="16"/>
                <w:szCs w:val="16"/>
                <w:color w:val="0000EE"/>
                <w:w w:val="89"/>
              </w:rPr>
            </w:pPr>
            <w:hyperlink w:anchor="page108">
              <w:r>
                <w:rPr>
                  <w:rFonts w:ascii="Arial" w:cs="Arial" w:eastAsia="Arial" w:hAnsi="Arial"/>
                  <w:sz w:val="16"/>
                  <w:szCs w:val="16"/>
                  <w:color w:val="0000EE"/>
                  <w:w w:val="89"/>
                </w:rPr>
                <w:t>108</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tcBorders>
              <w:bottom w:val="single" w:sz="8" w:color="0000EE"/>
            </w:tcBorders>
            <w:gridSpan w:val="25"/>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Note 5: Property, Plant and Equipment, net</w:t>
              </w:r>
            </w:hyperlink>
          </w:p>
        </w:tc>
        <w:tc>
          <w:tcPr>
            <w:tcW w:w="6260" w:type="dxa"/>
            <w:vAlign w:val="bottom"/>
            <w:gridSpan w:val="20"/>
          </w:tcPr>
          <w:p>
            <w:pPr>
              <w:spacing w:after="0"/>
              <w:rPr>
                <w:sz w:val="21"/>
                <w:szCs w:val="21"/>
                <w:color w:val="auto"/>
              </w:rPr>
            </w:pPr>
          </w:p>
        </w:tc>
        <w:tc>
          <w:tcPr>
            <w:tcW w:w="2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108">
              <w:r>
                <w:rPr>
                  <w:rFonts w:ascii="Arial" w:cs="Arial" w:eastAsia="Arial" w:hAnsi="Arial"/>
                  <w:sz w:val="16"/>
                  <w:szCs w:val="16"/>
                  <w:color w:val="0000EE"/>
                  <w:w w:val="89"/>
                </w:rPr>
                <w:t>108</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Borders>
              <w:bottom w:val="single" w:sz="8" w:color="0000EE"/>
            </w:tcBorders>
            <w:gridSpan w:val="10"/>
          </w:tcPr>
          <w:p>
            <w:pPr>
              <w:spacing w:after="0"/>
              <w:rPr>
                <w:rFonts w:ascii="Arial" w:cs="Arial" w:eastAsia="Arial" w:hAnsi="Arial"/>
                <w:sz w:val="16"/>
                <w:szCs w:val="16"/>
                <w:color w:val="0000EE"/>
                <w:w w:val="99"/>
              </w:rPr>
            </w:pPr>
            <w:hyperlink w:anchor="page109">
              <w:r>
                <w:rPr>
                  <w:rFonts w:ascii="Arial" w:cs="Arial" w:eastAsia="Arial" w:hAnsi="Arial"/>
                  <w:sz w:val="16"/>
                  <w:szCs w:val="16"/>
                  <w:color w:val="0000EE"/>
                  <w:w w:val="99"/>
                </w:rPr>
                <w:t>Note 6: Investments</w:t>
              </w:r>
            </w:hyperlink>
          </w:p>
        </w:tc>
        <w:tc>
          <w:tcPr>
            <w:tcW w:w="7880" w:type="dxa"/>
            <w:vAlign w:val="bottom"/>
            <w:gridSpan w:val="35"/>
          </w:tcPr>
          <w:p>
            <w:pPr>
              <w:spacing w:after="0"/>
              <w:rPr>
                <w:sz w:val="21"/>
                <w:szCs w:val="21"/>
                <w:color w:val="auto"/>
              </w:rPr>
            </w:pPr>
          </w:p>
        </w:tc>
        <w:tc>
          <w:tcPr>
            <w:tcW w:w="2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109">
              <w:r>
                <w:rPr>
                  <w:rFonts w:ascii="Arial" w:cs="Arial" w:eastAsia="Arial" w:hAnsi="Arial"/>
                  <w:sz w:val="16"/>
                  <w:szCs w:val="16"/>
                  <w:color w:val="0000EE"/>
                  <w:w w:val="89"/>
                </w:rPr>
                <w:t>109</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5"/>
          </w:tcPr>
          <w:p>
            <w:pPr>
              <w:spacing w:after="0"/>
              <w:rPr>
                <w:rFonts w:ascii="Arial" w:cs="Arial" w:eastAsia="Arial" w:hAnsi="Arial"/>
                <w:sz w:val="16"/>
                <w:szCs w:val="16"/>
                <w:color w:val="0000EE"/>
              </w:rPr>
            </w:pPr>
            <w:hyperlink w:anchor="page111">
              <w:r>
                <w:rPr>
                  <w:rFonts w:ascii="Arial" w:cs="Arial" w:eastAsia="Arial" w:hAnsi="Arial"/>
                  <w:sz w:val="16"/>
                  <w:szCs w:val="16"/>
                  <w:color w:val="0000EE"/>
                </w:rPr>
                <w:t>Note 7: Intangible Assets and Liabilities, net</w:t>
              </w:r>
            </w:hyperlink>
          </w:p>
        </w:tc>
        <w:tc>
          <w:tcPr>
            <w:tcW w:w="260" w:type="dxa"/>
            <w:vAlign w:val="bottom"/>
            <w:gridSpan w:val="3"/>
          </w:tcPr>
          <w:p>
            <w:pPr>
              <w:spacing w:after="0"/>
              <w:rPr>
                <w:rFonts w:ascii="Arial" w:cs="Arial" w:eastAsia="Arial" w:hAnsi="Arial"/>
                <w:sz w:val="16"/>
                <w:szCs w:val="16"/>
                <w:color w:val="0000EE"/>
                <w:w w:val="89"/>
              </w:rPr>
            </w:pPr>
            <w:hyperlink w:anchor="page111">
              <w:r>
                <w:rPr>
                  <w:rFonts w:ascii="Arial" w:cs="Arial" w:eastAsia="Arial" w:hAnsi="Arial"/>
                  <w:sz w:val="16"/>
                  <w:szCs w:val="16"/>
                  <w:color w:val="0000EE"/>
                  <w:w w:val="89"/>
                </w:rPr>
                <w:t>111</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40" w:type="dxa"/>
            <w:vAlign w:val="bottom"/>
            <w:tcBorders>
              <w:top w:val="single" w:sz="8" w:color="0000EE"/>
            </w:tcBorders>
            <w:gridSpan w:val="26"/>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Note 8: Debt, net</w:t>
              </w:r>
            </w:hyperlink>
          </w:p>
        </w:tc>
        <w:tc>
          <w:tcPr>
            <w:tcW w:w="6200" w:type="dxa"/>
            <w:vAlign w:val="bottom"/>
            <w:gridSpan w:val="19"/>
          </w:tcPr>
          <w:p>
            <w:pPr>
              <w:spacing w:after="0"/>
              <w:rPr>
                <w:sz w:val="21"/>
                <w:szCs w:val="21"/>
                <w:color w:val="auto"/>
              </w:rPr>
            </w:pPr>
          </w:p>
        </w:tc>
        <w:tc>
          <w:tcPr>
            <w:tcW w:w="260" w:type="dxa"/>
            <w:vAlign w:val="bottom"/>
            <w:tcBorders>
              <w:top w:val="single" w:sz="8" w:color="0000EE"/>
            </w:tcBorders>
            <w:gridSpan w:val="3"/>
          </w:tcPr>
          <w:p>
            <w:pPr>
              <w:spacing w:after="0"/>
              <w:rPr>
                <w:rFonts w:ascii="Arial" w:cs="Arial" w:eastAsia="Arial" w:hAnsi="Arial"/>
                <w:sz w:val="16"/>
                <w:szCs w:val="16"/>
                <w:color w:val="0000EE"/>
                <w:w w:val="89"/>
              </w:rPr>
            </w:pPr>
            <w:hyperlink w:anchor="page113">
              <w:r>
                <w:rPr>
                  <w:rFonts w:ascii="Arial" w:cs="Arial" w:eastAsia="Arial" w:hAnsi="Arial"/>
                  <w:sz w:val="16"/>
                  <w:szCs w:val="16"/>
                  <w:color w:val="0000EE"/>
                  <w:w w:val="89"/>
                </w:rPr>
                <w:t>113</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5"/>
          </w:tcPr>
          <w:p>
            <w:pPr>
              <w:spacing w:after="0"/>
              <w:rPr>
                <w:rFonts w:ascii="Arial" w:cs="Arial" w:eastAsia="Arial" w:hAnsi="Arial"/>
                <w:sz w:val="16"/>
                <w:szCs w:val="16"/>
                <w:color w:val="0000EE"/>
              </w:rPr>
            </w:pPr>
            <w:hyperlink w:anchor="page116">
              <w:r>
                <w:rPr>
                  <w:rFonts w:ascii="Arial" w:cs="Arial" w:eastAsia="Arial" w:hAnsi="Arial"/>
                  <w:sz w:val="16"/>
                  <w:szCs w:val="16"/>
                  <w:color w:val="0000EE"/>
                </w:rPr>
                <w:t>Note 9: Fair Value Measurements</w:t>
              </w:r>
            </w:hyperlink>
          </w:p>
        </w:tc>
        <w:tc>
          <w:tcPr>
            <w:tcW w:w="260" w:type="dxa"/>
            <w:vAlign w:val="bottom"/>
            <w:gridSpan w:val="3"/>
          </w:tcPr>
          <w:p>
            <w:pPr>
              <w:spacing w:after="0"/>
              <w:rPr>
                <w:rFonts w:ascii="Arial" w:cs="Arial" w:eastAsia="Arial" w:hAnsi="Arial"/>
                <w:sz w:val="16"/>
                <w:szCs w:val="16"/>
                <w:color w:val="0000EE"/>
                <w:w w:val="89"/>
              </w:rPr>
            </w:pPr>
            <w:hyperlink w:anchor="page116">
              <w:r>
                <w:rPr>
                  <w:rFonts w:ascii="Arial" w:cs="Arial" w:eastAsia="Arial" w:hAnsi="Arial"/>
                  <w:sz w:val="16"/>
                  <w:szCs w:val="16"/>
                  <w:color w:val="0000EE"/>
                  <w:w w:val="89"/>
                </w:rPr>
                <w:t>116</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tcBorders>
              <w:top w:val="single" w:sz="8" w:color="0000EE"/>
            </w:tcBorders>
            <w:gridSpan w:val="20"/>
          </w:tcPr>
          <w:p>
            <w:pPr>
              <w:spacing w:after="0"/>
              <w:rPr>
                <w:rFonts w:ascii="Arial" w:cs="Arial" w:eastAsia="Arial" w:hAnsi="Arial"/>
                <w:sz w:val="16"/>
                <w:szCs w:val="16"/>
                <w:color w:val="0000EE"/>
              </w:rPr>
            </w:pPr>
            <w:hyperlink w:anchor="page118">
              <w:r>
                <w:rPr>
                  <w:rFonts w:ascii="Arial" w:cs="Arial" w:eastAsia="Arial" w:hAnsi="Arial"/>
                  <w:sz w:val="16"/>
                  <w:szCs w:val="16"/>
                  <w:color w:val="0000EE"/>
                </w:rPr>
                <w:t>Note 10: Revenues</w:t>
              </w:r>
            </w:hyperlink>
          </w:p>
        </w:tc>
        <w:tc>
          <w:tcPr>
            <w:tcW w:w="6940" w:type="dxa"/>
            <w:vAlign w:val="bottom"/>
            <w:gridSpan w:val="25"/>
          </w:tcPr>
          <w:p>
            <w:pPr>
              <w:spacing w:after="0"/>
              <w:rPr>
                <w:sz w:val="21"/>
                <w:szCs w:val="21"/>
                <w:color w:val="auto"/>
              </w:rPr>
            </w:pPr>
          </w:p>
        </w:tc>
        <w:tc>
          <w:tcPr>
            <w:tcW w:w="260" w:type="dxa"/>
            <w:vAlign w:val="bottom"/>
            <w:tcBorders>
              <w:top w:val="single" w:sz="8" w:color="0000EE"/>
            </w:tcBorders>
            <w:gridSpan w:val="3"/>
          </w:tcPr>
          <w:p>
            <w:pPr>
              <w:spacing w:after="0"/>
              <w:rPr>
                <w:rFonts w:ascii="Arial" w:cs="Arial" w:eastAsia="Arial" w:hAnsi="Arial"/>
                <w:sz w:val="16"/>
                <w:szCs w:val="16"/>
                <w:color w:val="0000EE"/>
                <w:w w:val="89"/>
              </w:rPr>
            </w:pPr>
            <w:hyperlink w:anchor="page118">
              <w:r>
                <w:rPr>
                  <w:rFonts w:ascii="Arial" w:cs="Arial" w:eastAsia="Arial" w:hAnsi="Arial"/>
                  <w:sz w:val="16"/>
                  <w:szCs w:val="16"/>
                  <w:color w:val="0000EE"/>
                  <w:w w:val="89"/>
                </w:rPr>
                <w:t>118</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5"/>
          </w:tcPr>
          <w:p>
            <w:pPr>
              <w:spacing w:after="0"/>
              <w:rPr>
                <w:rFonts w:ascii="Arial" w:cs="Arial" w:eastAsia="Arial" w:hAnsi="Arial"/>
                <w:sz w:val="16"/>
                <w:szCs w:val="16"/>
                <w:color w:val="0000EE"/>
              </w:rPr>
            </w:pPr>
            <w:hyperlink w:anchor="page119">
              <w:r>
                <w:rPr>
                  <w:rFonts w:ascii="Arial" w:cs="Arial" w:eastAsia="Arial" w:hAnsi="Arial"/>
                  <w:sz w:val="16"/>
                  <w:szCs w:val="16"/>
                  <w:color w:val="0000EE"/>
                </w:rPr>
                <w:t>Note 11: Equity-Based Compensation</w:t>
              </w:r>
            </w:hyperlink>
          </w:p>
        </w:tc>
        <w:tc>
          <w:tcPr>
            <w:tcW w:w="260" w:type="dxa"/>
            <w:vAlign w:val="bottom"/>
            <w:gridSpan w:val="3"/>
          </w:tcPr>
          <w:p>
            <w:pPr>
              <w:spacing w:after="0"/>
              <w:rPr>
                <w:rFonts w:ascii="Arial" w:cs="Arial" w:eastAsia="Arial" w:hAnsi="Arial"/>
                <w:sz w:val="16"/>
                <w:szCs w:val="16"/>
                <w:color w:val="0000EE"/>
                <w:w w:val="89"/>
              </w:rPr>
            </w:pPr>
            <w:hyperlink w:anchor="page119">
              <w:r>
                <w:rPr>
                  <w:rFonts w:ascii="Arial" w:cs="Arial" w:eastAsia="Arial" w:hAnsi="Arial"/>
                  <w:sz w:val="16"/>
                  <w:szCs w:val="16"/>
                  <w:color w:val="0000EE"/>
                  <w:w w:val="89"/>
                </w:rPr>
                <w:t>119</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99"/>
              </w:rPr>
            </w:pPr>
            <w:hyperlink w:anchor="page122">
              <w:r>
                <w:rPr>
                  <w:rFonts w:ascii="Arial" w:cs="Arial" w:eastAsia="Arial" w:hAnsi="Arial"/>
                  <w:sz w:val="16"/>
                  <w:szCs w:val="16"/>
                  <w:color w:val="0000EE"/>
                  <w:w w:val="99"/>
                </w:rPr>
                <w:t>Note 12: Income Taxes</w:t>
              </w:r>
            </w:hyperlink>
          </w:p>
        </w:tc>
        <w:tc>
          <w:tcPr>
            <w:tcW w:w="1040" w:type="dxa"/>
            <w:vAlign w:val="bottom"/>
            <w:tcBorders>
              <w:top w:val="single" w:sz="8" w:color="0000EE"/>
            </w:tcBorders>
            <w:gridSpan w:val="9"/>
          </w:tcPr>
          <w:p>
            <w:pPr>
              <w:spacing w:after="0"/>
              <w:rPr>
                <w:sz w:val="21"/>
                <w:szCs w:val="21"/>
                <w:color w:val="auto"/>
              </w:rPr>
            </w:pPr>
          </w:p>
        </w:tc>
        <w:tc>
          <w:tcPr>
            <w:tcW w:w="6640" w:type="dxa"/>
            <w:vAlign w:val="bottom"/>
            <w:gridSpan w:val="23"/>
          </w:tcPr>
          <w:p>
            <w:pPr>
              <w:spacing w:after="0"/>
              <w:rPr>
                <w:sz w:val="21"/>
                <w:szCs w:val="21"/>
                <w:color w:val="auto"/>
              </w:rPr>
            </w:pPr>
          </w:p>
        </w:tc>
        <w:tc>
          <w:tcPr>
            <w:tcW w:w="2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89"/>
              </w:rPr>
            </w:pPr>
            <w:hyperlink w:anchor="page122">
              <w:r>
                <w:rPr>
                  <w:rFonts w:ascii="Arial" w:cs="Arial" w:eastAsia="Arial" w:hAnsi="Arial"/>
                  <w:sz w:val="16"/>
                  <w:szCs w:val="16"/>
                  <w:color w:val="0000EE"/>
                  <w:w w:val="89"/>
                </w:rPr>
                <w:t>122</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00" w:type="dxa"/>
            <w:vAlign w:val="bottom"/>
            <w:tcBorders>
              <w:bottom w:val="single" w:sz="8" w:color="0000EE"/>
            </w:tcBorders>
            <w:gridSpan w:val="33"/>
          </w:tcPr>
          <w:p>
            <w:pPr>
              <w:spacing w:after="0"/>
              <w:rPr>
                <w:rFonts w:ascii="Arial" w:cs="Arial" w:eastAsia="Arial" w:hAnsi="Arial"/>
                <w:sz w:val="16"/>
                <w:szCs w:val="16"/>
                <w:color w:val="0000EE"/>
              </w:rPr>
            </w:pPr>
            <w:hyperlink w:anchor="page123">
              <w:r>
                <w:rPr>
                  <w:rFonts w:ascii="Arial" w:cs="Arial" w:eastAsia="Arial" w:hAnsi="Arial"/>
                  <w:sz w:val="16"/>
                  <w:szCs w:val="16"/>
                  <w:color w:val="0000EE"/>
                </w:rPr>
                <w:t>Note 13: Management Agreement and Affiliate Transactions</w:t>
              </w:r>
            </w:hyperlink>
          </w:p>
        </w:tc>
        <w:tc>
          <w:tcPr>
            <w:tcW w:w="5040" w:type="dxa"/>
            <w:vAlign w:val="bottom"/>
            <w:gridSpan w:val="12"/>
          </w:tcPr>
          <w:p>
            <w:pPr>
              <w:spacing w:after="0"/>
              <w:rPr>
                <w:sz w:val="21"/>
                <w:szCs w:val="21"/>
                <w:color w:val="auto"/>
              </w:rPr>
            </w:pPr>
          </w:p>
        </w:tc>
        <w:tc>
          <w:tcPr>
            <w:tcW w:w="2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123">
              <w:r>
                <w:rPr>
                  <w:rFonts w:ascii="Arial" w:cs="Arial" w:eastAsia="Arial" w:hAnsi="Arial"/>
                  <w:sz w:val="16"/>
                  <w:szCs w:val="16"/>
                  <w:color w:val="0000EE"/>
                  <w:w w:val="89"/>
                </w:rPr>
                <w:t>123</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Borders>
              <w:bottom w:val="single" w:sz="8" w:color="0000EE"/>
            </w:tcBorders>
            <w:gridSpan w:val="18"/>
          </w:tcPr>
          <w:p>
            <w:pPr>
              <w:spacing w:after="0"/>
              <w:rPr>
                <w:rFonts w:ascii="Arial" w:cs="Arial" w:eastAsia="Arial" w:hAnsi="Arial"/>
                <w:sz w:val="16"/>
                <w:szCs w:val="16"/>
                <w:color w:val="0000EE"/>
              </w:rPr>
            </w:pPr>
            <w:hyperlink w:anchor="page125">
              <w:r>
                <w:rPr>
                  <w:rFonts w:ascii="Arial" w:cs="Arial" w:eastAsia="Arial" w:hAnsi="Arial"/>
                  <w:sz w:val="16"/>
                  <w:szCs w:val="16"/>
                  <w:color w:val="0000EE"/>
                </w:rPr>
                <w:t>Note 14: Segment Information</w:t>
              </w:r>
            </w:hyperlink>
          </w:p>
        </w:tc>
        <w:tc>
          <w:tcPr>
            <w:tcW w:w="7180" w:type="dxa"/>
            <w:vAlign w:val="bottom"/>
            <w:gridSpan w:val="27"/>
          </w:tcPr>
          <w:p>
            <w:pPr>
              <w:spacing w:after="0"/>
              <w:rPr>
                <w:sz w:val="21"/>
                <w:szCs w:val="21"/>
                <w:color w:val="auto"/>
              </w:rPr>
            </w:pPr>
          </w:p>
        </w:tc>
        <w:tc>
          <w:tcPr>
            <w:tcW w:w="2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125">
              <w:r>
                <w:rPr>
                  <w:rFonts w:ascii="Arial" w:cs="Arial" w:eastAsia="Arial" w:hAnsi="Arial"/>
                  <w:sz w:val="16"/>
                  <w:szCs w:val="16"/>
                  <w:color w:val="0000EE"/>
                  <w:w w:val="89"/>
                </w:rPr>
                <w:t>125</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Borders>
              <w:bottom w:val="single" w:sz="8" w:color="0000EE"/>
            </w:tcBorders>
            <w:gridSpan w:val="17"/>
          </w:tcPr>
          <w:p>
            <w:pPr>
              <w:spacing w:after="0"/>
              <w:rPr>
                <w:rFonts w:ascii="Arial" w:cs="Arial" w:eastAsia="Arial" w:hAnsi="Arial"/>
                <w:sz w:val="16"/>
                <w:szCs w:val="16"/>
                <w:color w:val="0000EE"/>
              </w:rPr>
            </w:pPr>
            <w:hyperlink w:anchor="page134">
              <w:r>
                <w:rPr>
                  <w:rFonts w:ascii="Arial" w:cs="Arial" w:eastAsia="Arial" w:hAnsi="Arial"/>
                  <w:sz w:val="16"/>
                  <w:szCs w:val="16"/>
                  <w:color w:val="0000EE"/>
                </w:rPr>
                <w:t>Note 15: Earnings per Share</w:t>
              </w:r>
            </w:hyperlink>
          </w:p>
        </w:tc>
        <w:tc>
          <w:tcPr>
            <w:tcW w:w="7280" w:type="dxa"/>
            <w:vAlign w:val="bottom"/>
            <w:gridSpan w:val="28"/>
          </w:tcPr>
          <w:p>
            <w:pPr>
              <w:spacing w:after="0"/>
              <w:rPr>
                <w:sz w:val="21"/>
                <w:szCs w:val="21"/>
                <w:color w:val="auto"/>
              </w:rPr>
            </w:pPr>
          </w:p>
        </w:tc>
        <w:tc>
          <w:tcPr>
            <w:tcW w:w="2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134">
              <w:r>
                <w:rPr>
                  <w:rFonts w:ascii="Arial" w:cs="Arial" w:eastAsia="Arial" w:hAnsi="Arial"/>
                  <w:sz w:val="16"/>
                  <w:szCs w:val="16"/>
                  <w:color w:val="0000EE"/>
                  <w:w w:val="89"/>
                </w:rPr>
                <w:t>134</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5"/>
          </w:tcPr>
          <w:p>
            <w:pPr>
              <w:spacing w:after="0"/>
              <w:rPr>
                <w:rFonts w:ascii="Arial" w:cs="Arial" w:eastAsia="Arial" w:hAnsi="Arial"/>
                <w:sz w:val="16"/>
                <w:szCs w:val="16"/>
                <w:color w:val="0000EE"/>
              </w:rPr>
            </w:pPr>
            <w:hyperlink w:anchor="page135">
              <w:r>
                <w:rPr>
                  <w:rFonts w:ascii="Arial" w:cs="Arial" w:eastAsia="Arial" w:hAnsi="Arial"/>
                  <w:sz w:val="16"/>
                  <w:szCs w:val="16"/>
                  <w:color w:val="0000EE"/>
                </w:rPr>
                <w:t>Note 16: Commitments and Contingencies</w:t>
              </w:r>
            </w:hyperlink>
          </w:p>
        </w:tc>
        <w:tc>
          <w:tcPr>
            <w:tcW w:w="260" w:type="dxa"/>
            <w:vAlign w:val="bottom"/>
            <w:gridSpan w:val="3"/>
          </w:tcPr>
          <w:p>
            <w:pPr>
              <w:spacing w:after="0"/>
              <w:rPr>
                <w:rFonts w:ascii="Arial" w:cs="Arial" w:eastAsia="Arial" w:hAnsi="Arial"/>
                <w:sz w:val="16"/>
                <w:szCs w:val="16"/>
                <w:color w:val="0000EE"/>
                <w:w w:val="89"/>
              </w:rPr>
            </w:pPr>
            <w:hyperlink w:anchor="page135">
              <w:r>
                <w:rPr>
                  <w:rFonts w:ascii="Arial" w:cs="Arial" w:eastAsia="Arial" w:hAnsi="Arial"/>
                  <w:sz w:val="16"/>
                  <w:szCs w:val="16"/>
                  <w:color w:val="0000EE"/>
                  <w:w w:val="89"/>
                </w:rPr>
                <w:t>135</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5"/>
          </w:tcPr>
          <w:p>
            <w:pPr>
              <w:spacing w:after="0"/>
              <w:rPr>
                <w:rFonts w:ascii="Arial" w:cs="Arial" w:eastAsia="Arial" w:hAnsi="Arial"/>
                <w:sz w:val="16"/>
                <w:szCs w:val="16"/>
                <w:color w:val="0000EE"/>
              </w:rPr>
            </w:pPr>
            <w:hyperlink w:anchor="page136">
              <w:r>
                <w:rPr>
                  <w:rFonts w:ascii="Arial" w:cs="Arial" w:eastAsia="Arial" w:hAnsi="Arial"/>
                  <w:sz w:val="16"/>
                  <w:szCs w:val="16"/>
                  <w:color w:val="0000EE"/>
                </w:rPr>
                <w:t>Note 17: Quarterly Financial Information (Unaudited)</w:t>
              </w:r>
            </w:hyperlink>
          </w:p>
        </w:tc>
        <w:tc>
          <w:tcPr>
            <w:tcW w:w="260" w:type="dxa"/>
            <w:vAlign w:val="bottom"/>
            <w:gridSpan w:val="3"/>
          </w:tcPr>
          <w:p>
            <w:pPr>
              <w:spacing w:after="0"/>
              <w:rPr>
                <w:rFonts w:ascii="Arial" w:cs="Arial" w:eastAsia="Arial" w:hAnsi="Arial"/>
                <w:sz w:val="16"/>
                <w:szCs w:val="16"/>
                <w:color w:val="0000EE"/>
                <w:w w:val="89"/>
              </w:rPr>
            </w:pPr>
            <w:hyperlink w:anchor="page136">
              <w:r>
                <w:rPr>
                  <w:rFonts w:ascii="Arial" w:cs="Arial" w:eastAsia="Arial" w:hAnsi="Arial"/>
                  <w:sz w:val="16"/>
                  <w:szCs w:val="16"/>
                  <w:color w:val="0000EE"/>
                  <w:w w:val="89"/>
                </w:rPr>
                <w:t>136</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60" w:type="dxa"/>
            <w:vAlign w:val="bottom"/>
            <w:tcBorders>
              <w:top w:val="single" w:sz="8" w:color="0000EE"/>
            </w:tcBorders>
            <w:gridSpan w:val="28"/>
          </w:tcPr>
          <w:p>
            <w:pPr>
              <w:spacing w:after="0"/>
              <w:rPr>
                <w:rFonts w:ascii="Arial" w:cs="Arial" w:eastAsia="Arial" w:hAnsi="Arial"/>
                <w:sz w:val="16"/>
                <w:szCs w:val="16"/>
                <w:color w:val="0000EE"/>
              </w:rPr>
            </w:pPr>
            <w:hyperlink w:anchor="page137">
              <w:r>
                <w:rPr>
                  <w:rFonts w:ascii="Arial" w:cs="Arial" w:eastAsia="Arial" w:hAnsi="Arial"/>
                  <w:sz w:val="16"/>
                  <w:szCs w:val="16"/>
                  <w:color w:val="0000EE"/>
                </w:rPr>
                <w:t>Note 18: Subsequent Events</w:t>
              </w:r>
            </w:hyperlink>
          </w:p>
        </w:tc>
        <w:tc>
          <w:tcPr>
            <w:tcW w:w="5580" w:type="dxa"/>
            <w:vAlign w:val="bottom"/>
            <w:gridSpan w:val="17"/>
          </w:tcPr>
          <w:p>
            <w:pPr>
              <w:spacing w:after="0"/>
              <w:rPr>
                <w:sz w:val="21"/>
                <w:szCs w:val="21"/>
                <w:color w:val="auto"/>
              </w:rPr>
            </w:pPr>
          </w:p>
        </w:tc>
        <w:tc>
          <w:tcPr>
            <w:tcW w:w="260" w:type="dxa"/>
            <w:vAlign w:val="bottom"/>
            <w:tcBorders>
              <w:top w:val="single" w:sz="8" w:color="0000EE"/>
            </w:tcBorders>
            <w:gridSpan w:val="3"/>
          </w:tcPr>
          <w:p>
            <w:pPr>
              <w:spacing w:after="0"/>
              <w:rPr>
                <w:rFonts w:ascii="Arial" w:cs="Arial" w:eastAsia="Arial" w:hAnsi="Arial"/>
                <w:sz w:val="16"/>
                <w:szCs w:val="16"/>
                <w:color w:val="0000EE"/>
                <w:w w:val="89"/>
              </w:rPr>
            </w:pPr>
            <w:hyperlink w:anchor="page137">
              <w:r>
                <w:rPr>
                  <w:rFonts w:ascii="Arial" w:cs="Arial" w:eastAsia="Arial" w:hAnsi="Arial"/>
                  <w:sz w:val="16"/>
                  <w:szCs w:val="16"/>
                  <w:color w:val="0000EE"/>
                  <w:w w:val="89"/>
                </w:rPr>
                <w:t>137</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480" w:type="dxa"/>
            <w:vAlign w:val="bottom"/>
            <w:tcBorders>
              <w:bottom w:val="single" w:sz="8" w:color="0000EE"/>
            </w:tcBorders>
            <w:gridSpan w:val="33"/>
          </w:tcPr>
          <w:p>
            <w:pPr>
              <w:spacing w:after="0"/>
              <w:rPr>
                <w:rFonts w:ascii="Arial" w:cs="Arial" w:eastAsia="Arial" w:hAnsi="Arial"/>
                <w:sz w:val="16"/>
                <w:szCs w:val="16"/>
                <w:color w:val="0000EE"/>
              </w:rPr>
            </w:pPr>
            <w:hyperlink w:anchor="page138">
              <w:r>
                <w:rPr>
                  <w:rFonts w:ascii="Arial" w:cs="Arial" w:eastAsia="Arial" w:hAnsi="Arial"/>
                  <w:sz w:val="16"/>
                  <w:szCs w:val="16"/>
                  <w:color w:val="0000EE"/>
                </w:rPr>
                <w:t>Consolidated Financial Statements of Intermodal Finance I Ltd</w:t>
              </w:r>
            </w:hyperlink>
          </w:p>
        </w:tc>
        <w:tc>
          <w:tcPr>
            <w:tcW w:w="5100" w:type="dxa"/>
            <w:vAlign w:val="bottom"/>
            <w:gridSpan w:val="13"/>
          </w:tcPr>
          <w:p>
            <w:pPr>
              <w:spacing w:after="0"/>
              <w:rPr>
                <w:sz w:val="21"/>
                <w:szCs w:val="21"/>
                <w:color w:val="auto"/>
              </w:rPr>
            </w:pPr>
          </w:p>
        </w:tc>
        <w:tc>
          <w:tcPr>
            <w:tcW w:w="2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138">
              <w:r>
                <w:rPr>
                  <w:rFonts w:ascii="Arial" w:cs="Arial" w:eastAsia="Arial" w:hAnsi="Arial"/>
                  <w:sz w:val="16"/>
                  <w:szCs w:val="16"/>
                  <w:color w:val="0000EE"/>
                  <w:w w:val="89"/>
                </w:rPr>
                <w:t>138</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9.</w:t>
            </w:r>
          </w:p>
        </w:tc>
        <w:tc>
          <w:tcPr>
            <w:tcW w:w="6420" w:type="dxa"/>
            <w:vAlign w:val="bottom"/>
            <w:tcBorders>
              <w:bottom w:val="single" w:sz="8" w:color="0000EE"/>
            </w:tcBorders>
            <w:gridSpan w:val="38"/>
          </w:tcPr>
          <w:p>
            <w:pPr>
              <w:spacing w:after="0"/>
              <w:rPr>
                <w:rFonts w:ascii="Arial" w:cs="Arial" w:eastAsia="Arial" w:hAnsi="Arial"/>
                <w:sz w:val="16"/>
                <w:szCs w:val="16"/>
                <w:color w:val="0000EE"/>
              </w:rPr>
            </w:pPr>
            <w:hyperlink w:anchor="page157">
              <w:r>
                <w:rPr>
                  <w:rFonts w:ascii="Arial" w:cs="Arial" w:eastAsia="Arial" w:hAnsi="Arial"/>
                  <w:sz w:val="16"/>
                  <w:szCs w:val="16"/>
                  <w:color w:val="0000EE"/>
                </w:rPr>
                <w:t>Changes in and Disagreements with Accountants on Accounting and Financial Disclosure</w:t>
              </w:r>
            </w:hyperlink>
          </w:p>
        </w:tc>
        <w:tc>
          <w:tcPr>
            <w:tcW w:w="3160" w:type="dxa"/>
            <w:vAlign w:val="bottom"/>
            <w:gridSpan w:val="8"/>
          </w:tcPr>
          <w:p>
            <w:pPr>
              <w:spacing w:after="0"/>
              <w:rPr>
                <w:sz w:val="19"/>
                <w:szCs w:val="19"/>
                <w:color w:val="auto"/>
              </w:rPr>
            </w:pPr>
          </w:p>
        </w:tc>
        <w:tc>
          <w:tcPr>
            <w:tcW w:w="2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157">
              <w:r>
                <w:rPr>
                  <w:rFonts w:ascii="Arial" w:cs="Arial" w:eastAsia="Arial" w:hAnsi="Arial"/>
                  <w:sz w:val="16"/>
                  <w:szCs w:val="16"/>
                  <w:color w:val="0000EE"/>
                  <w:w w:val="89"/>
                </w:rPr>
                <w:t>157</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9A.</w:t>
            </w:r>
          </w:p>
        </w:tc>
        <w:tc>
          <w:tcPr>
            <w:tcW w:w="9580" w:type="dxa"/>
            <w:vAlign w:val="bottom"/>
            <w:gridSpan w:val="46"/>
          </w:tcPr>
          <w:p>
            <w:pPr>
              <w:spacing w:after="0"/>
              <w:rPr>
                <w:rFonts w:ascii="Arial" w:cs="Arial" w:eastAsia="Arial" w:hAnsi="Arial"/>
                <w:sz w:val="16"/>
                <w:szCs w:val="16"/>
                <w:color w:val="0000EE"/>
              </w:rPr>
            </w:pPr>
            <w:hyperlink w:anchor="page157">
              <w:r>
                <w:rPr>
                  <w:rFonts w:ascii="Arial" w:cs="Arial" w:eastAsia="Arial" w:hAnsi="Arial"/>
                  <w:sz w:val="16"/>
                  <w:szCs w:val="16"/>
                  <w:color w:val="0000EE"/>
                </w:rPr>
                <w:t>Controls and Procedures</w:t>
              </w:r>
            </w:hyperlink>
          </w:p>
        </w:tc>
        <w:tc>
          <w:tcPr>
            <w:tcW w:w="260" w:type="dxa"/>
            <w:vAlign w:val="bottom"/>
            <w:gridSpan w:val="3"/>
          </w:tcPr>
          <w:p>
            <w:pPr>
              <w:spacing w:after="0"/>
              <w:rPr>
                <w:rFonts w:ascii="Arial" w:cs="Arial" w:eastAsia="Arial" w:hAnsi="Arial"/>
                <w:sz w:val="16"/>
                <w:szCs w:val="16"/>
                <w:color w:val="0000EE"/>
                <w:w w:val="89"/>
              </w:rPr>
            </w:pPr>
            <w:hyperlink w:anchor="page157">
              <w:r>
                <w:rPr>
                  <w:rFonts w:ascii="Arial" w:cs="Arial" w:eastAsia="Arial" w:hAnsi="Arial"/>
                  <w:sz w:val="16"/>
                  <w:szCs w:val="16"/>
                  <w:color w:val="0000EE"/>
                  <w:w w:val="89"/>
                </w:rPr>
                <w:t>157</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9B.</w:t>
            </w:r>
          </w:p>
        </w:tc>
        <w:tc>
          <w:tcPr>
            <w:tcW w:w="1780" w:type="dxa"/>
            <w:vAlign w:val="bottom"/>
            <w:tcBorders>
              <w:top w:val="single" w:sz="8" w:color="0000EE"/>
            </w:tcBorders>
            <w:gridSpan w:val="13"/>
          </w:tcPr>
          <w:p>
            <w:pPr>
              <w:spacing w:after="0"/>
              <w:rPr>
                <w:rFonts w:ascii="Arial" w:cs="Arial" w:eastAsia="Arial" w:hAnsi="Arial"/>
                <w:sz w:val="16"/>
                <w:szCs w:val="16"/>
                <w:color w:val="0000EE"/>
              </w:rPr>
            </w:pPr>
            <w:hyperlink w:anchor="page160">
              <w:r>
                <w:rPr>
                  <w:rFonts w:ascii="Arial" w:cs="Arial" w:eastAsia="Arial" w:hAnsi="Arial"/>
                  <w:sz w:val="16"/>
                  <w:szCs w:val="16"/>
                  <w:color w:val="0000EE"/>
                </w:rPr>
                <w:t>Other Information</w:t>
              </w:r>
            </w:hyperlink>
          </w:p>
        </w:tc>
        <w:tc>
          <w:tcPr>
            <w:tcW w:w="7800" w:type="dxa"/>
            <w:vAlign w:val="bottom"/>
            <w:gridSpan w:val="33"/>
          </w:tcPr>
          <w:p>
            <w:pPr>
              <w:spacing w:after="0"/>
              <w:rPr>
                <w:sz w:val="19"/>
                <w:szCs w:val="19"/>
                <w:color w:val="auto"/>
              </w:rPr>
            </w:pPr>
          </w:p>
        </w:tc>
        <w:tc>
          <w:tcPr>
            <w:tcW w:w="260" w:type="dxa"/>
            <w:vAlign w:val="bottom"/>
            <w:tcBorders>
              <w:top w:val="single" w:sz="8" w:color="0000EE"/>
            </w:tcBorders>
            <w:gridSpan w:val="3"/>
          </w:tcPr>
          <w:p>
            <w:pPr>
              <w:spacing w:after="0"/>
              <w:rPr>
                <w:rFonts w:ascii="Arial" w:cs="Arial" w:eastAsia="Arial" w:hAnsi="Arial"/>
                <w:sz w:val="16"/>
                <w:szCs w:val="16"/>
                <w:color w:val="0000EE"/>
                <w:w w:val="89"/>
              </w:rPr>
            </w:pPr>
            <w:hyperlink w:anchor="page160">
              <w:r>
                <w:rPr>
                  <w:rFonts w:ascii="Arial" w:cs="Arial" w:eastAsia="Arial" w:hAnsi="Arial"/>
                  <w:sz w:val="16"/>
                  <w:szCs w:val="16"/>
                  <w:color w:val="0000EE"/>
                  <w:w w:val="89"/>
                </w:rPr>
                <w:t>160</w:t>
              </w:r>
            </w:hyperlink>
          </w:p>
        </w:tc>
      </w:tr>
      <w:tr>
        <w:trPr>
          <w:trHeight w:val="285"/>
        </w:trPr>
        <w:tc>
          <w:tcPr>
            <w:tcW w:w="10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14"/>
          </w:tcPr>
          <w:p>
            <w:pPr>
              <w:jc w:val="center"/>
              <w:ind w:right="4300"/>
              <w:spacing w:after="0"/>
              <w:rPr>
                <w:sz w:val="20"/>
                <w:szCs w:val="20"/>
                <w:color w:val="auto"/>
              </w:rPr>
            </w:pPr>
            <w:r>
              <w:rPr>
                <w:rFonts w:ascii="Arial" w:cs="Arial" w:eastAsia="Arial" w:hAnsi="Arial"/>
                <w:sz w:val="16"/>
                <w:szCs w:val="16"/>
                <w:b w:val="1"/>
                <w:bCs w:val="1"/>
                <w:color w:val="00497F"/>
                <w:w w:val="97"/>
              </w:rPr>
              <w:t>PART III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10.</w:t>
            </w:r>
          </w:p>
        </w:tc>
        <w:tc>
          <w:tcPr>
            <w:tcW w:w="9580" w:type="dxa"/>
            <w:vAlign w:val="bottom"/>
            <w:gridSpan w:val="46"/>
          </w:tcPr>
          <w:p>
            <w:pPr>
              <w:spacing w:after="0"/>
              <w:rPr>
                <w:rFonts w:ascii="Arial" w:cs="Arial" w:eastAsia="Arial" w:hAnsi="Arial"/>
                <w:sz w:val="16"/>
                <w:szCs w:val="16"/>
                <w:color w:val="0000EE"/>
              </w:rPr>
            </w:pPr>
            <w:hyperlink w:anchor="page160">
              <w:r>
                <w:rPr>
                  <w:rFonts w:ascii="Arial" w:cs="Arial" w:eastAsia="Arial" w:hAnsi="Arial"/>
                  <w:sz w:val="16"/>
                  <w:szCs w:val="16"/>
                  <w:color w:val="0000EE"/>
                </w:rPr>
                <w:t>Directors, Executive Officers and Corporate Governance</w:t>
              </w:r>
            </w:hyperlink>
          </w:p>
        </w:tc>
        <w:tc>
          <w:tcPr>
            <w:tcW w:w="260" w:type="dxa"/>
            <w:vAlign w:val="bottom"/>
            <w:gridSpan w:val="3"/>
          </w:tcPr>
          <w:p>
            <w:pPr>
              <w:spacing w:after="0"/>
              <w:rPr>
                <w:rFonts w:ascii="Arial" w:cs="Arial" w:eastAsia="Arial" w:hAnsi="Arial"/>
                <w:sz w:val="16"/>
                <w:szCs w:val="16"/>
                <w:color w:val="0000EE"/>
                <w:w w:val="89"/>
              </w:rPr>
            </w:pPr>
            <w:hyperlink w:anchor="page160">
              <w:r>
                <w:rPr>
                  <w:rFonts w:ascii="Arial" w:cs="Arial" w:eastAsia="Arial" w:hAnsi="Arial"/>
                  <w:sz w:val="16"/>
                  <w:szCs w:val="16"/>
                  <w:color w:val="0000EE"/>
                  <w:w w:val="89"/>
                </w:rPr>
                <w:t>160</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11.</w:t>
            </w:r>
          </w:p>
        </w:tc>
        <w:tc>
          <w:tcPr>
            <w:tcW w:w="4040" w:type="dxa"/>
            <w:vAlign w:val="bottom"/>
            <w:tcBorders>
              <w:top w:val="single" w:sz="8" w:color="0000EE"/>
            </w:tcBorders>
            <w:gridSpan w:val="30"/>
          </w:tcPr>
          <w:p>
            <w:pPr>
              <w:spacing w:after="0"/>
              <w:rPr>
                <w:rFonts w:ascii="Arial" w:cs="Arial" w:eastAsia="Arial" w:hAnsi="Arial"/>
                <w:sz w:val="16"/>
                <w:szCs w:val="16"/>
                <w:color w:val="0000EE"/>
              </w:rPr>
            </w:pPr>
            <w:hyperlink w:anchor="page160">
              <w:r>
                <w:rPr>
                  <w:rFonts w:ascii="Arial" w:cs="Arial" w:eastAsia="Arial" w:hAnsi="Arial"/>
                  <w:sz w:val="16"/>
                  <w:szCs w:val="16"/>
                  <w:color w:val="0000EE"/>
                </w:rPr>
                <w:t>Executive Compensation</w:t>
              </w:r>
            </w:hyperlink>
          </w:p>
        </w:tc>
        <w:tc>
          <w:tcPr>
            <w:tcW w:w="5540" w:type="dxa"/>
            <w:vAlign w:val="bottom"/>
            <w:gridSpan w:val="16"/>
          </w:tcPr>
          <w:p>
            <w:pPr>
              <w:spacing w:after="0"/>
              <w:rPr>
                <w:sz w:val="19"/>
                <w:szCs w:val="19"/>
                <w:color w:val="auto"/>
              </w:rPr>
            </w:pPr>
          </w:p>
        </w:tc>
        <w:tc>
          <w:tcPr>
            <w:tcW w:w="260" w:type="dxa"/>
            <w:vAlign w:val="bottom"/>
            <w:tcBorders>
              <w:top w:val="single" w:sz="8" w:color="0000EE"/>
            </w:tcBorders>
            <w:gridSpan w:val="3"/>
          </w:tcPr>
          <w:p>
            <w:pPr>
              <w:spacing w:after="0"/>
              <w:rPr>
                <w:rFonts w:ascii="Arial" w:cs="Arial" w:eastAsia="Arial" w:hAnsi="Arial"/>
                <w:sz w:val="16"/>
                <w:szCs w:val="16"/>
                <w:color w:val="0000EE"/>
                <w:w w:val="89"/>
              </w:rPr>
            </w:pPr>
            <w:hyperlink w:anchor="page160">
              <w:r>
                <w:rPr>
                  <w:rFonts w:ascii="Arial" w:cs="Arial" w:eastAsia="Arial" w:hAnsi="Arial"/>
                  <w:sz w:val="16"/>
                  <w:szCs w:val="16"/>
                  <w:color w:val="0000EE"/>
                  <w:w w:val="89"/>
                </w:rPr>
                <w:t>160</w:t>
              </w:r>
            </w:hyperlink>
          </w:p>
        </w:tc>
      </w:tr>
      <w:tr>
        <w:trPr>
          <w:trHeight w:val="20"/>
        </w:trPr>
        <w:tc>
          <w:tcPr>
            <w:tcW w:w="10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12.</w:t>
            </w:r>
          </w:p>
        </w:tc>
        <w:tc>
          <w:tcPr>
            <w:tcW w:w="7220" w:type="dxa"/>
            <w:vAlign w:val="bottom"/>
            <w:tcBorders>
              <w:bottom w:val="single" w:sz="8" w:color="0000EE"/>
            </w:tcBorders>
            <w:gridSpan w:val="43"/>
          </w:tcPr>
          <w:p>
            <w:pPr>
              <w:spacing w:after="0"/>
              <w:rPr>
                <w:rFonts w:ascii="Arial" w:cs="Arial" w:eastAsia="Arial" w:hAnsi="Arial"/>
                <w:sz w:val="16"/>
                <w:szCs w:val="16"/>
                <w:color w:val="0000EE"/>
              </w:rPr>
            </w:pPr>
            <w:hyperlink w:anchor="page160">
              <w:r>
                <w:rPr>
                  <w:rFonts w:ascii="Arial" w:cs="Arial" w:eastAsia="Arial" w:hAnsi="Arial"/>
                  <w:sz w:val="16"/>
                  <w:szCs w:val="16"/>
                  <w:color w:val="0000EE"/>
                </w:rPr>
                <w:t>Security Ownership of Certain Beneficial Owners and Management and Related Stockholder Matters</w:t>
              </w:r>
            </w:hyperlink>
          </w:p>
        </w:tc>
        <w:tc>
          <w:tcPr>
            <w:tcW w:w="2360" w:type="dxa"/>
            <w:vAlign w:val="bottom"/>
            <w:gridSpan w:val="3"/>
          </w:tcPr>
          <w:p>
            <w:pPr>
              <w:spacing w:after="0"/>
              <w:rPr>
                <w:sz w:val="19"/>
                <w:szCs w:val="19"/>
                <w:color w:val="auto"/>
              </w:rPr>
            </w:pPr>
          </w:p>
        </w:tc>
        <w:tc>
          <w:tcPr>
            <w:tcW w:w="2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160">
              <w:r>
                <w:rPr>
                  <w:rFonts w:ascii="Arial" w:cs="Arial" w:eastAsia="Arial" w:hAnsi="Arial"/>
                  <w:sz w:val="16"/>
                  <w:szCs w:val="16"/>
                  <w:color w:val="0000EE"/>
                  <w:w w:val="89"/>
                </w:rPr>
                <w:t>160</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13.</w:t>
            </w:r>
          </w:p>
        </w:tc>
        <w:tc>
          <w:tcPr>
            <w:tcW w:w="9580" w:type="dxa"/>
            <w:vAlign w:val="bottom"/>
            <w:gridSpan w:val="46"/>
          </w:tcPr>
          <w:p>
            <w:pPr>
              <w:spacing w:after="0"/>
              <w:rPr>
                <w:rFonts w:ascii="Arial" w:cs="Arial" w:eastAsia="Arial" w:hAnsi="Arial"/>
                <w:sz w:val="16"/>
                <w:szCs w:val="16"/>
                <w:color w:val="0000EE"/>
              </w:rPr>
            </w:pPr>
            <w:hyperlink w:anchor="page160">
              <w:r>
                <w:rPr>
                  <w:rFonts w:ascii="Arial" w:cs="Arial" w:eastAsia="Arial" w:hAnsi="Arial"/>
                  <w:sz w:val="16"/>
                  <w:szCs w:val="16"/>
                  <w:color w:val="0000EE"/>
                </w:rPr>
                <w:t>Certain Relationships and Related Transactions, and Director Independence</w:t>
              </w:r>
            </w:hyperlink>
          </w:p>
        </w:tc>
        <w:tc>
          <w:tcPr>
            <w:tcW w:w="260" w:type="dxa"/>
            <w:vAlign w:val="bottom"/>
            <w:gridSpan w:val="3"/>
          </w:tcPr>
          <w:p>
            <w:pPr>
              <w:spacing w:after="0"/>
              <w:rPr>
                <w:rFonts w:ascii="Arial" w:cs="Arial" w:eastAsia="Arial" w:hAnsi="Arial"/>
                <w:sz w:val="16"/>
                <w:szCs w:val="16"/>
                <w:color w:val="0000EE"/>
                <w:w w:val="89"/>
              </w:rPr>
            </w:pPr>
            <w:hyperlink w:anchor="page160">
              <w:r>
                <w:rPr>
                  <w:rFonts w:ascii="Arial" w:cs="Arial" w:eastAsia="Arial" w:hAnsi="Arial"/>
                  <w:sz w:val="16"/>
                  <w:szCs w:val="16"/>
                  <w:color w:val="0000EE"/>
                  <w:w w:val="89"/>
                </w:rPr>
                <w:t>160</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14.</w:t>
            </w:r>
          </w:p>
        </w:tc>
        <w:tc>
          <w:tcPr>
            <w:tcW w:w="5460" w:type="dxa"/>
            <w:vAlign w:val="bottom"/>
            <w:tcBorders>
              <w:top w:val="single" w:sz="8" w:color="0000EE"/>
            </w:tcBorders>
            <w:gridSpan w:val="35"/>
          </w:tcPr>
          <w:p>
            <w:pPr>
              <w:spacing w:after="0"/>
              <w:rPr>
                <w:rFonts w:ascii="Arial" w:cs="Arial" w:eastAsia="Arial" w:hAnsi="Arial"/>
                <w:sz w:val="16"/>
                <w:szCs w:val="16"/>
                <w:color w:val="0000EE"/>
              </w:rPr>
            </w:pPr>
            <w:hyperlink w:anchor="page160">
              <w:r>
                <w:rPr>
                  <w:rFonts w:ascii="Arial" w:cs="Arial" w:eastAsia="Arial" w:hAnsi="Arial"/>
                  <w:sz w:val="16"/>
                  <w:szCs w:val="16"/>
                  <w:color w:val="0000EE"/>
                </w:rPr>
                <w:t>Principal Accountant Fees and Services</w:t>
              </w:r>
            </w:hyperlink>
          </w:p>
        </w:tc>
        <w:tc>
          <w:tcPr>
            <w:tcW w:w="4120" w:type="dxa"/>
            <w:vAlign w:val="bottom"/>
            <w:gridSpan w:val="11"/>
          </w:tcPr>
          <w:p>
            <w:pPr>
              <w:spacing w:after="0"/>
              <w:rPr>
                <w:sz w:val="19"/>
                <w:szCs w:val="19"/>
                <w:color w:val="auto"/>
              </w:rPr>
            </w:pPr>
          </w:p>
        </w:tc>
        <w:tc>
          <w:tcPr>
            <w:tcW w:w="260" w:type="dxa"/>
            <w:vAlign w:val="bottom"/>
            <w:tcBorders>
              <w:top w:val="single" w:sz="8" w:color="0000EE"/>
            </w:tcBorders>
            <w:gridSpan w:val="3"/>
          </w:tcPr>
          <w:p>
            <w:pPr>
              <w:spacing w:after="0"/>
              <w:rPr>
                <w:rFonts w:ascii="Arial" w:cs="Arial" w:eastAsia="Arial" w:hAnsi="Arial"/>
                <w:sz w:val="16"/>
                <w:szCs w:val="16"/>
                <w:color w:val="0000EE"/>
                <w:w w:val="89"/>
              </w:rPr>
            </w:pPr>
            <w:hyperlink w:anchor="page160">
              <w:r>
                <w:rPr>
                  <w:rFonts w:ascii="Arial" w:cs="Arial" w:eastAsia="Arial" w:hAnsi="Arial"/>
                  <w:sz w:val="16"/>
                  <w:szCs w:val="16"/>
                  <w:color w:val="0000EE"/>
                  <w:w w:val="89"/>
                </w:rPr>
                <w:t>160</w:t>
              </w:r>
            </w:hyperlink>
          </w:p>
        </w:tc>
      </w:tr>
      <w:tr>
        <w:trPr>
          <w:trHeight w:val="285"/>
        </w:trPr>
        <w:tc>
          <w:tcPr>
            <w:tcW w:w="10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14"/>
          </w:tcPr>
          <w:p>
            <w:pPr>
              <w:jc w:val="center"/>
              <w:ind w:right="4320"/>
              <w:spacing w:after="0"/>
              <w:rPr>
                <w:sz w:val="20"/>
                <w:szCs w:val="20"/>
                <w:color w:val="auto"/>
              </w:rPr>
            </w:pPr>
            <w:r>
              <w:rPr>
                <w:rFonts w:ascii="Arial" w:cs="Arial" w:eastAsia="Arial" w:hAnsi="Arial"/>
                <w:sz w:val="16"/>
                <w:szCs w:val="16"/>
                <w:b w:val="1"/>
                <w:bCs w:val="1"/>
                <w:color w:val="00497F"/>
                <w:w w:val="98"/>
              </w:rPr>
              <w:t>PART IV</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15.</w:t>
            </w:r>
          </w:p>
        </w:tc>
        <w:tc>
          <w:tcPr>
            <w:tcW w:w="9580" w:type="dxa"/>
            <w:vAlign w:val="bottom"/>
            <w:gridSpan w:val="46"/>
          </w:tcPr>
          <w:p>
            <w:pPr>
              <w:spacing w:after="0"/>
              <w:rPr>
                <w:rFonts w:ascii="Arial" w:cs="Arial" w:eastAsia="Arial" w:hAnsi="Arial"/>
                <w:sz w:val="16"/>
                <w:szCs w:val="16"/>
                <w:color w:val="0000EE"/>
              </w:rPr>
            </w:pPr>
            <w:hyperlink w:anchor="page160">
              <w:r>
                <w:rPr>
                  <w:rFonts w:ascii="Arial" w:cs="Arial" w:eastAsia="Arial" w:hAnsi="Arial"/>
                  <w:sz w:val="16"/>
                  <w:szCs w:val="16"/>
                  <w:color w:val="0000EE"/>
                </w:rPr>
                <w:t>Exhibits</w:t>
              </w:r>
            </w:hyperlink>
          </w:p>
        </w:tc>
        <w:tc>
          <w:tcPr>
            <w:tcW w:w="260" w:type="dxa"/>
            <w:vAlign w:val="bottom"/>
            <w:gridSpan w:val="3"/>
          </w:tcPr>
          <w:p>
            <w:pPr>
              <w:spacing w:after="0"/>
              <w:rPr>
                <w:rFonts w:ascii="Arial" w:cs="Arial" w:eastAsia="Arial" w:hAnsi="Arial"/>
                <w:sz w:val="16"/>
                <w:szCs w:val="16"/>
                <w:color w:val="0000EE"/>
                <w:w w:val="89"/>
              </w:rPr>
            </w:pPr>
            <w:hyperlink w:anchor="page160">
              <w:r>
                <w:rPr>
                  <w:rFonts w:ascii="Arial" w:cs="Arial" w:eastAsia="Arial" w:hAnsi="Arial"/>
                  <w:sz w:val="16"/>
                  <w:szCs w:val="16"/>
                  <w:color w:val="0000EE"/>
                  <w:w w:val="89"/>
                </w:rPr>
                <w:t>160</w:t>
              </w:r>
            </w:hyperlink>
          </w:p>
        </w:tc>
      </w:tr>
      <w:tr>
        <w:trPr>
          <w:trHeight w:val="20"/>
        </w:trPr>
        <w:tc>
          <w:tcPr>
            <w:tcW w:w="10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8080" w:type="dxa"/>
            <w:vAlign w:val="bottom"/>
            <w:gridSpan w:val="37"/>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16.</w:t>
            </w:r>
          </w:p>
        </w:tc>
        <w:tc>
          <w:tcPr>
            <w:tcW w:w="1500" w:type="dxa"/>
            <w:vAlign w:val="bottom"/>
            <w:tcBorders>
              <w:bottom w:val="single" w:sz="8" w:color="0000EE"/>
            </w:tcBorders>
            <w:gridSpan w:val="9"/>
          </w:tcPr>
          <w:p>
            <w:pPr>
              <w:spacing w:after="0"/>
              <w:rPr>
                <w:rFonts w:ascii="Arial" w:cs="Arial" w:eastAsia="Arial" w:hAnsi="Arial"/>
                <w:sz w:val="16"/>
                <w:szCs w:val="16"/>
                <w:color w:val="0000EE"/>
                <w:w w:val="99"/>
              </w:rPr>
            </w:pPr>
            <w:hyperlink w:anchor="page162">
              <w:r>
                <w:rPr>
                  <w:rFonts w:ascii="Arial" w:cs="Arial" w:eastAsia="Arial" w:hAnsi="Arial"/>
                  <w:sz w:val="16"/>
                  <w:szCs w:val="16"/>
                  <w:color w:val="0000EE"/>
                  <w:w w:val="99"/>
                </w:rPr>
                <w:t>Form 10-K Summary</w:t>
              </w:r>
            </w:hyperlink>
          </w:p>
        </w:tc>
        <w:tc>
          <w:tcPr>
            <w:tcW w:w="8080" w:type="dxa"/>
            <w:vAlign w:val="bottom"/>
            <w:gridSpan w:val="37"/>
          </w:tcPr>
          <w:p>
            <w:pPr>
              <w:spacing w:after="0"/>
              <w:rPr>
                <w:sz w:val="19"/>
                <w:szCs w:val="19"/>
                <w:color w:val="auto"/>
              </w:rPr>
            </w:pPr>
          </w:p>
        </w:tc>
        <w:tc>
          <w:tcPr>
            <w:tcW w:w="2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162">
              <w:r>
                <w:rPr>
                  <w:rFonts w:ascii="Arial" w:cs="Arial" w:eastAsia="Arial" w:hAnsi="Arial"/>
                  <w:sz w:val="16"/>
                  <w:szCs w:val="16"/>
                  <w:color w:val="0000EE"/>
                  <w:w w:val="89"/>
                </w:rPr>
                <w:t>162</w:t>
              </w:r>
            </w:hyperlink>
          </w:p>
        </w:tc>
      </w:tr>
    </w:tbl>
    <w:p>
      <w:pPr>
        <w:spacing w:after="0" w:line="200" w:lineRule="exact"/>
        <w:rPr>
          <w:sz w:val="20"/>
          <w:szCs w:val="20"/>
          <w:color w:val="auto"/>
        </w:rPr>
      </w:pPr>
    </w:p>
    <w:p>
      <w:pPr>
        <w:sectPr>
          <w:pgSz w:w="11900" w:h="16838" w:orient="portrait"/>
          <w:cols w:equalWidth="0" w:num="1">
            <w:col w:w="10880"/>
          </w:cols>
          <w:pgMar w:left="280" w:top="662" w:right="739" w:bottom="1112" w:gutter="0" w:footer="0" w:header="0"/>
        </w:sectPr>
      </w:pPr>
    </w:p>
    <w:p>
      <w:pPr>
        <w:spacing w:after="0" w:line="88"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880"/>
          </w:cols>
          <w:pgMar w:left="280" w:top="662" w:right="739" w:bottom="1112"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00497F"/>
        </w:rPr>
        <w:t>FORWARD-LOOKING STATEMENTS</w:t>
      </w:r>
    </w:p>
    <w:p>
      <w:pPr>
        <w:spacing w:after="0" w:line="241" w:lineRule="exact"/>
        <w:rPr>
          <w:sz w:val="20"/>
          <w:szCs w:val="20"/>
          <w:color w:val="auto"/>
        </w:rPr>
      </w:pPr>
    </w:p>
    <w:p>
      <w:pPr>
        <w:jc w:val="both"/>
        <w:ind w:firstLine="446"/>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98"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113" w:lineRule="exact"/>
        <w:rPr>
          <w:rFonts w:ascii="Arial" w:cs="Arial" w:eastAsia="Arial" w:hAnsi="Arial"/>
          <w:sz w:val="16"/>
          <w:szCs w:val="16"/>
          <w:color w:val="auto"/>
        </w:rPr>
      </w:pPr>
    </w:p>
    <w:p>
      <w:pPr>
        <w:ind w:left="8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renew existing contracts and win additional contracts with existing or potential customers;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113"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113"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797" w:right="239" w:bottom="1440" w:gutter="0" w:footer="0" w:header="0"/>
        </w:sectPr>
      </w:pPr>
    </w:p>
    <w:bookmarkStart w:id="3" w:name="page4"/>
    <w:bookmarkEnd w:id="3"/>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effects of the recently completed merger of Fortress Investment Group LLC with affiliates of SoftBank Group Corp.;</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20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PART I</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Company</w:t>
      </w:r>
    </w:p>
    <w:p>
      <w:pPr>
        <w:spacing w:after="0" w:line="133" w:lineRule="exact"/>
        <w:rPr>
          <w:sz w:val="20"/>
          <w:szCs w:val="20"/>
          <w:color w:val="auto"/>
        </w:rPr>
      </w:pPr>
    </w:p>
    <w:p>
      <w:pPr>
        <w:jc w:val="both"/>
        <w:ind w:left="20" w:firstLine="486"/>
        <w:spacing w:after="0" w:line="249" w:lineRule="auto"/>
        <w:rPr>
          <w:sz w:val="20"/>
          <w:szCs w:val="20"/>
          <w:color w:val="auto"/>
        </w:rPr>
      </w:pPr>
      <w:r>
        <w:rPr>
          <w:rFonts w:ascii="Arial" w:cs="Arial" w:eastAsia="Arial" w:hAnsi="Arial"/>
          <w:sz w:val="16"/>
          <w:szCs w:val="16"/>
          <w:color w:val="auto"/>
        </w:rPr>
        <w:t>Fortress Transportation and Infrastructure Investors LLC, a Delaware limited liability company (the “Company”), was formed on February 19, 2014. Except as otherwise specified, “FTAI”, “we”, “us”, “our”, and “the Company” refer to the Company and its consolidated subsidiaries, including Fortress Worldwide Transportation and Infrastructure General Partnership (“Holdco”). Our business has been, and will continue to be, conducted through Holdco for the purpose of acquiring, managing and disposing of transportation and transportation-related infrastructure and equipment assets. Fortress Worldwide Transportation and Infrastructure Master GP LLC (the “Master GP”), owns 0.05% of Holdco and is the general partner of Holdco, which was formed on May 9, 2011 and commenced operations on June 23, 2011.</w:t>
      </w:r>
    </w:p>
    <w:p>
      <w:pPr>
        <w:spacing w:after="0" w:line="9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Pursuant to a management agreement, we are externally managed and advised by FIG LLC (the “Manager”), an affiliate of Fortress Investment Group LLC (“Fortress”). Fortress is a leading global investment management firm with approximately $70 billion of assets under management as of December 31, 2017, which has a dedicated team of experienced professionals focused on the acquisition of transportation and infrastructure assets since 2002. On December 27, 2017, SoftBank Group Corp. (“SoftBank”) announced that it completed its previously announced acquisition of Fortress (the “SoftBank Merger”). In connection with the Merger, Fortress will operate within SoftBank as an independent business headquartered in New York. Fortress’s senior investment professionals will remain in place, including those individuals who perform services for us.</w:t>
      </w:r>
    </w:p>
    <w:p>
      <w:pPr>
        <w:spacing w:after="0" w:line="9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own and acquire high quality infrastructure and equipment that is essential for the transportation of goods and people globally. We currently invest across four market sectors: aviation, energy, intermodal transport and rail. We target assets that, on a combined basis, generate strong and stable cash flows with the potential for earnings growth and asset appreciation. Our existing mix of assets provides significant cash flows as well as organic growth potential through identified projects. In addition, we believe that there are a large number of acquisition opportunities in our target sectors and that our Manager’s expertise and business and financing relationships, together with our access to capital, will allow us to take advantage of these opportunities. As of December 31, 2017, we had total consolidated assets of $2.0 billion and total equity of $1.0 billion.</w:t>
      </w:r>
    </w:p>
    <w:p>
      <w:pPr>
        <w:spacing w:after="0" w:line="9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709" w:right="239" w:bottom="1440" w:gutter="0" w:footer="0" w:header="0"/>
        </w:sectPr>
      </w:pPr>
    </w:p>
    <w:bookmarkStart w:id="4" w:name="page5"/>
    <w:bookmarkEnd w:id="4"/>
    <w:p>
      <w:pPr>
        <w:ind w:left="500"/>
        <w:spacing w:after="0"/>
        <w:rPr>
          <w:sz w:val="20"/>
          <w:szCs w:val="20"/>
          <w:color w:val="auto"/>
        </w:rPr>
      </w:pPr>
      <w:r>
        <w:rPr>
          <w:rFonts w:ascii="Arial" w:cs="Arial" w:eastAsia="Arial" w:hAnsi="Arial"/>
          <w:sz w:val="16"/>
          <w:szCs w:val="16"/>
          <w:color w:val="auto"/>
        </w:rPr>
        <w:t>The charts below illustrate our existing assets, and our equity deployed in acquiring these assets separated by reporting segment as of December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70485</wp:posOffset>
            </wp:positionV>
            <wp:extent cx="5866130" cy="660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66130" cy="660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p>
    <w:p>
      <w:pPr>
        <w:spacing w:after="0" w:line="113" w:lineRule="exact"/>
        <w:rPr>
          <w:sz w:val="20"/>
          <w:szCs w:val="20"/>
          <w:color w:val="auto"/>
        </w:rPr>
      </w:pPr>
    </w:p>
    <w:p>
      <w:pPr>
        <w:ind w:left="660" w:right="320" w:hanging="328"/>
        <w:spacing w:after="0" w:line="26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Jefferson Terminal, Railroad and Ports and Terminals are included in our Infrastructure Business; Aviation Leasing, Offshore Energy and Shipping Containers are included in our Equipment Leasing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709"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0497F"/>
        </w:rPr>
        <w:t>Our Strategy</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invest across a number of major sectors within the transportation industry, including aviation, energy, intermodal transport and rail, and we may pursue acquisitions in other areas as and when they arise in the future. In general, we seek to own a diverse mix of high quality infrastructure and equipment within our target sectors that generate predictable cash flows, in markets that we believe provide the potential for strong long-term growth and attractive returns on deployed capital. We believe that by investing in a diverse mix of assets across sectors, we can select from among the best risk-adjusted investment opportunities, while avoiding overconcentration in any one segment, further adding to the stability of our business.</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take a proactive investment approach by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Within each sector, we consider investments in operating infrastructure as well as in equipment that we lease to operators. Within the rail sector, for example, we target rail lines and rail terminals (which we classify as infrastructure), as well as railcars (which on a stand-alone basis we classify as leasing equipment). We believe that as owners of both infrastructure and equipment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 improve operations and cash flow of our existing and newly-acquired assets. These relationships include senior executives at lessors and operators, end users of transportation and infrastructure assets, as well as banks, lenders and other asset owners.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Acquisition Process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strategy is to acquire assets that are essential to the transportation of goods and people globally. We acquire assets that are used by major operators of transportation and infrastructure networks. We seek to acquire assets and businesses that we believe operate in sectors with long-term macroeconomic growth opportunities and that have significant cash flow and upside potential from earnings growth and asset appreciation.</w:t>
      </w:r>
    </w:p>
    <w:p>
      <w:pPr>
        <w:spacing w:after="0" w:line="9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approach markets and opportunities by first developing an asset acquisition strategy with our Manager and then pursuing optimal opportunities within that strategy. In addition to relying on our own experience, we source new opportunities through our Manager’s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and our Manager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 While leverage on any individual asset may vary, we target overall leverage for our assets on a consolidated basis of no greater than 50% of total capital.</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Management Agreement</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May 2015, in connection with the Company’s initial public offering (“IPO”), the Company entered into a new management agreement with the Manager (the “Management Agreement”), an affiliate of Fortress, pursuant to which 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Under the Management Agreement, 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 (1) realized or unrealized gains and losses, and (2) certain non-cash or one-time items, and (3) any other adjustments as may be approved by the Company’s independent directors. Pre-incentive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689" w:right="239" w:bottom="1440" w:gutter="0" w:footer="0" w:header="0"/>
        </w:sectPr>
      </w:pPr>
    </w:p>
    <w:bookmarkStart w:id="6" w:name="page7"/>
    <w:bookmarkEnd w:id="6"/>
    <w:p>
      <w:pPr>
        <w:jc w:val="both"/>
        <w:spacing w:after="0" w:line="260" w:lineRule="auto"/>
        <w:rPr>
          <w:sz w:val="20"/>
          <w:szCs w:val="20"/>
          <w:color w:val="auto"/>
        </w:rPr>
      </w:pPr>
      <w:r>
        <w:rPr>
          <w:rFonts w:ascii="Arial" w:cs="Arial" w:eastAsia="Arial" w:hAnsi="Arial"/>
          <w:sz w:val="16"/>
          <w:szCs w:val="16"/>
          <w:color w:val="auto"/>
        </w:rPr>
        <w:t>allocation net income does not include any Income Incentive Allocation or Capital Gains Incentive Allocation (described below) paid to the Master GP during the relevant quarter.</w:t>
      </w:r>
    </w:p>
    <w:p>
      <w:pPr>
        <w:spacing w:after="0" w:line="8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2.0% for such quarter (8.0% annualized); (2) 100% of pre-incentive allocation net income with respect to that portion of such pre-incentive allocation net income, if any, that is equal to or exceeds 2.00% but does not exceed 2.2223% for such quarter; and (3) 10.0% of the amount of pre-incentive allocation net income, if any, that exceeds 2.2223% for such quarter.</w:t>
      </w:r>
    </w:p>
    <w:p>
      <w:pPr>
        <w:spacing w:after="0" w:line="9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the Company’s pro rata share of cumulative realized gains from the date of the Company's initial public offering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The Company pays all of its operating expenses, except those specifically required to be borne by the Manager under the Management Agreement. 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w:t>
      </w:r>
    </w:p>
    <w:p>
      <w:pPr>
        <w:spacing w:after="0" w:line="9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6"/>
          <w:szCs w:val="16"/>
          <w:color w:val="auto"/>
        </w:rPr>
        <w:t>If the Company terminates the Management Agreement, it will generally be required to pay the Manager a termination fee, as defined by the Management Agreement. Upon the successful completion of an offering of the Company’s common shares or other equity securities (including securities issued as consideration in an acquisition), the Company will grant the Manager options to purchase common shares, as defined by the Management Agreement.</w:t>
      </w:r>
    </w:p>
    <w:p>
      <w:pPr>
        <w:spacing w:after="0" w:line="28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Please refer to Note 13 of our consolidated financial statements included in Item 8 in this Annual Report on Form 10-K for further details regarding our Management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709"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0497F"/>
        </w:rPr>
        <w:t>Our Portfolio</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own and acquire high quality infrastructure and equipment that is essential for the transportation of goods and people globally. We currently invest across four market sectors: aviation, energy, intermodal transport and rail. We target assets that, on a combined basis, generate strong and stable cash flows with the potential for earnings growth and asset appreciation.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Leasing Equipment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Aviation</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our Aviation Leasing segment, we own and manage 158 aviation assets, including 48 aircraft and 110 commercial jet engines.</w:t>
      </w:r>
    </w:p>
    <w:p>
      <w:pPr>
        <w:spacing w:after="0" w:line="11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As of December 31, 2017, 46 of our commercial aircraft and 76 of our jet engines were leased to operators or other third parties. Aviation assets currently off lease are either undergoing repair and/or maintenance, being prepared to go on lease or held in short term storage awaiting a future lease. Our aviation equipment was approximately 86% utilized as of December 31, 2017, based on the equity value of our on-hire leasing equipment as a percentage of the total equity value of our aviation leasing equipment. Our aircraft currently have a weighted average remaining lease term of 32 months, and our jet engines currently on-lease have an average remaining lease term of 11 months. The table below provides additional information on the assets in our Aviation Leasing segment: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578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340" w:type="dxa"/>
            <w:vAlign w:val="bottom"/>
            <w:shd w:val="clear" w:color="auto" w:fill="00497F"/>
          </w:tcPr>
          <w:p>
            <w:pPr>
              <w:ind w:left="540"/>
              <w:spacing w:after="0"/>
              <w:rPr>
                <w:sz w:val="20"/>
                <w:szCs w:val="20"/>
                <w:color w:val="auto"/>
              </w:rPr>
            </w:pPr>
            <w:r>
              <w:rPr>
                <w:rFonts w:ascii="Arial" w:cs="Arial" w:eastAsia="Arial" w:hAnsi="Arial"/>
                <w:sz w:val="14"/>
                <w:szCs w:val="14"/>
                <w:b w:val="1"/>
                <w:bCs w:val="1"/>
                <w:color w:val="FFFFFF"/>
              </w:rPr>
              <w:t>Widebody</w:t>
            </w:r>
          </w:p>
        </w:tc>
        <w:tc>
          <w:tcPr>
            <w:tcW w:w="40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440" w:type="dxa"/>
            <w:vAlign w:val="bottom"/>
            <w:shd w:val="clear" w:color="auto" w:fill="00497F"/>
          </w:tcPr>
          <w:p>
            <w:pPr>
              <w:ind w:left="500"/>
              <w:spacing w:after="0"/>
              <w:rPr>
                <w:sz w:val="20"/>
                <w:szCs w:val="20"/>
                <w:color w:val="auto"/>
              </w:rPr>
            </w:pPr>
            <w:r>
              <w:rPr>
                <w:rFonts w:ascii="Arial" w:cs="Arial" w:eastAsia="Arial" w:hAnsi="Arial"/>
                <w:sz w:val="14"/>
                <w:szCs w:val="14"/>
                <w:b w:val="1"/>
                <w:bCs w:val="1"/>
                <w:color w:val="FFFFFF"/>
              </w:rPr>
              <w:t>Narrowbody</w:t>
            </w:r>
          </w:p>
        </w:tc>
        <w:tc>
          <w:tcPr>
            <w:tcW w:w="38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800" w:type="dxa"/>
            <w:vAlign w:val="bottom"/>
            <w:shd w:val="clear" w:color="auto" w:fill="00497F"/>
          </w:tcPr>
          <w:p>
            <w:pPr>
              <w:jc w:val="right"/>
              <w:ind w:right="66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4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9"/>
        </w:trPr>
        <w:tc>
          <w:tcPr>
            <w:tcW w:w="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2017</w:t>
            </w:r>
          </w:p>
        </w:tc>
        <w:tc>
          <w:tcPr>
            <w:tcW w:w="1340" w:type="dxa"/>
            <w:vAlign w:val="bottom"/>
          </w:tcPr>
          <w:p>
            <w:pPr>
              <w:spacing w:after="0"/>
              <w:rPr>
                <w:sz w:val="24"/>
                <w:szCs w:val="2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4"/>
                <w:szCs w:val="24"/>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34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76"/>
        </w:trPr>
        <w:tc>
          <w:tcPr>
            <w:tcW w:w="40" w:type="dxa"/>
            <w:vAlign w:val="bottom"/>
          </w:tcPr>
          <w:p>
            <w:pPr>
              <w:spacing w:after="0"/>
              <w:rPr>
                <w:sz w:val="24"/>
                <w:szCs w:val="24"/>
                <w:color w:val="auto"/>
              </w:rPr>
            </w:pPr>
          </w:p>
        </w:tc>
        <w:tc>
          <w:tcPr>
            <w:tcW w:w="578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50"/>
        </w:trPr>
        <w:tc>
          <w:tcPr>
            <w:tcW w:w="40" w:type="dxa"/>
            <w:vAlign w:val="bottom"/>
          </w:tcPr>
          <w:p>
            <w:pPr>
              <w:spacing w:after="0"/>
              <w:rPr>
                <w:sz w:val="21"/>
                <w:szCs w:val="21"/>
                <w:color w:val="auto"/>
              </w:rPr>
            </w:pPr>
          </w:p>
        </w:tc>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2017</w:t>
            </w:r>
          </w:p>
        </w:tc>
        <w:tc>
          <w:tcPr>
            <w:tcW w:w="1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w:t>
            </w:r>
          </w:p>
        </w:tc>
      </w:tr>
      <w:tr>
        <w:trPr>
          <w:trHeight w:val="554"/>
        </w:trPr>
        <w:tc>
          <w:tcPr>
            <w:tcW w:w="40" w:type="dxa"/>
            <w:vAlign w:val="bottom"/>
          </w:tcPr>
          <w:p>
            <w:pPr>
              <w:spacing w:after="0"/>
              <w:rPr>
                <w:sz w:val="24"/>
                <w:szCs w:val="2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99"/>
              </w:rPr>
              <w:t>Engines</w:t>
            </w:r>
          </w:p>
        </w:tc>
        <w:tc>
          <w:tcPr>
            <w:tcW w:w="5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2017</w:t>
            </w:r>
          </w:p>
        </w:tc>
        <w:tc>
          <w:tcPr>
            <w:tcW w:w="1340" w:type="dxa"/>
            <w:vAlign w:val="bottom"/>
          </w:tcPr>
          <w:p>
            <w:pPr>
              <w:spacing w:after="0"/>
              <w:rPr>
                <w:sz w:val="24"/>
                <w:szCs w:val="2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4"/>
                <w:szCs w:val="24"/>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b w:val="1"/>
                <w:bCs w:val="1"/>
                <w:color w:val="auto"/>
              </w:rPr>
              <w:t>66</w:t>
            </w: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34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6"/>
        </w:trPr>
        <w:tc>
          <w:tcPr>
            <w:tcW w:w="40" w:type="dxa"/>
            <w:vAlign w:val="bottom"/>
          </w:tcPr>
          <w:p>
            <w:pPr>
              <w:spacing w:after="0"/>
              <w:rPr>
                <w:sz w:val="24"/>
                <w:szCs w:val="24"/>
                <w:color w:val="auto"/>
              </w:rPr>
            </w:pPr>
          </w:p>
        </w:tc>
        <w:tc>
          <w:tcPr>
            <w:tcW w:w="578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50"/>
        </w:trPr>
        <w:tc>
          <w:tcPr>
            <w:tcW w:w="40" w:type="dxa"/>
            <w:vAlign w:val="bottom"/>
          </w:tcPr>
          <w:p>
            <w:pPr>
              <w:spacing w:after="0"/>
              <w:rPr>
                <w:sz w:val="21"/>
                <w:szCs w:val="21"/>
                <w:color w:val="auto"/>
              </w:rPr>
            </w:pPr>
          </w:p>
        </w:tc>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2017</w:t>
            </w:r>
          </w:p>
        </w:tc>
        <w:tc>
          <w:tcPr>
            <w:tcW w:w="1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w:t>
            </w:r>
          </w:p>
        </w:tc>
        <w:tc>
          <w:tcPr>
            <w:tcW w:w="12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Offshore Energy</w:t>
      </w:r>
    </w:p>
    <w:p>
      <w:pPr>
        <w:spacing w:after="0" w:line="12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own one Anchor Handling Towing Supply ("AHTS") vessel, one construction support vessel, and one Remote Operated Vehicle ("ROV") support vessel. We seek to lease our assets in our Offshore Energy segment on medium to long-term charters. Depending upon the charter, the charterer may assume the operating expense and utilization risk. The AHTS vessel is a 2010-built DP-1, 5,150 bhp vessel used in the offshore oil and gas industry. The AHTS vessel was built by Guangzhou Panyu Lingshan Shipyard Ltd. in China and is designed to provide support services to offshore platforms, rigs and larger construction vessels. The AHTS vessel has accommodation for 30 personnel and is equipped with an advanced firefighting system and rescue boat to provide standby / emergency rescue services and a winch with total bollard pull of 68.5 tons. The AHTS vessel is subject to a 10-year direct finance lease with a local Mexican operator. We own 100% of the AHTS vessel and our finance lease will expire in November 2023. The AHTS vessel is currently unlevered.</w:t>
      </w:r>
    </w:p>
    <w:p>
      <w:pPr>
        <w:spacing w:after="0" w:line="10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The construction support vessel is a 2014-built subsea construction support vessel for the SURF (subsea, umbilicals, risers, and flowlines), IMR, and pipelay markets. The construction support vessel was built at Davie Shipyard in Quebec, Canada and is designed to provide a range of services including flexible and small-diameter rigid pipelay, cable lay, saturation diving, ROV support, well intervention, top hole drilling and subsea installation. Our construction support vessel has advanced dynamic positioning (DP-3) systems, a 250-ton subsea crane, a moon pool, 2,000 square meters of open deck space and 100-person accommodation. The construction support vessel is approximately 40% levered as of December 31, 2017.</w:t>
      </w:r>
    </w:p>
    <w:p>
      <w:pPr>
        <w:spacing w:after="0" w:line="95" w:lineRule="exact"/>
        <w:rPr>
          <w:sz w:val="20"/>
          <w:szCs w:val="20"/>
          <w:color w:val="auto"/>
        </w:rPr>
      </w:pPr>
    </w:p>
    <w:p>
      <w:pPr>
        <w:jc w:val="both"/>
        <w:ind w:firstLine="536"/>
        <w:spacing w:after="0" w:line="250" w:lineRule="auto"/>
        <w:rPr>
          <w:sz w:val="20"/>
          <w:szCs w:val="20"/>
          <w:color w:val="auto"/>
        </w:rPr>
      </w:pPr>
      <w:r>
        <w:rPr>
          <w:rFonts w:ascii="Arial" w:cs="Arial" w:eastAsia="Arial" w:hAnsi="Arial"/>
          <w:sz w:val="16"/>
          <w:szCs w:val="16"/>
          <w:color w:val="auto"/>
        </w:rPr>
        <w:t>Our ROV support vessel is a 2011-built DP-2, 6,000 bhp ROV support vessel that is used in the offshore oil and gas industry. The ROV support vessel was built by Jaya Holdings at their yard in Batam, Indonesia and is designed to provide construction support services including ROV support, dive support, accommodation and subsea and platform lifts. The ROV support vessel has accommodation for 120 personnel, a moon pool, a 50-ton crane, and can carry up to three ROVs. The ROV support vessel was on hire with a long-term lease arrangement during 2017. We own 100% of the vessel. The ROV support vessel is currently unlevered.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689" w:right="239" w:bottom="1440" w:gutter="0" w:footer="0" w:header="0"/>
        </w:sectPr>
      </w:pPr>
    </w:p>
    <w:bookmarkStart w:id="8" w:name="page9"/>
    <w:bookmarkEnd w:id="8"/>
    <w:p>
      <w:pPr>
        <w:ind w:left="500"/>
        <w:spacing w:after="0"/>
        <w:rPr>
          <w:sz w:val="20"/>
          <w:szCs w:val="20"/>
          <w:color w:val="auto"/>
        </w:rPr>
      </w:pPr>
      <w:r>
        <w:rPr>
          <w:rFonts w:ascii="Arial" w:cs="Arial" w:eastAsia="Arial" w:hAnsi="Arial"/>
          <w:sz w:val="16"/>
          <w:szCs w:val="16"/>
          <w:color w:val="auto"/>
        </w:rPr>
        <w:t>The chart below describes the assets in our Offshore Energy segment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54875" cy="1149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149350"/>
                    </a:xfrm>
                    <a:prstGeom prst="rect">
                      <a:avLst/>
                    </a:prstGeom>
                    <a:noFill/>
                  </pic:spPr>
                </pic:pic>
              </a:graphicData>
            </a:graphic>
          </wp:anchor>
        </w:drawing>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Offshore Energy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Borders>
              <w:top w:val="single" w:sz="8" w:color="auto"/>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Asset Type</w:t>
            </w:r>
          </w:p>
        </w:tc>
        <w:tc>
          <w:tcPr>
            <w:tcW w:w="10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Year Built</w:t>
            </w:r>
          </w:p>
        </w:tc>
        <w:tc>
          <w:tcPr>
            <w:tcW w:w="5800" w:type="dxa"/>
            <w:vAlign w:val="bottom"/>
            <w:tcBorders>
              <w:top w:val="single" w:sz="8" w:color="auto"/>
              <w:bottom w:val="single" w:sz="8" w:color="auto"/>
              <w:right w:val="single" w:sz="8" w:color="auto"/>
            </w:tcBorders>
            <w:shd w:val="clear" w:color="auto" w:fill="D8D8D8"/>
          </w:tcPr>
          <w:p>
            <w:pPr>
              <w:ind w:left="2540"/>
              <w:spacing w:after="0"/>
              <w:rPr>
                <w:sz w:val="20"/>
                <w:szCs w:val="20"/>
                <w:color w:val="auto"/>
              </w:rPr>
            </w:pPr>
            <w:r>
              <w:rPr>
                <w:rFonts w:ascii="Arial" w:cs="Arial" w:eastAsia="Arial" w:hAnsi="Arial"/>
                <w:sz w:val="14"/>
                <w:szCs w:val="14"/>
                <w:color w:val="auto"/>
              </w:rPr>
              <w:t>Description</w:t>
            </w:r>
          </w:p>
        </w:tc>
        <w:tc>
          <w:tcPr>
            <w:tcW w:w="1920" w:type="dxa"/>
            <w:vAlign w:val="bottom"/>
            <w:tcBorders>
              <w:top w:val="single" w:sz="8" w:color="auto"/>
              <w:bottom w:val="single" w:sz="8" w:color="auto"/>
            </w:tcBorders>
            <w:shd w:val="clear" w:color="auto" w:fill="D8D8D8"/>
          </w:tcPr>
          <w:p>
            <w:pPr>
              <w:ind w:left="260"/>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r>
      <w:tr>
        <w:trPr>
          <w:trHeight w:val="193"/>
        </w:trPr>
        <w:tc>
          <w:tcPr>
            <w:tcW w:w="266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AHTS Vessel</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2010</w:t>
            </w:r>
          </w:p>
        </w:tc>
        <w:tc>
          <w:tcPr>
            <w:tcW w:w="58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1920" w:type="dxa"/>
            <w:vAlign w:val="bottom"/>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6"/>
                <w:szCs w:val="16"/>
                <w:color w:val="auto"/>
              </w:rPr>
            </w:pPr>
          </w:p>
        </w:tc>
      </w:tr>
      <w:tr>
        <w:trPr>
          <w:trHeight w:val="178"/>
        </w:trPr>
        <w:tc>
          <w:tcPr>
            <w:tcW w:w="2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58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and a total bollard pull of 68.5 tons</w:t>
            </w:r>
          </w:p>
        </w:tc>
        <w:tc>
          <w:tcPr>
            <w:tcW w:w="1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93"/>
        </w:trPr>
        <w:tc>
          <w:tcPr>
            <w:tcW w:w="266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Construction Support Vessel</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2014</w:t>
            </w:r>
          </w:p>
        </w:tc>
        <w:tc>
          <w:tcPr>
            <w:tcW w:w="58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DP-3 construction support and well intervention vessel with</w:t>
            </w:r>
          </w:p>
        </w:tc>
        <w:tc>
          <w:tcPr>
            <w:tcW w:w="1920" w:type="dxa"/>
            <w:vAlign w:val="bottom"/>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6"/>
                <w:szCs w:val="16"/>
                <w:color w:val="auto"/>
              </w:rPr>
            </w:pPr>
          </w:p>
        </w:tc>
      </w:tr>
      <w:tr>
        <w:trPr>
          <w:trHeight w:val="162"/>
        </w:trPr>
        <w:tc>
          <w:tcPr>
            <w:tcW w:w="2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58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250-ton main crane, 2,000 square meter open deck space, moon pool and</w:t>
            </w: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2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58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accommodation for 100 personnel</w:t>
            </w:r>
          </w:p>
        </w:tc>
        <w:tc>
          <w:tcPr>
            <w:tcW w:w="1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93"/>
        </w:trPr>
        <w:tc>
          <w:tcPr>
            <w:tcW w:w="266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ROV Support Vessel</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2011</w:t>
            </w:r>
          </w:p>
        </w:tc>
        <w:tc>
          <w:tcPr>
            <w:tcW w:w="58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DP-2 dive and ROV support vessel with 50-ton crane, moon pool and accommodation</w:t>
            </w:r>
          </w:p>
        </w:tc>
        <w:tc>
          <w:tcPr>
            <w:tcW w:w="1920" w:type="dxa"/>
            <w:vAlign w:val="bottom"/>
          </w:tcPr>
          <w:p>
            <w:pPr>
              <w:jc w:val="center"/>
              <w:spacing w:after="0" w:line="194" w:lineRule="exact"/>
              <w:rPr>
                <w:sz w:val="20"/>
                <w:szCs w:val="20"/>
                <w:color w:val="auto"/>
              </w:rPr>
            </w:pPr>
            <w:r>
              <w:rPr>
                <w:rFonts w:ascii="Arial" w:cs="Arial" w:eastAsia="Arial" w:hAnsi="Arial"/>
                <w:sz w:val="14"/>
                <w:szCs w:val="14"/>
                <w:color w:val="auto"/>
                <w:w w:val="96"/>
              </w:rPr>
              <w:t>100%</w:t>
            </w:r>
            <w:r>
              <w:rPr>
                <w:rFonts w:ascii="Arial" w:cs="Arial" w:eastAsia="Arial" w:hAnsi="Arial"/>
                <w:sz w:val="17"/>
                <w:szCs w:val="17"/>
                <w:color w:val="auto"/>
                <w:w w:val="96"/>
                <w:vertAlign w:val="superscript"/>
              </w:rPr>
              <w:t>(1)</w:t>
            </w:r>
          </w:p>
        </w:tc>
        <w:tc>
          <w:tcPr>
            <w:tcW w:w="20" w:type="dxa"/>
            <w:vAlign w:val="bottom"/>
          </w:tcPr>
          <w:p>
            <w:pPr>
              <w:spacing w:after="0"/>
              <w:rPr>
                <w:sz w:val="16"/>
                <w:szCs w:val="16"/>
                <w:color w:val="auto"/>
              </w:rPr>
            </w:pPr>
          </w:p>
        </w:tc>
      </w:tr>
      <w:tr>
        <w:trPr>
          <w:trHeight w:val="178"/>
        </w:trPr>
        <w:tc>
          <w:tcPr>
            <w:tcW w:w="2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58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for 120 personnel</w:t>
            </w:r>
          </w:p>
        </w:tc>
        <w:tc>
          <w:tcPr>
            <w:tcW w:w="1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5" w:lineRule="exact"/>
        <w:rPr>
          <w:sz w:val="20"/>
          <w:szCs w:val="20"/>
          <w:color w:val="auto"/>
        </w:rPr>
      </w:pPr>
    </w:p>
    <w:p>
      <w:pPr>
        <w:ind w:right="40" w:firstLine="8"/>
        <w:spacing w:after="0" w:line="222" w:lineRule="auto"/>
        <w:tabs>
          <w:tab w:leader="none" w:pos="179"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The economic interest increased in the third quarter of 2017 for the ROV support vessel reflecting the transfer of the non-controlling interest to the Company as part of the settlement arrangement as more fully discussed in the Notes to the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Intermodal Transport</w:t>
      </w:r>
    </w:p>
    <w:p>
      <w:pPr>
        <w:spacing w:after="0" w:line="129"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6"/>
          <w:szCs w:val="16"/>
          <w:color w:val="auto"/>
        </w:rPr>
        <w:t>We own, through a joint venture, a 51% interest in a portfolio of approximately 34,000 maritime shipping containers, including both dry and refrigerated units. The containers in this portfolio are subject to operating leases with a large Asian shipping line and finance leases with four other container shipping lines. As of December 31, 2017, approximately 29,000 containers were on lease with the remaining average lease term of approximately one year.</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chart below describes the assets in our Shipping Containers segment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54875" cy="84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848995"/>
                    </a:xfrm>
                    <a:prstGeom prst="rect">
                      <a:avLst/>
                    </a:prstGeom>
                    <a:noFill/>
                  </pic:spPr>
                </pic:pic>
              </a:graphicData>
            </a:graphic>
          </wp:anchor>
        </w:drawing>
      </w:r>
    </w:p>
    <w:p>
      <w:pPr>
        <w:spacing w:after="0" w:line="24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Shipping Containers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Borders>
              <w:top w:val="single" w:sz="8" w:color="auto"/>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Number of Containers</w:t>
            </w:r>
          </w:p>
        </w:tc>
        <w:tc>
          <w:tcPr>
            <w:tcW w:w="1600" w:type="dxa"/>
            <w:vAlign w:val="bottom"/>
            <w:tcBorders>
              <w:top w:val="single" w:sz="8" w:color="auto"/>
              <w:bottom w:val="single" w:sz="8" w:color="auto"/>
              <w:right w:val="single" w:sz="8" w:color="auto"/>
            </w:tcBorders>
            <w:shd w:val="clear" w:color="auto" w:fill="D8D8D8"/>
          </w:tcPr>
          <w:p>
            <w:pPr>
              <w:ind w:left="640"/>
              <w:spacing w:after="0"/>
              <w:rPr>
                <w:sz w:val="20"/>
                <w:szCs w:val="20"/>
                <w:color w:val="auto"/>
              </w:rPr>
            </w:pPr>
            <w:r>
              <w:rPr>
                <w:rFonts w:ascii="Arial" w:cs="Arial" w:eastAsia="Arial" w:hAnsi="Arial"/>
                <w:sz w:val="14"/>
                <w:szCs w:val="14"/>
                <w:color w:val="auto"/>
              </w:rPr>
              <w:t>Type</w:t>
            </w:r>
          </w:p>
        </w:tc>
        <w:tc>
          <w:tcPr>
            <w:tcW w:w="1380" w:type="dxa"/>
            <w:vAlign w:val="bottom"/>
            <w:tcBorders>
              <w:top w:val="single" w:sz="8" w:color="auto"/>
              <w:bottom w:val="single" w:sz="8" w:color="auto"/>
              <w:right w:val="single" w:sz="8" w:color="auto"/>
            </w:tcBorders>
            <w:shd w:val="clear" w:color="auto" w:fill="D8D8D8"/>
          </w:tcPr>
          <w:p>
            <w:pPr>
              <w:ind w:left="260"/>
              <w:spacing w:after="0"/>
              <w:rPr>
                <w:sz w:val="20"/>
                <w:szCs w:val="20"/>
                <w:color w:val="auto"/>
              </w:rPr>
            </w:pPr>
            <w:r>
              <w:rPr>
                <w:rFonts w:ascii="Arial" w:cs="Arial" w:eastAsia="Arial" w:hAnsi="Arial"/>
                <w:sz w:val="14"/>
                <w:szCs w:val="14"/>
                <w:color w:val="auto"/>
              </w:rPr>
              <w:t>Average Age</w:t>
            </w:r>
          </w:p>
        </w:tc>
        <w:tc>
          <w:tcPr>
            <w:tcW w:w="1940" w:type="dxa"/>
            <w:vAlign w:val="bottom"/>
            <w:tcBorders>
              <w:top w:val="single" w:sz="8" w:color="auto"/>
              <w:bottom w:val="single" w:sz="8" w:color="auto"/>
              <w:right w:val="single" w:sz="8" w:color="auto"/>
            </w:tcBorders>
            <w:shd w:val="clear" w:color="auto" w:fill="D8D8D8"/>
          </w:tcPr>
          <w:p>
            <w:pPr>
              <w:ind w:left="580"/>
              <w:spacing w:after="0"/>
              <w:rPr>
                <w:sz w:val="20"/>
                <w:szCs w:val="20"/>
                <w:color w:val="auto"/>
              </w:rPr>
            </w:pPr>
            <w:r>
              <w:rPr>
                <w:rFonts w:ascii="Arial" w:cs="Arial" w:eastAsia="Arial" w:hAnsi="Arial"/>
                <w:sz w:val="14"/>
                <w:szCs w:val="14"/>
                <w:color w:val="auto"/>
              </w:rPr>
              <w:t>Lease Type</w:t>
            </w:r>
          </w:p>
        </w:tc>
        <w:tc>
          <w:tcPr>
            <w:tcW w:w="1920" w:type="dxa"/>
            <w:vAlign w:val="bottom"/>
            <w:tcBorders>
              <w:top w:val="single" w:sz="8" w:color="auto"/>
              <w:bottom w:val="single" w:sz="8" w:color="auto"/>
              <w:right w:val="single" w:sz="8" w:color="auto"/>
            </w:tcBorders>
            <w:shd w:val="clear" w:color="auto" w:fill="D8D8D8"/>
          </w:tcPr>
          <w:p>
            <w:pPr>
              <w:ind w:left="500"/>
              <w:spacing w:after="0"/>
              <w:rPr>
                <w:sz w:val="20"/>
                <w:szCs w:val="20"/>
                <w:color w:val="auto"/>
              </w:rPr>
            </w:pPr>
            <w:r>
              <w:rPr>
                <w:rFonts w:ascii="Arial" w:cs="Arial" w:eastAsia="Arial" w:hAnsi="Arial"/>
                <w:sz w:val="14"/>
                <w:szCs w:val="14"/>
                <w:color w:val="auto"/>
              </w:rPr>
              <w:t>Customer Mix</w:t>
            </w:r>
          </w:p>
        </w:tc>
        <w:tc>
          <w:tcPr>
            <w:tcW w:w="192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r>
      <w:tr>
        <w:trPr>
          <w:trHeight w:val="193"/>
        </w:trPr>
        <w:tc>
          <w:tcPr>
            <w:tcW w:w="266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34,000</w:t>
            </w:r>
          </w:p>
        </w:tc>
        <w:tc>
          <w:tcPr>
            <w:tcW w:w="16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 Dry</w:t>
            </w:r>
          </w:p>
        </w:tc>
        <w:tc>
          <w:tcPr>
            <w:tcW w:w="138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~10 Years</w:t>
            </w:r>
          </w:p>
        </w:tc>
        <w:tc>
          <w:tcPr>
            <w:tcW w:w="194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Direct Finance</w:t>
            </w:r>
          </w:p>
        </w:tc>
        <w:tc>
          <w:tcPr>
            <w:tcW w:w="192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5 Customers</w:t>
            </w:r>
          </w:p>
        </w:tc>
        <w:tc>
          <w:tcPr>
            <w:tcW w:w="1920" w:type="dxa"/>
            <w:vAlign w:val="bottom"/>
          </w:tcPr>
          <w:p>
            <w:pPr>
              <w:jc w:val="right"/>
              <w:ind w:right="748"/>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6"/>
                <w:szCs w:val="16"/>
                <w:color w:val="auto"/>
              </w:rPr>
            </w:pPr>
          </w:p>
        </w:tc>
      </w:tr>
      <w:tr>
        <w:trPr>
          <w:trHeight w:val="162"/>
        </w:trPr>
        <w:tc>
          <w:tcPr>
            <w:tcW w:w="266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 Reefer</w:t>
            </w:r>
          </w:p>
        </w:tc>
        <w:tc>
          <w:tcPr>
            <w:tcW w:w="13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Lease/Operating Lease</w:t>
            </w:r>
          </w:p>
        </w:tc>
        <w:tc>
          <w:tcPr>
            <w:tcW w:w="192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66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40’ Dry</w:t>
            </w:r>
          </w:p>
        </w:tc>
        <w:tc>
          <w:tcPr>
            <w:tcW w:w="13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66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40’ HC Dry</w:t>
            </w:r>
          </w:p>
        </w:tc>
        <w:tc>
          <w:tcPr>
            <w:tcW w:w="13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266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40’ HC Reefer</w:t>
            </w:r>
          </w:p>
        </w:tc>
        <w:tc>
          <w:tcPr>
            <w:tcW w:w="138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Infrastructure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Jefferson Terminal</w:t>
      </w:r>
    </w:p>
    <w:p>
      <w:pPr>
        <w:spacing w:after="0" w:line="170" w:lineRule="exact"/>
        <w:rPr>
          <w:sz w:val="20"/>
          <w:szCs w:val="20"/>
          <w:color w:val="auto"/>
        </w:rPr>
      </w:pPr>
    </w:p>
    <w:p>
      <w:pPr>
        <w:jc w:val="both"/>
        <w:ind w:right="20" w:firstLine="513"/>
        <w:spacing w:after="0" w:line="253" w:lineRule="auto"/>
        <w:rPr>
          <w:sz w:val="20"/>
          <w:szCs w:val="20"/>
          <w:color w:val="auto"/>
        </w:rPr>
      </w:pPr>
      <w:r>
        <w:rPr>
          <w:rFonts w:ascii="Arial" w:cs="Arial" w:eastAsia="Arial" w:hAnsi="Arial"/>
          <w:sz w:val="16"/>
          <w:szCs w:val="16"/>
          <w:color w:val="auto"/>
        </w:rPr>
        <w:t>In August 2014, we and certain other Fortress affiliates purchased substantially all of the assets and assumed certain liabilities of Jefferson Terminal, a Texas-based group of companies developing crude oil and refined products logistics assets. As of December 31, 2017, our equity interest in Jefferson is approximately 60%, and other affiliates of Fortress own an additional approximately 20%.</w:t>
      </w:r>
    </w:p>
    <w:p>
      <w:pPr>
        <w:spacing w:after="0" w:line="134" w:lineRule="exact"/>
        <w:rPr>
          <w:sz w:val="20"/>
          <w:szCs w:val="20"/>
          <w:color w:val="auto"/>
        </w:rPr>
      </w:pPr>
    </w:p>
    <w:p>
      <w:pPr>
        <w:jc w:val="both"/>
        <w:ind w:right="20" w:firstLine="513"/>
        <w:spacing w:after="0" w:line="251" w:lineRule="auto"/>
        <w:rPr>
          <w:sz w:val="20"/>
          <w:szCs w:val="20"/>
          <w:color w:val="auto"/>
        </w:rPr>
      </w:pPr>
      <w:r>
        <w:rPr>
          <w:rFonts w:ascii="Arial" w:cs="Arial" w:eastAsia="Arial" w:hAnsi="Arial"/>
          <w:sz w:val="16"/>
          <w:szCs w:val="16"/>
          <w:color w:val="auto"/>
        </w:rPr>
        <w:t>Jefferson Terminal is located on approximately 250 acres of land at the Port of Beaumont, Texas (the “Port”). Today, Jefferson leases 196 acres from the Port under three separate leases. The three leases have 50 year terms that expire in June 2062 (20 acres), August 2063 (31 acres), and January 2065 (145 acres). As part of the leases, Jefferson has been granted the concession to operate as the sole handler of liquid hydrocarbons at the Port. Jefferson does not own any land at Jefferson Terminal, but does own the equipment and leasehold improvements carried out as part of the Jefferson Terminal build-out.</w:t>
      </w:r>
    </w:p>
    <w:p>
      <w:pPr>
        <w:spacing w:after="0" w:line="135" w:lineRule="exact"/>
        <w:rPr>
          <w:sz w:val="20"/>
          <w:szCs w:val="20"/>
          <w:color w:val="auto"/>
        </w:rPr>
      </w:pPr>
    </w:p>
    <w:p>
      <w:pPr>
        <w:jc w:val="both"/>
        <w:ind w:right="20" w:firstLine="513"/>
        <w:spacing w:after="0" w:line="238" w:lineRule="auto"/>
        <w:rPr>
          <w:sz w:val="20"/>
          <w:szCs w:val="20"/>
          <w:color w:val="auto"/>
        </w:rPr>
      </w:pPr>
      <w:r>
        <w:rPr>
          <w:rFonts w:ascii="Arial" w:cs="Arial" w:eastAsia="Arial" w:hAnsi="Arial"/>
          <w:sz w:val="16"/>
          <w:szCs w:val="16"/>
          <w:color w:val="auto"/>
        </w:rPr>
        <w:t>Jefferson is developing a large multi-modal crude oil and refined products handling terminal at the Port and also owns several other assets for the transportation and processing of crude oil and related products. Jefferson Terminal has a unique combination of direct rail service from three Class I railroads, barge docks and deep water ship loading capacity, capabilities to handle multiple types of products including ethanol, refined products and both free-flowing crude oil and bitumen, and a prime location close to Port Arthur and Lake Charles, which are home to refineries with over 2.2 million barrels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per day of capacity. Today, Jefferson Terminal has approximately 2.05 million barrels of storage tanks in operation or under construction, the majority of which are committed under customer contracts. As the Company secures new storage/handling contracts, we expect to expand storage capacity and/or develop new assets. The timing of the ultimate development of Jefferson Terminal will be dependent, in part, on the pace at which contracts are executed as well as the amount of volume subject to such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All capacities refer to shell-tank capacity</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40"/>
          </w:cols>
          <w:pgMar w:left="240" w:top="709" w:right="219" w:bottom="1440" w:gutter="0" w:footer="0" w:header="0"/>
        </w:sectPr>
      </w:pPr>
    </w:p>
    <w:bookmarkStart w:id="9" w:name="page10"/>
    <w:bookmarkEnd w:id="9"/>
    <w:p>
      <w:pPr>
        <w:jc w:val="both"/>
        <w:ind w:firstLine="513"/>
        <w:spacing w:after="0" w:line="248" w:lineRule="auto"/>
        <w:rPr>
          <w:sz w:val="20"/>
          <w:szCs w:val="20"/>
          <w:color w:val="auto"/>
        </w:rPr>
      </w:pPr>
      <w:r>
        <w:rPr>
          <w:rFonts w:ascii="Arial" w:cs="Arial" w:eastAsia="Arial" w:hAnsi="Arial"/>
          <w:sz w:val="16"/>
          <w:szCs w:val="16"/>
          <w:color w:val="auto"/>
        </w:rPr>
        <w:t>Jefferson Terminal’s prime location and excellent transportation connectivity make it well suited to provide logistics solutions to local refineries, including blending, storage and delivery of crude oil, ethanol and refined products. Heavy and extra heavy crude from western Canada (extra heavy crude is predominantly known as “bitumen”) is in high demand on the Gulf Coast because most refineries in the area are configured to handle heavier crudes (previously sourced predominately from Mexico and Venezuela) than those in other parts of the U.S. Canadian bitumen is well suited for transport by rail rather than pipeline because of its high viscosity. Jefferson Terminal is one of only a few terminals in the Gulf that has the heated system capabilities to handle this type of heavy crude. As the production of Western Canadian crude oil grows in excess of existing pipeline capacity, demand for crude-by-rail to the U.S. Gulf Coast is expected to increase. Growing ethanol production is expected to lead to more storage and logistics opportunities including domestic distribution and exports and demand for services to export ethanol is expected to increase as countries establish mandates on ethanol use or raise the required ethanol percentages in gasoline blends. Refined products opportunities for storage and logistics are expected to be positively impacted from Mexico deregulating its imports of both gasoline and diesel. Mexico’s imported supply of both gasoline and diesel increased from 23% in 2006 to 54% in 2016 as output from Mexican refineries has fallen.</w:t>
      </w:r>
    </w:p>
    <w:p>
      <w:pPr>
        <w:spacing w:after="0" w:line="327" w:lineRule="exact"/>
        <w:rPr>
          <w:sz w:val="20"/>
          <w:szCs w:val="20"/>
          <w:color w:val="auto"/>
        </w:rPr>
      </w:pPr>
    </w:p>
    <w:p>
      <w:pPr>
        <w:jc w:val="both"/>
        <w:ind w:firstLine="513"/>
        <w:spacing w:after="0" w:line="248" w:lineRule="auto"/>
        <w:rPr>
          <w:sz w:val="20"/>
          <w:szCs w:val="20"/>
          <w:color w:val="auto"/>
        </w:rPr>
      </w:pPr>
      <w:r>
        <w:rPr>
          <w:rFonts w:ascii="Arial" w:cs="Arial" w:eastAsia="Arial" w:hAnsi="Arial"/>
          <w:sz w:val="16"/>
          <w:szCs w:val="16"/>
          <w:color w:val="auto"/>
        </w:rPr>
        <w:t>Jefferson Terminal operates a light crude oil unloading system (the “Light System”), which has the capacity to discharge a unit train of up to 120 cars and the heavy crude oil unloading system (the “Heavy System”), which has the capacity to unload a unit train of up to 128 cars of heavy crude or bitumen requiring heating. Jefferson Terminal has two crude truck unloading bays. Jefferson Terminal has storage tanks with capacity to hold approximately 1.16 million barrels configured for crude oil in service. Additionally, the Company plans to construct approximately 800,000 barrels of additional crude storage in three tanks which are expected to be in service in the first half of 2019. We are planning on developing pipeline connections to some local refineries, which would allow for a lower cost of transportation to and from Jefferson Terminal. To date, we have completed engineering plans for all such construction. Once we execute formal contracts with a customer, the pipeline construction is estimated to take between 15 and 18 months depending on the final specifications of each project. Completion of construction is subject to a number of factors, certain of which are beyond our control, and there can be no assurance that we will not experience a delay.</w:t>
      </w:r>
    </w:p>
    <w:p>
      <w:pPr>
        <w:spacing w:after="0" w:line="329"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In 2016, Jefferson Ethanol Holdings LLC a subsidiary of the Company, formed a joint venture to construct and operate an ethanol distribution hub at Jefferson Terminal. The ethanol hub has direct access to multiple transportation options including up to Aframax class vessels, inland coastwise barges, trucks, and unit trains with direct mainline service from three Class I railroads. The ethanol hub leverages some existing infrastructure at Jefferson Terminal. The initial system including unit train offloading, 610,000 barrels of storage, marine loading and offloading, and truck loading was placed into operation in the fourth quarter of 2017. The ethanol hub’s initial capacity of approximately 610,000 barrels of dedicated ethanol storage could be expanded to approximately 1 million barrels to meet additional needs of the market for ethanol distribution services.</w:t>
      </w:r>
    </w:p>
    <w:p>
      <w:pPr>
        <w:spacing w:after="0" w:line="138" w:lineRule="exact"/>
        <w:rPr>
          <w:sz w:val="20"/>
          <w:szCs w:val="20"/>
          <w:color w:val="auto"/>
        </w:rPr>
      </w:pPr>
    </w:p>
    <w:p>
      <w:pPr>
        <w:jc w:val="both"/>
        <w:ind w:firstLine="513"/>
        <w:spacing w:after="0" w:line="250" w:lineRule="auto"/>
        <w:rPr>
          <w:sz w:val="20"/>
          <w:szCs w:val="20"/>
          <w:color w:val="auto"/>
        </w:rPr>
      </w:pPr>
      <w:r>
        <w:rPr>
          <w:rFonts w:ascii="Arial" w:cs="Arial" w:eastAsia="Arial" w:hAnsi="Arial"/>
          <w:sz w:val="16"/>
          <w:szCs w:val="16"/>
          <w:color w:val="auto"/>
        </w:rPr>
        <w:t>Refined products opportunities for storage and logistics are expected to be positively impacted from Mexico deregulating its imports of both gasoline and diesel. Mexico’s imported supply of both gasoline and diesel increased from 23% in 2006 to 54% in 2016 as output from Mexican refineries has fallen. To meet this need, Jefferson built and placed into service in late 2017 a refined products system which receives three grades of products by inland tank barge via the barge dock, stores the cargo in three tanks with a combined capacity of approximately 282,000 barrels, and a rail car loading system with the capacity to load a unit train. This system could be expanded to meet additional needs of the market.</w:t>
      </w:r>
    </w:p>
    <w:p>
      <w:pPr>
        <w:spacing w:after="0" w:line="136" w:lineRule="exact"/>
        <w:rPr>
          <w:sz w:val="20"/>
          <w:szCs w:val="20"/>
          <w:color w:val="auto"/>
        </w:rPr>
      </w:pPr>
    </w:p>
    <w:p>
      <w:pPr>
        <w:jc w:val="both"/>
        <w:ind w:firstLine="513"/>
        <w:spacing w:after="0" w:line="250" w:lineRule="auto"/>
        <w:rPr>
          <w:sz w:val="20"/>
          <w:szCs w:val="20"/>
          <w:color w:val="auto"/>
        </w:rPr>
      </w:pPr>
      <w:r>
        <w:rPr>
          <w:rFonts w:ascii="Arial" w:cs="Arial" w:eastAsia="Arial" w:hAnsi="Arial"/>
          <w:sz w:val="16"/>
          <w:szCs w:val="16"/>
          <w:color w:val="auto"/>
        </w:rPr>
        <w:t>In addition to the Jefferson Terminal, Jefferson owns several other energy and transportation-related assets, including 300 tank railcars which may be deployed; a gas processing and condensate stabilization plant; pipeline rights-of-way; and a private inland marine terminal property all of which can be developed. These assets can be deployed or developed in the future to meet market demands for transportation and hydrocarbon processing, and if successfully deployed or developed, may represent additional opportunities to generate stable, recurring cash flow. As we secure customer contracts, we expect to invest equity capital to fund working capital needs and future construction, which may be required.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CMQR</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Central Maine and Québec Railway (“CMQR”) is a 480-mile Class III railroad that runs from Montreal to the east coast of Maine, primarily transporting pulp and paper, construction products and chemicals. The CMQR offers the most direct route from ports in Montreal and on the east coast of the United States to manufacturers and other customers in Maine and Quebec. We believe that CMQR represents an investment in critical infrastructure with a captive customer base at an attractive valuation and significant growth potential.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 Ridge Energy Terminal</w:t>
      </w:r>
    </w:p>
    <w:p>
      <w:pPr>
        <w:spacing w:after="0" w:line="1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June 16, 2017, the Company, through Ohio River Partners LLC (“ORP”), a consolidated subsidiary, purchased the assets of Long Ridge Energy Terminal (“Long Ridge”), formally known as Hannibal, which consisted primarily of land, buildings, railroad track, docks, water rights, site improvements and other rights. The Company purchased 100% of the interest in these assets. ORP is solely reliant on the Company to finance its activities and therefore is a variable interest entity (“VIE”). The Company concluded it was the primary beneficiary; accordingly, ORP has been presented on a consolidated basis in the accompanying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749"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i w:val="1"/>
          <w:iCs w:val="1"/>
          <w:color w:val="auto"/>
        </w:rPr>
        <w:t>Repauno</w:t>
      </w:r>
    </w:p>
    <w:p>
      <w:pPr>
        <w:spacing w:after="0" w:line="12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On July 1, 2016, the Company, through Delaware River Partners LLC (“DRP”), a consolidated subsidiary, purchased the assets of a deep-water port located along the Delaware River with multiple industrial development opportunities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The Company currently holds a 90% economic interest and a 100% voting interest in DRP. DRP is solely reliant on the Company to finance activities and therefore is a VIE. The Company concluded it was the primary beneficiary; and accordingly, DRP has been presented on a consolidated basis in the accompanying financial statements. The Company has the right to purchase an additional 8% economic interest from the non-controlling party after the second anniversary but prior to the fifth year anniversary of the acquisition of Repauno. At the time of the purchase, the Company concluded that 8% of the 10% interest held by the non-controlling party does not share in the risks or rewards of true equity; and therefore $5,321 was recorded in other liabilities on the Company’s Consolidated Balance Sheet. The remaining 2% economic non-controlling interest was valued at $641 at the acquisition date.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Management</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Our Manager actively manages and monitors our portfolios of assets on an ongoing basis, and in some cases engages third parties to assist with the management of those assets. Invoices from each of our customers are typically issued and collected on a monthly basis. Our Manager frequently reviews the status of all of our assets, and in the case that any are returning from lease or undergoing repair, outlines our options, which may include the re-lease or sale of that asset. In the case of operating infrastructure, our Manager plays a central role in developing and executing operational, finance and business development strategies. On a periodic basis, our Manager discusses the status of our acquired assets with our board of directors.</w:t>
      </w:r>
    </w:p>
    <w:p>
      <w:pPr>
        <w:spacing w:after="0" w:line="9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and our Manager maintain relationships with operators worldwide and, through these relationships, hold direct conversations as to leasing needs and opportunities. Where helpful, we reach out to third parties who assist in leasing our assets. As an example, we often partner with MRO facilities in the aviation sector to lease these engines and support airlines’ fleet management needs.</w:t>
      </w:r>
    </w:p>
    <w:p>
      <w:pPr>
        <w:spacing w:after="0" w:line="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While we expect to hold our assets for extended periods of time, we and our Manager continually review our assets to assess whether we should sell or otherwise monetize them. Aspects that will factor into this process include relevant market conditions, the asset’s age, lease profile, relative concentration or remaining expected useful life.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Credit Process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and our Manager monitor the credit quality of our various lessees on an ongoing basis. This monitoring includes interacting with our customers regularly to monitor collections, review period financial statements and 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w:t>
      </w:r>
    </w:p>
    <w:p>
      <w:pPr>
        <w:spacing w:after="0" w:line="9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are subject to concentrations of credit risk with respect to amounts due from customers on our direct finance leases and operating leases. We attempt to limit credit risk by performing ongoing credit evaluations. See “-Customers.”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Customers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customers consist of global operators of transportation and infrastructure networks, including airlines, offshore energy service providers and major shipping lines.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transportation and infrastructure sector. Given our limited operating history, a substantial portion of our revenue has historically been derived from a small number of customers. For each of the years ended December 31, 2017 and 2016, we earned approximately 10% of our revenue from our largest customers. We derive a significant percentage of our revenue within specific sectors from a limited number of customers. However, we do not think that we are dependent upon any particular customer, or that the loss of one or more of them would have a material adverse effect on our business or the relevant segment, because of our ability to release assets at similar terms following the loss of any such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Competition</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business of acquiring, managing and marketing transportation and transportation-related infrastructure assets is highly competitive. Market competition for acquisition opportunities includes traditional transportation and infrastructure companies, commercial and investment banks, as well as a growing number of non-traditional participants, such as hedge funds, private equity funds, and other private investors.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693" w:right="239" w:bottom="1440" w:gutter="0" w:footer="0" w:header="0"/>
        </w:sectPr>
      </w:pPr>
    </w:p>
    <w:bookmarkStart w:id="11" w:name="page12"/>
    <w:bookmarkEnd w:id="11"/>
    <w:p>
      <w:pPr>
        <w:jc w:val="both"/>
        <w:ind w:firstLine="486"/>
        <w:spacing w:after="0" w:line="251" w:lineRule="auto"/>
        <w:rPr>
          <w:sz w:val="20"/>
          <w:szCs w:val="20"/>
          <w:color w:val="auto"/>
        </w:rPr>
      </w:pPr>
      <w:r>
        <w:rPr>
          <w:rFonts w:ascii="Arial" w:cs="Arial" w:eastAsia="Arial" w:hAnsi="Arial"/>
          <w:sz w:val="16"/>
          <w:szCs w:val="16"/>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aircraft spare parts distributors, offshore services providers, maritime equipment lessors, shipping container lessors, container shipping lines, and other transportation and infrastructure equipment lessors and operators.</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transportation and the transportation-related infrastructure industry and our access to capital, in addition to our focus on diverse asset classes and customers, provides a competitive advantage versus competitors that maintain a single sector focus.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Environmental Regulations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Employees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Manager provides a management team and other professionals who are responsible for implementing our business strategy and performing certain services for us, subject to oversight by our board of directors, and as a result, we have no employees other than 30 individuals employed by Jefferson, 133 individuals employed by CMQR, of which 93 CMQR employees are covered under a collective bargaining agreement, one individual employed by the Offshore Energy segment, six individuals employed by Repauno and eight employees employed by Long Ridge. From time to time, certain of our officers may enter into written agreements with us that memorialize the provision of certain services; these agreements do not provide for the payment of any cash compensation to such officers from us. The employees of our Manager are not a party to any collective bargaining agreement. In addition, our Manager expects to utilize third party contractors to perform services and functions related to the operation and leasing of our assets such as aircraft, jet engines and shipping containers. These functions may include billing, collections, recovery and asset monitoring.</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Insurance</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leases generally require that our customers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Conflicts of Interest</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9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In addition, we do not have a policy that expressly prohibits our directors, officers, security holders or affiliates from engaging in business activities of the types conducted by us for their own account. However, our code of business conduct and ethics prohibits, subject to the terms of our organizational documents, the directors, officers and employees of our Manager from engaging in any transaction that involves an actual conflict of interest with us. In other words, this means that our Manager and its members, managers, officers and employees may pursue acquisition opportunities in transportation and transportation-related infrastructure assets, and that we may acquire or dispose of transportation or transportation-related infrastructure assets in which such persons have a personal interest, subject to pre-approval by the independent members of our board of directors in certain circumstances. In the event of a violation of this code of business of conduct and ethics that does not constitute bad faith, willful misconduct, gross negligence or reckless disregard of our Manager’s duties, neither or Manager nor its members, managers, officers or employees will be liable to us. See “Risk Factors-Risks Related to Our Manager-There are conflicts of interest in our relationship with our Manager.”</w:t>
      </w:r>
    </w:p>
    <w:p>
      <w:pPr>
        <w:spacing w:after="0" w:line="9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key agreements, including our Management Agreement, the Partnership Agreement, and our operating agreement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709" w:right="239" w:bottom="1440" w:gutter="0" w:footer="0" w:header="0"/>
        </w:sectPr>
      </w:pPr>
    </w:p>
    <w:bookmarkStart w:id="12" w:name="page13"/>
    <w:bookmarkEnd w:id="12"/>
    <w:p>
      <w:pPr>
        <w:jc w:val="both"/>
        <w:ind w:firstLine="486"/>
        <w:spacing w:after="0" w:line="249" w:lineRule="auto"/>
        <w:rPr>
          <w:sz w:val="20"/>
          <w:szCs w:val="20"/>
          <w:color w:val="auto"/>
        </w:rPr>
      </w:pPr>
      <w:r>
        <w:rPr>
          <w:rFonts w:ascii="Arial" w:cs="Arial" w:eastAsia="Arial" w:hAnsi="Arial"/>
          <w:sz w:val="16"/>
          <w:szCs w:val="16"/>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w:t>
      </w:r>
    </w:p>
    <w:p>
      <w:pPr>
        <w:spacing w:after="0" w:line="9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transportation and infrastructure-related assets.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Geographic Information</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Please refer to Note 14 of our consolidated financial statements included in Item 8 in this Annual Report on Form 10-K for a report, by geographic area for each segment, of revenues from our external customers, for the years ended December 31, 2017 and 2016, as well as a report, by geographic area for each segment, of our total property, plant and equipment and equipment held for lease as of December 31, 2017 and 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Where Readers Can Find Additional Information</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Fortress Transportation and Infrastructure Investors LLC is a Delaware limited liability company. Our principal executive offices are located at 1345 Avenue of the Americas, New York, New York 10105. Fortress Transportation and Infrastructure Investors LLC files annual, quarterly and current reports, proxy statements and other information required by the Exchange Act, with the SEC. Readers may read and copy any document that Fortress files at the SEC’s Public Reference Room located at 100 F Street, N.E., Washington, D.C. 20549, U.S.A. Please call the SEC at 1-800-SEC-0330 for further information on the Public Reference Room. Our SEC filings are also available to the public from the SEC’s internet site at http://www.sec.gov.</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Internet site is http://www.ftandi.com.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Center - Corporate Governance’’ section are charters for the company’s Audit Committee, Compensation Committee, Nominating Committee, as well as our Corporate Governance Guidelines, Code of Ethics for our officers, and our Code of Business Conduct and Ethics governing our directors, officers and employees. Information on, or accessible through, our website is not a part of, and is not incorporated into, this report.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1A. Risk Factors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Risks Related to Our Business</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since 2015 has resulted in lower offshore exploration and production budgets worldwide, with industry experts predicting that offshore exploration and production spending will decrease by approximately 5% in 2018, as compared to 2017.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709" w:right="239" w:bottom="1440" w:gutter="0" w:footer="0" w:header="0"/>
        </w:sectPr>
      </w:pPr>
    </w:p>
    <w:bookmarkStart w:id="13" w:name="page14"/>
    <w:bookmarkEnd w:id="13"/>
    <w:p>
      <w:pPr>
        <w:jc w:val="both"/>
        <w:ind w:firstLine="486"/>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68"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84"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93" w:lineRule="exact"/>
        <w:rPr>
          <w:sz w:val="20"/>
          <w:szCs w:val="20"/>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railroad infrastructure may be damaged, including by flooding and railroad derailments;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493" w:right="239" w:bottom="1440" w:gutter="0" w:footer="0" w:header="0"/>
        </w:sectPr>
      </w:pPr>
    </w:p>
    <w:bookmarkStart w:id="14" w:name="page15"/>
    <w:bookmarkEnd w:id="14"/>
    <w:p>
      <w:pPr>
        <w:jc w:val="both"/>
        <w:ind w:firstLine="486"/>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100"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9"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4"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493" w:right="2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6"/>
          <w:szCs w:val="16"/>
          <w:color w:val="auto"/>
        </w:rPr>
        <w:t>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7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China and Malaysia, it may become more difficult and expensive to enforce our rights and recover our assets.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values of the assets that we purchase may fluctuate due to various factors.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100"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93" w:right="2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6"/>
          <w:szCs w:val="16"/>
          <w:color w:val="auto"/>
        </w:rPr>
        <w:t>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8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274"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10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1"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93" w:right="239" w:bottom="1440" w:gutter="0" w:footer="0" w:header="0"/>
        </w:sectPr>
      </w:pPr>
    </w:p>
    <w:bookmarkStart w:id="17" w:name="page18"/>
    <w:bookmarkEnd w:id="17"/>
    <w:p>
      <w:pPr>
        <w:jc w:val="both"/>
        <w:spacing w:after="0" w:line="260" w:lineRule="auto"/>
        <w:rPr>
          <w:sz w:val="20"/>
          <w:szCs w:val="20"/>
          <w:color w:val="auto"/>
        </w:rPr>
      </w:pPr>
      <w:r>
        <w:rPr>
          <w:rFonts w:ascii="Arial" w:cs="Arial" w:eastAsia="Arial" w:hAnsi="Arial"/>
          <w:sz w:val="16"/>
          <w:szCs w:val="16"/>
          <w:color w:val="auto"/>
        </w:rPr>
        <w:t>and more recently in West Virginia and Illinois, have raised concerns about the environmental and safety risks associated with crude oil transport by rail and the associated risks arising from railcar design.</w:t>
      </w:r>
    </w:p>
    <w:p>
      <w:pPr>
        <w:spacing w:after="0" w:line="8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28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6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493" w:right="239" w:bottom="1440" w:gutter="0" w:footer="0" w:header="0"/>
        </w:sectPr>
      </w:pPr>
    </w:p>
    <w:bookmarkStart w:id="18" w:name="page19"/>
    <w:bookmarkEnd w:id="18"/>
    <w:p>
      <w:pPr>
        <w:jc w:val="both"/>
        <w:ind w:right="20" w:firstLine="486"/>
        <w:spacing w:after="0" w:line="286"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December 31, 2017 and we do not anticipate any expenditures relating to environmental clean-up (including impacts to the Chaudière River) as a result of the Incident.</w:t>
      </w:r>
    </w:p>
    <w:p>
      <w:pPr>
        <w:spacing w:after="0" w:line="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Our Shipping Containers segment is affected by the lack of an international title registry for containers, which increases the risk of ownership disputes.</w:t>
      </w:r>
    </w:p>
    <w:p>
      <w:pPr>
        <w:spacing w:after="0" w:line="6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8" w:lineRule="exact"/>
        <w:rPr>
          <w:sz w:val="20"/>
          <w:szCs w:val="20"/>
          <w:color w:val="auto"/>
        </w:rPr>
      </w:pPr>
    </w:p>
    <w:p>
      <w:pPr>
        <w:ind w:left="1060" w:hanging="620"/>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73" w:right="239" w:bottom="1440" w:gutter="0" w:footer="0" w:header="0"/>
        </w:sectPr>
      </w:pPr>
    </w:p>
    <w:bookmarkStart w:id="19" w:name="page20"/>
    <w:bookmarkEnd w:id="19"/>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113" w:lineRule="exact"/>
        <w:rPr>
          <w:rFonts w:ascii="Arial" w:cs="Arial" w:eastAsia="Arial" w:hAnsi="Arial"/>
          <w:sz w:val="16"/>
          <w:szCs w:val="16"/>
          <w:color w:val="auto"/>
        </w:rPr>
      </w:pPr>
    </w:p>
    <w:p>
      <w:pPr>
        <w:ind w:left="1300" w:hanging="887"/>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113" w:lineRule="exact"/>
        <w:rPr>
          <w:rFonts w:ascii="Arial" w:cs="Arial" w:eastAsia="Arial" w:hAnsi="Arial"/>
          <w:sz w:val="16"/>
          <w:szCs w:val="16"/>
          <w:color w:val="auto"/>
        </w:rPr>
      </w:pPr>
    </w:p>
    <w:p>
      <w:pPr>
        <w:ind w:left="1060" w:hanging="620"/>
        <w:spacing w:after="0"/>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97"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6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492" w:right="239" w:bottom="1440" w:gutter="0" w:footer="0" w:header="0"/>
        </w:sectPr>
      </w:pPr>
    </w:p>
    <w:bookmarkStart w:id="20" w:name="page21"/>
    <w:bookmarkEnd w:id="20"/>
    <w:p>
      <w:pPr>
        <w:jc w:val="both"/>
        <w:spacing w:after="0" w:line="249" w:lineRule="auto"/>
        <w:rPr>
          <w:sz w:val="20"/>
          <w:szCs w:val="20"/>
          <w:color w:val="auto"/>
        </w:rPr>
      </w:pPr>
      <w:r>
        <w:rPr>
          <w:rFonts w:ascii="Arial" w:cs="Arial" w:eastAsia="Arial" w:hAnsi="Arial"/>
          <w:sz w:val="16"/>
          <w:szCs w:val="16"/>
          <w:color w:val="auto"/>
        </w:rPr>
        <w:t>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7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95" w:lineRule="exact"/>
        <w:rPr>
          <w:sz w:val="20"/>
          <w:szCs w:val="20"/>
          <w:color w:val="auto"/>
        </w:rPr>
      </w:pPr>
    </w:p>
    <w:p>
      <w:pPr>
        <w:ind w:left="880" w:hanging="359"/>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113" w:lineRule="exact"/>
        <w:rPr>
          <w:rFonts w:ascii="Arial" w:cs="Arial" w:eastAsia="Arial" w:hAnsi="Arial"/>
          <w:sz w:val="16"/>
          <w:szCs w:val="16"/>
          <w:color w:val="auto"/>
        </w:rPr>
      </w:pPr>
    </w:p>
    <w:p>
      <w:pPr>
        <w:ind w:left="880" w:hanging="359"/>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113" w:lineRule="exact"/>
        <w:rPr>
          <w:rFonts w:ascii="Arial" w:cs="Arial" w:eastAsia="Arial" w:hAnsi="Arial"/>
          <w:sz w:val="16"/>
          <w:szCs w:val="16"/>
          <w:color w:val="auto"/>
        </w:rPr>
      </w:pPr>
    </w:p>
    <w:p>
      <w:pPr>
        <w:ind w:left="880" w:hanging="359"/>
        <w:spacing w:after="0" w:line="260"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87" w:lineRule="exact"/>
        <w:rPr>
          <w:rFonts w:ascii="Arial" w:cs="Arial" w:eastAsia="Arial" w:hAnsi="Arial"/>
          <w:sz w:val="16"/>
          <w:szCs w:val="16"/>
          <w:color w:val="auto"/>
        </w:rPr>
      </w:pPr>
    </w:p>
    <w:p>
      <w:pPr>
        <w:ind w:left="880" w:hanging="359"/>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113" w:lineRule="exact"/>
        <w:rPr>
          <w:rFonts w:ascii="Arial" w:cs="Arial" w:eastAsia="Arial" w:hAnsi="Arial"/>
          <w:sz w:val="16"/>
          <w:szCs w:val="16"/>
          <w:color w:val="auto"/>
        </w:rPr>
      </w:pPr>
    </w:p>
    <w:p>
      <w:pPr>
        <w:ind w:left="880" w:hanging="359"/>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113" w:lineRule="exact"/>
        <w:rPr>
          <w:rFonts w:ascii="Arial" w:cs="Arial" w:eastAsia="Arial" w:hAnsi="Arial"/>
          <w:sz w:val="16"/>
          <w:szCs w:val="16"/>
          <w:color w:val="auto"/>
        </w:rPr>
      </w:pPr>
    </w:p>
    <w:p>
      <w:pPr>
        <w:ind w:left="880" w:hanging="359"/>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113" w:lineRule="exact"/>
        <w:rPr>
          <w:rFonts w:ascii="Arial" w:cs="Arial" w:eastAsia="Arial" w:hAnsi="Arial"/>
          <w:sz w:val="16"/>
          <w:szCs w:val="16"/>
          <w:color w:val="auto"/>
        </w:rPr>
      </w:pPr>
    </w:p>
    <w:p>
      <w:pPr>
        <w:ind w:left="880" w:hanging="359"/>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113" w:lineRule="exact"/>
        <w:rPr>
          <w:rFonts w:ascii="Arial" w:cs="Arial" w:eastAsia="Arial" w:hAnsi="Arial"/>
          <w:sz w:val="16"/>
          <w:szCs w:val="16"/>
          <w:color w:val="auto"/>
        </w:rPr>
      </w:pPr>
    </w:p>
    <w:p>
      <w:pPr>
        <w:jc w:val="both"/>
        <w:ind w:left="880" w:hanging="359"/>
        <w:spacing w:after="0" w:line="25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93" w:lineRule="exact"/>
        <w:rPr>
          <w:rFonts w:ascii="Arial" w:cs="Arial" w:eastAsia="Arial" w:hAnsi="Arial"/>
          <w:sz w:val="16"/>
          <w:szCs w:val="16"/>
          <w:color w:val="auto"/>
        </w:rPr>
      </w:pPr>
    </w:p>
    <w:p>
      <w:pPr>
        <w:ind w:left="880" w:hanging="359"/>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113" w:lineRule="exact"/>
        <w:rPr>
          <w:rFonts w:ascii="Arial" w:cs="Arial" w:eastAsia="Arial" w:hAnsi="Arial"/>
          <w:sz w:val="16"/>
          <w:szCs w:val="16"/>
          <w:color w:val="auto"/>
        </w:rPr>
      </w:pPr>
    </w:p>
    <w:p>
      <w:pPr>
        <w:ind w:left="880" w:right="20" w:hanging="359"/>
        <w:spacing w:after="0" w:line="260"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87" w:lineRule="exact"/>
        <w:rPr>
          <w:rFonts w:ascii="Arial" w:cs="Arial" w:eastAsia="Arial" w:hAnsi="Arial"/>
          <w:sz w:val="16"/>
          <w:szCs w:val="16"/>
          <w:color w:val="auto"/>
        </w:rPr>
      </w:pPr>
    </w:p>
    <w:p>
      <w:pPr>
        <w:ind w:left="880" w:hanging="359"/>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113" w:lineRule="exact"/>
        <w:rPr>
          <w:rFonts w:ascii="Arial" w:cs="Arial" w:eastAsia="Arial" w:hAnsi="Arial"/>
          <w:sz w:val="16"/>
          <w:szCs w:val="16"/>
          <w:color w:val="auto"/>
        </w:rPr>
      </w:pPr>
    </w:p>
    <w:p>
      <w:pPr>
        <w:ind w:left="880" w:hanging="359"/>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113" w:lineRule="exact"/>
        <w:rPr>
          <w:rFonts w:ascii="Arial" w:cs="Arial" w:eastAsia="Arial" w:hAnsi="Arial"/>
          <w:sz w:val="16"/>
          <w:szCs w:val="16"/>
          <w:color w:val="auto"/>
        </w:rPr>
      </w:pPr>
    </w:p>
    <w:p>
      <w:pPr>
        <w:ind w:left="880" w:hanging="359"/>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ind w:right="520" w:firstLine="486"/>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agreements governing our indebtedness, including the indenture governing our Senior Notes, contain covenants that place restrictions on us and our subsidiaries. The indenture governing our Senior Notes restricts, among other things, our and certain of our subsidiaries’ ability to:</w:t>
      </w:r>
    </w:p>
    <w:p>
      <w:pPr>
        <w:spacing w:after="0" w:line="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93" w:right="239" w:bottom="1440" w:gutter="0" w:footer="0" w:header="0"/>
        </w:sectPr>
      </w:pPr>
    </w:p>
    <w:bookmarkStart w:id="21" w:name="page22"/>
    <w:bookmarkEnd w:id="21"/>
    <w:p>
      <w:pPr>
        <w:jc w:val="both"/>
        <w:ind w:firstLine="648"/>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Because we are a recently formed company with a limited operating history, our historical financial and operating data may not be representative of our future results.</w:t>
      </w:r>
    </w:p>
    <w:p>
      <w:pPr>
        <w:spacing w:after="0" w:line="6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8" w:lineRule="exact"/>
        <w:rPr>
          <w:sz w:val="20"/>
          <w:szCs w:val="20"/>
          <w:color w:val="auto"/>
        </w:rPr>
      </w:pPr>
    </w:p>
    <w:p>
      <w:pPr>
        <w:ind w:left="1060" w:hanging="647"/>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493" w:right="239" w:bottom="1440" w:gutter="0" w:footer="0" w:header="0"/>
        </w:sectPr>
      </w:pPr>
    </w:p>
    <w:bookmarkStart w:id="22" w:name="page23"/>
    <w:bookmarkEnd w:id="22"/>
    <w:p>
      <w:pPr>
        <w:ind w:left="500"/>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241" w:lineRule="exact"/>
        <w:rPr>
          <w:sz w:val="20"/>
          <w:szCs w:val="20"/>
          <w:color w:val="auto"/>
        </w:rPr>
      </w:pPr>
    </w:p>
    <w:p>
      <w:pPr>
        <w:ind w:right="80" w:firstLine="486"/>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100"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or monitoring obligations, or indemnity obligations and the related insurance, which are subject to limits and conditions, fail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472" w:right="239" w:bottom="1440" w:gutter="0" w:footer="0" w:header="0"/>
        </w:sectPr>
      </w:pPr>
    </w:p>
    <w:bookmarkStart w:id="23" w:name="page24"/>
    <w:bookmarkEnd w:id="23"/>
    <w:p>
      <w:pPr>
        <w:ind w:right="40" w:firstLine="648"/>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0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497F"/>
        </w:rPr>
        <w:t>Risks Related to Our Manager</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176"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20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ind w:right="440" w:firstLine="486"/>
        <w:spacing w:after="0" w:line="260"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will operate within SoftBank as an independent business headquartered in New York. While Fortress’s senior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93" w:right="239" w:bottom="1440" w:gutter="0" w:footer="0" w:header="0"/>
        </w:sectPr>
      </w:pPr>
    </w:p>
    <w:bookmarkStart w:id="24" w:name="page25"/>
    <w:bookmarkEnd w:id="24"/>
    <w:p>
      <w:pPr>
        <w:jc w:val="both"/>
        <w:ind w:right="20"/>
        <w:spacing w:after="0" w:line="260" w:lineRule="auto"/>
        <w:rPr>
          <w:sz w:val="20"/>
          <w:szCs w:val="20"/>
          <w:color w:val="auto"/>
        </w:rPr>
      </w:pPr>
      <w:r>
        <w:rPr>
          <w:rFonts w:ascii="Arial" w:cs="Arial" w:eastAsia="Arial" w:hAnsi="Arial"/>
          <w:sz w:val="16"/>
          <w:szCs w:val="16"/>
          <w:color w:val="auto"/>
        </w:rPr>
        <w:t>investment professionals are expected to remain in place, including those individuals who perform services for us, there can be no assurance that the SoftBank Merger will not have an impact on us or our relationship with the Manager.</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and Trac Intermodal. Although we have the same Manager, we may compete with entities affiliated with our Manager or Fortress, including Seacastle Ships Holdings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10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8"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384" w:right="239" w:bottom="1440" w:gutter="0" w:footer="0" w:header="0"/>
        </w:sectPr>
      </w:pPr>
    </w:p>
    <w:bookmarkStart w:id="25" w:name="page26"/>
    <w:bookmarkEnd w:id="25"/>
    <w:p>
      <w:pPr>
        <w:jc w:val="both"/>
        <w:ind w:firstLine="486"/>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4"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6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497F"/>
        </w:rPr>
        <w:t>Risks Related to Taxation</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473" w:right="239" w:bottom="1440" w:gutter="0" w:footer="0" w:header="0"/>
        </w:sectPr>
      </w:pPr>
    </w:p>
    <w:bookmarkStart w:id="26" w:name="page27"/>
    <w:bookmarkEnd w:id="26"/>
    <w:p>
      <w:pPr>
        <w:jc w:val="both"/>
        <w:spacing w:after="0" w:line="260" w:lineRule="auto"/>
        <w:rPr>
          <w:sz w:val="20"/>
          <w:szCs w:val="20"/>
          <w:color w:val="auto"/>
        </w:rPr>
      </w:pPr>
      <w:r>
        <w:rPr>
          <w:rFonts w:ascii="Arial" w:cs="Arial" w:eastAsia="Arial" w:hAnsi="Arial"/>
          <w:sz w:val="16"/>
          <w:szCs w:val="16"/>
          <w:color w:val="auto"/>
        </w:rPr>
        <w:t>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New U.S. tax legislation could adversely affect us and our shareholders.</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is generally effective for taxable years beginning after December 31, 2017. The TCJA includes significant amendments to the Code, including amendments that significantly change the taxation of individuals and business entities, including the taxation of offshore earnings and the deductibility of interest. Some of the amendments could adversely affect our business and financial condition and the value of our common shares.</w:t>
      </w:r>
    </w:p>
    <w:p>
      <w:pPr>
        <w:spacing w:after="0" w:line="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Although we are currently evaluating the impact of the TCJA on our business, significant uncertainty exists with respect to how the TCJA will affect our business. Some of this uncertainty will not be resolved until clarifying Treasury regulations are promulgated or other relevant authoritative guidance is published.</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common shares.</w:t>
      </w:r>
    </w:p>
    <w:p>
      <w:pPr>
        <w:spacing w:after="0" w:line="93"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Non-U.S. Holders (defined below) could be subject to U.S. federal income tax, including a 10% withholding tax, on the disposition of our common shares.</w:t>
      </w:r>
    </w:p>
    <w:p>
      <w:pPr>
        <w:spacing w:after="0" w:line="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common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common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engaged in a U.S. trade or business, we are not required to manage our operations in a manner that is intended to avoid the conduct of a U.S. trade or business.</w:t>
      </w:r>
    </w:p>
    <w:p>
      <w:pPr>
        <w:spacing w:after="0" w:line="2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93" w:right="239" w:bottom="1440" w:gutter="0" w:footer="0" w:header="0"/>
        </w:sectPr>
      </w:pPr>
    </w:p>
    <w:bookmarkStart w:id="27" w:name="page28"/>
    <w:bookmarkEnd w:id="27"/>
    <w:p>
      <w:pPr>
        <w:ind w:left="500"/>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9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worldwide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such income. Dividends to shareholders would constitute qualified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common shares.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persons generally would be required to file U.S. federal income tax returns and would be subject to U.S. federal withholding tax on their allocable share of the effectively connected income on gain at the highest marginal U.S. federal income tax rates applicable to ordinary income. Non-U.S. persons that are corporations may also be subject to a branch profits tax on their allocable share of such income. Non-U.S. persons should anticipate being required to file U.S. tax returns and may be required to pay U.S. tax solely on account of owning our common shares.</w:t>
      </w:r>
    </w:p>
    <w:p>
      <w:pPr>
        <w:spacing w:after="0" w:line="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our common shares (or held, or were deemed to hold, more than 5% of our common shares) may be subject to U.S. federal income tax upon the disposition of some or all their common shares.</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If non-U.S. persons held more than 5% of our common shares at any time during the 5 year period preceding such non-U.S. person’s disposition of our common shares, and we were considered a USRPHC (determined as if we were a U.S. corporation) at any time during such 5 year period because of our current or previous ownership of U.S. real property interests above a certain threshold, such non-U.S. persons may be subject to U.S. tax on such disposition of our common shares (and may have a U.S. tax return filing obligation).</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common shares.</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(and we have incurred such indebtedness),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473" w:right="239" w:bottom="1440" w:gutter="0" w:footer="0" w:header="0"/>
        </w:sectPr>
      </w:pPr>
    </w:p>
    <w:bookmarkStart w:id="28" w:name="page29"/>
    <w:bookmarkEnd w:id="28"/>
    <w:p>
      <w:pPr>
        <w:jc w:val="both"/>
        <w:spacing w:after="0" w:line="260" w:lineRule="auto"/>
        <w:rPr>
          <w:sz w:val="20"/>
          <w:szCs w:val="20"/>
          <w:color w:val="auto"/>
        </w:rPr>
      </w:pPr>
      <w:r>
        <w:rPr>
          <w:rFonts w:ascii="Arial" w:cs="Arial" w:eastAsia="Arial" w:hAnsi="Arial"/>
          <w:sz w:val="16"/>
          <w:szCs w:val="16"/>
          <w:color w:val="auto"/>
        </w:rPr>
        <w:t>could make our common shares an unsuitable investment for a tax-exempt entity. Tax-exempt shareholders are urged to consult their tax advisors regarding the tax consequences of an investment in common shares.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PFIC or CFC for U.S. federal income tax purposes.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7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is also subject to potential legislative, judicial or administrative change and differing interpretations, possibly on a retroactive basis.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290"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93" w:right="239" w:bottom="1440" w:gutter="0" w:footer="0" w:header="0"/>
        </w:sectPr>
      </w:pPr>
    </w:p>
    <w:bookmarkStart w:id="29" w:name="page30"/>
    <w:bookmarkEnd w:id="29"/>
    <w:p>
      <w:pPr>
        <w:ind w:left="500"/>
        <w:spacing w:after="0"/>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and U.S. subsidiaries, which would adversely affect our business and result in decreased funds available for distribution to our shareholders.</w:t>
      </w:r>
    </w:p>
    <w:p>
      <w:pPr>
        <w:spacing w:after="0" w:line="11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81"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8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Recently enacted legislation regarding U.S. federal income tax liability arising from IRS audits could adversely affect our shareholders.</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prior rules, which generally provided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497F"/>
        </w:rPr>
        <w:t>Risks Related to Our Common Shares</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shares may be volatile, which could result in rapid and substantial losses for our shareholders.</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95" w:lineRule="exact"/>
        <w:rPr>
          <w:sz w:val="20"/>
          <w:szCs w:val="20"/>
          <w:color w:val="auto"/>
        </w:rPr>
      </w:pPr>
    </w:p>
    <w:p>
      <w:pPr>
        <w:ind w:left="1060" w:hanging="647"/>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73" w:right="239" w:bottom="1440" w:gutter="0" w:footer="0" w:header="0"/>
        </w:sectPr>
      </w:pPr>
    </w:p>
    <w:bookmarkStart w:id="30" w:name="page31"/>
    <w:bookmarkEnd w:id="30"/>
    <w:p>
      <w:pPr>
        <w:ind w:left="1060" w:hanging="647"/>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13" w:lineRule="exact"/>
        <w:rPr>
          <w:rFonts w:ascii="Arial" w:cs="Arial" w:eastAsia="Arial" w:hAnsi="Arial"/>
          <w:sz w:val="16"/>
          <w:szCs w:val="16"/>
          <w:color w:val="auto"/>
        </w:rPr>
      </w:pPr>
    </w:p>
    <w:p>
      <w:pPr>
        <w:ind w:left="1060" w:hanging="647"/>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7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Failure to maintain effective internal control over financial reporting in accordance with Section 404 of the Sarbanes-Oxley Act of 2002 could have a material adverse effect on our business and stock price.</w:t>
      </w:r>
    </w:p>
    <w:p>
      <w:pPr>
        <w:spacing w:after="0" w:line="176"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As a public company, we are required to maintain effective internal control over financial reporting in accordance with Section 404 of the Sarbanes-Oxley Act of 2002. Internal control over financial reporting is complex and may be revised over time to adapt to changes in our business, or changes in applicable accounting rules. We have made investments through joint ventures, such as our investment in consumer loans, and accounting for such investments can increase the complexity of maintaining effective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or our independent registered public accounting firm reports a material weakness in the effectiveness of our internal control over financial reporting. This could materially adversely affect us by, for example, leading to a decline in our share price and impairing our ability to raise capital.</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100" w:lineRule="exact"/>
        <w:rPr>
          <w:sz w:val="20"/>
          <w:szCs w:val="20"/>
          <w:color w:val="auto"/>
        </w:rPr>
      </w:pPr>
    </w:p>
    <w:p>
      <w:pPr>
        <w:jc w:val="both"/>
        <w:ind w:firstLine="543"/>
        <w:spacing w:after="0" w:line="248" w:lineRule="auto"/>
        <w:rPr>
          <w:sz w:val="20"/>
          <w:szCs w:val="20"/>
          <w:color w:val="auto"/>
        </w:rPr>
      </w:pPr>
      <w:r>
        <w:rPr>
          <w:rFonts w:ascii="Arial" w:cs="Arial" w:eastAsia="Arial" w:hAnsi="Arial"/>
          <w:sz w:val="16"/>
          <w:szCs w:val="16"/>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Sales or issuances of shares of our common shares could adversely affect the market price of our common shares.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4"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93" w:right="239" w:bottom="1440" w:gutter="0" w:footer="0" w:header="0"/>
        </w:sectPr>
      </w:pPr>
    </w:p>
    <w:bookmarkStart w:id="31" w:name="page32"/>
    <w:bookmarkEnd w:id="31"/>
    <w:p>
      <w:pPr>
        <w:jc w:val="both"/>
        <w:spacing w:after="0" w:line="248" w:lineRule="auto"/>
        <w:rPr>
          <w:sz w:val="20"/>
          <w:szCs w:val="20"/>
          <w:color w:val="auto"/>
        </w:rPr>
      </w:pPr>
      <w:r>
        <w:rPr>
          <w:rFonts w:ascii="Arial" w:cs="Arial" w:eastAsia="Arial" w:hAnsi="Arial"/>
          <w:sz w:val="16"/>
          <w:szCs w:val="16"/>
          <w:color w:val="auto"/>
        </w:rPr>
        <w:t>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93" w:right="239" w:bottom="1440" w:gutter="0" w:footer="0" w:header="0"/>
        </w:sectPr>
      </w:pPr>
    </w:p>
    <w:bookmarkStart w:id="32" w:name="page33"/>
    <w:bookmarkEnd w:id="32"/>
    <w:p>
      <w:pPr>
        <w:ind w:left="500"/>
        <w:spacing w:after="0"/>
        <w:rPr>
          <w:sz w:val="20"/>
          <w:szCs w:val="20"/>
          <w:color w:val="auto"/>
        </w:rPr>
      </w:pPr>
      <w:r>
        <w:rPr>
          <w:rFonts w:ascii="Arial" w:cs="Arial" w:eastAsia="Arial" w:hAnsi="Arial"/>
          <w:sz w:val="16"/>
          <w:szCs w:val="16"/>
          <w:b w:val="1"/>
          <w:bCs w:val="1"/>
          <w:i w:val="1"/>
          <w:iCs w:val="1"/>
          <w:color w:val="auto"/>
        </w:rPr>
        <w:t>As a public company, we incur costs and face increased demands on our management.</w:t>
      </w:r>
    </w:p>
    <w:p>
      <w:pPr>
        <w:spacing w:after="0" w:line="13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including certain provisions of the Sarbanes-Oxley Act, the Dodd-Frank Wall Street Reform and Consumer Protection Act, regulations of the SEC and requirements of the NYSE. These rules and regulations increase our legal and financial compliance costs and make some activities to our board of directors more time-consuming and costly. For example, as a result of becoming a public company, we have independent directors and board committees. In addition, we may incur additional costs associated with our public company reporting requirements and maintaining directors’ and officers’ liability insurance. Such additional costs may have a material adverse effect on our business, prospects, financial condition, results of operations and cash flows.</w:t>
      </w:r>
    </w:p>
    <w:p>
      <w:pPr>
        <w:spacing w:after="0" w:line="7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1B. Unresolved Staff Comments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no unresolved staff comments.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2. Properties</w:t>
      </w:r>
    </w:p>
    <w:p>
      <w:pPr>
        <w:spacing w:after="0" w:line="133"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6"/>
          <w:szCs w:val="16"/>
          <w:color w:val="auto"/>
        </w:rPr>
        <w:t>An affiliate of our Manager leases principal executive offices at 1345 Avenue of the Americas, New York, NY 10105. We also lease office space from an affiliate of our Manager in Florida, Ireland, and Dubai. Our Railroad operating segment owns approximately 480 miles of rail lines, related corridor, and railyards in Maine, Vermont, Quebec, Canada, as well as leases 56 miles of rail lines, approximately 8,500 square feet of office space and approximately 20 acres of railroad facilities in Maine. Our Jefferson Terminal operating segment leases approximately 200 acres of property for its terminal facilities and leases approximately 9,300 square feet of office space in Texas and 300 square feet in Canada. In 2016, we acquired Repauno, located in New Jersey, which includes over 1,600 acres of land, riparian rights, rail tracks and a 186,000 barrel underground storage cavern. We are redeveloping the asset to be a multi-purpose, multi-modal deepwater port. In 2017, we acquired Long Ridge, located in Ohio, which is a 1,660 acre multi-modal port. Our Offshore operating segment leases a small office in Singapore. We believe that our office facilities and properties are suitable and adequate for our business as it is contemplated to be conducted.</w:t>
      </w:r>
    </w:p>
    <w:p>
      <w:pPr>
        <w:spacing w:after="0" w:line="269"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00497F"/>
        </w:rPr>
        <w:t>Item 3.</w:t>
        <w:tab/>
        <w:t>Legal Proceedings</w:t>
      </w:r>
    </w:p>
    <w:p>
      <w:pPr>
        <w:spacing w:after="0" w:line="241"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183"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00497F"/>
        </w:rPr>
        <w:t>Item 4.</w:t>
        <w:tab/>
        <w:t>Mine Safety Disclosures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73" w:right="239" w:bottom="1440" w:gutter="0" w:footer="0" w:header="0"/>
        </w:sectPr>
      </w:pPr>
    </w:p>
    <w:bookmarkStart w:id="33" w:name="page34"/>
    <w:bookmarkEnd w:id="33"/>
    <w:p>
      <w:pPr>
        <w:ind w:left="5440"/>
        <w:spacing w:after="0"/>
        <w:rPr>
          <w:sz w:val="20"/>
          <w:szCs w:val="20"/>
          <w:color w:val="auto"/>
        </w:rPr>
      </w:pPr>
      <w:r>
        <w:rPr>
          <w:rFonts w:ascii="Arial" w:cs="Arial" w:eastAsia="Arial" w:hAnsi="Arial"/>
          <w:sz w:val="16"/>
          <w:szCs w:val="16"/>
          <w:b w:val="1"/>
          <w:bCs w:val="1"/>
          <w:color w:val="00497F"/>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5. Market for Registrant's Common Equity, Related Stockholder Matters and Issuer Purchases of Equity Securities</w:t>
      </w:r>
    </w:p>
    <w:p>
      <w:pPr>
        <w:spacing w:after="0" w:line="13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Our common shares began trading on the NYSE under the symbol “FTAI” on May 15, 2015, the date of the IPO. The following table sets forth, for the periods indicated during the years ended 2017 and 2016, the high and low sale price per common share as reported by the NYSE and the dividends per share we declared with respect to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Dividends</w:t>
            </w:r>
          </w:p>
        </w:tc>
        <w:tc>
          <w:tcPr>
            <w:tcW w:w="320" w:type="dxa"/>
            <w:vAlign w:val="bottom"/>
          </w:tcPr>
          <w:p>
            <w:pPr>
              <w:spacing w:after="0"/>
              <w:rPr>
                <w:sz w:val="14"/>
                <w:szCs w:val="14"/>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 xml:space="preserve">Declared </w:t>
            </w:r>
            <w:r>
              <w:rPr>
                <w:rFonts w:ascii="Arial" w:cs="Arial" w:eastAsia="Arial" w:hAnsi="Arial"/>
                <w:sz w:val="17"/>
                <w:szCs w:val="17"/>
                <w:b w:val="1"/>
                <w:bCs w:val="1"/>
                <w:color w:val="auto"/>
                <w:w w:val="98"/>
                <w:vertAlign w:val="superscript"/>
              </w:rPr>
              <w:t>(1)</w:t>
            </w: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28"/>
              <w:spacing w:after="0"/>
              <w:rPr>
                <w:sz w:val="20"/>
                <w:szCs w:val="20"/>
                <w:color w:val="auto"/>
              </w:rPr>
            </w:pPr>
            <w:r>
              <w:rPr>
                <w:rFonts w:ascii="Arial" w:cs="Arial" w:eastAsia="Arial" w:hAnsi="Arial"/>
                <w:sz w:val="14"/>
                <w:szCs w:val="14"/>
                <w:b w:val="1"/>
                <w:bCs w:val="1"/>
                <w:color w:val="auto"/>
              </w:rPr>
              <w:t xml:space="preserve">Declared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44"/>
        </w:trPr>
        <w:tc>
          <w:tcPr>
            <w:tcW w:w="2520" w:type="dxa"/>
            <w:vAlign w:val="bottom"/>
          </w:tcPr>
          <w:p>
            <w:pPr>
              <w:ind w:left="40"/>
              <w:spacing w:after="0"/>
              <w:rPr>
                <w:sz w:val="20"/>
                <w:szCs w:val="20"/>
                <w:color w:val="auto"/>
              </w:rPr>
            </w:pPr>
            <w:r>
              <w:rPr>
                <w:rFonts w:ascii="Arial" w:cs="Arial" w:eastAsia="Arial" w:hAnsi="Arial"/>
                <w:sz w:val="14"/>
                <w:szCs w:val="14"/>
                <w:color w:val="auto"/>
              </w:rPr>
              <w:t>First Quarter</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15.91</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13.31</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0.33</w:t>
            </w:r>
          </w:p>
        </w:tc>
        <w:tc>
          <w:tcPr>
            <w:tcW w:w="220" w:type="dxa"/>
            <w:vAlign w:val="bottom"/>
          </w:tcPr>
          <w:p>
            <w:pPr>
              <w:spacing w:after="0"/>
              <w:rPr>
                <w:sz w:val="21"/>
                <w:szCs w:val="21"/>
                <w:color w:val="auto"/>
              </w:rPr>
            </w:pPr>
          </w:p>
        </w:tc>
        <w:tc>
          <w:tcPr>
            <w:tcW w:w="3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Second Quarter</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58"/>
        </w:trPr>
        <w:tc>
          <w:tcPr>
            <w:tcW w:w="2520" w:type="dxa"/>
            <w:vAlign w:val="bottom"/>
          </w:tcPr>
          <w:p>
            <w:pPr>
              <w:ind w:left="40"/>
              <w:spacing w:after="0"/>
              <w:rPr>
                <w:sz w:val="20"/>
                <w:szCs w:val="20"/>
                <w:color w:val="auto"/>
              </w:rPr>
            </w:pPr>
            <w:r>
              <w:rPr>
                <w:rFonts w:ascii="Arial" w:cs="Arial" w:eastAsia="Arial" w:hAnsi="Arial"/>
                <w:sz w:val="14"/>
                <w:szCs w:val="14"/>
                <w:color w:val="auto"/>
              </w:rPr>
              <w:t>Third Quarter</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18.41</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15.61</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22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70"/>
        </w:trPr>
        <w:tc>
          <w:tcPr>
            <w:tcW w:w="2520" w:type="dxa"/>
            <w:vAlign w:val="bottom"/>
          </w:tcPr>
          <w:p>
            <w:pPr>
              <w:ind w:left="40"/>
              <w:spacing w:after="0"/>
              <w:rPr>
                <w:sz w:val="20"/>
                <w:szCs w:val="20"/>
                <w:color w:val="auto"/>
              </w:rPr>
            </w:pPr>
            <w:r>
              <w:rPr>
                <w:rFonts w:ascii="Arial" w:cs="Arial" w:eastAsia="Arial" w:hAnsi="Arial"/>
                <w:sz w:val="14"/>
                <w:szCs w:val="14"/>
                <w:color w:val="auto"/>
              </w:rPr>
              <w:t>Fourth Quarter</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17.42</w:t>
            </w:r>
          </w:p>
        </w:tc>
        <w:tc>
          <w:tcPr>
            <w:tcW w:w="120" w:type="dxa"/>
            <w:vAlign w:val="bottom"/>
          </w:tcPr>
          <w:p>
            <w:pPr>
              <w:spacing w:after="0"/>
              <w:rPr>
                <w:sz w:val="23"/>
                <w:szCs w:val="23"/>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220" w:type="dxa"/>
            <w:vAlign w:val="bottom"/>
          </w:tcPr>
          <w:p>
            <w:pPr>
              <w:spacing w:after="0"/>
              <w:rPr>
                <w:sz w:val="23"/>
                <w:szCs w:val="23"/>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23"/>
                <w:szCs w:val="23"/>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176" w:lineRule="exact"/>
        <w:rPr>
          <w:sz w:val="20"/>
          <w:szCs w:val="20"/>
          <w:color w:val="auto"/>
        </w:rPr>
      </w:pPr>
    </w:p>
    <w:p>
      <w:pPr>
        <w:ind w:left="260" w:right="800" w:hanging="252"/>
        <w:spacing w:after="0" w:line="235" w:lineRule="auto"/>
        <w:tabs>
          <w:tab w:leader="none" w:pos="179"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Represents amounts our board of directors declared as dividends based on earnings and liquidity with respect to the specified periods. The actual declaration dates occurred in the following quarter.</w:t>
      </w:r>
    </w:p>
    <w:p>
      <w:pPr>
        <w:spacing w:after="0" w:line="10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Although we currently intend to continue to pay regular quarterly dividends to holders of our common shares, we may change our dividend policy at any time and no assurances can be given that any future dividends will be paid or, if paid, as to the amounts or timing.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w:t>
      </w:r>
    </w:p>
    <w:p>
      <w:pPr>
        <w:spacing w:after="0" w:line="9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On February 27, 2018, our Board of Directors declared a cash dividend on our common shares of $0.33 per share for the quarter ended December 31, 2017, payable on March 20, 2018 to the holders of record on March 10, 2018.</w:t>
      </w:r>
    </w:p>
    <w:p>
      <w:pPr>
        <w:spacing w:after="0" w:line="88"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On December 29, 2017, the closing sale price for our common shares, as reported on the NYSE, was $19.93. As of February 28, 2018, there were approximately eight record holders of our common shares. This figure does not reflect the beneficial ownership of shares held in nominee name.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Nonqualified Stock Option and Incentive Award Plan</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 2015, in connection with the IPO,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 As of December 31, 2017, the Incentive Plan provides for the issuance of up to 30,000,000 shares.</w:t>
      </w:r>
    </w:p>
    <w:p>
      <w:pPr>
        <w:spacing w:after="0" w:line="95"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The following table summarizes the total number of outstanding securities in the Plan and the number of securities remaining for future issuance, as well as the weighted average strike price of all outstanding securities as of December 31,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Equity Compensation Plan Information</w:t>
            </w:r>
          </w:p>
        </w:tc>
        <w:tc>
          <w:tcPr>
            <w:tcW w:w="2960" w:type="dxa"/>
            <w:vAlign w:val="bottom"/>
            <w:tcBorders>
              <w:bottom w:val="single" w:sz="8" w:color="auto"/>
            </w:tcBorders>
          </w:tcPr>
          <w:p>
            <w:pPr>
              <w:spacing w:after="0"/>
              <w:rPr>
                <w:sz w:val="17"/>
                <w:szCs w:val="17"/>
                <w:color w:val="auto"/>
              </w:rPr>
            </w:pPr>
          </w:p>
        </w:tc>
      </w:tr>
      <w:tr>
        <w:trPr>
          <w:trHeight w:val="175"/>
        </w:trPr>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 issued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Weighted-average exercise price of</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 available</w:t>
            </w: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upon exercise of outstanding options,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2"/>
          </w:tcPr>
          <w:p>
            <w:pPr>
              <w:ind w:left="40"/>
              <w:spacing w:after="0"/>
              <w:rPr>
                <w:sz w:val="20"/>
                <w:szCs w:val="20"/>
                <w:color w:val="auto"/>
              </w:rPr>
            </w:pPr>
            <w:r>
              <w:rPr>
                <w:rFonts w:ascii="Arial" w:cs="Arial" w:eastAsia="Arial" w:hAnsi="Arial"/>
                <w:sz w:val="14"/>
                <w:szCs w:val="14"/>
                <w:b w:val="1"/>
                <w:bCs w:val="1"/>
                <w:color w:val="auto"/>
              </w:rPr>
              <w:t>outstanding options, warrants, and</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for future issuance under equity</w:t>
            </w:r>
          </w:p>
        </w:tc>
      </w:tr>
      <w:tr>
        <w:trPr>
          <w:trHeight w:val="20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Borders>
              <w:bottom w:val="single" w:sz="8" w:color="CCEEFF"/>
            </w:tcBorders>
          </w:tcPr>
          <w:p>
            <w:pPr>
              <w:spacing w:after="0"/>
              <w:rPr>
                <w:sz w:val="17"/>
                <w:szCs w:val="17"/>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rights</w:t>
            </w:r>
          </w:p>
        </w:tc>
        <w:tc>
          <w:tcPr>
            <w:tcW w:w="100" w:type="dxa"/>
            <w:vAlign w:val="bottom"/>
            <w:tcBorders>
              <w:bottom w:val="single" w:sz="8" w:color="CCEEFF"/>
            </w:tcBorders>
          </w:tcPr>
          <w:p>
            <w:pPr>
              <w:spacing w:after="0"/>
              <w:rPr>
                <w:sz w:val="17"/>
                <w:szCs w:val="17"/>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compensation plans </w:t>
            </w:r>
            <w:r>
              <w:rPr>
                <w:rFonts w:ascii="Arial" w:cs="Arial" w:eastAsia="Arial" w:hAnsi="Arial"/>
                <w:sz w:val="17"/>
                <w:szCs w:val="17"/>
                <w:b w:val="1"/>
                <w:bCs w:val="1"/>
                <w:color w:val="auto"/>
                <w:vertAlign w:val="superscript"/>
              </w:rPr>
              <w:t>(1)</w:t>
            </w:r>
          </w:p>
        </w:tc>
      </w:tr>
      <w:tr>
        <w:trPr>
          <w:trHeight w:val="18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compensation plans approved by</w:t>
            </w:r>
          </w:p>
        </w:tc>
        <w:tc>
          <w:tcPr>
            <w:tcW w:w="2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r>
      <w:tr>
        <w:trPr>
          <w:trHeight w:val="184"/>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security holders</w:t>
            </w:r>
          </w:p>
        </w:tc>
        <w:tc>
          <w:tcPr>
            <w:tcW w:w="2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16"/>
                <w:szCs w:val="16"/>
                <w:color w:val="auto"/>
              </w:rPr>
            </w:pPr>
          </w:p>
        </w:tc>
        <w:tc>
          <w:tcPr>
            <w:tcW w:w="2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29,985,000</w:t>
            </w:r>
          </w:p>
        </w:tc>
      </w:tr>
      <w:tr>
        <w:trPr>
          <w:trHeight w:val="194"/>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Equity compensation plans not</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78"/>
        </w:trPr>
        <w:tc>
          <w:tcPr>
            <w:tcW w:w="2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approved by security holders</w:t>
            </w:r>
          </w:p>
        </w:tc>
        <w:tc>
          <w:tcPr>
            <w:tcW w:w="2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29,985,000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8890</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8890</wp:posOffset>
            </wp:positionV>
            <wp:extent cx="17494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129"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Excludes securities reflected in column “Number of securities to be issued upon exercise of outstanding options, warrants, and rights.”</w:t>
      </w:r>
    </w:p>
    <w:p>
      <w:pPr>
        <w:spacing w:after="0" w:line="240" w:lineRule="exact"/>
        <w:rPr>
          <w:rFonts w:ascii="Arial" w:cs="Arial" w:eastAsia="Arial" w:hAnsi="Arial"/>
          <w:sz w:val="21"/>
          <w:szCs w:val="21"/>
          <w:color w:val="auto"/>
          <w:vertAlign w:val="superscript"/>
        </w:rPr>
      </w:pPr>
    </w:p>
    <w:p>
      <w:pPr>
        <w:ind w:left="5640"/>
        <w:spacing w:after="0"/>
        <w:rPr>
          <w:rFonts w:ascii="Arial" w:cs="Arial" w:eastAsia="Arial" w:hAnsi="Arial"/>
          <w:sz w:val="21"/>
          <w:szCs w:val="21"/>
          <w:color w:val="auto"/>
          <w:vertAlign w:val="superscript"/>
        </w:rPr>
      </w:pPr>
      <w:r>
        <w:rPr>
          <w:rFonts w:ascii="Arial" w:cs="Arial" w:eastAsia="Arial" w:hAnsi="Arial"/>
          <w:sz w:val="14"/>
          <w:szCs w:val="14"/>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00497F"/>
        </w:rPr>
        <w:t>Performance Graph</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The following graph compares the cumulative total return for our shares (stock price change plus reinvested dividends) with the comparable return of three indices: S&amp;P Mid Cap 400, Dow Jones US Transportation Services, and Alerian Index. The graph assumes an investment of $100 in the Company's shares on May 14, 2015 and in each of the indices on April 30, 2015, and that all dividends were reinvested. The past performance of our shares is not an indication of future performance.</w:t>
      </w:r>
    </w:p>
    <w:p>
      <w:pPr>
        <w:spacing w:after="0" w:line="7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COMPARISON OF 41 MONTH CUMULATIVE TOTAL RETURN*</w:t>
      </w:r>
    </w:p>
    <w:p>
      <w:pPr>
        <w:spacing w:after="0" w:line="108" w:lineRule="exact"/>
        <w:rPr>
          <w:sz w:val="20"/>
          <w:szCs w:val="20"/>
          <w:color w:val="auto"/>
        </w:rPr>
      </w:pPr>
    </w:p>
    <w:p>
      <w:pPr>
        <w:ind w:left="4140" w:right="140" w:hanging="3521"/>
        <w:spacing w:after="0" w:line="287" w:lineRule="auto"/>
        <w:rPr>
          <w:sz w:val="20"/>
          <w:szCs w:val="20"/>
          <w:color w:val="auto"/>
        </w:rPr>
      </w:pPr>
      <w:r>
        <w:rPr>
          <w:rFonts w:ascii="Arial" w:cs="Arial" w:eastAsia="Arial" w:hAnsi="Arial"/>
          <w:sz w:val="18"/>
          <w:szCs w:val="18"/>
          <w:b w:val="1"/>
          <w:bCs w:val="1"/>
          <w:color w:val="auto"/>
        </w:rPr>
        <w:t>Among Fortress Transportation &amp; Infrastructure Investors LLC, the S&amp;P Midcap 400 Index, the Dow Jones US Transportation Services Index and the Alerian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43180</wp:posOffset>
            </wp:positionV>
            <wp:extent cx="5265420" cy="4562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65420" cy="456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*$100 invested on 5/14/15 in stock or 4/30/15 in index, including reinvestment of dividends.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Fiscal year ending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(in whole dollars)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Index</w:t>
            </w:r>
          </w:p>
        </w:tc>
        <w:tc>
          <w:tcPr>
            <w:tcW w:w="30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15,</w:t>
            </w: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2015</w:t>
            </w:r>
          </w:p>
        </w:tc>
        <w:tc>
          <w:tcPr>
            <w:tcW w:w="14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December 31, 2016</w:t>
            </w:r>
          </w:p>
        </w:tc>
        <w:tc>
          <w:tcPr>
            <w:tcW w:w="15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09"/>
        </w:trPr>
        <w:tc>
          <w:tcPr>
            <w:tcW w:w="51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16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Fortress Transportation &amp; Infrastructure Investors LLC</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68.91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91.78</w:t>
            </w:r>
          </w:p>
        </w:tc>
        <w:tc>
          <w:tcPr>
            <w:tcW w:w="6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148.90</w:t>
            </w:r>
          </w:p>
        </w:tc>
        <w:tc>
          <w:tcPr>
            <w:tcW w:w="0" w:type="dxa"/>
            <w:vAlign w:val="bottom"/>
          </w:tcPr>
          <w:p>
            <w:pPr>
              <w:spacing w:after="0"/>
              <w:rPr>
                <w:sz w:val="1"/>
                <w:szCs w:val="1"/>
                <w:color w:val="auto"/>
              </w:rPr>
            </w:pPr>
          </w:p>
        </w:tc>
      </w:tr>
      <w:tr>
        <w:trPr>
          <w:trHeight w:val="231"/>
        </w:trPr>
        <w:tc>
          <w:tcPr>
            <w:tcW w:w="5160" w:type="dxa"/>
            <w:vAlign w:val="bottom"/>
          </w:tcPr>
          <w:p>
            <w:pPr>
              <w:ind w:left="40"/>
              <w:spacing w:after="0"/>
              <w:rPr>
                <w:sz w:val="20"/>
                <w:szCs w:val="20"/>
                <w:color w:val="auto"/>
              </w:rPr>
            </w:pPr>
            <w:r>
              <w:rPr>
                <w:rFonts w:ascii="Arial" w:cs="Arial" w:eastAsia="Arial" w:hAnsi="Arial"/>
                <w:sz w:val="14"/>
                <w:szCs w:val="14"/>
                <w:color w:val="auto"/>
              </w:rPr>
              <w:t>S&amp;P Midcap 400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0"/>
                <w:szCs w:val="20"/>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94.29</w:t>
            </w:r>
          </w:p>
        </w:tc>
        <w:tc>
          <w:tcPr>
            <w:tcW w:w="120" w:type="dxa"/>
            <w:vAlign w:val="bottom"/>
          </w:tcPr>
          <w:p>
            <w:pPr>
              <w:spacing w:after="0"/>
              <w:rPr>
                <w:sz w:val="20"/>
                <w:szCs w:val="20"/>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113.85</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132.34</w:t>
            </w:r>
          </w:p>
        </w:tc>
        <w:tc>
          <w:tcPr>
            <w:tcW w:w="0" w:type="dxa"/>
            <w:vAlign w:val="bottom"/>
          </w:tcPr>
          <w:p>
            <w:pPr>
              <w:spacing w:after="0"/>
              <w:rPr>
                <w:sz w:val="1"/>
                <w:szCs w:val="1"/>
                <w:color w:val="auto"/>
              </w:rPr>
            </w:pPr>
          </w:p>
        </w:tc>
      </w:tr>
      <w:tr>
        <w:trPr>
          <w:trHeight w:val="39"/>
        </w:trPr>
        <w:tc>
          <w:tcPr>
            <w:tcW w:w="5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Dow Jones US Transportation Services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74.79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94.62</w:t>
            </w:r>
          </w:p>
        </w:tc>
        <w:tc>
          <w:tcPr>
            <w:tcW w:w="6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122.87</w:t>
            </w:r>
          </w:p>
        </w:tc>
        <w:tc>
          <w:tcPr>
            <w:tcW w:w="0" w:type="dxa"/>
            <w:vAlign w:val="bottom"/>
          </w:tcPr>
          <w:p>
            <w:pPr>
              <w:spacing w:after="0"/>
              <w:rPr>
                <w:sz w:val="1"/>
                <w:szCs w:val="1"/>
                <w:color w:val="auto"/>
              </w:rPr>
            </w:pPr>
          </w:p>
        </w:tc>
      </w:tr>
      <w:tr>
        <w:trPr>
          <w:trHeight w:val="231"/>
        </w:trPr>
        <w:tc>
          <w:tcPr>
            <w:tcW w:w="5160" w:type="dxa"/>
            <w:vAlign w:val="bottom"/>
          </w:tcPr>
          <w:p>
            <w:pPr>
              <w:ind w:left="40"/>
              <w:spacing w:after="0"/>
              <w:rPr>
                <w:sz w:val="20"/>
                <w:szCs w:val="20"/>
                <w:color w:val="auto"/>
              </w:rPr>
            </w:pPr>
            <w:r>
              <w:rPr>
                <w:rFonts w:ascii="Arial" w:cs="Arial" w:eastAsia="Arial" w:hAnsi="Arial"/>
                <w:sz w:val="14"/>
                <w:szCs w:val="14"/>
                <w:color w:val="auto"/>
              </w:rPr>
              <w:t>Alerian Index</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0"/>
                <w:szCs w:val="20"/>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72.09</w:t>
            </w:r>
          </w:p>
        </w:tc>
        <w:tc>
          <w:tcPr>
            <w:tcW w:w="120" w:type="dxa"/>
            <w:vAlign w:val="bottom"/>
          </w:tcPr>
          <w:p>
            <w:pPr>
              <w:spacing w:after="0"/>
              <w:rPr>
                <w:sz w:val="20"/>
                <w:szCs w:val="20"/>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86.59</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83.21</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6. Selected Financial Data</w:t>
      </w:r>
    </w:p>
    <w:p>
      <w:pPr>
        <w:spacing w:after="0" w:line="13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The selected historical financial information set forth below as of and for the years ended December 31, 2017, 2016, 2015, 2014 and 2013 has been derived from our audited historical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73" w:right="239" w:bottom="1440" w:gutter="0" w:footer="0" w:header="0"/>
        </w:sectPr>
      </w:pPr>
    </w:p>
    <w:bookmarkStart w:id="35" w:name="page36"/>
    <w:bookmarkEnd w:id="35"/>
    <w:p>
      <w:pPr>
        <w:jc w:val="both"/>
        <w:ind w:firstLine="486"/>
        <w:spacing w:after="0" w:line="251" w:lineRule="auto"/>
        <w:rPr>
          <w:sz w:val="20"/>
          <w:szCs w:val="20"/>
          <w:color w:val="auto"/>
        </w:rPr>
      </w:pPr>
      <w:r>
        <w:rPr>
          <w:rFonts w:ascii="Arial" w:cs="Arial" w:eastAsia="Arial" w:hAnsi="Arial"/>
          <w:sz w:val="16"/>
          <w:szCs w:val="16"/>
          <w:color w:val="auto"/>
        </w:rPr>
        <w:t>The Company completed an IPO on May 20, 2015 in which Fortress Worldwide Transportation and Infrastructure Investors LP, Fortress Worldwide Transportation and Infrastructure Offshore LP, and Fortress Worldwide Transportation and Infrastructure Master GP LLP (collectively the "Initial Shareholders"), immediately prior to the consummation of the IPO, received shares in proportion to their respective ownership percentages. As a result, the Company has retrospectively presented the shares outstanding for all prior periods presented.</w:t>
      </w:r>
    </w:p>
    <w:p>
      <w:pPr>
        <w:spacing w:after="0" w:line="9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information below should be read in conjunction with “Management's Discussion and Analysis of Financial Condition and Results of Operations,” included in Item 7 and the consolidated financial statements and notes thereto included in Item 8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71755</wp:posOffset>
            </wp:positionV>
            <wp:extent cx="4631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center"/>
              <w:ind w:left="60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4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00" w:type="dxa"/>
            <w:vAlign w:val="bottom"/>
            <w:gridSpan w:val="8"/>
          </w:tcPr>
          <w:p>
            <w:pPr>
              <w:jc w:val="center"/>
              <w:ind w:right="440"/>
              <w:spacing w:after="0"/>
              <w:rPr>
                <w:sz w:val="20"/>
                <w:szCs w:val="20"/>
                <w:color w:val="auto"/>
              </w:rPr>
            </w:pPr>
            <w:r>
              <w:rPr>
                <w:rFonts w:ascii="Arial" w:cs="Arial" w:eastAsia="Arial" w:hAnsi="Arial"/>
                <w:sz w:val="14"/>
                <w:szCs w:val="14"/>
                <w:color w:val="auto"/>
              </w:rPr>
              <w:t>(in thousands except share and per share data)</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99,536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69,736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9,284</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65,651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28,697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17,286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2,242</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1,536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7,781</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3,277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5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170,000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101,949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92,743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43,984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19,530</w:t>
            </w:r>
          </w:p>
        </w:tc>
        <w:tc>
          <w:tcPr>
            <w:tcW w:w="0" w:type="dxa"/>
            <w:vAlign w:val="bottom"/>
          </w:tcPr>
          <w:p>
            <w:pPr>
              <w:spacing w:after="0"/>
              <w:rPr>
                <w:sz w:val="1"/>
                <w:szCs w:val="1"/>
                <w:color w:val="auto"/>
              </w:rPr>
            </w:pPr>
          </w:p>
        </w:tc>
      </w:tr>
      <w:tr>
        <w:trPr>
          <w:trHeight w:val="258"/>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income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20" w:type="dxa"/>
            <w:vAlign w:val="bottom"/>
          </w:tcPr>
          <w:p>
            <w:pPr>
              <w:ind w:left="80"/>
              <w:spacing w:after="0"/>
              <w:rPr>
                <w:sz w:val="20"/>
                <w:szCs w:val="20"/>
                <w:color w:val="auto"/>
              </w:rPr>
            </w:pPr>
            <w:r>
              <w:rPr>
                <w:rFonts w:ascii="Arial" w:cs="Arial" w:eastAsia="Arial" w:hAnsi="Arial"/>
                <w:sz w:val="14"/>
                <w:szCs w:val="14"/>
                <w:color w:val="auto"/>
              </w:rPr>
              <w:t>Rail revenues</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32,607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30,837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25,550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9,969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Terminal services revenues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10,229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3,712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47,659</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46,771</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43,825</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13,946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217,659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148,720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136,568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57,930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19,530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92,385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66,169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3,157</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14,570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12,314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7,306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15,732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16,742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88,110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60,210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15,998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3,909</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38,827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18,957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256,930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180,708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161,681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68,013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13,158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Equity in (loss) earnings of unconsolidated entities</w:t>
            </w:r>
          </w:p>
        </w:tc>
        <w:tc>
          <w:tcPr>
            <w:tcW w:w="32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(1,601)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(5,992)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10,325</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assets, net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18,281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8,559</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32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impairment</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688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3,073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17,985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(8,342)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13,875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18,907</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(21,286)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(40,330)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(28,045)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25,279</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1,954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(23,240)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(40,598)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(28,631)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25,279</w:t>
            </w:r>
          </w:p>
        </w:tc>
        <w:tc>
          <w:tcPr>
            <w:tcW w:w="0" w:type="dxa"/>
            <w:vAlign w:val="bottom"/>
          </w:tcPr>
          <w:p>
            <w:pPr>
              <w:spacing w:after="0"/>
              <w:rPr>
                <w:sz w:val="1"/>
                <w:szCs w:val="1"/>
                <w:color w:val="auto"/>
              </w:rPr>
            </w:pPr>
          </w:p>
        </w:tc>
      </w:tr>
      <w:tr>
        <w:trPr>
          <w:trHeight w:val="174"/>
        </w:trPr>
        <w:tc>
          <w:tcPr>
            <w:tcW w:w="4120" w:type="dxa"/>
            <w:vAlign w:val="bottom"/>
          </w:tcPr>
          <w:p>
            <w:pPr>
              <w:ind w:left="40"/>
              <w:spacing w:after="0"/>
              <w:rPr>
                <w:sz w:val="20"/>
                <w:szCs w:val="20"/>
                <w:color w:val="auto"/>
              </w:rPr>
            </w:pPr>
            <w:r>
              <w:rPr>
                <w:rFonts w:ascii="Arial" w:cs="Arial" w:eastAsia="Arial" w:hAnsi="Arial"/>
                <w:sz w:val="14"/>
                <w:szCs w:val="14"/>
                <w:color w:val="auto"/>
              </w:rPr>
              <w:t>Less: Net (loss) income attributable to non-controlling interest in</w:t>
            </w:r>
          </w:p>
        </w:tc>
        <w:tc>
          <w:tcPr>
            <w:tcW w:w="320" w:type="dxa"/>
            <w:vAlign w:val="bottom"/>
          </w:tcPr>
          <w:p>
            <w:pPr>
              <w:spacing w:after="0"/>
              <w:rPr>
                <w:sz w:val="15"/>
                <w:szCs w:val="15"/>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(23,374)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consolidated subsidiaries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(20,534)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(20,064)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7,780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24,821</w:t>
            </w:r>
          </w:p>
        </w:tc>
        <w:tc>
          <w:tcPr>
            <w:tcW w:w="0" w:type="dxa"/>
            <w:vAlign w:val="bottom"/>
          </w:tcPr>
          <w:p>
            <w:pPr>
              <w:spacing w:after="0"/>
              <w:rPr>
                <w:sz w:val="1"/>
                <w:szCs w:val="1"/>
                <w:color w:val="auto"/>
              </w:rPr>
            </w:pPr>
          </w:p>
        </w:tc>
      </w:tr>
      <w:tr>
        <w:trPr>
          <w:trHeight w:val="324"/>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(Loss) per Share: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93"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93" w:right="2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9"/>
        </w:trPr>
        <w:tc>
          <w:tcPr>
            <w:tcW w:w="4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8"/>
        </w:trPr>
        <w:tc>
          <w:tcPr>
            <w:tcW w:w="4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r>
      <w:tr>
        <w:trPr>
          <w:trHeight w:val="250"/>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40" w:type="dxa"/>
            <w:vAlign w:val="bottom"/>
            <w:gridSpan w:val="5"/>
          </w:tcPr>
          <w:p>
            <w:pPr>
              <w:jc w:val="right"/>
              <w:ind w:right="628"/>
              <w:spacing w:after="0"/>
              <w:rPr>
                <w:sz w:val="20"/>
                <w:szCs w:val="20"/>
                <w:color w:val="auto"/>
              </w:rPr>
            </w:pPr>
            <w:r>
              <w:rPr>
                <w:rFonts w:ascii="Arial" w:cs="Arial" w:eastAsia="Arial" w:hAnsi="Arial"/>
                <w:sz w:val="14"/>
                <w:szCs w:val="14"/>
                <w:color w:val="auto"/>
              </w:rPr>
              <w:t>(in thousands except share and per share data)</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22"/>
                <w:szCs w:val="22"/>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75,766,811</w:t>
            </w:r>
          </w:p>
        </w:tc>
        <w:tc>
          <w:tcPr>
            <w:tcW w:w="400" w:type="dxa"/>
            <w:vAlign w:val="bottom"/>
          </w:tcPr>
          <w:p>
            <w:pPr>
              <w:spacing w:after="0"/>
              <w:rPr>
                <w:sz w:val="22"/>
                <w:szCs w:val="22"/>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75,738,698</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67,039,439</w:t>
            </w:r>
          </w:p>
        </w:tc>
        <w:tc>
          <w:tcPr>
            <w:tcW w:w="3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53,502,873</w:t>
            </w:r>
          </w:p>
        </w:tc>
        <w:tc>
          <w:tcPr>
            <w:tcW w:w="3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53,502,873</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75,766,811</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75,738,698</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67,039,439</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53,502,873</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53,502,873</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Dividends declared per share of common stock</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1.32</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1.32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0.48</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30"/>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1,955,806</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1,547,312</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1,644,805</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1,399,821</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278,031</w:t>
            </w: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Debt, net</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703,264</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259,512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266,221</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587,948</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72,772</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920,731</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381,632</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354,119</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686,324</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82,147</w:t>
            </w: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Total Equity</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1,035,075</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1,165,680</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1,290,686</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713,497</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195,884</w:t>
            </w:r>
          </w:p>
        </w:tc>
      </w:tr>
      <w:tr>
        <w:trPr>
          <w:trHeight w:val="330"/>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Cash Flow data:</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Operating activities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68,497</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30,903</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23,528</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(31,551)</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11,913</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Investing activities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(440,230)</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(213,098)</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(239,921)</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(571,416)</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(87,765)</w:t>
            </w:r>
          </w:p>
        </w:tc>
      </w:tr>
      <w:tr>
        <w:trPr>
          <w:trHeight w:val="258"/>
        </w:trPr>
        <w:tc>
          <w:tcPr>
            <w:tcW w:w="4120" w:type="dxa"/>
            <w:vAlign w:val="bottom"/>
          </w:tcPr>
          <w:p>
            <w:pPr>
              <w:ind w:left="500"/>
              <w:spacing w:after="0"/>
              <w:rPr>
                <w:sz w:val="20"/>
                <w:szCs w:val="20"/>
                <w:color w:val="auto"/>
              </w:rPr>
            </w:pPr>
            <w:r>
              <w:rPr>
                <w:rFonts w:ascii="Arial" w:cs="Arial" w:eastAsia="Arial" w:hAnsi="Arial"/>
                <w:sz w:val="14"/>
                <w:szCs w:val="14"/>
                <w:color w:val="auto"/>
              </w:rPr>
              <w:t>Financing activities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363,078</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(131,453)</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575,971</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617,856</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78,964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328930</wp:posOffset>
            </wp:positionV>
            <wp:extent cx="4631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 Management’s Discussion and Analysis of Financial Condition and Results of Operations</w:t>
      </w:r>
    </w:p>
    <w:p>
      <w:pPr>
        <w:spacing w:after="0" w:line="214"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consolidated financial statements and the accompanying notes, and with Part I, Item 1A, “Risk Factors” and “Forward-Looking Statements” included elsewhere in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79" w:lineRule="exact"/>
        <w:rPr>
          <w:sz w:val="20"/>
          <w:szCs w:val="20"/>
          <w:color w:val="auto"/>
        </w:rPr>
      </w:pPr>
    </w:p>
    <w:p>
      <w:pPr>
        <w:jc w:val="both"/>
        <w:ind w:firstLine="446"/>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December 31, 2017, we had total consolidated assets of $2.0 billion and total equity of $1.0 billion.</w:t>
      </w:r>
    </w:p>
    <w:p>
      <w:pPr>
        <w:spacing w:after="0" w:line="97" w:lineRule="exact"/>
        <w:rPr>
          <w:sz w:val="20"/>
          <w:szCs w:val="20"/>
          <w:color w:val="auto"/>
        </w:rPr>
      </w:pPr>
    </w:p>
    <w:p>
      <w:pPr>
        <w:jc w:val="both"/>
        <w:ind w:firstLine="405"/>
        <w:spacing w:after="0" w:line="249" w:lineRule="auto"/>
        <w:rPr>
          <w:sz w:val="20"/>
          <w:szCs w:val="20"/>
          <w:color w:val="auto"/>
        </w:rPr>
      </w:pPr>
      <w:r>
        <w:rPr>
          <w:rFonts w:ascii="Arial" w:cs="Arial" w:eastAsia="Arial" w:hAnsi="Arial"/>
          <w:sz w:val="16"/>
          <w:szCs w:val="16"/>
          <w:color w:val="auto"/>
        </w:rPr>
        <w:t>At December 31, 2014, through their investment in the Company, the beneficial owners of the Fortress Worldwide Transportation and Infrastructure General Partnership were Fortress Worldwide Transportation and Infrastructure Investors LP (the “Onshore Fund”), with an 89.97% interest and Fortress Worldwide Transportation and Infrastructure Offshore LP (the “Offshore Fund”) with a 9.98% interest; in addition, Fortress Worldwide Transportation and Infrastructure Master GP LLP (the “Master GP”) held a 0.05% interest. The Master GP is owned by an affiliate of Fortress. The Onshore Fund and the Offshore Fund (collectively, the “Initial Shareholders”) were investment vehicles which were sponsored by Fortress. The general partner of the Onshore Fund and the Offshore Fund was an affiliate of Fortress.</w:t>
      </w:r>
    </w:p>
    <w:p>
      <w:pPr>
        <w:spacing w:after="0" w:line="43"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6"/>
          <w:szCs w:val="16"/>
          <w:color w:val="auto"/>
        </w:rPr>
        <w:t>In May 2015, the remaining capital commitments of the investors of the Onshore Fund, Offshore Fund and Master GP were called. Through a series of transactions,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53,502,873 common shares were issued to the Onshore Fund and Offshore Fund based on their relative interests in the Company. In November 2015, the Onshore Fund and the Offshore Fund each distributed to their respective limited partners the common shares allocated to their limited partners in accordance with their respective limited partnership agreements.</w:t>
      </w:r>
    </w:p>
    <w:p>
      <w:pPr>
        <w:spacing w:after="0" w:line="43"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6"/>
          <w:szCs w:val="16"/>
          <w:color w:val="auto"/>
        </w:rPr>
        <w:t>On May 20, 2015, we completed an IPO of 20 million common shares at a price to the public of $17.00 per share. On June 15, 2015, the underwriters exercised their overallotment option, pursuant to which we issued an additional 2.2 million shares to such underwriters at the IPO price.</w:t>
      </w:r>
    </w:p>
    <w:p>
      <w:pPr>
        <w:spacing w:after="0" w:line="34"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6"/>
          <w:szCs w:val="16"/>
          <w:color w:val="auto"/>
        </w:rPr>
        <w:t>While our strategy permits us to acquire a broad array of transportation-related assets, we are currently active in five sectors where we believe there are meaningful opportunities to deploy capital to achieve attractive risk adjusted returns: aviation, energy, intermodal transport, rail and ports and terminals.</w:t>
      </w:r>
    </w:p>
    <w:p>
      <w:pPr>
        <w:spacing w:after="0" w:line="34" w:lineRule="exact"/>
        <w:rPr>
          <w:sz w:val="20"/>
          <w:szCs w:val="20"/>
          <w:color w:val="auto"/>
        </w:rPr>
      </w:pPr>
    </w:p>
    <w:p>
      <w:pPr>
        <w:ind w:left="980" w:hanging="324"/>
        <w:spacing w:after="0" w:line="260"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Commercial air travel and air freight activity have historically been long-term growth sectors and are tied to the underlying demand for passenger and freight movement. We continue to see strong demand for aviation related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558" w:right="239" w:bottom="1440" w:gutter="0" w:footer="0" w:header="0"/>
        </w:sectPr>
      </w:pPr>
    </w:p>
    <w:bookmarkStart w:id="37" w:name="page38"/>
    <w:bookmarkEnd w:id="37"/>
    <w:p>
      <w:pPr>
        <w:jc w:val="both"/>
        <w:ind w:left="980" w:hanging="324"/>
        <w:spacing w:after="0" w:line="253"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Offshore energy service equipment refers to vessels supporting the extraction, processing and transportation of oil and natural gas from deposits located beneath the sea floor. The recent oil price decline has led to oil and gas companies reducing and deferring spending decisions, creating an oversupply of offshore energy assets, and in turn, lower day-rates, utilization and earnings for offshore service companies.</w:t>
      </w:r>
    </w:p>
    <w:p>
      <w:pPr>
        <w:spacing w:after="0" w:line="39" w:lineRule="exact"/>
        <w:rPr>
          <w:rFonts w:ascii="Arial" w:cs="Arial" w:eastAsia="Arial" w:hAnsi="Arial"/>
          <w:sz w:val="16"/>
          <w:szCs w:val="16"/>
          <w:color w:val="auto"/>
        </w:rPr>
      </w:pPr>
    </w:p>
    <w:p>
      <w:pPr>
        <w:jc w:val="both"/>
        <w:ind w:left="980" w:hanging="324"/>
        <w:spacing w:after="0" w:line="253"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intermodal transport market includes the efficient movement of goods throughout multiple modes of transportation, making it possible to move cargo from a point of origin to a final destination without repeated unpacking and repacking. Over the last year, new container prices have increased substantially, which has led to a rebound in lease rates and residual values from the lows of 2015 and 2016.</w:t>
      </w:r>
    </w:p>
    <w:p>
      <w:pPr>
        <w:spacing w:after="0" w:line="39" w:lineRule="exact"/>
        <w:rPr>
          <w:rFonts w:ascii="Arial" w:cs="Arial" w:eastAsia="Arial" w:hAnsi="Arial"/>
          <w:sz w:val="16"/>
          <w:szCs w:val="16"/>
          <w:color w:val="auto"/>
        </w:rPr>
      </w:pPr>
    </w:p>
    <w:p>
      <w:pPr>
        <w:jc w:val="both"/>
        <w:ind w:left="980" w:hanging="324"/>
        <w:spacing w:after="0" w:line="253"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Rail refers to the railroad industry, which has increased its share of freight ton-miles compared to other forms of freight transportation over the past quarter century. This infrastructure, most of which was originally established over 100 years ago, represents a limited supply of assets and a difficult-to-replicate network. We continue to see increased volumes and efficiencies on our network since our investment in CMQR in 2014.</w:t>
      </w:r>
    </w:p>
    <w:p>
      <w:pPr>
        <w:spacing w:after="0" w:line="39" w:lineRule="exact"/>
        <w:rPr>
          <w:rFonts w:ascii="Arial" w:cs="Arial" w:eastAsia="Arial" w:hAnsi="Arial"/>
          <w:sz w:val="16"/>
          <w:szCs w:val="16"/>
          <w:color w:val="auto"/>
        </w:rPr>
      </w:pPr>
    </w:p>
    <w:p>
      <w:pPr>
        <w:jc w:val="both"/>
        <w:ind w:left="980" w:hanging="324"/>
        <w:spacing w:after="0" w:line="253"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Land-based infrastructure refers to facilities that enable the storage, unloading, loading and movement of crude oil and refined products from producers to end users, such as refineries. Customers of land-based infrastructure typically purchase capacity on a take-or-pay basis, and the economics of these assets directly relate to the volume of throughput.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ind w:firstLine="446"/>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286" w:lineRule="exact"/>
        <w:rPr>
          <w:sz w:val="20"/>
          <w:szCs w:val="20"/>
          <w:color w:val="auto"/>
        </w:rPr>
      </w:pPr>
    </w:p>
    <w:p>
      <w:pPr>
        <w:jc w:val="both"/>
        <w:ind w:firstLine="446"/>
        <w:spacing w:after="0" w:line="247"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our corporate operating segment and the following six reportable segments: i) Aviation Leasing, ii) Offshore Energy, iii) Shipping Containers, all of which are within Equipment Leasing Business, and iv) Jefferson Terminal, v) Railroad, and vi) Ports and Terminals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Ports and Terminals consists of Repauno, acquired in 2016, a 1,630 acre deep-water port located along the Delaware River with an underground storage cavern and multiple industrial development opportunities, and Long Ridge, acquired in June 2017, a 1,660 acre multi-modal port located along the Ohio River with rail, dock, and multiple industrial development opportunities. The Corporate operating segment primarily consists of unallocated corporate general and administrative expenses and management fees.</w:t>
      </w:r>
    </w:p>
    <w:p>
      <w:pPr>
        <w:spacing w:after="0" w:line="105"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 (Non-GAAP)</w:t>
      </w:r>
    </w:p>
    <w:p>
      <w:pPr>
        <w:spacing w:after="0" w:line="133"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6"/>
          <w:szCs w:val="16"/>
          <w:color w:val="auto"/>
        </w:rPr>
        <w:t>The Chief Operating Decision Maker (“CODM”) utilizes Adjusted Net Income (Loss) as the key performance measure. This performance measure provides the CODM with the information necessary to assess operational performance, as well as make resource and allocation decisions.</w:t>
      </w:r>
    </w:p>
    <w:p>
      <w:pPr>
        <w:spacing w:after="0" w:line="88"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16"/>
          <w:szCs w:val="16"/>
          <w:color w:val="auto"/>
        </w:rPr>
        <w:t>Adjusted Net Income (Loss) is defined as net income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w:t>
      </w:r>
    </w:p>
    <w:p>
      <w:pPr>
        <w:spacing w:after="0" w:line="1" w:lineRule="exact"/>
        <w:rPr>
          <w:sz w:val="20"/>
          <w:szCs w:val="20"/>
          <w:color w:val="auto"/>
        </w:rPr>
      </w:pPr>
    </w:p>
    <w:p>
      <w:pPr>
        <w:jc w:val="both"/>
        <w:ind w:firstLine="8"/>
        <w:spacing w:after="0" w:line="251" w:lineRule="auto"/>
        <w:tabs>
          <w:tab w:leader="none" w:pos="2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include the impact of cash income tax payments, and our pro-rata share of the Adjusted Net Income from unconsolidated entities, and (c) to exclude the impact of the non-controlling share of Adjusted Net Income. We evaluate investment performance for each reportable segment primarily based on Adjusted Net Income. We believe that net income attributable to shareholders, as defined by GAAP, is the most comparable earnings measurement with which to reconcile Adjusted Net Income.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6"/>
          <w:szCs w:val="16"/>
          <w:color w:val="auto"/>
        </w:rPr>
        <w:t>We view Adjusted EBITDA as a secondary measurement to Adjusted Net Income, which we believe serves as a useful supplement to investors, analysts and management to measure economic performance of deployed revenue generating assets between periods on a consistent basis, and which we believe measures our financial performance and helps identify operational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655" w:right="239" w:bottom="1440" w:gutter="0" w:footer="0" w:header="0"/>
        </w:sectPr>
      </w:pPr>
    </w:p>
    <w:bookmarkStart w:id="38" w:name="page39"/>
    <w:bookmarkEnd w:id="38"/>
    <w:p>
      <w:pPr>
        <w:jc w:val="both"/>
        <w:spacing w:after="0" w:line="260" w:lineRule="auto"/>
        <w:rPr>
          <w:sz w:val="20"/>
          <w:szCs w:val="20"/>
          <w:color w:val="auto"/>
        </w:rPr>
      </w:pPr>
      <w:r>
        <w:rPr>
          <w:rFonts w:ascii="Arial" w:cs="Arial" w:eastAsia="Arial" w:hAnsi="Arial"/>
          <w:sz w:val="16"/>
          <w:szCs w:val="16"/>
          <w:color w:val="auto"/>
        </w:rPr>
        <w:t>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88"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16"/>
          <w:szCs w:val="16"/>
          <w:color w:val="auto"/>
        </w:rPr>
        <w:t>Adjusted EBITDA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1" w:lineRule="exact"/>
        <w:rPr>
          <w:sz w:val="20"/>
          <w:szCs w:val="20"/>
          <w:color w:val="auto"/>
        </w:rPr>
      </w:pPr>
    </w:p>
    <w:p>
      <w:pPr>
        <w:ind w:firstLine="8"/>
        <w:spacing w:after="0" w:line="260" w:lineRule="auto"/>
        <w:tabs>
          <w:tab w:leader="none" w:pos="27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include the impact of our pro-rata share of Adjusted EBITDA from unconsolidated entities, and (c) to exclude the impact of equity in earnings of unconsolidated entities and the non-controlling share of Adjusted EBITDA.</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 ended December 31, 2017 to the year ended December 31, 2016</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The following table presents our consolidated results of operations and reconciliation of net loss attributable to shareholders to Adjusted Net Income (Loss) for the years ended December 31, 2017 and December 31, 2016: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3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3980" w:type="dxa"/>
            <w:vAlign w:val="bottom"/>
          </w:tcPr>
          <w:p>
            <w:pPr>
              <w:spacing w:after="0"/>
              <w:rPr>
                <w:sz w:val="22"/>
                <w:szCs w:val="22"/>
                <w:color w:val="auto"/>
              </w:rPr>
            </w:pPr>
          </w:p>
        </w:tc>
        <w:tc>
          <w:tcPr>
            <w:tcW w:w="3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76"/>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3400" w:type="dxa"/>
            <w:vAlign w:val="bottom"/>
            <w:gridSpan w:val="2"/>
            <w:shd w:val="clear" w:color="auto" w:fill="CCEEFF"/>
          </w:tcPr>
          <w:p>
            <w:pPr>
              <w:jc w:val="right"/>
              <w:ind w:right="8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99,536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69,736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29,800</w:t>
            </w:r>
          </w:p>
        </w:tc>
      </w:tr>
      <w:tr>
        <w:trPr>
          <w:trHeight w:val="264"/>
        </w:trPr>
        <w:tc>
          <w:tcPr>
            <w:tcW w:w="398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2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65,651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28,697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36,954</w:t>
            </w:r>
          </w:p>
        </w:tc>
      </w:tr>
      <w:tr>
        <w:trPr>
          <w:trHeight w:val="276"/>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2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r>
      <w:tr>
        <w:trPr>
          <w:trHeight w:val="264"/>
        </w:trPr>
        <w:tc>
          <w:tcPr>
            <w:tcW w:w="3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24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3,277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2,484</w:t>
            </w:r>
          </w:p>
        </w:tc>
      </w:tr>
      <w:tr>
        <w:trPr>
          <w:trHeight w:val="256"/>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4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170,000</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101,949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68,051</w:t>
            </w:r>
          </w:p>
        </w:tc>
      </w:tr>
      <w:tr>
        <w:trPr>
          <w:trHeight w:val="258"/>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39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income</w:t>
            </w:r>
          </w:p>
        </w:tc>
        <w:tc>
          <w:tcPr>
            <w:tcW w:w="2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1,079</w:t>
            </w:r>
          </w:p>
        </w:tc>
      </w:tr>
      <w:tr>
        <w:trPr>
          <w:trHeight w:val="264"/>
        </w:trPr>
        <w:tc>
          <w:tcPr>
            <w:tcW w:w="3980" w:type="dxa"/>
            <w:vAlign w:val="bottom"/>
          </w:tcPr>
          <w:p>
            <w:pPr>
              <w:ind w:left="80"/>
              <w:spacing w:after="0"/>
              <w:rPr>
                <w:sz w:val="20"/>
                <w:szCs w:val="20"/>
                <w:color w:val="auto"/>
              </w:rPr>
            </w:pPr>
            <w:r>
              <w:rPr>
                <w:rFonts w:ascii="Arial" w:cs="Arial" w:eastAsia="Arial" w:hAnsi="Arial"/>
                <w:sz w:val="14"/>
                <w:szCs w:val="14"/>
                <w:color w:val="auto"/>
              </w:rPr>
              <w:t>Rail revenues</w:t>
            </w:r>
          </w:p>
        </w:tc>
        <w:tc>
          <w:tcPr>
            <w:tcW w:w="2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32,607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30,837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1,770</w:t>
            </w:r>
          </w:p>
        </w:tc>
      </w:tr>
      <w:tr>
        <w:trPr>
          <w:trHeight w:val="276"/>
        </w:trPr>
        <w:tc>
          <w:tcPr>
            <w:tcW w:w="39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Terminal services revenues</w:t>
            </w:r>
          </w:p>
        </w:tc>
        <w:tc>
          <w:tcPr>
            <w:tcW w:w="2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10,229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(5,673)</w:t>
            </w:r>
          </w:p>
        </w:tc>
      </w:tr>
      <w:tr>
        <w:trPr>
          <w:trHeight w:val="264"/>
        </w:trPr>
        <w:tc>
          <w:tcPr>
            <w:tcW w:w="398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2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3,712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3,712</w:t>
            </w:r>
          </w:p>
        </w:tc>
      </w:tr>
      <w:tr>
        <w:trPr>
          <w:trHeight w:val="250"/>
        </w:trPr>
        <w:tc>
          <w:tcPr>
            <w:tcW w:w="3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4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47,659</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46,771</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888</w:t>
            </w:r>
          </w:p>
        </w:tc>
      </w:tr>
      <w:tr>
        <w:trPr>
          <w:trHeight w:val="250"/>
        </w:trPr>
        <w:tc>
          <w:tcPr>
            <w:tcW w:w="3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24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217,659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148,720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68,939</w:t>
            </w:r>
          </w:p>
        </w:tc>
      </w:tr>
      <w:tr>
        <w:trPr>
          <w:trHeight w:val="297"/>
        </w:trPr>
        <w:tc>
          <w:tcPr>
            <w:tcW w:w="39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420"/>
        </w:trPr>
        <w:tc>
          <w:tcPr>
            <w:tcW w:w="3980" w:type="dxa"/>
            <w:vAlign w:val="bottom"/>
          </w:tcPr>
          <w:p>
            <w:pPr>
              <w:spacing w:after="0"/>
              <w:rPr>
                <w:sz w:val="24"/>
                <w:szCs w:val="24"/>
                <w:color w:val="auto"/>
              </w:rPr>
            </w:pPr>
          </w:p>
        </w:tc>
        <w:tc>
          <w:tcPr>
            <w:tcW w:w="2420" w:type="dxa"/>
            <w:vAlign w:val="bottom"/>
          </w:tcPr>
          <w:p>
            <w:pPr>
              <w:jc w:val="right"/>
              <w:ind w:right="528"/>
              <w:spacing w:after="0"/>
              <w:rPr>
                <w:sz w:val="20"/>
                <w:szCs w:val="20"/>
                <w:color w:val="auto"/>
              </w:rPr>
            </w:pPr>
            <w:r>
              <w:rPr>
                <w:rFonts w:ascii="Arial" w:cs="Arial" w:eastAsia="Arial" w:hAnsi="Arial"/>
                <w:sz w:val="14"/>
                <w:szCs w:val="14"/>
                <w:color w:val="auto"/>
              </w:rPr>
              <w:t>39</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709"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92,385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66,169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26,216</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14,570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12,314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7,306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15,732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16,742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88,110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27,900</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38,827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18,957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19,870</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256,930</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180,708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76,222</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3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(1,601)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assets, net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18,281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12,340</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3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impairment</w:t>
            </w:r>
          </w:p>
        </w:tc>
        <w:tc>
          <w:tcPr>
            <w:tcW w:w="3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688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3,073</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17,985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26,327</w:t>
            </w:r>
          </w:p>
        </w:tc>
        <w:tc>
          <w:tcPr>
            <w:tcW w:w="0" w:type="dxa"/>
            <w:vAlign w:val="bottom"/>
          </w:tcPr>
          <w:p>
            <w:pPr>
              <w:spacing w:after="0"/>
              <w:rPr>
                <w:sz w:val="1"/>
                <w:szCs w:val="1"/>
                <w:color w:val="auto"/>
              </w:rPr>
            </w:pP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(21,286)</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19,044</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1,954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(23,240)</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(40,598)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17,358</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(23,374)</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(20,064)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20,198</w:t>
            </w:r>
          </w:p>
        </w:tc>
        <w:tc>
          <w:tcPr>
            <w:tcW w:w="0" w:type="dxa"/>
            <w:vAlign w:val="bottom"/>
          </w:tcPr>
          <w:p>
            <w:pPr>
              <w:spacing w:after="0"/>
              <w:rPr>
                <w:sz w:val="1"/>
                <w:szCs w:val="1"/>
                <w:color w:val="auto"/>
              </w:rPr>
            </w:pP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380" w:type="dxa"/>
            <w:vAlign w:val="bottom"/>
          </w:tcPr>
          <w:p>
            <w:pPr>
              <w:spacing w:after="0"/>
              <w:rPr>
                <w:sz w:val="21"/>
                <w:szCs w:val="21"/>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1,954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 (income)</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5,015</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7,306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6,316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(1,022)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(Loss) from unconsolidated entities</w:t>
            </w:r>
          </w:p>
        </w:tc>
        <w:tc>
          <w:tcPr>
            <w:tcW w:w="380" w:type="dxa"/>
            <w:vAlign w:val="bottom"/>
          </w:tcPr>
          <w:p>
            <w:pPr>
              <w:spacing w:after="0"/>
              <w:rPr>
                <w:sz w:val="21"/>
                <w:szCs w:val="21"/>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(1,601)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6400" w:type="dxa"/>
            <w:vAlign w:val="bottom"/>
          </w:tcPr>
          <w:p>
            <w:pPr>
              <w:ind w:left="40"/>
              <w:spacing w:after="0"/>
              <w:rPr>
                <w:sz w:val="20"/>
                <w:szCs w:val="20"/>
                <w:color w:val="auto"/>
              </w:rPr>
            </w:pPr>
            <w:r>
              <w:rPr>
                <w:rFonts w:ascii="Arial" w:cs="Arial" w:eastAsia="Arial" w:hAnsi="Arial"/>
                <w:sz w:val="9"/>
                <w:szCs w:val="9"/>
                <w:color w:val="auto"/>
              </w:rPr>
              <w:t>(1)</w:t>
            </w:r>
          </w:p>
        </w:tc>
        <w:tc>
          <w:tcPr>
            <w:tcW w:w="3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(2,905)</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76"/>
        </w:trPr>
        <w:tc>
          <w:tcPr>
            <w:tcW w:w="6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3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(1,726)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(1,072)</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1,601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Net Income (Loss) </w:t>
            </w:r>
            <w:r>
              <w:rPr>
                <w:rFonts w:ascii="Arial" w:cs="Arial" w:eastAsia="Arial" w:hAnsi="Arial"/>
                <w:sz w:val="17"/>
                <w:szCs w:val="17"/>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(558)</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10,401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19,033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4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500" w:hanging="492"/>
        <w:spacing w:after="0" w:line="218" w:lineRule="auto"/>
        <w:tabs>
          <w:tab w:leader="none" w:pos="149" w:val="left"/>
        </w:tabs>
        <w:numPr>
          <w:ilvl w:val="0"/>
          <w:numId w:val="22"/>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(Loss) from unconsolidated entities includes the Company’s proportionate share of the unconsolidated entities’ net income adjusted for the excluded and included items detailed in the table above.</w:t>
      </w:r>
    </w:p>
    <w:p>
      <w:pPr>
        <w:ind w:left="500" w:hanging="492"/>
        <w:spacing w:after="0"/>
        <w:tabs>
          <w:tab w:leader="none" w:pos="16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Net Income (Loss) is comprised of the following for the years ended December 31, 2017 and 2016: (i) equity-based compensation of $169 and $(1,561), (ii) provision for income tax of $16 and $29, (iii) loss on extinguishment of debt of $0 and $616, (iv) asset impairment charges of $0 and $3,725, (v) acquisition and transaction expense of $0 and $156, (vi) changes in fair value of non-hedge derivative instruments of $404 and $0, less (vii) cash tax payments of $31 and $20, respectively.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639"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years ended December 31, 2017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
        </w:trPr>
        <w:tc>
          <w:tcPr>
            <w:tcW w:w="6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20,198</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1,954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1,686</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 (income)</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5,015</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7,306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6,316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990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9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(1,022)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(1,025)</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9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514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514</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(3)</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96,417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30,761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38,827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18,957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19,870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(4)</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1,601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5,992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(4,391)</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(5)</w:t>
            </w:r>
          </w:p>
        </w:tc>
        <w:tc>
          <w:tcPr>
            <w:tcW w:w="9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(12,763)</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(14,653)</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1,890</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9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136,524</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69,028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67,496</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w:t>
      </w:r>
    </w:p>
    <w:p>
      <w:pPr>
        <w:spacing w:after="0" w:line="28" w:lineRule="exact"/>
        <w:rPr>
          <w:sz w:val="20"/>
          <w:szCs w:val="20"/>
          <w:color w:val="auto"/>
        </w:rPr>
      </w:pPr>
    </w:p>
    <w:p>
      <w:pPr>
        <w:ind w:left="500" w:right="20" w:hanging="492"/>
        <w:spacing w:after="0" w:line="225" w:lineRule="auto"/>
        <w:tabs>
          <w:tab w:leader="none" w:pos="149" w:val="left"/>
        </w:tabs>
        <w:numPr>
          <w:ilvl w:val="0"/>
          <w:numId w:val="23"/>
        </w:numPr>
        <w:rPr>
          <w:rFonts w:ascii="Arial" w:cs="Arial" w:eastAsia="Arial" w:hAnsi="Arial"/>
          <w:sz w:val="17"/>
          <w:szCs w:val="17"/>
          <w:color w:val="auto"/>
          <w:vertAlign w:val="superscript"/>
        </w:rPr>
      </w:pPr>
      <w:r>
        <w:rPr>
          <w:rFonts w:ascii="Arial" w:cs="Arial" w:eastAsia="Arial" w:hAnsi="Arial"/>
          <w:sz w:val="14"/>
          <w:szCs w:val="14"/>
          <w:color w:val="auto"/>
        </w:rPr>
        <w:t>Depreciation and amortization expense includes $88,110 and $60,210 of depreciation and amortization expense, $4,716 and $4,979 of lease intangible amortization, and $3,591 and $467 of amortization for lease incentives in the years ended December 31, 2017 and 2016, respectively.</w:t>
      </w:r>
    </w:p>
    <w:p>
      <w:pPr>
        <w:spacing w:after="0" w:line="152" w:lineRule="exact"/>
        <w:rPr>
          <w:rFonts w:ascii="Arial" w:cs="Arial" w:eastAsia="Arial" w:hAnsi="Arial"/>
          <w:sz w:val="17"/>
          <w:szCs w:val="17"/>
          <w:color w:val="auto"/>
          <w:vertAlign w:val="superscript"/>
        </w:rPr>
      </w:pPr>
    </w:p>
    <w:p>
      <w:pPr>
        <w:ind w:left="500" w:hanging="492"/>
        <w:spacing w:after="0"/>
        <w:tabs>
          <w:tab w:leader="none" w:pos="182"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Pro-rata share of Adjusted EBITDA from unconsolidated entities includes the following items for the years ended December 31, 2017 and 2016: (i) net loss of $1,786 and $6,161, (ii) interest expense of $785 and $1,323, (iii) depreciation and amortization expense of $758 and $2,966, and (iv) asset impairment charges of $0 and $3,068, respectively.</w:t>
      </w:r>
    </w:p>
    <w:p>
      <w:pPr>
        <w:spacing w:after="0" w:line="280" w:lineRule="exact"/>
        <w:rPr>
          <w:rFonts w:ascii="Arial" w:cs="Arial" w:eastAsia="Arial" w:hAnsi="Arial"/>
          <w:sz w:val="18"/>
          <w:szCs w:val="18"/>
          <w:color w:val="auto"/>
          <w:vertAlign w:val="superscript"/>
        </w:rPr>
      </w:pPr>
    </w:p>
    <w:p>
      <w:pPr>
        <w:ind w:left="500" w:hanging="492"/>
        <w:spacing w:after="0" w:line="229" w:lineRule="auto"/>
        <w:tabs>
          <w:tab w:leader="none" w:pos="163"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years ended December 31, 2017 and 2016: (i) equity based compensation of $169 and $(1,561), (ii) provision for income taxes of $16 and $29, (iii) interest expense of $5,030 and $5,124, (iv) depreciation and amortization expense of $7,144 and $6,564, (v) changes in fair value of non-hedge derivative instruments of $404 and $0, (vi) asset impairment charge of $0 and $3,725, (vii) loss on extinguishment of debt of $0 and $616, and (viii) transaction and acquisition expense of $0 and $156,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46"/>
        <w:spacing w:after="0" w:line="260" w:lineRule="auto"/>
        <w:rPr>
          <w:sz w:val="20"/>
          <w:szCs w:val="20"/>
          <w:color w:val="auto"/>
        </w:rPr>
      </w:pPr>
      <w:r>
        <w:rPr>
          <w:rFonts w:ascii="Arial" w:cs="Arial" w:eastAsia="Arial" w:hAnsi="Arial"/>
          <w:sz w:val="16"/>
          <w:szCs w:val="16"/>
          <w:color w:val="auto"/>
        </w:rPr>
        <w:t>For the year ended December 31, 2017 total revenues increased $68,939 compared to the year ended December 31, 2016 driven mainly by higher revenues in the Aviation, Offshore Energy and Ports and Terminals segments partially offset by lower revenues in the Jefferson Terminal segment.</w:t>
      </w:r>
    </w:p>
    <w:p>
      <w:pPr>
        <w:spacing w:after="0" w:line="88" w:lineRule="exact"/>
        <w:rPr>
          <w:sz w:val="20"/>
          <w:szCs w:val="20"/>
          <w:color w:val="auto"/>
        </w:rPr>
      </w:pPr>
    </w:p>
    <w:p>
      <w:pPr>
        <w:jc w:val="both"/>
        <w:ind w:firstLine="446"/>
        <w:spacing w:after="0" w:line="249" w:lineRule="auto"/>
        <w:rPr>
          <w:sz w:val="20"/>
          <w:szCs w:val="20"/>
          <w:color w:val="auto"/>
        </w:rPr>
      </w:pPr>
      <w:r>
        <w:rPr>
          <w:rFonts w:ascii="Arial" w:cs="Arial" w:eastAsia="Arial" w:hAnsi="Arial"/>
          <w:sz w:val="16"/>
          <w:szCs w:val="16"/>
          <w:color w:val="auto"/>
        </w:rPr>
        <w:t>In Equipment Leasing, lease income increased $29,800 in the year ended December 31, 2017 compared to the year ended December 31, 2016 driven by an increase in assets on lease in the Aviation Leasing segment coupled with vessels on hire in the Offshore Energy segment during the year ended December 31, 2017. Maintenance revenue increased by $36,954 in the year ended December 31, 2017 as compared to the year ended December 31, 2016 as we increased the number of aircraft and engines subject to leases with maintenance arrangements and the redelivery of two aircraft with end of lease compensation payments totaling $6,338 in the year ended December 31, 2017. Additionally, other revenues increased $2,484 mainly as a result of crew and insurance reimbursement income in the Offshore Energy segment.</w:t>
      </w:r>
    </w:p>
    <w:p>
      <w:pPr>
        <w:spacing w:after="0" w:line="97" w:lineRule="exact"/>
        <w:rPr>
          <w:sz w:val="20"/>
          <w:szCs w:val="20"/>
          <w:color w:val="auto"/>
        </w:rPr>
      </w:pPr>
    </w:p>
    <w:p>
      <w:pPr>
        <w:jc w:val="both"/>
        <w:ind w:firstLine="446"/>
        <w:spacing w:after="0" w:line="250" w:lineRule="auto"/>
        <w:rPr>
          <w:sz w:val="20"/>
          <w:szCs w:val="20"/>
          <w:color w:val="auto"/>
        </w:rPr>
      </w:pPr>
      <w:r>
        <w:rPr>
          <w:rFonts w:ascii="Arial" w:cs="Arial" w:eastAsia="Arial" w:hAnsi="Arial"/>
          <w:sz w:val="16"/>
          <w:szCs w:val="16"/>
          <w:color w:val="auto"/>
        </w:rPr>
        <w:t>In Infrastructure, other revenue increased $3,712 in the year ended December 31, 2017 compared to the year ended December 31, 2016 due to activity at Long Ridge, which was acquired in 2017. Rail revenues increased $1,770 in the year ended December 31, 2017 compared to the year ended December 31, 2016 due to an increase in traffic and expanded service offerings by our Railroad segment. Partially offsetting these increases was lower revenue of $5,673 in the year ended December 31, 2017 as compared to the year ended December 31, 2016 in the Jefferson Terminal segment due to a decrease in loading and unloading due to ongoing construction at the terminal and the conclusion of a long term take or pay contract.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For the year ended December 31, 2017, total expenses increased $76,222 compared to the year ended December 31, 2016 primarily due to increases in i) depreciation and amortization, ii) operating expenses and iii) interest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601" w:right="239" w:bottom="1440" w:gutter="0" w:footer="0" w:header="0"/>
        </w:sectPr>
      </w:pPr>
    </w:p>
    <w:bookmarkStart w:id="41" w:name="page42"/>
    <w:bookmarkEnd w:id="41"/>
    <w:p>
      <w:pPr>
        <w:jc w:val="both"/>
        <w:ind w:firstLine="486"/>
        <w:spacing w:after="0" w:line="260" w:lineRule="auto"/>
        <w:rPr>
          <w:sz w:val="20"/>
          <w:szCs w:val="20"/>
          <w:color w:val="auto"/>
        </w:rPr>
      </w:pPr>
      <w:r>
        <w:rPr>
          <w:rFonts w:ascii="Arial" w:cs="Arial" w:eastAsia="Arial" w:hAnsi="Arial"/>
          <w:sz w:val="16"/>
          <w:szCs w:val="16"/>
          <w:color w:val="auto"/>
        </w:rPr>
        <w:t>Depreciation and amortization increased $27,900 in the year ended December 31, 2017 compared to the year ended December 31, 2016 primarily due to additional assets acquired in the Aviation Leasing segment coupled with assets at Long Ridge and Repauno going into service.</w:t>
      </w:r>
    </w:p>
    <w:p>
      <w:pPr>
        <w:spacing w:after="0" w:line="88"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Operating expenses increased $26,216 in the year ended December 31, 2017 compared to the year ended December 31, 2016 primarily due to increases in i) compensation and benefits of $8,896 primarily reflecting an increase in equity-based compensation expense due to the reversal of an expense related to a forfeiture in 2016, ii) facility operations of $5,813 primarily in the Jefferson Terminal and Railroad segments due to increases in volume, iii) operating expenses of $4,149 related to the Offshore Energy segment, iv) professional fees of $4,031 related to an increase in activity and v) cost of sales of $1,977 reflecting the sale of butane in 2017.</w:t>
      </w:r>
    </w:p>
    <w:p>
      <w:pPr>
        <w:spacing w:after="0" w:line="95"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Interest expense increased $19,870 in the year ended December 31, 2017 compared to the year ended December 31, 2016 primarily due to the Senior Notes and Revolving Line of Credit entered into during 2017.</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(Expenses)</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Total other income (expense) increased $26,327 in the year ended December 31, 2017 compared to the year ended December 31, 2016 primarily due to higher gain on the sale of assets, net of $12,340, reflecting the sale of available-for-sale securities of an international oil and gas drilling contractor in the Offshore Energy segment. Also contributing to the increase was the asset impairment charge in 2016 of $7,450, where there was no asset impairment charge in 2017 and a decrease in the equity in losses of unconsolidated entities of $4,391.</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p>
    <w:p>
      <w:pPr>
        <w:spacing w:after="0" w:line="1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provision for income taxes increased $1,686 in the year ended December 31, 2017 compared to the year ended December 31, 2016 primarily as a result of an increase in net income attributable to the Company’s corporate subsidiaries subject to U.S. taxation at regular corporate rates.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w:t>
      </w:r>
    </w:p>
    <w:p>
      <w:pPr>
        <w:spacing w:after="0" w:line="129"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Net loss attributable to shareholders decreased $20,198 in the year ended December 31, 2017 compared to the year ended December 31, 2016 primarily due to the changes discussed above.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Income (Loss) (Non-GAAP)</w:t>
      </w:r>
    </w:p>
    <w:p>
      <w:pPr>
        <w:spacing w:after="0" w:line="129"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Adjusted Net Income was $10,401, an increase of $19,033 in the year ended December 31, 2017 compared to the year ended December 31, 2016. In addition to the changes in revenue, expenses and other expenses noted above, the increase in the period was driven by an increase in (i) equity based compensation of $5,015, (ii) pro-rata share of Adjusted Net Income from unconsolidated entities of $1,304, and (iii) non-controlling share of Adjusted Net income of $2,387. The increase was partially offset by a decrease in asset impairment charges of $7,450 and equity in losses of unconsolidated entities of $4,391.</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Adjusted EBITDA was $136,524 for the year ended December 31, 2017, increasing $67,496 compared to the year ended December 31, 2016. In addition to the changes in revenue, expenses and other losses noted above, which resulted in a net income attributable to shareholders, the change was primarily due to (i) depreciation and amortization expense, (ii) interest expense, (iii) the pro-rata share of Adjusted EBITDA from unconsolidated entities, (iv) lower equity-based compensation, (v) lower non-controlling share of Adjusted EBITDA, and (vi) equity in earnings of unconsolidated entities.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493"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00497F"/>
        </w:rPr>
        <w:t>Aviation Leasing Segment</w:t>
      </w:r>
    </w:p>
    <w:p>
      <w:pPr>
        <w:spacing w:after="0" w:line="24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As of December 31, 2017, in our Aviation Leasing segment, we own and manage 158 aviation assets, including 48 aircraft and 110 commercial jet engines.</w:t>
      </w:r>
    </w:p>
    <w:p>
      <w:pPr>
        <w:spacing w:after="0" w:line="8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As of December 31, 2017, 46 of our commercial aircraft and 76 of our jet engines were leased to operators or other third parties. Aviation assets currently off lease are either undergoing repair and/or maintenance, being prepared to go on lease or held in short term storage awaiting a future lease. Our aviation equipment was approximately 86% utilized as of December 31, 2017, based on the equity value of our on-hire leasing equipment as a percentage of the total equity value of our aviation leasing equipment. Our aircraft currently have a weighted average remaining lease term of 32 months, and our engines currently on-lease have an average remaining lease term of 11 months. The table below provides additional information on the assets in our Aviation Leasing segment: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2300" w:type="dxa"/>
            <w:vAlign w:val="bottom"/>
            <w:gridSpan w:val="2"/>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2260" w:type="dxa"/>
            <w:vAlign w:val="bottom"/>
            <w:gridSpan w:val="2"/>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4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7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2017</w:t>
            </w:r>
          </w:p>
        </w:tc>
        <w:tc>
          <w:tcPr>
            <w:tcW w:w="218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4"/>
                <w:szCs w:val="24"/>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76"/>
        </w:trPr>
        <w:tc>
          <w:tcPr>
            <w:tcW w:w="4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2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50"/>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2017</w:t>
            </w:r>
          </w:p>
        </w:tc>
        <w:tc>
          <w:tcPr>
            <w:tcW w:w="2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1"/>
                <w:szCs w:val="21"/>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w:t>
            </w:r>
          </w:p>
        </w:tc>
      </w:tr>
      <w:tr>
        <w:trPr>
          <w:trHeight w:val="554"/>
        </w:trPr>
        <w:tc>
          <w:tcPr>
            <w:tcW w:w="40" w:type="dxa"/>
            <w:vAlign w:val="bottom"/>
          </w:tcPr>
          <w:p>
            <w:pPr>
              <w:spacing w:after="0"/>
              <w:rPr>
                <w:sz w:val="24"/>
                <w:szCs w:val="2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99"/>
              </w:rPr>
              <w:t>Engines</w:t>
            </w:r>
          </w:p>
        </w:tc>
        <w:tc>
          <w:tcPr>
            <w:tcW w:w="4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2017</w:t>
            </w:r>
          </w:p>
        </w:tc>
        <w:tc>
          <w:tcPr>
            <w:tcW w:w="218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4"/>
                <w:szCs w:val="24"/>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66</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6"/>
        </w:trPr>
        <w:tc>
          <w:tcPr>
            <w:tcW w:w="4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2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50"/>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2017</w:t>
            </w:r>
          </w:p>
        </w:tc>
        <w:tc>
          <w:tcPr>
            <w:tcW w:w="2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w:t>
            </w:r>
          </w:p>
        </w:tc>
        <w:tc>
          <w:tcPr>
            <w:tcW w:w="120" w:type="dxa"/>
            <w:vAlign w:val="bottom"/>
          </w:tcPr>
          <w:p>
            <w:pPr>
              <w:spacing w:after="0"/>
              <w:rPr>
                <w:sz w:val="21"/>
                <w:szCs w:val="21"/>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w:t>
            </w:r>
          </w:p>
        </w:tc>
      </w:tr>
      <w:tr>
        <w:trPr>
          <w:trHeight w:val="63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180" w:type="dxa"/>
            <w:vAlign w:val="bottom"/>
          </w:tcPr>
          <w:p>
            <w:pPr>
              <w:jc w:val="right"/>
              <w:ind w:right="100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365" w:right="239" w:bottom="1440" w:gutter="0" w:footer="0" w:header="0"/>
        </w:sectPr>
      </w:pPr>
    </w:p>
    <w:bookmarkStart w:id="43" w:name="page44"/>
    <w:bookmarkEnd w:id="43"/>
    <w:p>
      <w:pPr>
        <w:ind w:left="500"/>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Aviation Leasing segment for the years ended December 31, 2017 and December 31,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91,103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25,079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65,651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28,697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36,954</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156,793</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95,408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61,385</w:t>
            </w:r>
          </w:p>
        </w:tc>
      </w:tr>
      <w:tr>
        <w:trPr>
          <w:trHeight w:val="297"/>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6,247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1,638</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441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361</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61,795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36,369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25,426</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68,483</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41,058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27,425</w:t>
            </w:r>
          </w:p>
        </w:tc>
      </w:tr>
      <w:tr>
        <w:trPr>
          <w:trHeight w:val="297"/>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Other income</w:t>
            </w: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Gain on sale of assets, net</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7,188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5,214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1,974</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297</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w:t>
            </w: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6,209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5,356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853</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9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94,519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59,706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34,813</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1,966</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1,699</w:t>
            </w: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9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92,553</w:t>
            </w: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59,439</w:t>
            </w: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33,114</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697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98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91,856</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59,004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32,852</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980" w:type="dxa"/>
            <w:vAlign w:val="bottom"/>
          </w:tcPr>
          <w:p>
            <w:pPr>
              <w:spacing w:after="0"/>
              <w:rPr>
                <w:sz w:val="21"/>
                <w:szCs w:val="21"/>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1,966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1,699</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9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441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361</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9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9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r>
              <w:rPr>
                <w:rFonts w:ascii="Arial" w:cs="Arial" w:eastAsia="Arial" w:hAnsi="Arial"/>
                <w:sz w:val="17"/>
                <w:szCs w:val="17"/>
                <w:color w:val="auto"/>
                <w:vertAlign w:val="superscript"/>
              </w:rPr>
              <w:t>(1)</w:t>
            </w:r>
          </w:p>
        </w:tc>
        <w:tc>
          <w:tcPr>
            <w:tcW w:w="98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(1,276)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(1,276)</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9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9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(1,626)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(1,043)</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1,276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1,276</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9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98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92,637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33,869</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firstLine="8"/>
        <w:spacing w:after="0" w:line="218" w:lineRule="auto"/>
        <w:tabs>
          <w:tab w:leader="none" w:pos="155"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Pro-rata share of Adjusted Net Income from unconsolidated entities includes Aviation’s proportionate share of the unconsolidated entities’ net income adjusted for the excluded and included items detailed in the table above, for which there were no adjustments.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385" w:right="239" w:bottom="1440" w:gutter="0" w:footer="0" w:header="0"/>
        </w:sectPr>
      </w:pPr>
    </w:p>
    <w:bookmarkStart w:id="44" w:name="page45"/>
    <w:bookmarkEnd w:id="44"/>
    <w:p>
      <w:pPr>
        <w:ind w:firstLine="486"/>
        <w:spacing w:after="0" w:line="260" w:lineRule="auto"/>
        <w:rPr>
          <w:sz w:val="20"/>
          <w:szCs w:val="20"/>
          <w:color w:val="auto"/>
        </w:rPr>
      </w:pPr>
      <w:r>
        <w:rPr>
          <w:rFonts w:ascii="Arial" w:cs="Arial" w:eastAsia="Arial" w:hAnsi="Arial"/>
          <w:sz w:val="16"/>
          <w:szCs w:val="16"/>
          <w:color w:val="auto"/>
        </w:rPr>
        <w:t>The following table sets forth a reconciliation of net income attributable to shareholders to Adjusted EBITDA for the Aviation Leasing segment for the years ended December 31, 2017 and December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91,856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59,004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32,852</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1,966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9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441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9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9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9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(1)</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70,102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28,286</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9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r>
              <w:rPr>
                <w:rFonts w:ascii="Arial" w:cs="Arial" w:eastAsia="Arial" w:hAnsi="Arial"/>
                <w:sz w:val="17"/>
                <w:szCs w:val="17"/>
                <w:color w:val="auto"/>
                <w:vertAlign w:val="superscript"/>
              </w:rPr>
              <w:t>(2)</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1,276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r>
              <w:rPr>
                <w:rFonts w:ascii="Arial" w:cs="Arial" w:eastAsia="Arial" w:hAnsi="Arial"/>
                <w:sz w:val="17"/>
                <w:szCs w:val="17"/>
                <w:color w:val="auto"/>
                <w:vertAlign w:val="superscript"/>
              </w:rPr>
              <w:t>(3)</w:t>
            </w:r>
          </w:p>
        </w:tc>
        <w:tc>
          <w:tcPr>
            <w:tcW w:w="9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(537)</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9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163,828</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101,003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62,825</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4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500" w:hanging="492"/>
        <w:spacing w:after="0" w:line="211" w:lineRule="auto"/>
        <w:tabs>
          <w:tab w:leader="none" w:pos="162"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includes $61,795 and $36,369 of depreciation expense, $4,716 and $4,979 of lease intangible amortization, and $3,591 and $468 of amortization for lease incentives in the years ended December 31, 2017 and 2016, respectively.</w:t>
      </w:r>
    </w:p>
    <w:p>
      <w:pPr>
        <w:ind w:left="500" w:right="20" w:hanging="492"/>
        <w:spacing w:after="0" w:line="211" w:lineRule="auto"/>
        <w:tabs>
          <w:tab w:leader="none" w:pos="162"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Aviation Leasing’s pro-rata share of Adjusted EBITDA from unconsolidated entities includes net loss of $1,276 and $0 for the years ended December 31, 2017 and 2016, respectively.</w:t>
      </w:r>
    </w:p>
    <w:p>
      <w:pPr>
        <w:ind w:left="500" w:hanging="492"/>
        <w:spacing w:after="0" w:line="218" w:lineRule="auto"/>
        <w:tabs>
          <w:tab w:leader="none" w:pos="17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depreciation and lease amortization expense of $537 and $164 for the years ended December 31, 2017 and 2016,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revenues increased $61,385 in the year ended December 31, 2017 compared to the year ended December 31, 2016, driven by higher lease income and maintenance revenue partially offset by a decrease in other revenue. Lease income increased $25,079 in the year ended December 31, 2017 compared to the year ended December 31, 2016 mainly due to an increase in (i) aircraft lease income of $9,382 primarily driven by the addition of 26 aircraft on lease (ii) engine lease income of $15,697 primarily driven by an additional 45 revenue generating engines in the year ended December 31, 2017 compared to year ended December 31, 2016. Maintenance revenue was $36,954 higher in the year ended December 31, 2017 compared to the year ended December 31, 2016 due to an increase in the number of aircraft and engines on lease, and the receipt of end-of-lease compensation for two aircraft. Other revenue decreased $648 primarily due to fewer forfeited security deposits included in earnings in the year ended December 31, 2017 compared to the year ended December 31, 2016.</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expenses increased $27,425 in the year ended December 31, 2017 compared to the year ended December 31, 2016, primarily due to an increase in depreciation and amortization expense. Depreciation and amortization expense increased $25,426 driven by additional aircraft and engines owned and on lease in the year ended December 31, 2017 compared to the year ended December 31, 2016. Operating expenses increased $1,638 in the year ended December 31, 2017 compared to the year ended December 31, 2016, primarily the result of increases in professional fee expenses of $902, shipping and storage fees of $565 due to the positioning of our assets for lease, and $171 of other expenses due to growth of the Aviation Leasing segment. Acquisition and transaction expenses increased $361 in the year ended December 31, 2017 compared to the year ended December 31, 2016, reflecting higher deal costs in the Aviation Leasing segment.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w:t>
      </w:r>
    </w:p>
    <w:p>
      <w:pPr>
        <w:spacing w:after="0" w:line="2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Total other income increased $853 in the year ended December 31, 2017 compared to the year ended December 31, 2016, driven by the gain on sale of assets, partially offset by losses incurred by the advanced engine repair JV of $(1,276).</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p>
    <w:p>
      <w:pPr>
        <w:spacing w:after="0" w:line="1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Total provision for income taxes increased $1,699 in year ended December 31, 2017 compared to the year ended December 31, 2016, primarily as a result of an increase in net income attributable to the Company’s corporate subsidiaries subject to U.S. taxation at regular corporate rates.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384"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i w:val="1"/>
          <w:iCs w:val="1"/>
          <w:color w:val="auto"/>
        </w:rPr>
        <w:t>Adjusted Net Income</w:t>
      </w:r>
    </w:p>
    <w:p>
      <w:pPr>
        <w:spacing w:after="0" w:line="12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Adjusted Net Income was $92,637 in the year ended December 31, 2017 increasing $33,869 compared to the year ended December 31, 2016 primarily driven by the changes to net income attributable to shareholders noted above, and cash payments for income taxes due to the Company’s corporate subsidiaries subject to U.S. taxation at regular corporate rates.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Adjusted EBITDA was $163,828 for the year ended December 31, 2017 increasing $62,825 compared to the year ended December 31, 2016. In addition to the changes in net income attributable to shareholders noted above, this movement was primarily due to higher depreciation and amortization expense for the additional aircraft and engines owned and on lease, and higher provision for income taxes due to changes noted above in the year ended December 31, 2017, partially offset by an increase in the non-controlling interest share of Adjusted EBITDA.</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Offshore Energy Segment</w:t>
      </w:r>
    </w:p>
    <w:p>
      <w:pPr>
        <w:spacing w:after="0" w:line="133"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16"/>
          <w:szCs w:val="16"/>
          <w:color w:val="auto"/>
        </w:rPr>
        <w:t>In our Offshore Energy segment, we own one remotely operated vehicle (“ROV”) support vessel, one construction support vessel and one anchor handling tug supply (“AHTS”) vessel. The chart below describes the assets in our Offshore Energy segment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54875" cy="1149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149350"/>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Offshore Energy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Borders>
              <w:top w:val="single" w:sz="8" w:color="auto"/>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Asset Type</w:t>
            </w:r>
          </w:p>
        </w:tc>
        <w:tc>
          <w:tcPr>
            <w:tcW w:w="12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Year Built</w:t>
            </w:r>
          </w:p>
        </w:tc>
        <w:tc>
          <w:tcPr>
            <w:tcW w:w="5700" w:type="dxa"/>
            <w:vAlign w:val="bottom"/>
            <w:tcBorders>
              <w:top w:val="single" w:sz="8" w:color="auto"/>
              <w:bottom w:val="single" w:sz="8" w:color="auto"/>
              <w:right w:val="single" w:sz="8" w:color="auto"/>
            </w:tcBorders>
            <w:shd w:val="clear" w:color="auto" w:fill="D8D8D8"/>
          </w:tcPr>
          <w:p>
            <w:pPr>
              <w:ind w:left="2480"/>
              <w:spacing w:after="0"/>
              <w:rPr>
                <w:sz w:val="20"/>
                <w:szCs w:val="20"/>
                <w:color w:val="auto"/>
              </w:rPr>
            </w:pPr>
            <w:r>
              <w:rPr>
                <w:rFonts w:ascii="Arial" w:cs="Arial" w:eastAsia="Arial" w:hAnsi="Arial"/>
                <w:sz w:val="14"/>
                <w:szCs w:val="14"/>
                <w:color w:val="auto"/>
              </w:rPr>
              <w:t>Description</w:t>
            </w:r>
          </w:p>
        </w:tc>
        <w:tc>
          <w:tcPr>
            <w:tcW w:w="2040" w:type="dxa"/>
            <w:vAlign w:val="bottom"/>
            <w:tcBorders>
              <w:top w:val="single" w:sz="8" w:color="auto"/>
              <w:bottom w:val="single" w:sz="8" w:color="auto"/>
            </w:tcBorders>
            <w:shd w:val="clear" w:color="auto" w:fill="D8D8D8"/>
          </w:tcPr>
          <w:p>
            <w:pPr>
              <w:ind w:left="320"/>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AHTS Vessel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2010</w:t>
            </w:r>
          </w:p>
        </w:tc>
        <w:tc>
          <w:tcPr>
            <w:tcW w:w="57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44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57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color w:val="auto"/>
              </w:rPr>
              <w:t>and a total bollard pull of 68.5 tons</w:t>
            </w:r>
          </w:p>
        </w:tc>
        <w:tc>
          <w:tcPr>
            <w:tcW w:w="20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44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5700" w:type="dxa"/>
            <w:vAlign w:val="bottom"/>
            <w:tcBorders>
              <w:bottom w:val="single" w:sz="8" w:color="auto"/>
              <w:right w:val="single" w:sz="8" w:color="auto"/>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57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DP-3 construction support and well intervention vessel with</w:t>
            </w: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Construction Support Vessel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2014</w:t>
            </w:r>
          </w:p>
        </w:tc>
        <w:tc>
          <w:tcPr>
            <w:tcW w:w="57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250-ton main crane, 2,000 square meter open deck space, moon pool and</w:t>
            </w:r>
          </w:p>
        </w:tc>
        <w:tc>
          <w:tcPr>
            <w:tcW w:w="2040" w:type="dxa"/>
            <w:vAlign w:val="bottom"/>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57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accommodation for 100 personnel</w:t>
            </w:r>
          </w:p>
        </w:tc>
        <w:tc>
          <w:tcPr>
            <w:tcW w:w="2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ROV Support Vessel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2011</w:t>
            </w:r>
          </w:p>
        </w:tc>
        <w:tc>
          <w:tcPr>
            <w:tcW w:w="57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DP-2 dive and ROV support vessel with 50-ton crane, moon pool and accommodation</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100%</w:t>
            </w:r>
            <w:r>
              <w:rPr>
                <w:rFonts w:ascii="Arial" w:cs="Arial" w:eastAsia="Arial" w:hAnsi="Arial"/>
                <w:sz w:val="17"/>
                <w:szCs w:val="17"/>
                <w:color w:val="auto"/>
                <w:w w:val="99"/>
                <w:vertAlign w:val="superscript"/>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44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5700" w:type="dxa"/>
            <w:vAlign w:val="bottom"/>
            <w:tcBorders>
              <w:bottom w:val="single" w:sz="8" w:color="auto"/>
              <w:right w:val="single" w:sz="8" w:color="auto"/>
            </w:tcBorders>
          </w:tcPr>
          <w:p>
            <w:pPr>
              <w:ind w:left="160"/>
              <w:spacing w:after="0" w:line="135" w:lineRule="exact"/>
              <w:rPr>
                <w:sz w:val="20"/>
                <w:szCs w:val="20"/>
                <w:color w:val="auto"/>
              </w:rPr>
            </w:pPr>
            <w:r>
              <w:rPr>
                <w:rFonts w:ascii="Arial" w:cs="Arial" w:eastAsia="Arial" w:hAnsi="Arial"/>
                <w:sz w:val="14"/>
                <w:szCs w:val="14"/>
                <w:color w:val="auto"/>
              </w:rPr>
              <w:t>for 120 personnel</w:t>
            </w:r>
          </w:p>
        </w:tc>
        <w:tc>
          <w:tcPr>
            <w:tcW w:w="2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w:t>
      </w:r>
    </w:p>
    <w:p>
      <w:pPr>
        <w:spacing w:after="0" w:line="1" w:lineRule="exact"/>
        <w:rPr>
          <w:sz w:val="20"/>
          <w:szCs w:val="20"/>
          <w:color w:val="auto"/>
        </w:rPr>
      </w:pPr>
    </w:p>
    <w:p>
      <w:pPr>
        <w:jc w:val="both"/>
        <w:ind w:right="40"/>
        <w:spacing w:after="0" w:line="258" w:lineRule="auto"/>
        <w:rPr>
          <w:sz w:val="20"/>
          <w:szCs w:val="20"/>
          <w:color w:val="auto"/>
        </w:rPr>
      </w:pPr>
      <w:r>
        <w:rPr>
          <w:rFonts w:ascii="Arial" w:cs="Arial" w:eastAsia="Arial" w:hAnsi="Arial"/>
          <w:sz w:val="14"/>
          <w:szCs w:val="14"/>
          <w:color w:val="auto"/>
        </w:rPr>
        <w:t>*The increase in economic interest in the third quarter of 2017 for the ROV support vessel reflects the transfer of the non-controlling interest to the Company as part of the settlement arrangement as more fully discussed in Note 2 and Note 8 of the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40"/>
          </w:cols>
          <w:pgMar w:left="240" w:top="477" w:right="219" w:bottom="1440" w:gutter="0" w:footer="0" w:header="0"/>
        </w:sectPr>
      </w:pPr>
    </w:p>
    <w:bookmarkStart w:id="46" w:name="page47"/>
    <w:bookmarkEnd w:id="46"/>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for the Offshore Energy segment for the years ended December 31, 2017 and December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8,433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102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1,536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0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3,138</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3,132</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13,107</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5,328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7,779</w:t>
            </w:r>
          </w:p>
        </w:tc>
      </w:tr>
      <w:tr>
        <w:trPr>
          <w:trHeight w:val="297"/>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15,833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6,427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6,411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3,670</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25,930</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21,172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4,758</w:t>
            </w:r>
          </w:p>
        </w:tc>
      </w:tr>
      <w:tr>
        <w:trPr>
          <w:trHeight w:val="297"/>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assets, net</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11,405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11,405</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Asset impairment</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7,450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102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1,093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1,093</w:t>
            </w:r>
          </w:p>
        </w:tc>
      </w:tr>
      <w:tr>
        <w:trPr>
          <w:trHeight w:val="250"/>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12,513</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(7,437)</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19,950</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2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(310)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(23,281)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22,971</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10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(321)</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(23,281)</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22,960</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0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(526)</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3,842</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(18,913)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19,118</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7,450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(7,450)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7"/>
                <w:szCs w:val="17"/>
                <w:color w:val="auto"/>
                <w:vertAlign w:val="superscript"/>
              </w:rPr>
              <w:t>(1)</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3,725</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102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216</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(15,188)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15,404</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ind w:left="160" w:hanging="152"/>
        <w:spacing w:after="0" w:line="205" w:lineRule="auto"/>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Net Income (Loss) is comprised of asset impairment charges of $0 and $3,725 for the years ended December 31, 2017 and 2016, respectively.</w:t>
      </w:r>
    </w:p>
    <w:p>
      <w:pPr>
        <w:spacing w:after="0" w:line="233" w:lineRule="exact"/>
        <w:rPr>
          <w:rFonts w:ascii="Arial" w:cs="Arial" w:eastAsia="Arial" w:hAnsi="Arial"/>
          <w:sz w:val="18"/>
          <w:szCs w:val="18"/>
          <w:color w:val="auto"/>
          <w:vertAlign w:val="superscript"/>
        </w:rPr>
      </w:pPr>
    </w:p>
    <w:p>
      <w:pPr>
        <w:ind w:left="5640"/>
        <w:spacing w:after="0"/>
        <w:rPr>
          <w:rFonts w:ascii="Arial" w:cs="Arial" w:eastAsia="Arial" w:hAnsi="Arial"/>
          <w:sz w:val="18"/>
          <w:szCs w:val="18"/>
          <w:color w:val="auto"/>
          <w:vertAlign w:val="superscript"/>
        </w:rPr>
      </w:pPr>
      <w:r>
        <w:rPr>
          <w:rFonts w:ascii="Arial" w:cs="Arial" w:eastAsia="Arial" w:hAnsi="Arial"/>
          <w:sz w:val="14"/>
          <w:szCs w:val="14"/>
          <w:color w:val="auto"/>
        </w:rPr>
        <w:t>47</w:t>
      </w:r>
    </w:p>
    <w:p>
      <w:pPr>
        <w:sectPr>
          <w:pgSz w:w="11900" w:h="16838" w:orient="portrait"/>
          <w:cols w:equalWidth="0" w:num="1">
            <w:col w:w="11420"/>
          </w:cols>
          <w:pgMar w:left="240" w:top="398" w:right="239" w:bottom="1440" w:gutter="0" w:footer="0" w:header="0"/>
        </w:sectPr>
      </w:pPr>
    </w:p>
    <w:bookmarkStart w:id="47" w:name="page48"/>
    <w:bookmarkEnd w:id="47"/>
    <w:p>
      <w:pPr>
        <w:ind w:right="160" w:firstLine="486"/>
        <w:spacing w:after="0" w:line="260" w:lineRule="auto"/>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 for the Offshore Energy segment for the year ended December 31, 2017 and December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
        </w:trPr>
        <w:tc>
          <w:tcPr>
            <w:tcW w:w="6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(18,913)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19,118</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2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6,427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2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3,670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10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(247)</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(4,084)</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3,837</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10,066</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(5,389)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15,455</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ind w:left="140" w:hanging="132"/>
        <w:spacing w:after="0" w:line="218" w:lineRule="auto"/>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Non-controlling share of Adjusted EBITDA is comprised of the following items for the years ended December 31, 2017 and 2016: (i) depreciation expense of $165 and $245,</w:t>
      </w:r>
    </w:p>
    <w:p>
      <w:pPr>
        <w:ind w:left="700" w:hanging="206"/>
        <w:spacing w:after="0"/>
        <w:tabs>
          <w:tab w:leader="none" w:pos="700" w:val="left"/>
        </w:tabs>
        <w:numPr>
          <w:ilvl w:val="1"/>
          <w:numId w:val="27"/>
        </w:numPr>
        <w:rPr>
          <w:rFonts w:ascii="Arial" w:cs="Arial" w:eastAsia="Arial" w:hAnsi="Arial"/>
          <w:sz w:val="14"/>
          <w:szCs w:val="14"/>
          <w:color w:val="auto"/>
        </w:rPr>
      </w:pPr>
      <w:r>
        <w:rPr>
          <w:rFonts w:ascii="Arial" w:cs="Arial" w:eastAsia="Arial" w:hAnsi="Arial"/>
          <w:sz w:val="14"/>
          <w:szCs w:val="14"/>
          <w:color w:val="auto"/>
        </w:rPr>
        <w:t>interest expense of $82 and $114, and (iii) asset impairment charges of $0 and $3,725,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Total revenues increased $7,779 in the year ended December 31, 2017 compared to the year ended December 31, 2016, primarily due to higher lease income and other revenue. For the year ended December 31, 2017, the offshore construction support vessel was on hire with a long-term lease arrangement that terminated in November 2017, compared to the year ended December 31, 2016 when the vessel was subject to short-term lease arrangements. For the year ended December 31, 2017, the ROV support vessel was on hire with a long-term lease arrangement, as compared to year ended December 31, 2016 when the long-term lease arrangement for the ROV support vessel was terminated in February 2016 resulting in lower lease income from short-term lease arrangements for the remainder of the year. Other revenue increased $3,132 in the year ended December 31, 2017 as compared to the year ended December 31, 2016, primarily due to the crew provisions reimbursement income for the offshore construction support vessel.</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Total expenses increased $4,758 in the year ended December 31, 2017 compared to the year ended December 31, 2016, primarily due to increases in operating expenses.</w:t>
      </w:r>
    </w:p>
    <w:p>
      <w:pPr>
        <w:spacing w:after="0" w:line="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For the year ended December 31, 2017, operating expenses increased $4,819 compared to the year ended December 31, 2016. The increase reflected higher (i) crew costs of $1,919, (ii) legal fees of $1,284, (iii) projects costs of $847, (iv) other operating expenses of $509 and (v) mobilization and costs for spare parts of $260 in the year ended December 31, 2017 as compared to the year ended December 31, 2016.</w:t>
      </w:r>
    </w:p>
    <w:p>
      <w:pPr>
        <w:spacing w:after="0" w:line="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During the year ended December 31, 2017, there was $4,781 and $1,646 of depreciation expense related to the construction support vessel and ROV support vessel, respectively. During the year ended December 31, 2016, there was $4,776 and $1,635 of depreciation expense related to the construction support vessel and ROV support vessel, respectively.</w:t>
      </w:r>
    </w:p>
    <w:p>
      <w:pPr>
        <w:spacing w:after="0" w:line="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During the year ended December 31, 2017, there was $3,577 and $93 of interest expense primarily related to financing for the construction support vessel and ROV support vessel, respectively. During the year ended December 31, 2016, there was $3,634 and $113 of interest expense related to financing for the construction support vessel and ROV support vessel, respectively. The note relating to the ROV support vessel was settled during the third quarter of 2017 due to the transfer of interests from the non-controlling interest holder to the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601"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i w:val="1"/>
          <w:iCs w:val="1"/>
          <w:color w:val="auto"/>
        </w:rPr>
        <w:t>Other Income (Expense)</w:t>
      </w:r>
    </w:p>
    <w:p>
      <w:pPr>
        <w:spacing w:after="0" w:line="129" w:lineRule="exact"/>
        <w:rPr>
          <w:sz w:val="20"/>
          <w:szCs w:val="20"/>
          <w:color w:val="auto"/>
        </w:rPr>
      </w:pPr>
    </w:p>
    <w:p>
      <w:pPr>
        <w:jc w:val="both"/>
        <w:ind w:right="20" w:firstLine="486"/>
        <w:spacing w:after="0" w:line="249" w:lineRule="auto"/>
        <w:rPr>
          <w:sz w:val="20"/>
          <w:szCs w:val="20"/>
          <w:color w:val="auto"/>
        </w:rPr>
      </w:pPr>
      <w:r>
        <w:rPr>
          <w:rFonts w:ascii="Arial" w:cs="Arial" w:eastAsia="Arial" w:hAnsi="Arial"/>
          <w:sz w:val="16"/>
          <w:szCs w:val="16"/>
          <w:color w:val="auto"/>
        </w:rPr>
        <w:t>Total other income (expense) increased $19,950 in the year ended December 31, 2017 compared to the year ended December 31, 2016, primarily due to the sale of available-for-sale securities of an international oil and gas drilling contractor resulting in a gain of $11,405. Also contributing to the increase is the transfer of interests from the non-controlling interest holder to the Company as settlement for a note receivable, resulting in a gain of $1,093 in the third quarter of 2017. Additionally, there was an asset impairment of $7,450 in the year ended December 31, 2016, and there was no impairment in 2017. In July 2016, the shipbuilder delivered a notice of termination of the ship building contract for MT6015 resulting in the impairment of the investment in the year ended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Income (Loss)</w:t>
      </w:r>
    </w:p>
    <w:p>
      <w:pPr>
        <w:spacing w:after="0" w:line="237" w:lineRule="exact"/>
        <w:rPr>
          <w:sz w:val="20"/>
          <w:szCs w:val="20"/>
          <w:color w:val="auto"/>
        </w:rPr>
      </w:pPr>
    </w:p>
    <w:p>
      <w:pPr>
        <w:jc w:val="both"/>
        <w:ind w:right="40" w:firstLine="486"/>
        <w:spacing w:after="0" w:line="253" w:lineRule="auto"/>
        <w:rPr>
          <w:sz w:val="20"/>
          <w:szCs w:val="20"/>
          <w:color w:val="auto"/>
        </w:rPr>
      </w:pPr>
      <w:r>
        <w:rPr>
          <w:rFonts w:ascii="Arial" w:cs="Arial" w:eastAsia="Arial" w:hAnsi="Arial"/>
          <w:sz w:val="16"/>
          <w:szCs w:val="16"/>
          <w:color w:val="auto"/>
        </w:rPr>
        <w:t>Adjusted Net Income was $216 in the year ended December 31, 2017, an increase of $15,404 as compared to the year ended December 31, 2016. The increase is primarily due to the changes to net income attributable to shareholders described above, partially offset by the net impact of the impairment recorded in the second quarter of 2016 for the MT6015 vessel.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6"/>
          <w:szCs w:val="16"/>
          <w:color w:val="auto"/>
        </w:rPr>
        <w:t>Adjusted EBITDA increased by $15,455 in the year ended December 31, 2017 as compared to the year ended December 31, 2016, due to an increase in net income attributable to shareholders of $19,118 as noted above. This was offset by the asset impairment charge recorded during 2016, for the purchase of the MT6015 vessel.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Shipping Containers Segment</w:t>
      </w:r>
    </w:p>
    <w:p>
      <w:pPr>
        <w:spacing w:after="0" w:line="133" w:lineRule="exact"/>
        <w:rPr>
          <w:sz w:val="20"/>
          <w:szCs w:val="20"/>
          <w:color w:val="auto"/>
        </w:rPr>
      </w:pPr>
    </w:p>
    <w:p>
      <w:pPr>
        <w:jc w:val="both"/>
        <w:ind w:right="20" w:firstLine="446"/>
        <w:spacing w:after="0" w:line="260" w:lineRule="auto"/>
        <w:rPr>
          <w:sz w:val="20"/>
          <w:szCs w:val="20"/>
          <w:color w:val="auto"/>
        </w:rPr>
      </w:pPr>
      <w:r>
        <w:rPr>
          <w:rFonts w:ascii="Arial" w:cs="Arial" w:eastAsia="Arial" w:hAnsi="Arial"/>
          <w:sz w:val="16"/>
          <w:szCs w:val="16"/>
          <w:color w:val="auto"/>
        </w:rPr>
        <w:t>In our Shipping Containers segment we own, through a joint venture, interests in approximately 34,000 maritime shipping containers and related equipment. The chart below describes the assets in our Shipping Containers segment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54875" cy="848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848995"/>
                    </a:xfrm>
                    <a:prstGeom prst="rect">
                      <a:avLst/>
                    </a:prstGeom>
                    <a:noFill/>
                  </pic:spPr>
                </pic:pic>
              </a:graphicData>
            </a:graphic>
          </wp:anchor>
        </w:drawing>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Shipping Containers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Borders>
              <w:top w:val="single" w:sz="8" w:color="auto"/>
              <w:bottom w:val="single" w:sz="8" w:color="auto"/>
              <w:right w:val="single" w:sz="8" w:color="auto"/>
            </w:tcBorders>
            <w:shd w:val="clear" w:color="auto" w:fill="D8D8D8"/>
          </w:tcPr>
          <w:p>
            <w:pPr>
              <w:jc w:val="right"/>
              <w:ind w:right="648"/>
              <w:spacing w:after="0"/>
              <w:rPr>
                <w:sz w:val="20"/>
                <w:szCs w:val="20"/>
                <w:color w:val="auto"/>
              </w:rPr>
            </w:pPr>
            <w:r>
              <w:rPr>
                <w:rFonts w:ascii="Arial" w:cs="Arial" w:eastAsia="Arial" w:hAnsi="Arial"/>
                <w:sz w:val="14"/>
                <w:szCs w:val="14"/>
                <w:color w:val="auto"/>
              </w:rPr>
              <w:t>Number of Containers</w:t>
            </w:r>
          </w:p>
        </w:tc>
        <w:tc>
          <w:tcPr>
            <w:tcW w:w="1720" w:type="dxa"/>
            <w:vAlign w:val="bottom"/>
            <w:tcBorders>
              <w:top w:val="single" w:sz="8" w:color="auto"/>
              <w:bottom w:val="single" w:sz="8" w:color="auto"/>
              <w:right w:val="single" w:sz="8" w:color="auto"/>
            </w:tcBorders>
            <w:shd w:val="clear" w:color="auto" w:fill="D8D8D8"/>
          </w:tcPr>
          <w:p>
            <w:pPr>
              <w:ind w:left="700"/>
              <w:spacing w:after="0"/>
              <w:rPr>
                <w:sz w:val="20"/>
                <w:szCs w:val="20"/>
                <w:color w:val="auto"/>
              </w:rPr>
            </w:pPr>
            <w:r>
              <w:rPr>
                <w:rFonts w:ascii="Arial" w:cs="Arial" w:eastAsia="Arial" w:hAnsi="Arial"/>
                <w:sz w:val="14"/>
                <w:szCs w:val="14"/>
                <w:color w:val="auto"/>
              </w:rPr>
              <w:t>Type</w:t>
            </w:r>
          </w:p>
        </w:tc>
        <w:tc>
          <w:tcPr>
            <w:tcW w:w="1420" w:type="dxa"/>
            <w:vAlign w:val="bottom"/>
            <w:tcBorders>
              <w:top w:val="single" w:sz="8" w:color="auto"/>
              <w:bottom w:val="single" w:sz="8" w:color="auto"/>
            </w:tcBorders>
            <w:shd w:val="clear" w:color="auto" w:fill="D8D8D8"/>
          </w:tcPr>
          <w:p>
            <w:pPr>
              <w:jc w:val="center"/>
              <w:ind w:left="188"/>
              <w:spacing w:after="0"/>
              <w:rPr>
                <w:sz w:val="20"/>
                <w:szCs w:val="20"/>
                <w:color w:val="auto"/>
              </w:rPr>
            </w:pPr>
            <w:r>
              <w:rPr>
                <w:rFonts w:ascii="Arial" w:cs="Arial" w:eastAsia="Arial" w:hAnsi="Arial"/>
                <w:sz w:val="14"/>
                <w:szCs w:val="14"/>
                <w:color w:val="auto"/>
              </w:rPr>
              <w:t>Average Age</w:t>
            </w:r>
          </w:p>
        </w:tc>
        <w:tc>
          <w:tcPr>
            <w:tcW w:w="300" w:type="dxa"/>
            <w:vAlign w:val="bottom"/>
            <w:tcBorders>
              <w:top w:val="single" w:sz="8" w:color="auto"/>
              <w:bottom w:val="single" w:sz="8" w:color="auto"/>
              <w:right w:val="single" w:sz="8" w:color="auto"/>
            </w:tcBorders>
            <w:shd w:val="clear" w:color="auto" w:fill="D8D8D8"/>
          </w:tcPr>
          <w:p>
            <w:pPr>
              <w:spacing w:after="0"/>
              <w:rPr>
                <w:sz w:val="18"/>
                <w:szCs w:val="18"/>
                <w:color w:val="auto"/>
              </w:rPr>
            </w:pP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Lease Type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Customer Mix</w:t>
            </w:r>
          </w:p>
        </w:tc>
        <w:tc>
          <w:tcPr>
            <w:tcW w:w="226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2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Dry</w:t>
            </w:r>
          </w:p>
        </w:tc>
        <w:tc>
          <w:tcPr>
            <w:tcW w:w="14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Reefer</w:t>
            </w:r>
          </w:p>
        </w:tc>
        <w:tc>
          <w:tcPr>
            <w:tcW w:w="14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Direct Finance</w:t>
            </w:r>
          </w:p>
        </w:tc>
        <w:tc>
          <w:tcPr>
            <w:tcW w:w="170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vMerge w:val="restart"/>
          </w:tcPr>
          <w:p>
            <w:pPr>
              <w:jc w:val="right"/>
              <w:ind w:right="1768"/>
              <w:spacing w:after="0"/>
              <w:rPr>
                <w:sz w:val="20"/>
                <w:szCs w:val="20"/>
                <w:color w:val="auto"/>
              </w:rPr>
            </w:pPr>
            <w:r>
              <w:rPr>
                <w:rFonts w:ascii="Arial" w:cs="Arial" w:eastAsia="Arial" w:hAnsi="Arial"/>
                <w:sz w:val="14"/>
                <w:szCs w:val="14"/>
                <w:color w:val="auto"/>
              </w:rPr>
              <w:t>34,000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Dry</w:t>
            </w:r>
          </w:p>
        </w:tc>
        <w:tc>
          <w:tcPr>
            <w:tcW w:w="1420" w:type="dxa"/>
            <w:vAlign w:val="bottom"/>
            <w:vMerge w:val="restart"/>
          </w:tcPr>
          <w:p>
            <w:pPr>
              <w:jc w:val="center"/>
              <w:ind w:left="188"/>
              <w:spacing w:after="0"/>
              <w:rPr>
                <w:sz w:val="20"/>
                <w:szCs w:val="20"/>
                <w:color w:val="auto"/>
              </w:rPr>
            </w:pPr>
            <w:r>
              <w:rPr>
                <w:rFonts w:ascii="Arial" w:cs="Arial" w:eastAsia="Arial" w:hAnsi="Arial"/>
                <w:sz w:val="14"/>
                <w:szCs w:val="14"/>
                <w:color w:val="auto"/>
                <w:w w:val="99"/>
              </w:rPr>
              <w:t>~10 Years</w:t>
            </w:r>
          </w:p>
        </w:tc>
        <w:tc>
          <w:tcPr>
            <w:tcW w:w="30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 Customers</w:t>
            </w:r>
          </w:p>
        </w:tc>
        <w:tc>
          <w:tcPr>
            <w:tcW w:w="2260" w:type="dxa"/>
            <w:vAlign w:val="bottom"/>
            <w:vMerge w:val="restart"/>
          </w:tcPr>
          <w:p>
            <w:pPr>
              <w:jc w:val="right"/>
              <w:ind w:right="928"/>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Lease/Operating Lease</w:t>
            </w:r>
          </w:p>
        </w:tc>
        <w:tc>
          <w:tcPr>
            <w:tcW w:w="1700" w:type="dxa"/>
            <w:vAlign w:val="bottom"/>
            <w:tcBorders>
              <w:right w:val="single" w:sz="8" w:color="auto"/>
            </w:tcBorders>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HC Dry</w:t>
            </w:r>
          </w:p>
        </w:tc>
        <w:tc>
          <w:tcPr>
            <w:tcW w:w="142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32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142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2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40’ HC Reefer</w:t>
            </w:r>
          </w:p>
        </w:tc>
        <w:tc>
          <w:tcPr>
            <w:tcW w:w="142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2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0" w:type="dxa"/>
            <w:vAlign w:val="bottom"/>
            <w:gridSpan w:val="2"/>
          </w:tcPr>
          <w:p>
            <w:pPr>
              <w:jc w:val="right"/>
              <w:ind w:right="1588"/>
              <w:spacing w:after="0"/>
              <w:rPr>
                <w:sz w:val="20"/>
                <w:szCs w:val="20"/>
                <w:color w:val="auto"/>
              </w:rPr>
            </w:pPr>
            <w:r>
              <w:rPr>
                <w:rFonts w:ascii="Arial" w:cs="Arial" w:eastAsia="Arial" w:hAnsi="Arial"/>
                <w:sz w:val="14"/>
                <w:szCs w:val="14"/>
                <w:color w:val="auto"/>
              </w:rPr>
              <w:t>49</w:t>
            </w:r>
          </w:p>
        </w:tc>
        <w:tc>
          <w:tcPr>
            <w:tcW w:w="1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77" w:right="219" w:bottom="1440" w:gutter="0" w:footer="0" w:header="0"/>
        </w:sectPr>
      </w:pPr>
    </w:p>
    <w:bookmarkStart w:id="49" w:name="page50"/>
    <w:bookmarkEnd w:id="49"/>
    <w:p>
      <w:pPr>
        <w:ind w:left="500"/>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Income (Loss)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 the Shipping Containers segment for the years ended December 31, 2017 and December 31,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110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1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100</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(1,113)</w:t>
            </w:r>
          </w:p>
        </w:tc>
      </w:tr>
      <w:tr>
        <w:trPr>
          <w:trHeight w:val="297"/>
        </w:trPr>
        <w:tc>
          <w:tcPr>
            <w:tcW w:w="6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100" w:type="dxa"/>
            <w:vAlign w:val="bottom"/>
          </w:tcPr>
          <w:p>
            <w:pPr>
              <w:spacing w:after="0"/>
              <w:rPr>
                <w:sz w:val="22"/>
                <w:szCs w:val="22"/>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1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453</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(444)</w:t>
            </w:r>
          </w:p>
        </w:tc>
      </w:tr>
      <w:tr>
        <w:trPr>
          <w:trHeight w:val="297"/>
        </w:trPr>
        <w:tc>
          <w:tcPr>
            <w:tcW w:w="6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Other expense</w:t>
            </w: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5,970</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Gain on sale of assets, net</w:t>
            </w:r>
          </w:p>
        </w:tc>
        <w:tc>
          <w:tcPr>
            <w:tcW w:w="110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250"/>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(5,670)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5,666</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100" w:type="dxa"/>
            <w:vAlign w:val="bottom"/>
          </w:tcPr>
          <w:p>
            <w:pPr>
              <w:spacing w:after="0"/>
              <w:rPr>
                <w:sz w:val="21"/>
                <w:szCs w:val="21"/>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(4,910)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4,997</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income taxes</w:t>
            </w:r>
          </w:p>
        </w:tc>
        <w:tc>
          <w:tcPr>
            <w:tcW w:w="11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1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152</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(4,824)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4,976</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income taxes</w:t>
            </w:r>
          </w:p>
        </w:tc>
        <w:tc>
          <w:tcPr>
            <w:tcW w:w="1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10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10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10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Net Loss from unconsolidated entities </w:t>
            </w:r>
            <w:r>
              <w:rPr>
                <w:rFonts w:ascii="Arial" w:cs="Arial" w:eastAsia="Arial" w:hAnsi="Arial"/>
                <w:sz w:val="17"/>
                <w:szCs w:val="17"/>
                <w:color w:val="auto"/>
                <w:vertAlign w:val="superscript"/>
              </w:rPr>
              <w:t>(1)</w:t>
            </w:r>
          </w:p>
        </w:tc>
        <w:tc>
          <w:tcPr>
            <w:tcW w:w="1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10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1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100" w:type="dxa"/>
            <w:vAlign w:val="bottom"/>
          </w:tcPr>
          <w:p>
            <w:pPr>
              <w:spacing w:after="0"/>
              <w:rPr>
                <w:sz w:val="22"/>
                <w:szCs w:val="22"/>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5,974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(5,970)</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110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1,925</w:t>
            </w:r>
          </w:p>
        </w:tc>
      </w:tr>
      <w:tr>
        <w:trPr>
          <w:trHeight w:val="20"/>
        </w:trPr>
        <w:tc>
          <w:tcPr>
            <w:tcW w:w="6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500" w:hanging="492"/>
        <w:spacing w:after="0" w:line="230" w:lineRule="auto"/>
        <w:tabs>
          <w:tab w:leader="none" w:pos="149" w:val="left"/>
        </w:tabs>
        <w:numPr>
          <w:ilvl w:val="0"/>
          <w:numId w:val="28"/>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Loss from unconsolidated entities is comprised of the following for the year ended December 31, 2017 and 2016: (i) the Company’s proportionate share of the unconsolidated entities’ net loss of $189 and $6,161 and (ii) interest expense of $185 and $188, adjusted for (iii) $0 and $3,068 of asset impairment charges, respectively.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493" w:right="239" w:bottom="1440" w:gutter="0" w:footer="0" w:header="0"/>
        </w:sectPr>
      </w:pPr>
    </w:p>
    <w:bookmarkStart w:id="50" w:name="page51"/>
    <w:bookmarkEnd w:id="50"/>
    <w:p>
      <w:pPr>
        <w:ind w:right="320"/>
        <w:spacing w:after="0" w:line="295"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Shipping Containers segment for the years ended December 31, 2017 and December 31, 2016: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6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(4,824)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4,976</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Benefit from income taxes</w:t>
            </w:r>
          </w:p>
        </w:tc>
        <w:tc>
          <w:tcPr>
            <w:tcW w:w="106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1,354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60" w:type="dxa"/>
            <w:vAlign w:val="bottom"/>
          </w:tcPr>
          <w:p>
            <w:pPr>
              <w:spacing w:after="0"/>
              <w:rPr>
                <w:sz w:val="22"/>
                <w:szCs w:val="22"/>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5,974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(5,970)</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10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6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1,445</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2,673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w:t>
            </w: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4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The Company’s pro-rata share of Adjusted EBITDA from unconsolidated entities includes the following items for the years ended December 31, 2017 and 2016: (i) net loss of</w:t>
      </w:r>
    </w:p>
    <w:p>
      <w:pPr>
        <w:ind w:left="500"/>
        <w:spacing w:after="0" w:line="258" w:lineRule="auto"/>
        <w:rPr>
          <w:sz w:val="20"/>
          <w:szCs w:val="20"/>
          <w:color w:val="auto"/>
        </w:rPr>
      </w:pPr>
      <w:r>
        <w:rPr>
          <w:rFonts w:ascii="Arial" w:cs="Arial" w:eastAsia="Arial" w:hAnsi="Arial"/>
          <w:sz w:val="14"/>
          <w:szCs w:val="14"/>
          <w:color w:val="auto"/>
        </w:rPr>
        <w:t>$189 and $6,161, (ii) interest expense of $785 and $1,323, (iii) depreciation and amortization expense of $758 and $2,966, and (iv) asset impairment charges of $0 and $3,068,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Total revenues decreased $1,113 in the year ended December 31, 2017 compared to the year ended December 31, 2016. The decrease is primarily driven by the sale of 42,000 shipping containers that were subject to direct finance leases during the first quarter of 2016 and lower finance lease income as a result of the amortization of the underlying principal balances.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Total expenses decreased $444 in the year ended December 31, 2017 compared to the year ended December 31, 2016. This was driven by a decrease in interest expense of $410, due to the termination of the term loan sale of the shipping containers during the first quarter of 2016. Additionally, the sale of the 42,000 shipping containers resulted in a decrease in operating expense of $34 in the year ended December 31, 2017, as compared to the year ended December 31, 2016.</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w:t>
      </w:r>
    </w:p>
    <w:p>
      <w:pPr>
        <w:spacing w:after="0" w:line="129"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Total other expense decreased $5,666 in the year ended December 31, 2017 compared to the year ended December 31, 2016. The decrease in expense was primarily driven by income earned from our shipping container joint venture due to the sale of containers in the portfolios for gains; and no impairment was taken for the year ended December 31, 2017. Partially offsetting the increase in equity income from unconsolidated entities was the gain on sale of direct finance leases of $304 from the sale of 42,000 shipping containers during the first quarter of 2016.</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Income (Loss)</w:t>
      </w:r>
    </w:p>
    <w:p>
      <w:pPr>
        <w:spacing w:after="0" w:line="129"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Adjusted Net Income was $87, an increase of $1,925 in the year ended December 31, 2017 compared to the year ended December 31, 2016, reflecting the changes noted above coupled with a decrease in the pro-rata share of Adjusted Net Loss from unconsolidated entities. These changes were mostly offset by the change in equity of losses of unconsolidated entities, due to the impairment recorded in the year ended December 31, 2016.</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Adjusted EBITDA was $1,445 in the year ended December 31, 2017, decreasing $1,228 in the year ended December 31, 2017 compared to the year ended December 31, 2016. The decrease primarily reflects the change in equity in unconsolidated entities coupled with a higher pro-rata share of Adjusted EBITDA from unconsolidated entities. Also contributing to the decrease was finance lease income for the year ended December 31, 2016 driven by the sale of 42,000 shipping containers during the first quarter of 2016.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506"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Jefferson Terminal segment for the years ended December 31, 2017 and December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64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Terminal services revenues</w:t>
            </w:r>
          </w:p>
        </w:tc>
        <w:tc>
          <w:tcPr>
            <w:tcW w:w="100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10,229</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15,902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(5,673)</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10,229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15,902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(5,673)</w:t>
            </w:r>
          </w:p>
        </w:tc>
      </w:tr>
      <w:tr>
        <w:trPr>
          <w:trHeight w:val="297"/>
        </w:trPr>
        <w:tc>
          <w:tcPr>
            <w:tcW w:w="6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31,213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9,327</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16,193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0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13,568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13,501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60,974</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51,287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9,687</w:t>
            </w:r>
          </w:p>
        </w:tc>
      </w:tr>
      <w:tr>
        <w:trPr>
          <w:trHeight w:val="297"/>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00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(321)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Interest income (expense)</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376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395</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1,980</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1,378</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2,035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3,049</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(48,710)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(36,399)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(12,311)</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10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(48,752)</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(36,473)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(12,279)</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(22,991)</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(6,535)</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(25,761)</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(20,017)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(5,744)</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(1,022)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(1,022)</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r>
              <w:rPr>
                <w:rFonts w:ascii="Arial" w:cs="Arial" w:eastAsia="Arial" w:hAnsi="Arial"/>
                <w:sz w:val="17"/>
                <w:szCs w:val="17"/>
                <w:color w:val="auto"/>
                <w:vertAlign w:val="superscript"/>
              </w:rPr>
              <w:t>(1)</w:t>
            </w:r>
          </w:p>
        </w:tc>
        <w:tc>
          <w:tcPr>
            <w:tcW w:w="1000" w:type="dxa"/>
            <w:vAlign w:val="bottom"/>
          </w:tcPr>
          <w:p>
            <w:pPr>
              <w:spacing w:after="0"/>
              <w:rPr>
                <w:sz w:val="23"/>
                <w:szCs w:val="23"/>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(321)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0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Net (Income) Loss</w:t>
            </w:r>
            <w:r>
              <w:rPr>
                <w:rFonts w:ascii="Arial" w:cs="Arial" w:eastAsia="Arial" w:hAnsi="Arial"/>
                <w:sz w:val="17"/>
                <w:szCs w:val="17"/>
                <w:color w:val="auto"/>
                <w:vertAlign w:val="superscript"/>
              </w:rPr>
              <w:t>(2)</w:t>
            </w:r>
          </w:p>
        </w:tc>
        <w:tc>
          <w:tcPr>
            <w:tcW w:w="10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(514)</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100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(27,016)</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(21,249)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(5,767)</w:t>
            </w:r>
          </w:p>
        </w:tc>
      </w:tr>
      <w:tr>
        <w:trPr>
          <w:trHeight w:val="198"/>
        </w:trPr>
        <w:tc>
          <w:tcPr>
            <w:tcW w:w="640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7" w:lineRule="exact"/>
        <w:rPr>
          <w:sz w:val="20"/>
          <w:szCs w:val="20"/>
          <w:color w:val="auto"/>
        </w:rPr>
      </w:pPr>
    </w:p>
    <w:p>
      <w:pPr>
        <w:ind w:left="500" w:hanging="492"/>
        <w:spacing w:after="0" w:line="218" w:lineRule="auto"/>
        <w:tabs>
          <w:tab w:leader="none" w:pos="149" w:val="left"/>
        </w:tabs>
        <w:numPr>
          <w:ilvl w:val="0"/>
          <w:numId w:val="30"/>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from unconsolidated entities includes Jefferson’s proportionate share of the unconsolidated entities’ net income adjusted for the excluded and included items detailed above, for which there were no adjustments.</w:t>
      </w:r>
    </w:p>
    <w:p>
      <w:pPr>
        <w:ind w:left="140" w:hanging="132"/>
        <w:spacing w:after="0" w:line="211" w:lineRule="auto"/>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Non-controlling share of Adjusted Net Loss is comprised of the following for the years ended December 31, 2017 and 2016: (i) equity-based compensation of $125 and $(1,581),</w:t>
      </w:r>
    </w:p>
    <w:p>
      <w:pPr>
        <w:ind w:left="500" w:hanging="6"/>
        <w:spacing w:after="0" w:line="258" w:lineRule="auto"/>
        <w:tabs>
          <w:tab w:leader="none" w:pos="7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provision for income tax of $16 and $29, (iii) acquisition and transaction expenses of $0 and $156, (iv) changes in fair value of non-hedge derivative instruments of $404 and $0, and (v) loss on extinguishment of debt of $0 and $616 less (vi) cash tax payments of $31 and $20,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473" w:right="239" w:bottom="1440" w:gutter="0" w:footer="0" w:header="0"/>
        </w:sectPr>
      </w:pPr>
    </w:p>
    <w:bookmarkStart w:id="52" w:name="page53"/>
    <w:bookmarkEnd w:id="52"/>
    <w:p>
      <w:pPr>
        <w:ind w:right="20" w:firstLine="486"/>
        <w:spacing w:after="0" w:line="260"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Jefferson Terminal segment for the years ended December 31, 2017 and December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
        </w:trPr>
        <w:tc>
          <w:tcPr>
            <w:tcW w:w="6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(25,761)</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(5,744)</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(1,022)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(1,022)</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16,193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13,567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13,501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66</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r>
              <w:rPr>
                <w:rFonts w:ascii="Arial" w:cs="Arial" w:eastAsia="Arial" w:hAnsi="Arial"/>
                <w:sz w:val="17"/>
                <w:szCs w:val="17"/>
                <w:color w:val="auto"/>
                <w:vertAlign w:val="superscript"/>
              </w:rPr>
              <w:t>(3)</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321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303</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(4)</w:t>
            </w:r>
          </w:p>
        </w:tc>
        <w:tc>
          <w:tcPr>
            <w:tcW w:w="10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(11,751)</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(10,184)</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(8,414)</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(3,180)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(5,234)</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5" w:lineRule="exact"/>
        <w:rPr>
          <w:sz w:val="20"/>
          <w:szCs w:val="20"/>
          <w:color w:val="auto"/>
        </w:rPr>
      </w:pPr>
    </w:p>
    <w:p>
      <w:pPr>
        <w:ind w:left="500" w:right="20" w:hanging="492"/>
        <w:spacing w:after="0" w:line="211" w:lineRule="auto"/>
        <w:tabs>
          <w:tab w:leader="none" w:pos="162"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Jefferson Terminal’s pro-rata share of Adjusted EBITDA from unconsolidated entities includes net loss of $321 and $0 for the years ended December 31, 2017 and 2016, respectively.</w:t>
      </w:r>
    </w:p>
    <w:p>
      <w:pPr>
        <w:ind w:left="500" w:hanging="492"/>
        <w:spacing w:after="0" w:line="229" w:lineRule="auto"/>
        <w:tabs>
          <w:tab w:leader="none" w:pos="175"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years ended December 31, 2017 and 2016: (i) equity-based compensation of $125 and $(1,581), (ii) provision for income taxes of $16 and $29, (iii) interest expense of $4,886 and $4,914, (iv) loss on extinguishment of debt of $0 and $616, (v) acquisition and transaction expenses of $0 and $156, (vi) changes in fair value of non-hedge derivative instruments of $404 and $0, and (vii) depreciation and amortization expense of $6,320 and $6,050,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Total revenues decreased $5,673 in the year ended December 31, 2017 compared to the year ended December 31, 2016, reflecting lower terminal services revenue due to lower throughput and volumes at the Terminal, as a result of increased construction and the conclusion of a long term contract.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446"/>
        <w:spacing w:after="0" w:line="248" w:lineRule="auto"/>
        <w:rPr>
          <w:sz w:val="20"/>
          <w:szCs w:val="20"/>
          <w:color w:val="auto"/>
        </w:rPr>
      </w:pPr>
      <w:r>
        <w:rPr>
          <w:rFonts w:ascii="Arial" w:cs="Arial" w:eastAsia="Arial" w:hAnsi="Arial"/>
          <w:sz w:val="16"/>
          <w:szCs w:val="16"/>
          <w:color w:val="auto"/>
        </w:rPr>
        <w:t>Total expenses increased $9,687 in the year ended December 31, 2017 compared to the year ended December 31, 2016 primarily reflecting higher operating expenses. The increase in operating expenses of $9,327 reflected higher (i) compensation and benefits expense of $5,333 resulting from the one-time reversal of stock based compensation expense incurred in year ended December 31, 2016, (ii) facility operations expense of $1,779 primarily due to higher volume from heavy crude oil trading, (iii) repairs and maintenance of $1,269, (iv) professional fees of $868, (v) tax expense of $548, (vi) equipment storage of $279, and (vii) insurance expense of $249. The above increases were partially offset by lower environmental expense of $902 related to an oil spill in 2016 and other operating expense of $96. Additionally, the increase in expense reflected higher depreciation expense of $693 for the year ended December 31, 2017 compared to the year ended December 31, 2016.</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Loss</w:t>
      </w:r>
    </w:p>
    <w:p>
      <w:pPr>
        <w:spacing w:after="0" w:line="129"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Adjusted Net Loss was $27,016 in the year ended December 31, 2017, increasing $5,767 compared to the year ended December 31, 2016. In addition to the changes in net loss attributable to shareholders noted above, the change was driven by the increase in equity-based compensation of $4,369 in the year ended December 31, 2017 as compared to the year ended December 31, 2016, offset by (i) loss on the extinguishment of debt of $1,579, (ii) non-controlling share of Adjusted Net Loss of $1,314, (iii) changes in fair value of non-hedge derivative instruments of $1,022, and (iv) lower acquisition and transaction expenses of $400.</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Adjusted EBITDA was $(8,414) in the year ended December 31, 2017, decreasing $5,234 compared to the year ended December 31, 2016. In addition to the changes in net loss attributable to shareholders noted above, Adjusted EBITDA was impacted by an increase in (i) equity-based compensation of $4,369, (ii) $1,567 in non-controlling share of Adjusted EBITDA, as well as (iii) depreciation and amortization of $693 and interest expense of $66, mostly offset by decreases in (i) a loss on extinguishment 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493" w:right="239" w:bottom="1440" w:gutter="0" w:footer="0" w:header="0"/>
        </w:sectPr>
      </w:pPr>
    </w:p>
    <w:bookmarkStart w:id="53" w:name="page54"/>
    <w:bookmarkEnd w:id="53"/>
    <w:p>
      <w:pPr>
        <w:spacing w:after="0" w:line="260" w:lineRule="auto"/>
        <w:rPr>
          <w:sz w:val="20"/>
          <w:szCs w:val="20"/>
          <w:color w:val="auto"/>
        </w:rPr>
      </w:pPr>
      <w:r>
        <w:rPr>
          <w:rFonts w:ascii="Arial" w:cs="Arial" w:eastAsia="Arial" w:hAnsi="Arial"/>
          <w:sz w:val="16"/>
          <w:szCs w:val="16"/>
          <w:color w:val="auto"/>
        </w:rPr>
        <w:t>debt of $1,579, and (ii) changes in fair value of non-hedge derivative instruments of $1,022, for the year ended December 31, 2017 as compared to the year ended December 31, 2016.</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Railroad Segment</w:t>
      </w:r>
    </w:p>
    <w:p>
      <w:pPr>
        <w:spacing w:after="0" w:line="133"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 presents our results of operations and reconciliation of net (loss) income attributable to shareholders to Adjusted Net Income for the Railroad segment for the years ended December 31, 2017 and December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64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Rail revenues</w:t>
            </w:r>
          </w:p>
        </w:tc>
        <w:tc>
          <w:tcPr>
            <w:tcW w:w="102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32,607</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30,837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1,770</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1020" w:type="dxa"/>
            <w:vAlign w:val="bottom"/>
          </w:tcPr>
          <w:p>
            <w:pPr>
              <w:spacing w:after="0"/>
              <w:rPr>
                <w:sz w:val="21"/>
                <w:szCs w:val="21"/>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32,607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30,837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1,770</w:t>
            </w:r>
          </w:p>
        </w:tc>
      </w:tr>
      <w:tr>
        <w:trPr>
          <w:trHeight w:val="303"/>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29,966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2,037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111</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1,029</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33,032</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30,655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2,377</w:t>
            </w:r>
          </w:p>
        </w:tc>
      </w:tr>
      <w:tr>
        <w:trPr>
          <w:trHeight w:val="297"/>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Other (loss) income</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Gain on sale of assets, net</w:t>
            </w:r>
          </w:p>
        </w:tc>
        <w:tc>
          <w:tcPr>
            <w:tcW w:w="10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(312)</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(loss) income</w:t>
            </w: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(312)</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(735)</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(1,342)</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0"/>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(737)</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(1,342)</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income attributable to non-controlling interest in consolidated subsidiaries</w:t>
            </w: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(70)</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02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(1,249)</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2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730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7"/>
                <w:szCs w:val="17"/>
                <w:color w:val="auto"/>
                <w:vertAlign w:val="superscript"/>
              </w:rPr>
              <w:t>(1)</w:t>
            </w:r>
          </w:p>
        </w:tc>
        <w:tc>
          <w:tcPr>
            <w:tcW w:w="10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102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(922)</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w:t>
      </w:r>
    </w:p>
    <w:p>
      <w:pPr>
        <w:spacing w:after="0" w:line="5" w:lineRule="exact"/>
        <w:rPr>
          <w:sz w:val="20"/>
          <w:szCs w:val="20"/>
          <w:color w:val="auto"/>
        </w:rPr>
      </w:pPr>
    </w:p>
    <w:p>
      <w:pPr>
        <w:ind w:left="500" w:hanging="492"/>
        <w:spacing w:after="0" w:line="225" w:lineRule="auto"/>
        <w:tabs>
          <w:tab w:leader="none" w:pos="149" w:val="left"/>
        </w:tabs>
        <w:numPr>
          <w:ilvl w:val="0"/>
          <w:numId w:val="32"/>
        </w:numPr>
        <w:rPr>
          <w:rFonts w:ascii="Arial" w:cs="Arial" w:eastAsia="Arial" w:hAnsi="Arial"/>
          <w:sz w:val="17"/>
          <w:szCs w:val="17"/>
          <w:color w:val="auto"/>
          <w:vertAlign w:val="superscript"/>
        </w:rPr>
      </w:pPr>
      <w:r>
        <w:rPr>
          <w:rFonts w:ascii="Arial" w:cs="Arial" w:eastAsia="Arial" w:hAnsi="Arial"/>
          <w:sz w:val="14"/>
          <w:szCs w:val="14"/>
          <w:color w:val="auto"/>
        </w:rPr>
        <w:t>Non-controlling share of Adjusted Net Income (Loss) is comprised of equity-based compensation of $44 and $20 for the years ended December 31, 2017 and December 31, 2016, respectively.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493" w:right="239" w:bottom="1440" w:gutter="0" w:footer="0" w:header="0"/>
        </w:sectPr>
      </w:pPr>
    </w:p>
    <w:bookmarkStart w:id="54" w:name="page55"/>
    <w:bookmarkEnd w:id="54"/>
    <w:p>
      <w:pPr>
        <w:ind w:right="60" w:firstLine="446"/>
        <w:spacing w:after="0" w:line="260" w:lineRule="auto"/>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 for the Railroad segment for the years ended December 31, 2017 and December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
        </w:trPr>
        <w:tc>
          <w:tcPr>
            <w:tcW w:w="6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(loss)/income attributable to shareholders</w:t>
            </w:r>
          </w:p>
        </w:tc>
        <w:tc>
          <w:tcPr>
            <w:tcW w:w="106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730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60" w:type="dxa"/>
            <w:vAlign w:val="bottom"/>
          </w:tcPr>
          <w:p>
            <w:pPr>
              <w:spacing w:after="0"/>
              <w:rPr>
                <w:sz w:val="22"/>
                <w:szCs w:val="22"/>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1,029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275</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6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(228)</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2,901</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3,474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(573)</w:t>
            </w:r>
          </w:p>
        </w:tc>
      </w:tr>
      <w:tr>
        <w:trPr>
          <w:trHeight w:val="20"/>
        </w:trPr>
        <w:tc>
          <w:tcPr>
            <w:tcW w:w="6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ind w:left="160" w:hanging="152"/>
        <w:spacing w:after="0" w:line="193"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years ended December 31, 2017 and 2016: (i) equity-based compensation of $44 and $20,</w:t>
      </w:r>
    </w:p>
    <w:p>
      <w:pPr>
        <w:ind w:left="700" w:hanging="206"/>
        <w:spacing w:after="0"/>
        <w:tabs>
          <w:tab w:leader="none" w:pos="7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interest expense of $62 and $41, and (iii) depreciation and amortization expense of $122 and $105,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Total revenues increased $1,770, in the year ended December 31, 2017 compared to the year ended December 31, 2016 due to higher traffic and expanded service offerings to customers. The increase primarily reflects increases of $1,465 in freight transportation revenue and $510 in switching and other rail service revenue. Partially offsetting the increase was lower car hire income of $205 in the year ended December 31, 2017 as compared to the year ended December 31, 2016.</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446"/>
        <w:spacing w:after="0" w:line="249" w:lineRule="auto"/>
        <w:rPr>
          <w:sz w:val="20"/>
          <w:szCs w:val="20"/>
          <w:color w:val="auto"/>
        </w:rPr>
      </w:pPr>
      <w:r>
        <w:rPr>
          <w:rFonts w:ascii="Arial" w:cs="Arial" w:eastAsia="Arial" w:hAnsi="Arial"/>
          <w:sz w:val="16"/>
          <w:szCs w:val="16"/>
          <w:color w:val="auto"/>
        </w:rPr>
        <w:t>Total expenses increased $2,377 in the year ended December 31, 2017 compared to the year ended December 31, 2016. The increase primarily consists of $1,991 in operating expense, $111 in depreciation expense related to property, plant and equipment, and interest expense of $275 related to borrowings under the CMQR Credit Agreement used to finance the operations of the railroad. The aforementioned increase in operating expenses of $1,991 reflects higher (i) general operating expense of $2,099 due to certain tax benefits that were taken in the prior year not available for the year ended December 31, 2017, (ii) compensation and benefits of $614 and (iii) fuel expense of $467. Partially offsetting these increases were lower (i) professional fees of $456, (ii) bad debt of $96 and (iii) other expenses of $637.</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Income</w:t>
      </w:r>
    </w:p>
    <w:p>
      <w:pPr>
        <w:spacing w:after="0" w:line="129"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Adjusted Net Income decreased $922 in the year ended December 31, 2017 compared to the year ended December 31, 2016. In addition to the changes in net (loss) income attributable to shareholders noted above, Adjusted Net Income was impacted by higher equity-based compensation expense of $351 in the year ended December 31, 2017 compared to the year ended December 31, 2016.</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Adjusted EBITDA was $2,901 in the year ended December 31, 2017, decreasing $573 compared to the year ended December 31, 2016. In addition to the changes in net (loss) income attributable to shareholders noted above, Adjusted EBITDA was also impacted primarily by higher equity-based compensation expense of $351 and an increase in interest expense of $275, in the year ended December 31, 2017 as compared to the year ended December 31, 2016.</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493"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Ports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Terminals segment for the years ended December 31, 2017 and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income</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1,111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102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3,712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3,712</w:t>
            </w:r>
          </w:p>
        </w:tc>
      </w:tr>
      <w:tr>
        <w:trPr>
          <w:trHeight w:val="256"/>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2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4,823</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4,791</w:t>
            </w:r>
          </w:p>
        </w:tc>
      </w:tr>
      <w:tr>
        <w:trPr>
          <w:trHeight w:val="297"/>
        </w:trPr>
        <w:tc>
          <w:tcPr>
            <w:tcW w:w="6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9,117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8,489</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1,658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1,654</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0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1,088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11,863</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1,177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10,686</w:t>
            </w:r>
          </w:p>
        </w:tc>
      </w:tr>
      <w:tr>
        <w:trPr>
          <w:trHeight w:val="297"/>
        </w:trPr>
        <w:tc>
          <w:tcPr>
            <w:tcW w:w="64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(7,040)</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(5,895)</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50"/>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(7,040)</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(1,158)</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(5,882)</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(484)</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2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(6,556)</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(5,555)</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2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2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102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(5,264)</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73" w:right="239" w:bottom="1440" w:gutter="0" w:footer="0" w:header="0"/>
          <w:type w:val="continuous"/>
        </w:sectPr>
      </w:pPr>
    </w:p>
    <w:bookmarkStart w:id="56" w:name="page57"/>
    <w:bookmarkEnd w:id="56"/>
    <w:p>
      <w:pPr>
        <w:ind w:right="340" w:firstLine="446"/>
        <w:spacing w:after="0" w:line="260"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Ports and Terminals segment for the years ended December 31, 2017 and December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
        </w:trPr>
        <w:tc>
          <w:tcPr>
            <w:tcW w:w="6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(loss)/income attributable to shareholders</w:t>
            </w: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(6,556)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(5,555)</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1,658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1,654</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4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1,089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544</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4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(3,514)</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(3,020)</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ind w:left="160" w:hanging="152"/>
        <w:spacing w:after="0" w:line="205"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years ended December 31, 2017 and 2016: interest expense of $0 and $55.</w:t>
      </w:r>
    </w:p>
    <w:p>
      <w:pPr>
        <w:spacing w:after="0" w:line="79"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46"/>
        <w:spacing w:after="0" w:line="260" w:lineRule="auto"/>
        <w:rPr>
          <w:sz w:val="20"/>
          <w:szCs w:val="20"/>
          <w:color w:val="auto"/>
        </w:rPr>
      </w:pPr>
      <w:r>
        <w:rPr>
          <w:rFonts w:ascii="Arial" w:cs="Arial" w:eastAsia="Arial" w:hAnsi="Arial"/>
          <w:sz w:val="16"/>
          <w:szCs w:val="16"/>
          <w:color w:val="auto"/>
        </w:rPr>
        <w:t>Total revenues in the Ports and Terminals segment increased $4,791 in the year ended December 31, 2017 due to butane sales at Repauno of $3,021, recorded in other revenue, as well as the leases that were in place at Long Ridge upon the acquisition of $1,017, recorded in lease revenue.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right="20" w:firstLine="446"/>
        <w:spacing w:after="0" w:line="260" w:lineRule="auto"/>
        <w:rPr>
          <w:sz w:val="20"/>
          <w:szCs w:val="20"/>
          <w:color w:val="auto"/>
        </w:rPr>
      </w:pPr>
      <w:r>
        <w:rPr>
          <w:rFonts w:ascii="Arial" w:cs="Arial" w:eastAsia="Arial" w:hAnsi="Arial"/>
          <w:sz w:val="16"/>
          <w:szCs w:val="16"/>
          <w:color w:val="auto"/>
        </w:rPr>
        <w:t>Total expenses in the Ports and Terminals segment increased $10,686 in the year ended December 31, 2017, compared to the year ended December 31, 2016.</w:t>
      </w:r>
    </w:p>
    <w:p>
      <w:pPr>
        <w:spacing w:after="0" w:line="88" w:lineRule="exact"/>
        <w:rPr>
          <w:sz w:val="20"/>
          <w:szCs w:val="20"/>
          <w:color w:val="auto"/>
        </w:rPr>
      </w:pPr>
    </w:p>
    <w:p>
      <w:pPr>
        <w:jc w:val="both"/>
        <w:ind w:firstLine="446"/>
        <w:spacing w:after="0" w:line="250" w:lineRule="auto"/>
        <w:rPr>
          <w:sz w:val="20"/>
          <w:szCs w:val="20"/>
          <w:color w:val="auto"/>
        </w:rPr>
      </w:pPr>
      <w:r>
        <w:rPr>
          <w:rFonts w:ascii="Arial" w:cs="Arial" w:eastAsia="Arial" w:hAnsi="Arial"/>
          <w:sz w:val="16"/>
          <w:szCs w:val="16"/>
          <w:color w:val="auto"/>
        </w:rPr>
        <w:t>The increase of $10,686 primarily consists of $8,489 in operating expense, $1,654 in depreciation expense related to property, plant and equipment, and interest expense of $543 related to the payment obligation to the non-controlling interest holder as part of the Repauno purchase. The increase in operating expenses was driven by higher (i) compensation and benefits of $2,647, (ii) cost of sales of $1,977 related to the sale of butane, (iii) professional fees of $1,413, (iv) facility operations of $1,302, (v) other operating expenses of $1,150 in the year ended December 31, 2017 compared to the year ended December 31, 2016. The increase in depreciation expense is related to the cavern being put into service at Repauno, and assets in service at Long Ridge.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Loss</w:t>
      </w:r>
    </w:p>
    <w:p>
      <w:pPr>
        <w:spacing w:after="0" w:line="129" w:lineRule="exact"/>
        <w:rPr>
          <w:sz w:val="20"/>
          <w:szCs w:val="20"/>
          <w:color w:val="auto"/>
        </w:rPr>
      </w:pPr>
    </w:p>
    <w:p>
      <w:pPr>
        <w:jc w:val="both"/>
        <w:ind w:right="20" w:firstLine="446"/>
        <w:spacing w:after="0" w:line="253" w:lineRule="auto"/>
        <w:rPr>
          <w:sz w:val="20"/>
          <w:szCs w:val="20"/>
          <w:color w:val="auto"/>
        </w:rPr>
      </w:pPr>
      <w:r>
        <w:rPr>
          <w:rFonts w:ascii="Arial" w:cs="Arial" w:eastAsia="Arial" w:hAnsi="Arial"/>
          <w:sz w:val="16"/>
          <w:szCs w:val="16"/>
          <w:color w:val="auto"/>
        </w:rPr>
        <w:t>Adjusted Net Loss increased $5,264 in the year ended December 31, 2017, compared to the year ended December 31, 2016. In addition to the changes in net loss attributable to shareholders noted above, Adjusted Net Loss was impacted by equity-based compensation expense of $295 in the year ended December 31, 2017.</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Adjusted EBITDA was $(3,514) in the year ended December 31, 2017, decreasing $3,020 compared to the year ended December 31, 2016. In addition to the changes in net loss attributable to shareholders noted above, Adjusted EBITDA was also impacted primarily by equity-based compensation expense of $295, an increase in depreciation and amortization of $1,654, and an increase in interest expense of $544, in the year ended December 31, 2017 compared to the year ended December 31, 2016.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493"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497F"/>
        </w:rPr>
        <w:t>Corporate</w:t>
      </w:r>
    </w:p>
    <w:p>
      <w:pPr>
        <w:spacing w:after="0" w:line="147"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Corporate for the years ended December 31, 2017 and December 31, 2016: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0" w:type="dxa"/>
            <w:vAlign w:val="bottom"/>
            <w:gridSpan w:val="2"/>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14,570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12,314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8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6,865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15,732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16,742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8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19,472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19,472</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80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56,639</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34,906</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21,733</w:t>
            </w:r>
          </w:p>
        </w:tc>
        <w:tc>
          <w:tcPr>
            <w:tcW w:w="0" w:type="dxa"/>
            <w:vAlign w:val="bottom"/>
          </w:tcPr>
          <w:p>
            <w:pPr>
              <w:spacing w:after="0"/>
              <w:rPr>
                <w:sz w:val="1"/>
                <w:szCs w:val="1"/>
                <w:color w:val="auto"/>
              </w:rPr>
            </w:pPr>
          </w:p>
        </w:tc>
      </w:tr>
      <w:tr>
        <w:trPr>
          <w:trHeight w:val="297"/>
        </w:trPr>
        <w:tc>
          <w:tcPr>
            <w:tcW w:w="56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Other expense</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8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0"/>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0" w:type="dxa"/>
            <w:vAlign w:val="bottom"/>
          </w:tcPr>
          <w:p>
            <w:pPr>
              <w:spacing w:after="0"/>
              <w:rPr>
                <w:sz w:val="1"/>
                <w:szCs w:val="1"/>
                <w:color w:val="auto"/>
              </w:rPr>
            </w:pPr>
          </w:p>
        </w:tc>
      </w:tr>
      <w:tr>
        <w:trPr>
          <w:trHeight w:val="297"/>
        </w:trPr>
        <w:tc>
          <w:tcPr>
            <w:tcW w:w="560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spacing w:after="0"/>
              <w:rPr>
                <w:sz w:val="24"/>
                <w:szCs w:val="24"/>
                <w:color w:val="auto"/>
              </w:rPr>
            </w:pPr>
          </w:p>
        </w:tc>
        <w:tc>
          <w:tcPr>
            <w:tcW w:w="108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1260" w:type="dxa"/>
            <w:vAlign w:val="bottom"/>
            <w:tcBorders>
              <w:top w:val="single" w:sz="8" w:color="auto"/>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8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(59,095)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(34,906)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(24,189)</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8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8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(59,095)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(34,895)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(24,200)</w:t>
            </w:r>
          </w:p>
        </w:tc>
        <w:tc>
          <w:tcPr>
            <w:tcW w:w="0" w:type="dxa"/>
            <w:vAlign w:val="bottom"/>
          </w:tcPr>
          <w:p>
            <w:pPr>
              <w:spacing w:after="0"/>
              <w:rPr>
                <w:sz w:val="1"/>
                <w:szCs w:val="1"/>
                <w:color w:val="auto"/>
              </w:rPr>
            </w:pP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8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6,865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8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8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514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8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8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1800" w:type="dxa"/>
            <w:vAlign w:val="bottom"/>
            <w:gridSpan w:val="2"/>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(49,285)</w:t>
            </w:r>
          </w:p>
        </w:tc>
        <w:tc>
          <w:tcPr>
            <w:tcW w:w="120" w:type="dxa"/>
            <w:vAlign w:val="bottom"/>
          </w:tcPr>
          <w:p>
            <w:pPr>
              <w:spacing w:after="0"/>
              <w:rPr>
                <w:sz w:val="21"/>
                <w:szCs w:val="21"/>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(29,073)</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(20,212)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vMerge w:val="restart"/>
          </w:tcPr>
          <w:p>
            <w:pPr>
              <w:jc w:val="right"/>
              <w:ind w:right="528"/>
              <w:spacing w:after="0"/>
              <w:rPr>
                <w:sz w:val="20"/>
                <w:szCs w:val="20"/>
                <w:color w:val="auto"/>
              </w:rPr>
            </w:pPr>
            <w:r>
              <w:rPr>
                <w:rFonts w:ascii="Arial" w:cs="Arial" w:eastAsia="Arial" w:hAnsi="Arial"/>
                <w:sz w:val="14"/>
                <w:szCs w:val="14"/>
                <w:color w:val="auto"/>
              </w:rPr>
              <w:t>58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6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3" w:right="239" w:bottom="1440" w:gutter="0" w:footer="0" w:header="0"/>
        </w:sectPr>
      </w:pPr>
    </w:p>
    <w:bookmarkStart w:id="58" w:name="page59"/>
    <w:bookmarkEnd w:id="58"/>
    <w:p>
      <w:pPr>
        <w:ind w:right="40"/>
        <w:spacing w:after="0" w:line="260"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Corporate for the years ended December 31, 2017 and December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
        </w:trPr>
        <w:tc>
          <w:tcPr>
            <w:tcW w:w="6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(59,095)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(34,895)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(24,200)</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6,865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5,836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1,029</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514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514</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19,472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19,472</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10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100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(29,788)</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(29,059)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(729)</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446"/>
        <w:spacing w:after="0" w:line="249" w:lineRule="auto"/>
        <w:rPr>
          <w:sz w:val="20"/>
          <w:szCs w:val="20"/>
          <w:color w:val="auto"/>
        </w:rPr>
      </w:pPr>
      <w:r>
        <w:rPr>
          <w:rFonts w:ascii="Arial" w:cs="Arial" w:eastAsia="Arial" w:hAnsi="Arial"/>
          <w:sz w:val="16"/>
          <w:szCs w:val="16"/>
          <w:color w:val="auto"/>
        </w:rPr>
        <w:t>Total expenses increased $21,733 in the year ended December 31, 2017 compared to the year ended December 31, 2016, respectively. For the year ended December 31, 2017, the increase primarily consists of (i) interest expense of $19,472 related to the Senior Notes entered into during 2017, (ii) higher general and administrative expenses of $2,256, including $763 of reimbursement expenses to our manager, $410 of general corporate costs, and $1,083 of professional fees related to SOX expenses, and (iii) higher acquisition and transaction costs of $1,029 related to reimbursement expenses to our manager as we continue to evaluate new investments. These increases were partially offset by lower management fees of $1,010 due to a lower equity balance in the year ended December 31, 2017 compared to the year ended December 31, 2016.</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Loss</w:t>
      </w:r>
    </w:p>
    <w:p>
      <w:pPr>
        <w:spacing w:after="0" w:line="129" w:lineRule="exact"/>
        <w:rPr>
          <w:sz w:val="20"/>
          <w:szCs w:val="20"/>
          <w:color w:val="auto"/>
        </w:rPr>
      </w:pPr>
    </w:p>
    <w:p>
      <w:pPr>
        <w:jc w:val="both"/>
        <w:ind w:firstLine="446"/>
        <w:spacing w:after="0" w:line="250" w:lineRule="auto"/>
        <w:rPr>
          <w:sz w:val="20"/>
          <w:szCs w:val="20"/>
          <w:color w:val="auto"/>
        </w:rPr>
      </w:pPr>
      <w:r>
        <w:rPr>
          <w:rFonts w:ascii="Arial" w:cs="Arial" w:eastAsia="Arial" w:hAnsi="Arial"/>
          <w:sz w:val="16"/>
          <w:szCs w:val="16"/>
          <w:color w:val="auto"/>
        </w:rPr>
        <w:t>Adjusted Net Loss was $49,285 in the year ended December 31, 2017, increasing $20,212, compared to the year ended December 31, 2016. In addition to the changes in net loss attributable to shareholders noted above, Adjusted Net Loss was adjusted by acquisition and transaction expenses related to potential acquisition opportunities which were $1,029 higher for the year ended December 31, 2017, as compared to the year ended December 31, 2016. Additionally, there were $2,456 of losses on the extinguishment of debt during the year ended December 31, 2017, as compared to the year ended December 31, 2016.</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46"/>
        <w:spacing w:after="0" w:line="249" w:lineRule="auto"/>
        <w:rPr>
          <w:sz w:val="20"/>
          <w:szCs w:val="20"/>
          <w:color w:val="auto"/>
        </w:rPr>
      </w:pPr>
      <w:r>
        <w:rPr>
          <w:rFonts w:ascii="Arial" w:cs="Arial" w:eastAsia="Arial" w:hAnsi="Arial"/>
          <w:sz w:val="16"/>
          <w:szCs w:val="16"/>
          <w:color w:val="auto"/>
        </w:rPr>
        <w:t>Adjusted EBITDA was $(29,788) in the year ended December 31, 2017, decreasing $729 compared to the year ended December 31, 2016. In addition to the changes in net loss attributable to shareholders noted above, Adjusted EBITDA was affected by acquisition and transaction expenses related to potential acquisition opportunities, which were $1,029 higher for the year ended December 31, 2017, compared to year ended December 31, 2016. Additionally, Adjusted EBITDA was affected by interest expense of $19,472 related to the Senior Notes and Revolving Line of Credit entered into during the year ended December 31, 2017. The Company also incurred $2,456 of losses on the extinguishment of debt during the year ended December 31, 2017, as compared to the year ended December 31, 2016.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93"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00497F"/>
        </w:rPr>
        <w:t>Comparison of the year ended December 31, 2016 to the year ended December 31, 2015</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The following table presents our consolidated results of operations and reconciliation of net loss attributable to shareholders to Adjusted Net Income (Loss) for the years ended December 31, 2016 and December 31, 2015:</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63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64"/>
        </w:trPr>
        <w:tc>
          <w:tcPr>
            <w:tcW w:w="63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69,736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4,853</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28,697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17,286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11,411</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(6,024)</w:t>
            </w:r>
          </w:p>
        </w:tc>
      </w:tr>
      <w:tr>
        <w:trPr>
          <w:trHeight w:val="26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r>
      <w:tr>
        <w:trPr>
          <w:trHeight w:val="25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9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101,949</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92,743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9,206</w:t>
            </w:r>
          </w:p>
        </w:tc>
      </w:tr>
      <w:tr>
        <w:trPr>
          <w:trHeight w:val="258"/>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6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Lease income</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(4,588)</w:t>
            </w:r>
          </w:p>
        </w:tc>
      </w:tr>
      <w:tr>
        <w:trPr>
          <w:trHeight w:val="264"/>
        </w:trPr>
        <w:tc>
          <w:tcPr>
            <w:tcW w:w="6380" w:type="dxa"/>
            <w:vAlign w:val="bottom"/>
          </w:tcPr>
          <w:p>
            <w:pPr>
              <w:ind w:left="60"/>
              <w:spacing w:after="0"/>
              <w:rPr>
                <w:sz w:val="20"/>
                <w:szCs w:val="20"/>
                <w:color w:val="auto"/>
              </w:rPr>
            </w:pPr>
            <w:r>
              <w:rPr>
                <w:rFonts w:ascii="Arial" w:cs="Arial" w:eastAsia="Arial" w:hAnsi="Arial"/>
                <w:sz w:val="14"/>
                <w:szCs w:val="14"/>
                <w:color w:val="auto"/>
              </w:rPr>
              <w:t>Rail revenues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30,837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25,550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5,287</w:t>
            </w:r>
          </w:p>
        </w:tc>
      </w:tr>
      <w:tr>
        <w:trPr>
          <w:trHeight w:val="270"/>
        </w:trPr>
        <w:tc>
          <w:tcPr>
            <w:tcW w:w="6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Terminal services revenues</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13,655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2,247</w:t>
            </w:r>
          </w:p>
        </w:tc>
      </w:tr>
      <w:tr>
        <w:trPr>
          <w:trHeight w:val="25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46,771</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43,825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2,946</w:t>
            </w:r>
          </w:p>
        </w:tc>
      </w:tr>
      <w:tr>
        <w:trPr>
          <w:trHeight w:val="25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148,720</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136,568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12,152</w:t>
            </w:r>
          </w:p>
        </w:tc>
      </w:tr>
      <w:tr>
        <w:trPr>
          <w:trHeight w:val="297"/>
        </w:trPr>
        <w:tc>
          <w:tcPr>
            <w:tcW w:w="6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66,169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68,793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(2,624)</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12,314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4,746</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6,316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5,683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633</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16,742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1,724</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60,210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45,308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14,902</w:t>
            </w: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18,957</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19,311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r>
      <w:tr>
        <w:trPr>
          <w:trHeight w:val="25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180,708</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161,681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19,027</w:t>
            </w:r>
          </w:p>
        </w:tc>
      </w:tr>
      <w:tr>
        <w:trPr>
          <w:trHeight w:val="297"/>
        </w:trPr>
        <w:tc>
          <w:tcPr>
            <w:tcW w:w="6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Other expense</w:t>
            </w: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964</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3,419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2,522</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9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(7,450)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(7,450)</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r>
      <w:tr>
        <w:trPr>
          <w:trHeight w:val="26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w:t>
            </w:r>
          </w:p>
        </w:tc>
      </w:tr>
      <w:tr>
        <w:trPr>
          <w:trHeight w:val="25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(8,342)</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(2,932)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(5,410)</w:t>
            </w:r>
          </w:p>
        </w:tc>
      </w:tr>
      <w:tr>
        <w:trPr>
          <w:trHeight w:val="250"/>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98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(40,330)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(28,045)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(12,285)</w:t>
            </w: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25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(40,598)</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(28,631)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(11,967)</w:t>
            </w:r>
          </w:p>
        </w:tc>
      </w:tr>
      <w:tr>
        <w:trPr>
          <w:trHeight w:val="25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(20,534)</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(16,805)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(3,729)</w:t>
            </w:r>
          </w:p>
        </w:tc>
      </w:tr>
      <w:tr>
        <w:trPr>
          <w:trHeight w:val="25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(20,064)</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(11,826)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(8,238)</w:t>
            </w:r>
          </w:p>
        </w:tc>
      </w:tr>
      <w:tr>
        <w:trPr>
          <w:trHeight w:val="25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Provision for income taxes</w:t>
            </w:r>
          </w:p>
        </w:tc>
        <w:tc>
          <w:tcPr>
            <w:tcW w:w="9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Equity-based compensation expense (income)</w:t>
            </w:r>
          </w:p>
        </w:tc>
        <w:tc>
          <w:tcPr>
            <w:tcW w:w="9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(3,672)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(8,334)</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6,316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633</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1,579</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364" w:right="239" w:bottom="1440" w:gutter="0" w:footer="0" w:header="0"/>
          <w:type w:val="continuous"/>
        </w:sectPr>
      </w:pPr>
    </w:p>
    <w:bookmarkStart w:id="60" w:name="page61"/>
    <w:bookmarkEnd w:id="60"/>
    <w:tbl>
      <w:tblPr>
        <w:tblLayout w:type="fixed"/>
        <w:tblInd w:w="2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64"/>
        </w:trPr>
        <w:tc>
          <w:tcPr>
            <w:tcW w:w="63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r>
      <w:tr>
        <w:trPr>
          <w:trHeight w:val="244"/>
        </w:trPr>
        <w:tc>
          <w:tcPr>
            <w:tcW w:w="6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638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4"/>
                <w:szCs w:val="24"/>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7,450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7,450</w:t>
            </w:r>
          </w:p>
        </w:tc>
      </w:tr>
      <w:tr>
        <w:trPr>
          <w:trHeight w:val="31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Net Income (Loss) from unconsolidated entities </w:t>
            </w:r>
            <w:r>
              <w:rPr>
                <w:rFonts w:ascii="Arial" w:cs="Arial" w:eastAsia="Arial" w:hAnsi="Arial"/>
                <w:sz w:val="17"/>
                <w:szCs w:val="17"/>
                <w:color w:val="auto"/>
                <w:vertAlign w:val="superscript"/>
              </w:rPr>
              <w:t>(1)</w:t>
            </w:r>
          </w:p>
        </w:tc>
        <w:tc>
          <w:tcPr>
            <w:tcW w:w="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(2,905)</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3,552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(6,457)</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8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payments for income taxes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5,992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6,956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(964)</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Net Income (Loss) </w:t>
            </w:r>
            <w:r>
              <w:rPr>
                <w:rFonts w:ascii="Arial" w:cs="Arial" w:eastAsia="Arial" w:hAnsi="Arial"/>
                <w:sz w:val="17"/>
                <w:szCs w:val="17"/>
                <w:color w:val="auto"/>
                <w:vertAlign w:val="superscript"/>
              </w:rPr>
              <w:t>(2)</w:t>
            </w: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(2,945)</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w:t>
            </w:r>
          </w:p>
        </w:tc>
      </w:tr>
      <w:tr>
        <w:trPr>
          <w:trHeight w:val="237"/>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Adjusted Net (Loss) Income</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(8,632)</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7,787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(16,419)</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______________________________________________________________________________________</w:t>
      </w:r>
    </w:p>
    <w:p>
      <w:pPr>
        <w:spacing w:after="0" w:line="172" w:lineRule="exact"/>
        <w:rPr>
          <w:sz w:val="20"/>
          <w:szCs w:val="20"/>
          <w:color w:val="auto"/>
        </w:rPr>
      </w:pPr>
    </w:p>
    <w:p>
      <w:pPr>
        <w:ind w:left="440" w:hanging="405"/>
        <w:spacing w:after="0" w:line="241" w:lineRule="auto"/>
        <w:tabs>
          <w:tab w:leader="none" w:pos="170" w:val="left"/>
        </w:tabs>
        <w:numPr>
          <w:ilvl w:val="1"/>
          <w:numId w:val="35"/>
        </w:numPr>
        <w:rPr>
          <w:rFonts w:ascii="Arial" w:cs="Arial" w:eastAsia="Arial" w:hAnsi="Arial"/>
          <w:sz w:val="16"/>
          <w:szCs w:val="16"/>
          <w:color w:val="auto"/>
          <w:vertAlign w:val="superscript"/>
        </w:rPr>
      </w:pPr>
      <w:r>
        <w:rPr>
          <w:rFonts w:ascii="Arial" w:cs="Arial" w:eastAsia="Arial" w:hAnsi="Arial"/>
          <w:sz w:val="13"/>
          <w:szCs w:val="13"/>
          <w:color w:val="auto"/>
        </w:rPr>
        <w:t>Pro-rata share of Adjusted Net Income (Loss) from unconsolidated entities for the years ended December 31, 2016 and 2015 includes the Company’s proportionate share of the unconsolidated entities’ asset impairment charges of $3,068 and $10,508, respectively.</w:t>
      </w:r>
    </w:p>
    <w:p>
      <w:pPr>
        <w:spacing w:after="0" w:line="97" w:lineRule="exact"/>
        <w:rPr>
          <w:rFonts w:ascii="Arial" w:cs="Arial" w:eastAsia="Arial" w:hAnsi="Arial"/>
          <w:sz w:val="16"/>
          <w:szCs w:val="16"/>
          <w:color w:val="auto"/>
          <w:vertAlign w:val="superscript"/>
        </w:rPr>
      </w:pPr>
    </w:p>
    <w:p>
      <w:pPr>
        <w:ind w:left="440" w:hanging="432"/>
        <w:spacing w:after="0" w:line="249" w:lineRule="auto"/>
        <w:tabs>
          <w:tab w:leader="none" w:pos="143"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Non-controlling share of Adjusted Net Income (Loss) is comprised of the following for the years ended December 31, 2016 and 2015: (i) equity-based compensation of $(1,561) and $1,387, (ii) provision for income tax of $29 and $16, (iii) loss on extinguishment of debt of $616 and $0, (iv) asset impairment charges of $3,725 and $0, (v) transaction and acquisition expense of $156 and $0 less (vi) cash tax payments of $20 and $70, respectively.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year ended December 31, 2016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60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9"/>
        </w:trPr>
        <w:tc>
          <w:tcPr>
            <w:tcW w:w="6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(20,064)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(11,826)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(8,238)</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92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(318)</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 (income)</w:t>
            </w: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(8,334)</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92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6,316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5,683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633</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92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92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(3)</w:t>
            </w: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65,656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52,324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13,332</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92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18,957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19,311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(354)</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(4)</w:t>
            </w: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(5,791)</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92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5,992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6,956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(964)</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(5)</w:t>
            </w:r>
          </w:p>
        </w:tc>
        <w:tc>
          <w:tcPr>
            <w:tcW w:w="9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(14,653)</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(2,578)</w:t>
            </w:r>
          </w:p>
        </w:tc>
      </w:tr>
      <w:tr>
        <w:trPr>
          <w:trHeight w:val="237"/>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69,028</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72,622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(3,594)</w:t>
            </w:r>
          </w:p>
        </w:tc>
      </w:tr>
      <w:tr>
        <w:trPr>
          <w:trHeight w:val="20"/>
        </w:trPr>
        <w:tc>
          <w:tcPr>
            <w:tcW w:w="6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440" w:hanging="432"/>
        <w:spacing w:after="0" w:line="218" w:lineRule="auto"/>
        <w:tabs>
          <w:tab w:leader="none" w:pos="164"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includes $60,210 and $45,308 of depreciation and amortization expense, $4,979 and $6,774 of lease intangible amortization, and $467 and $242 of amortization for lease incentives in the years ended December 31, 2016 and 2015, respectively.</w:t>
      </w:r>
    </w:p>
    <w:p>
      <w:pPr>
        <w:spacing w:after="0" w:line="52"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Pro-rata share of Adjusted EBITDA from unconsolidated entities includes the following items for the years ended December 31, 2016 and 2015: (i) net income (loss) of $(6,161)</w:t>
      </w:r>
    </w:p>
    <w:p>
      <w:pPr>
        <w:ind w:left="440"/>
        <w:spacing w:after="0" w:line="258" w:lineRule="auto"/>
        <w:rPr>
          <w:sz w:val="20"/>
          <w:szCs w:val="20"/>
          <w:color w:val="auto"/>
        </w:rPr>
      </w:pPr>
      <w:r>
        <w:rPr>
          <w:rFonts w:ascii="Arial" w:cs="Arial" w:eastAsia="Arial" w:hAnsi="Arial"/>
          <w:sz w:val="14"/>
          <w:szCs w:val="14"/>
          <w:color w:val="auto"/>
        </w:rPr>
        <w:t>and $(7,165), (ii) interest expense of $1,323 and $1,778, (iii) depreciation and amortization expense of $2,966 and $1,866, and (iv) asset impairment charges of $3,068 and $10,508, respectively.</w:t>
      </w:r>
    </w:p>
    <w:p>
      <w:pPr>
        <w:spacing w:after="0" w:line="86" w:lineRule="exact"/>
        <w:rPr>
          <w:sz w:val="20"/>
          <w:szCs w:val="20"/>
          <w:color w:val="auto"/>
        </w:rPr>
      </w:pPr>
    </w:p>
    <w:p>
      <w:pPr>
        <w:ind w:left="440" w:hanging="432"/>
        <w:spacing w:after="0" w:line="225" w:lineRule="auto"/>
        <w:tabs>
          <w:tab w:leader="none" w:pos="157"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years ended December 31, 2016 and 2015: (i) equity based compensation of $(1,561) and $1,387, (ii) provision for income taxes of $29 and $16, (iii) interest expense of $5,124 and $4,926, (iv) depreciation and amortization expense of $6,564 and $5,746, (v) loss on extinguishment of debt of $616 and $0, (vi) asset impairment charge of $3,725 and $0, and (vii) transaction and acquisition expense of $156 and $0, respectively.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639"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46"/>
        <w:spacing w:after="0" w:line="260" w:lineRule="auto"/>
        <w:rPr>
          <w:sz w:val="20"/>
          <w:szCs w:val="20"/>
          <w:color w:val="auto"/>
        </w:rPr>
      </w:pPr>
      <w:r>
        <w:rPr>
          <w:rFonts w:ascii="Arial" w:cs="Arial" w:eastAsia="Arial" w:hAnsi="Arial"/>
          <w:sz w:val="16"/>
          <w:szCs w:val="16"/>
          <w:color w:val="auto"/>
        </w:rPr>
        <w:t>For the year ended December 31, 2016 total revenues increased by $12,152 compared to the year ended December 31, 2015 driven mainly by higher revenues in the Aviation and Railroad segments offset by lower revenues in the Offshore Energy, Shipping Containers and Jefferson Terminal segments.</w:t>
      </w:r>
    </w:p>
    <w:p>
      <w:pPr>
        <w:spacing w:after="0" w:line="88" w:lineRule="exact"/>
        <w:rPr>
          <w:sz w:val="20"/>
          <w:szCs w:val="20"/>
          <w:color w:val="auto"/>
        </w:rPr>
      </w:pPr>
    </w:p>
    <w:p>
      <w:pPr>
        <w:jc w:val="both"/>
        <w:ind w:firstLine="446"/>
        <w:spacing w:after="0" w:line="248" w:lineRule="auto"/>
        <w:rPr>
          <w:sz w:val="20"/>
          <w:szCs w:val="20"/>
          <w:color w:val="auto"/>
        </w:rPr>
      </w:pPr>
      <w:r>
        <w:rPr>
          <w:rFonts w:ascii="Arial" w:cs="Arial" w:eastAsia="Arial" w:hAnsi="Arial"/>
          <w:sz w:val="16"/>
          <w:szCs w:val="16"/>
          <w:color w:val="auto"/>
        </w:rPr>
        <w:t>In Equipment Leasing, lease income increased by $4,853 in the year ended December 31, 2016 as compared to the year ended December 31, 2015 driven by an increase in assets on lease in the Aviation Leasing segment. The Offshore Energy segment offset the increase in the lease income as certain vessels were off hire, subject to short term lease arrangements and due to lower lease rates as a result of unfavorable market conditions. Maintenance revenue increased by $11,411 in the year ended December 31, 2016 as compared to the year ended December 31, 2015 as we increased the number of aircraft and engines subject to leases with maintenance arrangements. Our increase in lease income and maintenance revenues were offset by a $6,024 decrease in finance income for the year ended December 31, 2016 as compared to the year ended December 31, 2015 primarily driven by the sale of 42,000 shipping containers during the first quarter of 2016 and lower finance lease income as a result of the amortization of the underlying principal balances. Additionally, other revenues decreased by $1,034 mainly as a result of declining market conditions in the Offshore Energy segment as we continue to seek favorable leases.</w:t>
      </w:r>
    </w:p>
    <w:p>
      <w:pPr>
        <w:spacing w:after="0" w:line="289" w:lineRule="exact"/>
        <w:rPr>
          <w:sz w:val="20"/>
          <w:szCs w:val="20"/>
          <w:color w:val="auto"/>
        </w:rPr>
      </w:pPr>
    </w:p>
    <w:p>
      <w:pPr>
        <w:jc w:val="both"/>
        <w:ind w:firstLine="446"/>
        <w:spacing w:after="0" w:line="250" w:lineRule="auto"/>
        <w:rPr>
          <w:sz w:val="20"/>
          <w:szCs w:val="20"/>
          <w:color w:val="auto"/>
        </w:rPr>
      </w:pPr>
      <w:r>
        <w:rPr>
          <w:rFonts w:ascii="Arial" w:cs="Arial" w:eastAsia="Arial" w:hAnsi="Arial"/>
          <w:sz w:val="16"/>
          <w:szCs w:val="16"/>
          <w:color w:val="auto"/>
        </w:rPr>
        <w:t>In Infrastructure, rail revenues increased by $5,287 in the year ended December 31, 2016 as compared to the year ended December 31, 2015 due to an increase in traffic and expanded service offerings by our Railroad segment. The Jefferson Terminal segment had an increase in terminal service revenue of $2,247 in the year ended December 31, 2016 as compared to the year ended December 31, 2015 primarily due to a higher tank lease revenue as a result of new lease contracts. The aforementioned increases were offset by a decrease in lease income of $4,588 in the year ended December 31, 2016 as compared to the year ended December 31, 2015 due to the expiration of the railcar lease arrangement in the second half of 2015.</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For the year ended December 31, 2016, total expenses increased by $19,027 compared to the year ended December 31, 2015 mainly due to increases in general and administrative expenses and depreciation and amortization, which were offset by a decrease in operating expenses and interest expense.</w:t>
      </w:r>
    </w:p>
    <w:p>
      <w:pPr>
        <w:spacing w:after="0" w:line="8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General and administrative expenses increased by $4,746 in the year ended December 31, 2016 as compared to the year ended December 31, 2015 attributable to the higher reimbursements to our Manager, pursuant to new agreements put in place subsequent to our IPO in May of 2015.</w:t>
      </w:r>
    </w:p>
    <w:p>
      <w:pPr>
        <w:spacing w:after="0" w:line="8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Depreciation and amortization increased by $14,902 in the year ended December 31, 2016 as compared to the year ended December 31, 2015 primarily due to additional assets acquired in the Aviation Leasing segment and assets placed into service in the Jefferson Terminal segment.</w:t>
      </w:r>
    </w:p>
    <w:p>
      <w:pPr>
        <w:spacing w:after="0" w:line="8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Operating expenses decreased by $2,624 in the year ended December 31, 2016 as compared to the year ended December 31, 2015 primarily due to a decrease in (i) stock compensation of $8,311 and (ii) facility operations of $5,211 primarily in the Jefferson Terminal segment due to lower volumes. Offsetting the decrease were higher (i) operating taxes of $1,776 primarily due to additional property, plant and equipment placed into service in the Jefferson Terminal segment, (ii) higher operating expenses of $7,065 primarily in to the Offshore Energy segment since, due to the short term nature of the lease arrangements operating expenses are borne by us, (iii) environmental cleanup costs of $578 in the Jefferson Terminal segment net of insurance reimbursements (iv) professional fees of $673 primarily in Offshore Energy and Aviation, (v) compensation and benefits of $796, and (vi) incurred expenses from our growing business units, including Repauno.</w:t>
      </w:r>
    </w:p>
    <w:p>
      <w:pPr>
        <w:spacing w:after="0" w:line="10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Interest expense decreased by $354 in the year ended December 31, 2016 as compared to the year ended December 31, 2015 primarily driven by Shipping Containers due to lower principal balances on the term loans, along with the termination of the term loan in conjunction with the sale of the shipping containers during the first quarter of 2016. The decrease was offset by the Dock and Wharf Facility Revenue Bonds, Series 2016 (the “Series 2016 Bonds”) issued in March 2016.</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Expenses</w:t>
      </w:r>
    </w:p>
    <w:p>
      <w:pPr>
        <w:spacing w:after="0" w:line="12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Total other expenses increased by $5,410 in the year ended December 31, 2016 as compared to the year ended December 31, 2015 primarily due to an asset impairment charge of $7,450 as we determined not to proceed with the purchase of the MT6015 Vessel (Note 2 of our consolidated financial statements). Additionally, we recognized a $1,579 loss on extinguishment of debt due to an early repayment of debt in the Jefferson Terminal segment. The aforementioned increases in other expenses were offset by a $964 decrease in losses of unconsolidated entities primarily related to a shipping container joint venture in the year ended December 31, 2016 as compared to the year ended December 31, 2015 primarily due to a higher asset impairment charge recorded by the shipping container joint venture during 2015. The increases in other expenses were additionally offset by higher gains on sale of aviation equipment and finance leases of $2,522 in the year ended December 31, 2016 as compared to the year ended December 31, 2015.</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w:t>
      </w:r>
    </w:p>
    <w:p>
      <w:pPr>
        <w:spacing w:after="0" w:line="12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Net loss attributable to shareholders increased by $8,238 in the year ended December 31, 2016 as compared to the year ended December 31, 2015 driven primarily by the changes discussed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477"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i w:val="1"/>
          <w:iCs w:val="1"/>
          <w:color w:val="auto"/>
        </w:rPr>
        <w:t>Adjusted Net (Loss) Income</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Adjusted Net Income decreased by $16,419 in the year ended December 31, 2016 as compared to the year ended December 31, 2015, in addition to the changes in revenue, expenses and other expenses noted above, the decrease in the period was driven by a decrease in (i) equity based compensation of $8,334, (ii) pro-rata share of Adjusted Net Income of $6,457, (iii) losses of unconsolidated entities of $964, and (iv) non-controlling share of Adjusted Net income of $1,612. The decrease was offset by an increase in in asset impairment charges of $7,450 and losses from the extinguishment of debt of $1,579.</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Adjusted EBITDA was $69,028 for the year ended December 31, 2016 decreasing by $3,594 as compared to the year ended December 31, 2015. In addition to the changes in revenue, expenses and other losses noted above, which resulted in a net loss attributable to shareholders, the change was primarily due to (i) the pro-rata share of Adjusted EBITDA from unconsolidated entities, (ii) lower equity-based compensation and (iii) lower non-controlling share of Adjusted EBITDA, and (iv) equity in earnings of unconsolidated entities.</w:t>
      </w:r>
    </w:p>
    <w:p>
      <w:pPr>
        <w:spacing w:after="0" w:line="95"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The change was offset by depreciation and amortization expense from additional assets acquired and placed into service, and interest expense on borrowings executed in the first quarter of 2016. Additionally, for the year ended December 31, 2016, there was an increase in the asset impairment changes and losses from the extinguishment of debt.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As of December 31, 2016, in our Aviation Leasing segment, we own and manage 92 aviation assets, including 26 aircraft and 66 commercial jet engines.</w:t>
      </w:r>
    </w:p>
    <w:p>
      <w:pPr>
        <w:spacing w:after="0" w:line="295"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As of December 31, 2016, 24 of our commercial aircraft and 46 of our jet engines were leased to operators or other third parties. Aviation assets currently off lease are either undergoing repair and/or maintenance, being prepared to go on lease or held in short term storage awaiting a future lease. Our aviation equipment was approximately 85% utilized as of December 31, 2016, based on the equity value of our on-hire leasing equipment as a percentage of the total equity value of our aviation leasing equipment. Our aircraft currently have a weighted average remaining lease term of 31 months, and our jet engines currently on-lease have an average remaining lease term of 12 months. The table below provides additional information on the assets in our Aviation Leasing segment:</w:t>
      </w: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2300" w:type="dxa"/>
            <w:vAlign w:val="bottom"/>
            <w:gridSpan w:val="2"/>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2280" w:type="dxa"/>
            <w:vAlign w:val="bottom"/>
            <w:gridSpan w:val="2"/>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214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2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Aircraft</w:t>
            </w:r>
          </w:p>
        </w:tc>
        <w:tc>
          <w:tcPr>
            <w:tcW w:w="4140" w:type="dxa"/>
            <w:vAlign w:val="bottom"/>
            <w:gridSpan w:val="2"/>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79"/>
        </w:trPr>
        <w:tc>
          <w:tcPr>
            <w:tcW w:w="2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2016</w:t>
            </w:r>
          </w:p>
        </w:tc>
        <w:tc>
          <w:tcPr>
            <w:tcW w:w="218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4"/>
                <w:szCs w:val="24"/>
                <w:color w:val="auto"/>
              </w:rPr>
            </w:pPr>
          </w:p>
        </w:tc>
        <w:tc>
          <w:tcPr>
            <w:tcW w:w="2140" w:type="dxa"/>
            <w:vAlign w:val="bottom"/>
          </w:tcPr>
          <w:p>
            <w:pPr>
              <w:jc w:val="right"/>
              <w:ind w:right="48"/>
              <w:spacing w:after="0"/>
              <w:rPr>
                <w:sz w:val="20"/>
                <w:szCs w:val="20"/>
                <w:color w:val="auto"/>
              </w:rPr>
            </w:pPr>
            <w:r>
              <w:rPr>
                <w:rFonts w:ascii="Arial" w:cs="Arial" w:eastAsia="Arial" w:hAnsi="Arial"/>
                <w:sz w:val="14"/>
                <w:szCs w:val="14"/>
                <w:b w:val="1"/>
                <w:bCs w:val="1"/>
                <w:color w:val="auto"/>
              </w:rPr>
              <w:t>18</w:t>
            </w:r>
          </w:p>
        </w:tc>
      </w:tr>
      <w:tr>
        <w:trPr>
          <w:trHeight w:val="270"/>
        </w:trPr>
        <w:tc>
          <w:tcPr>
            <w:tcW w:w="2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2140" w:type="dxa"/>
            <w:vAlign w:val="bottom"/>
          </w:tcPr>
          <w:p>
            <w:pPr>
              <w:jc w:val="right"/>
              <w:ind w:right="48"/>
              <w:spacing w:after="0"/>
              <w:rPr>
                <w:sz w:val="20"/>
                <w:szCs w:val="20"/>
                <w:color w:val="auto"/>
              </w:rPr>
            </w:pPr>
            <w:r>
              <w:rPr>
                <w:rFonts w:ascii="Arial" w:cs="Arial" w:eastAsia="Arial" w:hAnsi="Arial"/>
                <w:sz w:val="14"/>
                <w:szCs w:val="14"/>
                <w:color w:val="auto"/>
              </w:rPr>
              <w:t>9</w:t>
            </w:r>
          </w:p>
        </w:tc>
      </w:tr>
      <w:tr>
        <w:trPr>
          <w:trHeight w:val="276"/>
        </w:trPr>
        <w:tc>
          <w:tcPr>
            <w:tcW w:w="2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2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1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2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2016</w:t>
            </w:r>
          </w:p>
        </w:tc>
        <w:tc>
          <w:tcPr>
            <w:tcW w:w="2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1"/>
                <w:szCs w:val="21"/>
                <w:color w:val="auto"/>
              </w:rPr>
            </w:pPr>
          </w:p>
        </w:tc>
        <w:tc>
          <w:tcPr>
            <w:tcW w:w="2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w:t>
            </w:r>
          </w:p>
        </w:tc>
      </w:tr>
      <w:tr>
        <w:trPr>
          <w:trHeight w:val="554"/>
        </w:trPr>
        <w:tc>
          <w:tcPr>
            <w:tcW w:w="2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Jet Engines</w:t>
            </w: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2016</w:t>
            </w:r>
          </w:p>
        </w:tc>
        <w:tc>
          <w:tcPr>
            <w:tcW w:w="2180" w:type="dxa"/>
            <w:vAlign w:val="bottom"/>
          </w:tcPr>
          <w:p>
            <w:pPr>
              <w:jc w:val="right"/>
              <w:ind w:right="48"/>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4"/>
                <w:szCs w:val="24"/>
                <w:color w:val="auto"/>
              </w:rPr>
            </w:pPr>
          </w:p>
        </w:tc>
        <w:tc>
          <w:tcPr>
            <w:tcW w:w="2140" w:type="dxa"/>
            <w:vAlign w:val="bottom"/>
          </w:tcPr>
          <w:p>
            <w:pPr>
              <w:jc w:val="right"/>
              <w:ind w:right="48"/>
              <w:spacing w:after="0"/>
              <w:rPr>
                <w:sz w:val="20"/>
                <w:szCs w:val="20"/>
                <w:color w:val="auto"/>
              </w:rPr>
            </w:pPr>
            <w:r>
              <w:rPr>
                <w:rFonts w:ascii="Arial" w:cs="Arial" w:eastAsia="Arial" w:hAnsi="Arial"/>
                <w:sz w:val="14"/>
                <w:szCs w:val="14"/>
                <w:b w:val="1"/>
                <w:bCs w:val="1"/>
                <w:color w:val="auto"/>
              </w:rPr>
              <w:t>42</w:t>
            </w:r>
          </w:p>
        </w:tc>
      </w:tr>
      <w:tr>
        <w:trPr>
          <w:trHeight w:val="270"/>
        </w:trPr>
        <w:tc>
          <w:tcPr>
            <w:tcW w:w="2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2140" w:type="dxa"/>
            <w:vAlign w:val="bottom"/>
          </w:tcPr>
          <w:p>
            <w:pPr>
              <w:jc w:val="right"/>
              <w:ind w:right="48"/>
              <w:spacing w:after="0"/>
              <w:rPr>
                <w:sz w:val="20"/>
                <w:szCs w:val="20"/>
                <w:color w:val="auto"/>
              </w:rPr>
            </w:pPr>
            <w:r>
              <w:rPr>
                <w:rFonts w:ascii="Arial" w:cs="Arial" w:eastAsia="Arial" w:hAnsi="Arial"/>
                <w:sz w:val="14"/>
                <w:szCs w:val="14"/>
                <w:color w:val="auto"/>
              </w:rPr>
              <w:t>28</w:t>
            </w:r>
          </w:p>
        </w:tc>
      </w:tr>
      <w:tr>
        <w:trPr>
          <w:trHeight w:val="276"/>
        </w:trPr>
        <w:tc>
          <w:tcPr>
            <w:tcW w:w="2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2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1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2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2016</w:t>
            </w:r>
          </w:p>
        </w:tc>
        <w:tc>
          <w:tcPr>
            <w:tcW w:w="2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1"/>
                <w:szCs w:val="21"/>
                <w:color w:val="auto"/>
              </w:rPr>
            </w:pPr>
          </w:p>
        </w:tc>
        <w:tc>
          <w:tcPr>
            <w:tcW w:w="2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w:t>
            </w:r>
          </w:p>
        </w:tc>
      </w:tr>
      <w:tr>
        <w:trPr>
          <w:trHeight w:val="42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80" w:type="dxa"/>
            <w:vAlign w:val="bottom"/>
          </w:tcPr>
          <w:p>
            <w:pPr>
              <w:jc w:val="right"/>
              <w:ind w:right="100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420"/>
          </w:cols>
          <w:pgMar w:left="240" w:top="477"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Aviation Leasing segment for the years ended December 31, 2016 and December 31,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66,024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23,100</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28,697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17,286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11,411</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14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1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95,408</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61,330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34,078</w:t>
            </w:r>
          </w:p>
        </w:tc>
        <w:tc>
          <w:tcPr>
            <w:tcW w:w="0" w:type="dxa"/>
            <w:vAlign w:val="bottom"/>
          </w:tcPr>
          <w:p>
            <w:pPr>
              <w:spacing w:after="0"/>
              <w:rPr>
                <w:sz w:val="1"/>
                <w:szCs w:val="1"/>
                <w:color w:val="auto"/>
              </w:rPr>
            </w:pPr>
          </w:p>
        </w:tc>
      </w:tr>
      <w:tr>
        <w:trPr>
          <w:trHeight w:val="297"/>
        </w:trPr>
        <w:tc>
          <w:tcPr>
            <w:tcW w:w="56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1,789</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36,369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23,549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12,820</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14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41,058</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26,369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14,689</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w:t>
            </w:r>
          </w:p>
        </w:tc>
        <w:tc>
          <w:tcPr>
            <w:tcW w:w="1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Gain on sale of assets, net</w:t>
            </w: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5,214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2,161</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14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1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5,356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3,064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2,292</w:t>
            </w:r>
          </w:p>
        </w:tc>
        <w:tc>
          <w:tcPr>
            <w:tcW w:w="0" w:type="dxa"/>
            <w:vAlign w:val="bottom"/>
          </w:tcPr>
          <w:p>
            <w:pPr>
              <w:spacing w:after="0"/>
              <w:rPr>
                <w:sz w:val="1"/>
                <w:szCs w:val="1"/>
                <w:color w:val="auto"/>
              </w:rPr>
            </w:pP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1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59,706</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38,025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21,681</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1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14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59,439</w:t>
            </w: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37,357</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22,082</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1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414</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59,004</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37,336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21,668</w:t>
            </w:r>
          </w:p>
        </w:tc>
        <w:tc>
          <w:tcPr>
            <w:tcW w:w="0" w:type="dxa"/>
            <w:vAlign w:val="bottom"/>
          </w:tcPr>
          <w:p>
            <w:pPr>
              <w:spacing w:after="0"/>
              <w:rPr>
                <w:sz w:val="1"/>
                <w:szCs w:val="1"/>
                <w:color w:val="auto"/>
              </w:rPr>
            </w:pPr>
          </w:p>
        </w:tc>
      </w:tr>
      <w:tr>
        <w:trPr>
          <w:trHeight w:val="250"/>
        </w:trPr>
        <w:tc>
          <w:tcPr>
            <w:tcW w:w="56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1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58,768</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37,777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20,991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868"/>
              <w:spacing w:after="0"/>
              <w:rPr>
                <w:sz w:val="20"/>
                <w:szCs w:val="20"/>
                <w:color w:val="auto"/>
              </w:rPr>
            </w:pPr>
            <w:r>
              <w:rPr>
                <w:rFonts w:ascii="Arial" w:cs="Arial" w:eastAsia="Arial" w:hAnsi="Arial"/>
                <w:sz w:val="14"/>
                <w:szCs w:val="14"/>
                <w:color w:val="auto"/>
              </w:rPr>
              <w:t>64</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6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06" w:right="259" w:bottom="1440" w:gutter="0" w:footer="0" w:header="0"/>
        </w:sectPr>
      </w:pPr>
    </w:p>
    <w:bookmarkStart w:id="64" w:name="page65"/>
    <w:bookmarkEnd w:id="64"/>
    <w:p>
      <w:pPr>
        <w:ind w:firstLine="486"/>
        <w:spacing w:after="0" w:line="260" w:lineRule="auto"/>
        <w:rPr>
          <w:sz w:val="20"/>
          <w:szCs w:val="20"/>
          <w:color w:val="auto"/>
        </w:rPr>
      </w:pPr>
      <w:r>
        <w:rPr>
          <w:rFonts w:ascii="Arial" w:cs="Arial" w:eastAsia="Arial" w:hAnsi="Arial"/>
          <w:sz w:val="16"/>
          <w:szCs w:val="16"/>
          <w:color w:val="auto"/>
        </w:rPr>
        <w:t>The following table sets forth a reconciliation of net income attributable to shareholders to Adjusted EBITDA for the Aviation Leasing segment for the year ended December 31, 2016 and December 31,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
        </w:trPr>
        <w:tc>
          <w:tcPr>
            <w:tcW w:w="6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59,004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37,336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21,668</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(401)</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(1)</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41,816</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11,251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gridSpan w:val="2"/>
          </w:tcPr>
          <w:p>
            <w:pPr>
              <w:jc w:val="center"/>
              <w:ind w:right="66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2"/>
                <w:szCs w:val="22"/>
                <w:color w:val="auto"/>
              </w:rPr>
            </w:pPr>
          </w:p>
        </w:tc>
        <w:tc>
          <w:tcPr>
            <w:tcW w:w="1260" w:type="dxa"/>
            <w:vAlign w:val="bottom"/>
          </w:tcPr>
          <w:p>
            <w:pPr>
              <w:jc w:val="right"/>
              <w:ind w:right="64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r>
              <w:rPr>
                <w:rFonts w:ascii="Arial" w:cs="Arial" w:eastAsia="Arial" w:hAnsi="Arial"/>
                <w:sz w:val="17"/>
                <w:szCs w:val="17"/>
                <w:color w:val="auto"/>
                <w:vertAlign w:val="superscript"/>
              </w:rPr>
              <w:t>(2)</w:t>
            </w:r>
          </w:p>
        </w:tc>
        <w:tc>
          <w:tcPr>
            <w:tcW w:w="9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101,003</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68,548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32,455</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______________________________________________________________________________________</w:t>
      </w:r>
    </w:p>
    <w:p>
      <w:pPr>
        <w:spacing w:after="0" w:line="64" w:lineRule="exact"/>
        <w:rPr>
          <w:sz w:val="20"/>
          <w:szCs w:val="20"/>
          <w:color w:val="auto"/>
        </w:rPr>
      </w:pPr>
    </w:p>
    <w:p>
      <w:pPr>
        <w:ind w:left="500" w:hanging="492"/>
        <w:spacing w:after="0" w:line="211" w:lineRule="auto"/>
        <w:tabs>
          <w:tab w:leader="none" w:pos="162"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includes $36,369 and $23,549 of depreciation expense, $4,979 and $6,774 of lease intangible amortization, and $468 and $242 of amortization for lease incentives in the years ended December 31, 2016 and 2015, respectively.</w:t>
      </w:r>
    </w:p>
    <w:p>
      <w:pPr>
        <w:ind w:left="160" w:hanging="152"/>
        <w:spacing w:after="0" w:line="199" w:lineRule="auto"/>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depreciation expense of $164 and $21 for the years ended December 31, 2016 and 2015,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Total revenues in the Aviation Leasing segment increased by $34,078 in the year ended December 31, 2016 as compared to the year ended December 31, 2015, driven by higher lease income and maintenance revenue offset by a decrease in other revenue. Lease income increased by $23,100 in the year ended December 31, 2016 as compared to the year ended December 31, 2015 mainly due to an increase in (i) aircraft lease income of $18,081 primarily driven by the addition of nine aircraft on lease and (ii) engine lease income of $5,019 primarily driven by an increase in the number of engines which have generated revenue from 32 in the year ended December 31, 2015 to 50 in the year ended December 31, 2016. Maintenance revenue increased by $11,411 in the year ended December 31, 2016 as compared to the year ended December 31, 2015 due to an increase in the number of aircraft and engines on lease. Other revenue decreased by $433 primarily due to greater security deposits included in earnings in the year ended December 31, 2015, as compared to the year ended December 31, 2016.</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6"/>
          <w:szCs w:val="16"/>
          <w:color w:val="auto"/>
        </w:rPr>
        <w:t>Total expenses in the Aviation Leasing segment increased by $14,689 in the year ended December 31, 2016 as compared to the year ended December 31, 2015, primarily due to an increase in depreciation and amortization expense and an increase in operating expenses. Depreciation and amortization expense increased by $12,820 driven by additional aircraft and engines owned and on lease in the year ended December 31, 2016 as compared to the year ended December 31, 2015. Operating expenses increased by $1,789 in the year ended December 31, 2016 as compared to the year ended December 31, 2015, primarily the result of increases in professional fee expenses of $812, servicer expense of $376, and shipping and storage fees of $320, due to growth and expansion of the Aviation Leasing segment.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w:t>
      </w:r>
    </w:p>
    <w:p>
      <w:pPr>
        <w:spacing w:after="0" w:line="23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Total other income in the Aviation Leasing segment increased by $2,292 in the year ended December 31, 2016 as compared to the year ended December 31, 2015, driven by the gain on sale of assets.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Income</w:t>
      </w:r>
    </w:p>
    <w:p>
      <w:pPr>
        <w:spacing w:after="0" w:line="1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Adjusted Net Income in the Aviation Leasing segment was $58,768 in the year ended December 31, 2016 increasing by $20,991 as compared to the year ended December 31, 2015 primarily driven by the changes to net income attributable to shareholders noted above, adjusted for the provision for income taxes and cash payments for income taxes.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385"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right="20" w:firstLine="486"/>
        <w:spacing w:after="0" w:line="251" w:lineRule="auto"/>
        <w:rPr>
          <w:sz w:val="20"/>
          <w:szCs w:val="20"/>
          <w:color w:val="auto"/>
        </w:rPr>
      </w:pPr>
      <w:r>
        <w:rPr>
          <w:rFonts w:ascii="Arial" w:cs="Arial" w:eastAsia="Arial" w:hAnsi="Arial"/>
          <w:sz w:val="16"/>
          <w:szCs w:val="16"/>
          <w:color w:val="auto"/>
        </w:rPr>
        <w:t>Adjusted EBITDA in the Aviation Leasing segment was $101,003 for the year ended December 31, 2016 increasing by $32,455 as compared to the year ended December 31, 2015. In addition to the changes in net income attributable to shareholders noted above, this movement was primarily due to higher depreciation and amortization expense for the additional aircraft and engines owned and on lease in the year ended December 31, 2016, offset by a decrease in the provision for income tax and an increase in the non-controlling interest share of Adjusted EBITDA.</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Offshore Energy Segment</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our Offshore Energy segment, we own one remotely operated vehicle (“ROV”) support vessel, one construction support vessel and one anchor handling tug supply (“AHTS”) vessel. The chart below describes the assets in our Offshore Energy segment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140335</wp:posOffset>
            </wp:positionV>
            <wp:extent cx="7246620" cy="1149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149350"/>
                    </a:xfrm>
                    <a:prstGeom prst="rect">
                      <a:avLst/>
                    </a:prstGeom>
                    <a:noFill/>
                  </pic:spPr>
                </pic:pic>
              </a:graphicData>
            </a:graphic>
          </wp:anchor>
        </w:drawing>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Offshore Energy Assets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300" w:type="dxa"/>
            <w:vAlign w:val="bottom"/>
            <w:tcBorders>
              <w:top w:val="single" w:sz="8" w:color="auto"/>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Asset Type</w:t>
            </w:r>
          </w:p>
        </w:tc>
        <w:tc>
          <w:tcPr>
            <w:tcW w:w="116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8"/>
              </w:rPr>
              <w:t>Year Built</w:t>
            </w:r>
          </w:p>
        </w:tc>
        <w:tc>
          <w:tcPr>
            <w:tcW w:w="5920" w:type="dxa"/>
            <w:vAlign w:val="bottom"/>
            <w:tcBorders>
              <w:top w:val="single" w:sz="8" w:color="auto"/>
              <w:bottom w:val="single" w:sz="8" w:color="auto"/>
              <w:right w:val="single" w:sz="8" w:color="auto"/>
            </w:tcBorders>
            <w:shd w:val="clear" w:color="auto" w:fill="D8D8D8"/>
          </w:tcPr>
          <w:p>
            <w:pPr>
              <w:ind w:left="2580"/>
              <w:spacing w:after="0"/>
              <w:rPr>
                <w:sz w:val="20"/>
                <w:szCs w:val="20"/>
                <w:color w:val="auto"/>
              </w:rPr>
            </w:pPr>
            <w:r>
              <w:rPr>
                <w:rFonts w:ascii="Arial" w:cs="Arial" w:eastAsia="Arial" w:hAnsi="Arial"/>
                <w:sz w:val="14"/>
                <w:szCs w:val="14"/>
                <w:color w:val="auto"/>
              </w:rPr>
              <w:t>Description</w:t>
            </w:r>
          </w:p>
        </w:tc>
        <w:tc>
          <w:tcPr>
            <w:tcW w:w="2020" w:type="dxa"/>
            <w:vAlign w:val="bottom"/>
            <w:tcBorders>
              <w:top w:val="single" w:sz="8" w:color="auto"/>
              <w:bottom w:val="single" w:sz="8" w:color="auto"/>
            </w:tcBorders>
            <w:shd w:val="clear" w:color="auto" w:fill="D8D8D8"/>
          </w:tcPr>
          <w:p>
            <w:pPr>
              <w:ind w:left="300"/>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AHTS Vessel</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2010</w:t>
            </w:r>
          </w:p>
        </w:tc>
        <w:tc>
          <w:tcPr>
            <w:tcW w:w="59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0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59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auto"/>
              </w:rPr>
              <w:t>and a total bollard pull of 68.5 tons</w:t>
            </w:r>
          </w:p>
        </w:tc>
        <w:tc>
          <w:tcPr>
            <w:tcW w:w="20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5920" w:type="dxa"/>
            <w:vAlign w:val="bottom"/>
            <w:tcBorders>
              <w:bottom w:val="single" w:sz="8" w:color="auto"/>
              <w:right w:val="single" w:sz="8" w:color="auto"/>
            </w:tcBorders>
            <w:vMerge w:val="continue"/>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59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DP-3 construction support and well intervention vessel with</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Construction Support Vessel</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2014</w:t>
            </w:r>
          </w:p>
        </w:tc>
        <w:tc>
          <w:tcPr>
            <w:tcW w:w="59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250-ton main crane, 2,000 square meter open deck space, moon pool and</w:t>
            </w:r>
          </w:p>
        </w:tc>
        <w:tc>
          <w:tcPr>
            <w:tcW w:w="2020" w:type="dxa"/>
            <w:vAlign w:val="bottom"/>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59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accommodation for 100 personnel</w:t>
            </w:r>
          </w:p>
        </w:tc>
        <w:tc>
          <w:tcPr>
            <w:tcW w:w="2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3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ROV Support Vessel</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2011</w:t>
            </w:r>
          </w:p>
        </w:tc>
        <w:tc>
          <w:tcPr>
            <w:tcW w:w="59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DP-2 dive and ROV support vessel with 50-ton crane, moon pool and accommodation for</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9"/>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0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59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auto"/>
              </w:rPr>
              <w:t>120 personnel</w:t>
            </w:r>
          </w:p>
        </w:tc>
        <w:tc>
          <w:tcPr>
            <w:tcW w:w="20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5920" w:type="dxa"/>
            <w:vAlign w:val="bottom"/>
            <w:tcBorders>
              <w:bottom w:val="single" w:sz="8" w:color="auto"/>
              <w:right w:val="single" w:sz="8" w:color="auto"/>
            </w:tcBorders>
            <w:vMerge w:val="continue"/>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6"/>
        </w:trPr>
        <w:tc>
          <w:tcPr>
            <w:tcW w:w="2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20" w:type="dxa"/>
            <w:vAlign w:val="bottom"/>
          </w:tcPr>
          <w:p>
            <w:pPr>
              <w:ind w:left="2160"/>
              <w:spacing w:after="0"/>
              <w:rPr>
                <w:sz w:val="20"/>
                <w:szCs w:val="20"/>
                <w:color w:val="auto"/>
              </w:rPr>
            </w:pPr>
            <w:r>
              <w:rPr>
                <w:rFonts w:ascii="Arial" w:cs="Arial" w:eastAsia="Arial" w:hAnsi="Arial"/>
                <w:sz w:val="14"/>
                <w:szCs w:val="14"/>
                <w:color w:val="auto"/>
              </w:rPr>
              <w:t>66</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77" w:right="219" w:bottom="1440" w:gutter="0" w:footer="0" w:header="0"/>
        </w:sectPr>
      </w:pPr>
    </w:p>
    <w:bookmarkStart w:id="66" w:name="page67"/>
    <w:bookmarkEnd w:id="66"/>
    <w:p>
      <w:pPr>
        <w:ind w:right="200" w:firstLine="405"/>
        <w:spacing w:after="0" w:line="260" w:lineRule="auto"/>
        <w:rPr>
          <w:sz w:val="20"/>
          <w:szCs w:val="20"/>
          <w:color w:val="auto"/>
        </w:rPr>
      </w:pPr>
      <w:r>
        <w:rPr>
          <w:rFonts w:ascii="Arial" w:cs="Arial" w:eastAsia="Arial" w:hAnsi="Arial"/>
          <w:sz w:val="16"/>
          <w:szCs w:val="16"/>
          <w:color w:val="auto"/>
        </w:rPr>
        <w:t>The following table presents our results of operations and reconciliation of net (loss) income attributable to shareholders to Adjusted Net (Loss) Income for the Offshore Energy segment for the year ended December 31, 2016 and December 31,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(18,247)</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5,328</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24,231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(18,903)</w:t>
            </w:r>
          </w:p>
        </w:tc>
      </w:tr>
      <w:tr>
        <w:trPr>
          <w:trHeight w:val="297"/>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6,364</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6,411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5,967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444</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21,172</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14,411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6,761</w:t>
            </w:r>
          </w:p>
        </w:tc>
      </w:tr>
      <w:tr>
        <w:trPr>
          <w:trHeight w:val="297"/>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impairment</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(7,437)</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(7,920)</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(23,281)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10,303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(33,584)</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9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income</w:t>
            </w:r>
          </w:p>
        </w:tc>
        <w:tc>
          <w:tcPr>
            <w:tcW w:w="9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(23,281)</w:t>
            </w:r>
          </w:p>
        </w:tc>
        <w:tc>
          <w:tcPr>
            <w:tcW w:w="1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10,303</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(33,584)</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income attributable to non-controlling interest in consolidated subsidiaries</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(4,368)</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(5,044)</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(18,913)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9,627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(28,540)</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9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7,450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7,450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7"/>
                <w:szCs w:val="17"/>
                <w:color w:val="auto"/>
                <w:vertAlign w:val="superscript"/>
              </w:rPr>
              <w:t>(1)</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(3,725)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Net (Loss) Income</w:t>
            </w: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(15,188)</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9,627</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(24,815)</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______________________________________________________________________________________</w:t>
      </w:r>
    </w:p>
    <w:p>
      <w:pPr>
        <w:spacing w:after="0" w:line="29"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Net Income (Loss) is comprised of asset impairment charges of $3,725 and $0 for the years ended December 31, 2016 and 2015, respectively.</w:t>
      </w:r>
    </w:p>
    <w:p>
      <w:pPr>
        <w:spacing w:after="0" w:line="232" w:lineRule="exact"/>
        <w:rPr>
          <w:rFonts w:ascii="Arial" w:cs="Arial" w:eastAsia="Arial" w:hAnsi="Arial"/>
          <w:sz w:val="18"/>
          <w:szCs w:val="18"/>
          <w:color w:val="auto"/>
          <w:vertAlign w:val="superscript"/>
        </w:rPr>
      </w:pPr>
    </w:p>
    <w:p>
      <w:pPr>
        <w:ind w:left="5640"/>
        <w:spacing w:after="0"/>
        <w:rPr>
          <w:rFonts w:ascii="Arial" w:cs="Arial" w:eastAsia="Arial" w:hAnsi="Arial"/>
          <w:sz w:val="18"/>
          <w:szCs w:val="18"/>
          <w:color w:val="auto"/>
          <w:vertAlign w:val="superscript"/>
        </w:rPr>
      </w:pPr>
      <w:r>
        <w:rPr>
          <w:rFonts w:ascii="Arial" w:cs="Arial" w:eastAsia="Arial" w:hAnsi="Arial"/>
          <w:sz w:val="14"/>
          <w:szCs w:val="14"/>
          <w:color w:val="auto"/>
        </w:rPr>
        <w:t>67</w:t>
      </w:r>
    </w:p>
    <w:p>
      <w:pPr>
        <w:sectPr>
          <w:pgSz w:w="11900" w:h="16838" w:orient="portrait"/>
          <w:cols w:equalWidth="0" w:num="1">
            <w:col w:w="11420"/>
          </w:cols>
          <w:pgMar w:left="240" w:top="493" w:right="239" w:bottom="1440" w:gutter="0" w:footer="0" w:header="0"/>
        </w:sectPr>
      </w:pPr>
    </w:p>
    <w:bookmarkStart w:id="67" w:name="page68"/>
    <w:bookmarkEnd w:id="67"/>
    <w:p>
      <w:pPr>
        <w:ind w:right="220" w:firstLine="648"/>
        <w:spacing w:after="0" w:line="260" w:lineRule="auto"/>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 for the Offshore Energy segment for the years ended December 31, 2016 and December 31, 2015:</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64"/>
        </w:trPr>
        <w:tc>
          <w:tcPr>
            <w:tcW w:w="63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
        </w:trPr>
        <w:tc>
          <w:tcPr>
            <w:tcW w:w="6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9"/>
              </w:rPr>
              <w:t>(18,913)</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(28,540)</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7,450</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6,411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3,747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10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(4,084)</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(3,739)</w:t>
            </w:r>
          </w:p>
        </w:tc>
      </w:tr>
      <w:tr>
        <w:trPr>
          <w:trHeight w:val="237"/>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(5,389)</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19,043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(24,432)</w:t>
            </w:r>
          </w:p>
        </w:tc>
      </w:tr>
      <w:tr>
        <w:trPr>
          <w:trHeight w:val="20"/>
        </w:trPr>
        <w:tc>
          <w:tcPr>
            <w:tcW w:w="6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ind w:left="140" w:hanging="132"/>
        <w:spacing w:after="0" w:line="218" w:lineRule="auto"/>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color w:val="auto"/>
        </w:rPr>
        <w:t>Non-controlling share of Adjusted EBITDA is comprised of the following items for the years ended December 31, 2016 and 2015: (i) depreciation expense of $245 and $225,</w:t>
      </w:r>
    </w:p>
    <w:p>
      <w:pPr>
        <w:ind w:left="700" w:hanging="206"/>
        <w:spacing w:after="0"/>
        <w:tabs>
          <w:tab w:leader="none" w:pos="7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interest expense of $114 and $120, and (iii) asset impairment charges of $3,725 and $0,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Total revenues in the Offshore Energy segment decreased by $18,903 in the year ended December 31, 2016 as compared to the year ended December 31, 2015, primarily driven by lower lease income. In 2016, the offshore construction support vessel was subject to short term lease arrangements, as compared to 2015 when the vessel was on hire under a long term arrangement that terminated in the second half of 2015. In February 2016, the long term lease arrangement for the ROV support vessel was terminated resulting in lower lease income from short term lease arrangements for the year ended December 31, 2016 as compared to the year ended December 31, 2015.</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Total expenses in the Offshore Energy segment increased by $6,761 in the year ended December 31, 2016 as compared to the year ended December 31, 2015, respectively. Total expenses for the offshore construction support vessel included interest expense on term loan financing, depreciation and amortization expense, and operating expenses.</w:t>
      </w:r>
    </w:p>
    <w:p>
      <w:pPr>
        <w:spacing w:after="0" w:line="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During the year ended December 31, 2016, there was $4,776 and $1,635 of depreciation expense related to the construction support vessel and ROV support vessel, respectively. During the year ended December 31, 2015, there was $4,468 and $1,499 of depreciation expense related to the construction support vessel and ROV support vessel, respectively.</w:t>
      </w:r>
    </w:p>
    <w:p>
      <w:pPr>
        <w:spacing w:after="0" w:line="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During the year ended December 31, 2016, there was $3,634 and $113 of interest expense primarily related to financing for the construction support vessel and ROV support vessel, respectively. During the year ended December 31, 2015, there was $3,674 and $120 of interest expense related to financing for the construction support vessel and ROV support vessel, respectively.</w:t>
      </w:r>
    </w:p>
    <w:p>
      <w:pPr>
        <w:spacing w:after="0" w:line="9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For the year ended December 31, 2016, operating expenses increased $6,364 as compared to the year ended December 31, 2015. Historically, operating expenses were incurred by the bareboat charterers when the ROV support vessel and the offshore construction support vessel were on lease. In 2016, due to the short term nature of the lease arrangements, operating expenses were borne by us. The increase in operating expenses was the result of increased (i) crew costs of $2,308, (ii) legal fees of $1,863, (iii) mobilization and costs for spare parts of $1,216, (iv) management fees of $237 and (v) other operating expenses of $740 in the year ended December 31, 2016 as compared to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385"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i w:val="1"/>
          <w:iCs w:val="1"/>
          <w:color w:val="auto"/>
        </w:rPr>
        <w:t>Other (Expense) Income</w:t>
      </w:r>
    </w:p>
    <w:p>
      <w:pPr>
        <w:spacing w:after="0" w:line="129" w:lineRule="exact"/>
        <w:rPr>
          <w:sz w:val="20"/>
          <w:szCs w:val="20"/>
          <w:color w:val="auto"/>
        </w:rPr>
      </w:pPr>
    </w:p>
    <w:p>
      <w:pPr>
        <w:jc w:val="both"/>
        <w:ind w:right="40" w:firstLine="486"/>
        <w:spacing w:after="0" w:line="253" w:lineRule="auto"/>
        <w:rPr>
          <w:sz w:val="20"/>
          <w:szCs w:val="20"/>
          <w:color w:val="auto"/>
        </w:rPr>
      </w:pPr>
      <w:r>
        <w:rPr>
          <w:rFonts w:ascii="Arial" w:cs="Arial" w:eastAsia="Arial" w:hAnsi="Arial"/>
          <w:sz w:val="16"/>
          <w:szCs w:val="16"/>
          <w:color w:val="auto"/>
        </w:rPr>
        <w:t>Total other income in the Offshore Energy segment decreased by $7,920 in the year ended December 31, 2016 as compared to the year ended December 31, 2015 due to an asset impairment charge of $7,450. In July 2016, the shipbuilder delivered a notice of termination of the ship building contract for MT6015 resulting in the impairment of the investment in the year ended December 31, 2016.</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(Loss) Income</w:t>
      </w:r>
    </w:p>
    <w:p>
      <w:pPr>
        <w:spacing w:after="0" w:line="237"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6"/>
          <w:szCs w:val="16"/>
          <w:color w:val="auto"/>
        </w:rPr>
        <w:t>Adjusted Net Loss was $15,188 in the year ended December 31, 2016, a decrease of $24,815 as compared to the year ended December 31, 2015. This loss was due to the changes described above offset by the asset impairment charge of $7,450, which is added back in the determination of Adjusted Net Loss, less the portion shared with our non-controlling interest holder, in the year ended December 31, 2016.</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right="20" w:firstLine="486"/>
        <w:spacing w:after="0" w:line="251" w:lineRule="auto"/>
        <w:rPr>
          <w:sz w:val="20"/>
          <w:szCs w:val="20"/>
          <w:color w:val="auto"/>
        </w:rPr>
      </w:pPr>
      <w:r>
        <w:rPr>
          <w:rFonts w:ascii="Arial" w:cs="Arial" w:eastAsia="Arial" w:hAnsi="Arial"/>
          <w:sz w:val="16"/>
          <w:szCs w:val="16"/>
          <w:color w:val="auto"/>
        </w:rPr>
        <w:t>Adjusted EBITDA decreased by $24,432 in the year ended December 31, 2016 as compared to the year ended December 31, 2015, due to a decrease in net income attributable to shareholders of $28,540 as noted above. This was offset by the asset impairment charge of $7,450, which was shared with the non-controlling interest holder in the year ended December 31, 2016, and an increase in depreciation and amortization expense of $444 related to the offshore construction vessel in the year ended December 31, 2016 as compared to the year ended December 31, 2015.</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Shipping Containers Segment</w:t>
      </w:r>
    </w:p>
    <w:p>
      <w:pPr>
        <w:spacing w:after="0" w:line="133" w:lineRule="exact"/>
        <w:rPr>
          <w:sz w:val="20"/>
          <w:szCs w:val="20"/>
          <w:color w:val="auto"/>
        </w:rPr>
      </w:pPr>
    </w:p>
    <w:p>
      <w:pPr>
        <w:jc w:val="both"/>
        <w:ind w:right="40" w:firstLine="446"/>
        <w:spacing w:after="0" w:line="260" w:lineRule="auto"/>
        <w:rPr>
          <w:sz w:val="20"/>
          <w:szCs w:val="20"/>
          <w:color w:val="auto"/>
        </w:rPr>
      </w:pPr>
      <w:r>
        <w:rPr>
          <w:rFonts w:ascii="Arial" w:cs="Arial" w:eastAsia="Arial" w:hAnsi="Arial"/>
          <w:sz w:val="16"/>
          <w:szCs w:val="16"/>
          <w:color w:val="auto"/>
        </w:rPr>
        <w:t>In our Shipping Containers segment, we own, through a joint venture, interests in approximately 76,000 maritime shipping containers and related equipment through one portfolio. The chart below describes the assets in our Shipping Containers segment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140335</wp:posOffset>
            </wp:positionV>
            <wp:extent cx="7246620" cy="951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51865"/>
                    </a:xfrm>
                    <a:prstGeom prst="rect">
                      <a:avLst/>
                    </a:prstGeom>
                    <a:noFill/>
                  </pic:spPr>
                </pic:pic>
              </a:graphicData>
            </a:graphic>
          </wp:anchor>
        </w:drawing>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Shipping Containers Assets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300" w:type="dxa"/>
            <w:vAlign w:val="bottom"/>
            <w:tcBorders>
              <w:top w:val="single" w:sz="8" w:color="auto"/>
              <w:bottom w:val="single" w:sz="8" w:color="auto"/>
              <w:right w:val="single" w:sz="8" w:color="auto"/>
            </w:tcBorders>
            <w:shd w:val="clear" w:color="auto" w:fill="D8D8D8"/>
          </w:tcPr>
          <w:p>
            <w:pPr>
              <w:jc w:val="right"/>
              <w:ind w:right="1548"/>
              <w:spacing w:after="0"/>
              <w:rPr>
                <w:sz w:val="20"/>
                <w:szCs w:val="20"/>
                <w:color w:val="auto"/>
              </w:rPr>
            </w:pPr>
            <w:r>
              <w:rPr>
                <w:rFonts w:ascii="Arial" w:cs="Arial" w:eastAsia="Arial" w:hAnsi="Arial"/>
                <w:sz w:val="14"/>
                <w:szCs w:val="14"/>
                <w:color w:val="auto"/>
              </w:rPr>
              <w:t>Number</w:t>
            </w:r>
          </w:p>
        </w:tc>
        <w:tc>
          <w:tcPr>
            <w:tcW w:w="1720" w:type="dxa"/>
            <w:vAlign w:val="bottom"/>
            <w:tcBorders>
              <w:top w:val="single" w:sz="8" w:color="auto"/>
              <w:bottom w:val="single" w:sz="8" w:color="auto"/>
              <w:right w:val="single" w:sz="8" w:color="auto"/>
            </w:tcBorders>
            <w:shd w:val="clear" w:color="auto" w:fill="D8D8D8"/>
          </w:tcPr>
          <w:p>
            <w:pPr>
              <w:ind w:left="680"/>
              <w:spacing w:after="0"/>
              <w:rPr>
                <w:sz w:val="20"/>
                <w:szCs w:val="20"/>
                <w:color w:val="auto"/>
              </w:rPr>
            </w:pPr>
            <w:r>
              <w:rPr>
                <w:rFonts w:ascii="Arial" w:cs="Arial" w:eastAsia="Arial" w:hAnsi="Arial"/>
                <w:sz w:val="14"/>
                <w:szCs w:val="14"/>
                <w:color w:val="auto"/>
              </w:rPr>
              <w:t>Type</w:t>
            </w:r>
          </w:p>
        </w:tc>
        <w:tc>
          <w:tcPr>
            <w:tcW w:w="1420" w:type="dxa"/>
            <w:vAlign w:val="bottom"/>
            <w:tcBorders>
              <w:top w:val="single" w:sz="8" w:color="auto"/>
              <w:bottom w:val="single" w:sz="8" w:color="auto"/>
            </w:tcBorders>
            <w:shd w:val="clear" w:color="auto" w:fill="D8D8D8"/>
          </w:tcPr>
          <w:p>
            <w:pPr>
              <w:jc w:val="center"/>
              <w:ind w:left="188"/>
              <w:spacing w:after="0"/>
              <w:rPr>
                <w:sz w:val="20"/>
                <w:szCs w:val="20"/>
                <w:color w:val="auto"/>
              </w:rPr>
            </w:pPr>
            <w:r>
              <w:rPr>
                <w:rFonts w:ascii="Arial" w:cs="Arial" w:eastAsia="Arial" w:hAnsi="Arial"/>
                <w:sz w:val="14"/>
                <w:szCs w:val="14"/>
                <w:color w:val="auto"/>
              </w:rPr>
              <w:t>Average Age</w:t>
            </w:r>
          </w:p>
        </w:tc>
        <w:tc>
          <w:tcPr>
            <w:tcW w:w="300" w:type="dxa"/>
            <w:vAlign w:val="bottom"/>
            <w:tcBorders>
              <w:top w:val="single" w:sz="8" w:color="auto"/>
              <w:bottom w:val="single" w:sz="8" w:color="auto"/>
              <w:right w:val="single" w:sz="8" w:color="auto"/>
            </w:tcBorders>
            <w:shd w:val="clear" w:color="auto" w:fill="D8D8D8"/>
          </w:tcPr>
          <w:p>
            <w:pPr>
              <w:spacing w:after="0"/>
              <w:rPr>
                <w:sz w:val="18"/>
                <w:szCs w:val="18"/>
                <w:color w:val="auto"/>
              </w:rPr>
            </w:pP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Lease Type</w:t>
            </w:r>
          </w:p>
        </w:tc>
        <w:tc>
          <w:tcPr>
            <w:tcW w:w="17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Customer Mix</w:t>
            </w:r>
          </w:p>
        </w:tc>
        <w:tc>
          <w:tcPr>
            <w:tcW w:w="224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Dry</w:t>
            </w:r>
          </w:p>
        </w:tc>
        <w:tc>
          <w:tcPr>
            <w:tcW w:w="14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Reefer</w:t>
            </w:r>
          </w:p>
        </w:tc>
        <w:tc>
          <w:tcPr>
            <w:tcW w:w="14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Borders>
              <w:right w:val="single" w:sz="8" w:color="auto"/>
            </w:tcBorders>
            <w:vMerge w:val="restart"/>
          </w:tcPr>
          <w:p>
            <w:pPr>
              <w:jc w:val="right"/>
              <w:ind w:right="1748"/>
              <w:spacing w:after="0"/>
              <w:rPr>
                <w:sz w:val="20"/>
                <w:szCs w:val="20"/>
                <w:color w:val="auto"/>
              </w:rPr>
            </w:pPr>
            <w:r>
              <w:rPr>
                <w:rFonts w:ascii="Arial" w:cs="Arial" w:eastAsia="Arial" w:hAnsi="Arial"/>
                <w:sz w:val="14"/>
                <w:szCs w:val="14"/>
                <w:color w:val="auto"/>
              </w:rPr>
              <w:t>76,000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40’ Dry</w:t>
            </w:r>
          </w:p>
        </w:tc>
        <w:tc>
          <w:tcPr>
            <w:tcW w:w="1420" w:type="dxa"/>
            <w:vAlign w:val="bottom"/>
            <w:vMerge w:val="restart"/>
          </w:tcPr>
          <w:p>
            <w:pPr>
              <w:jc w:val="center"/>
              <w:ind w:left="188"/>
              <w:spacing w:after="0"/>
              <w:rPr>
                <w:sz w:val="20"/>
                <w:szCs w:val="20"/>
                <w:color w:val="auto"/>
              </w:rPr>
            </w:pPr>
            <w:r>
              <w:rPr>
                <w:rFonts w:ascii="Arial" w:cs="Arial" w:eastAsia="Arial" w:hAnsi="Arial"/>
                <w:sz w:val="14"/>
                <w:szCs w:val="14"/>
                <w:color w:val="auto"/>
                <w:w w:val="99"/>
              </w:rPr>
              <w:t>~9 Years</w:t>
            </w:r>
          </w:p>
        </w:tc>
        <w:tc>
          <w:tcPr>
            <w:tcW w:w="30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Direct Finance</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 Customers</w:t>
            </w:r>
          </w:p>
        </w:tc>
        <w:tc>
          <w:tcPr>
            <w:tcW w:w="2240" w:type="dxa"/>
            <w:vAlign w:val="bottom"/>
            <w:vMerge w:val="restart"/>
          </w:tcPr>
          <w:p>
            <w:pPr>
              <w:jc w:val="right"/>
              <w:ind w:right="928"/>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30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HC Dry</w:t>
            </w:r>
          </w:p>
        </w:tc>
        <w:tc>
          <w:tcPr>
            <w:tcW w:w="1420" w:type="dxa"/>
            <w:vAlign w:val="bottom"/>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Lease/Operating Lease</w:t>
            </w:r>
          </w:p>
        </w:tc>
        <w:tc>
          <w:tcPr>
            <w:tcW w:w="1720" w:type="dxa"/>
            <w:vAlign w:val="bottom"/>
            <w:tcBorders>
              <w:right w:val="single" w:sz="8" w:color="auto"/>
            </w:tcBorders>
            <w:vMerge w:val="continue"/>
          </w:tcPr>
          <w:p>
            <w:pPr>
              <w:spacing w:after="0"/>
              <w:rPr>
                <w:sz w:val="7"/>
                <w:szCs w:val="7"/>
                <w:color w:val="auto"/>
              </w:rPr>
            </w:pPr>
          </w:p>
        </w:tc>
        <w:tc>
          <w:tcPr>
            <w:tcW w:w="2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30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142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22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0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40’ HC Reefer</w:t>
            </w:r>
          </w:p>
        </w:tc>
        <w:tc>
          <w:tcPr>
            <w:tcW w:w="14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45’ Dry</w:t>
            </w:r>
          </w:p>
        </w:tc>
        <w:tc>
          <w:tcPr>
            <w:tcW w:w="142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0" w:type="dxa"/>
            <w:vAlign w:val="bottom"/>
            <w:gridSpan w:val="2"/>
          </w:tcPr>
          <w:p>
            <w:pPr>
              <w:jc w:val="right"/>
              <w:ind w:right="1588"/>
              <w:spacing w:after="0"/>
              <w:rPr>
                <w:sz w:val="20"/>
                <w:szCs w:val="20"/>
                <w:color w:val="auto"/>
              </w:rPr>
            </w:pPr>
            <w:r>
              <w:rPr>
                <w:rFonts w:ascii="Arial" w:cs="Arial" w:eastAsia="Arial" w:hAnsi="Arial"/>
                <w:sz w:val="14"/>
                <w:szCs w:val="14"/>
                <w:color w:val="auto"/>
              </w:rPr>
              <w:t>69</w:t>
            </w:r>
          </w:p>
        </w:tc>
        <w:tc>
          <w:tcPr>
            <w:tcW w:w="1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77" w:right="219" w:bottom="1440" w:gutter="0" w:footer="0" w:header="0"/>
        </w:sectPr>
      </w:pPr>
    </w:p>
    <w:bookmarkStart w:id="69" w:name="page70"/>
    <w:bookmarkEnd w:id="69"/>
    <w:p>
      <w:pPr>
        <w:ind w:left="500"/>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Income for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Shipping Containers segment for the years ended December 31, 2016 and December 31,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(5,969)</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10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1,213</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7,182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(5,969)</w:t>
            </w:r>
          </w:p>
        </w:tc>
      </w:tr>
      <w:tr>
        <w:trPr>
          <w:trHeight w:val="297"/>
        </w:trPr>
        <w:tc>
          <w:tcPr>
            <w:tcW w:w="6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(307)</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(1,983)</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2,743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(2,290)</w:t>
            </w:r>
          </w:p>
        </w:tc>
      </w:tr>
      <w:tr>
        <w:trPr>
          <w:trHeight w:val="297"/>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Other expense</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(5,974)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Gain on sale of assets, net</w:t>
            </w:r>
          </w:p>
        </w:tc>
        <w:tc>
          <w:tcPr>
            <w:tcW w:w="102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304</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10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10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(5,670)</w:t>
            </w:r>
          </w:p>
        </w:tc>
        <w:tc>
          <w:tcPr>
            <w:tcW w:w="1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(6,970)</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1,300</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(4,910)</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(2,379)</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10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(4,824)</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(2,420)</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2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2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tcPr>
          <w:p>
            <w:pPr>
              <w:ind w:left="40"/>
              <w:spacing w:after="0"/>
              <w:rPr>
                <w:sz w:val="20"/>
                <w:szCs w:val="20"/>
                <w:color w:val="auto"/>
              </w:rPr>
            </w:pPr>
            <w:r>
              <w:rPr>
                <w:rFonts w:ascii="Arial" w:cs="Arial" w:eastAsia="Arial" w:hAnsi="Arial"/>
                <w:sz w:val="14"/>
                <w:szCs w:val="14"/>
                <w:color w:val="auto"/>
              </w:rPr>
              <w:t xml:space="preserve">Add: Pro-rata share of Adjusted Net (Loss) Income from unconsolidated entities </w:t>
            </w:r>
            <w:r>
              <w:rPr>
                <w:rFonts w:ascii="Arial" w:cs="Arial" w:eastAsia="Arial" w:hAnsi="Arial"/>
                <w:sz w:val="17"/>
                <w:szCs w:val="17"/>
                <w:color w:val="auto"/>
                <w:vertAlign w:val="superscript"/>
              </w:rPr>
              <w:t>(1)</w:t>
            </w:r>
          </w:p>
        </w:tc>
        <w:tc>
          <w:tcPr>
            <w:tcW w:w="10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(2,905)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(6,457)</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 Income</w:t>
            </w:r>
          </w:p>
        </w:tc>
        <w:tc>
          <w:tcPr>
            <w:tcW w:w="1020" w:type="dxa"/>
            <w:vAlign w:val="bottom"/>
            <w:tcBorders>
              <w:top w:val="single" w:sz="8" w:color="auto"/>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(9,829)</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440" w:hanging="432"/>
        <w:spacing w:after="0" w:line="225" w:lineRule="auto"/>
        <w:tabs>
          <w:tab w:leader="none" w:pos="184"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Pro-rata share of Adjusted Net Income from unconsolidated entities is comprised of the following for the years ended December 31, 2016 and 2015: (i) the Company’s proportionate share of the unconsolidated entities’ net income (loss) of $(6,161) and $(7,112) and (ii) interest expense of $188 and $156, adjusted for (iii) $3,068 and $10,508 of asset impairment charges, respectively.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93" w:right="239" w:bottom="1440" w:gutter="0" w:footer="0" w:header="0"/>
        </w:sectPr>
      </w:pPr>
    </w:p>
    <w:bookmarkStart w:id="70" w:name="page71"/>
    <w:bookmarkEnd w:id="70"/>
    <w:p>
      <w:pPr>
        <w:ind w:firstLine="648"/>
        <w:spacing w:after="0" w:line="260"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Shipping Containers segment for the years ended December 31, 2016 and December 31, 2015:</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63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64"/>
        </w:trPr>
        <w:tc>
          <w:tcPr>
            <w:tcW w:w="63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
        </w:trPr>
        <w:tc>
          <w:tcPr>
            <w:tcW w:w="6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(4,824)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(2,404)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(2,420)</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10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41</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104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104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(1,983)</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(5,791)</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104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5,974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6,956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(982)</w:t>
            </w: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10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2,673</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13,819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(11,146)</w:t>
            </w:r>
          </w:p>
        </w:tc>
      </w:tr>
      <w:tr>
        <w:trPr>
          <w:trHeight w:val="20"/>
        </w:trPr>
        <w:tc>
          <w:tcPr>
            <w:tcW w:w="6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440" w:right="200" w:hanging="432"/>
        <w:spacing w:after="0" w:line="225" w:lineRule="auto"/>
        <w:tabs>
          <w:tab w:leader="none" w:pos="158"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The Company’s pro-rata share of Adjusted EBITDA from unconsolidated entities includes the following items for the years ended December 31, 2016 and 2015: (i) net income (loss) of $(6,161) and $(7,165), (ii) interest expense of $1,323 and $1,778, (iii) depreciation and amortization expense of $2,966 and $1,866, and (iv) asset impairment charges of $3,068 and $10,508,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Total revenues in the Shipping Containers segment decreased by $5,969 in the year ended December 31, 2016 as compared to the year ended December 31, 2015. The decrease is primarily driven by the sale of 42,000 shipping containers that were subject to direct finance leases during the first quarter of 2016 and lower finance lease income as a result of the amortization of the underlying principal balances.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right="20" w:firstLine="446"/>
        <w:spacing w:after="0" w:line="251" w:lineRule="auto"/>
        <w:rPr>
          <w:sz w:val="20"/>
          <w:szCs w:val="20"/>
          <w:color w:val="auto"/>
        </w:rPr>
      </w:pPr>
      <w:r>
        <w:rPr>
          <w:rFonts w:ascii="Arial" w:cs="Arial" w:eastAsia="Arial" w:hAnsi="Arial"/>
          <w:sz w:val="16"/>
          <w:szCs w:val="16"/>
          <w:color w:val="auto"/>
        </w:rPr>
        <w:t>Total expenses in the Shipping Containers segment decreased by $2,290 in the year ended December 31, 2016 as compared to the year ended December 31, 2015. This was driven by a decrease in interest expense of $1,983 in the year ended December 31, 2016, as compared to the year ended December 31, 2015, due to lower principal balances on the term loans, along with the termination of the term loan in conjunction with the sale of the shipping containers. Additionally, the sale of the 42,000 shipping containers resulted in a decrease in operating expense of $307 in the year ended December 31, 2016.</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w:t>
      </w:r>
    </w:p>
    <w:p>
      <w:pPr>
        <w:spacing w:after="0" w:line="129" w:lineRule="exact"/>
        <w:rPr>
          <w:sz w:val="20"/>
          <w:szCs w:val="20"/>
          <w:color w:val="auto"/>
        </w:rPr>
      </w:pPr>
    </w:p>
    <w:p>
      <w:pPr>
        <w:jc w:val="both"/>
        <w:ind w:firstLine="446"/>
        <w:spacing w:after="0" w:line="250" w:lineRule="auto"/>
        <w:rPr>
          <w:sz w:val="20"/>
          <w:szCs w:val="20"/>
          <w:color w:val="auto"/>
        </w:rPr>
      </w:pPr>
      <w:r>
        <w:rPr>
          <w:rFonts w:ascii="Arial" w:cs="Arial" w:eastAsia="Arial" w:hAnsi="Arial"/>
          <w:sz w:val="16"/>
          <w:szCs w:val="16"/>
          <w:color w:val="auto"/>
        </w:rPr>
        <w:t>Total other expense in the Shipping Containers segment decreased $1,300 in the year ended December 31, 2016 as compared to the year ended December 31, 2015. This was primarily due to a decrease in losses of unconsolidated entities from our shipping container joint venture of $982 in the year ended December 31, 2016, as compared to the year ended December 31, 2015, due to a larger impairment recognized by the shipping container joint venture in September 2015 as compared to the impairment charge recognized in December 2016. The change in other expenses was also impacted by a gain on sale of direct finance leases of $304 from the sale of 42,000 shipping containers during the first quarter of 2016.</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(Loss) Income</w:t>
      </w:r>
    </w:p>
    <w:p>
      <w:pPr>
        <w:spacing w:after="0" w:line="129" w:lineRule="exact"/>
        <w:rPr>
          <w:sz w:val="20"/>
          <w:szCs w:val="20"/>
          <w:color w:val="auto"/>
        </w:rPr>
      </w:pPr>
    </w:p>
    <w:p>
      <w:pPr>
        <w:jc w:val="both"/>
        <w:ind w:firstLine="446"/>
        <w:spacing w:after="0" w:line="252" w:lineRule="auto"/>
        <w:rPr>
          <w:sz w:val="20"/>
          <w:szCs w:val="20"/>
          <w:color w:val="auto"/>
        </w:rPr>
      </w:pPr>
      <w:r>
        <w:rPr>
          <w:rFonts w:ascii="Arial" w:cs="Arial" w:eastAsia="Arial" w:hAnsi="Arial"/>
          <w:sz w:val="16"/>
          <w:szCs w:val="16"/>
          <w:color w:val="auto"/>
        </w:rPr>
        <w:t>Adjusted Net Income decreased by $9,829 in the year ended December 31, 2016 as compared to the year ended December 31, 2015, primarily due to decrease in finance lease income driven by the sale of 42,000 shipping containers during the first quarter of 2016 and lower pro-rata share of Adjusted Net Loss from unconsolidated entities due to the impairment recognized by the shipping container joint venture in September 2015 as compared to December 2016.</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Adjusted EBITDA was $2,673 in the year ended December 31, 2016, decreasing by $11,146 in the year ended December 31, 2016 as compared to the year ended December 31, 2015, due to the decrease in finance lease income driven by the sale of 42,000 shipping containers during the first quarter of 2016 and lower pro-rata share of Adjusted EBITDA from unconsolidated entities due to the impairment recognized by the shipping container joint venture in September 2015 as compared to December 2016.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93"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Jefferson Terminal segment for the years ended December 31, 2016 and December 31,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income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(4,620)</w:t>
            </w:r>
          </w:p>
        </w:tc>
      </w:tr>
      <w:tr>
        <w:trPr>
          <w:trHeight w:val="264"/>
        </w:trPr>
        <w:tc>
          <w:tcPr>
            <w:tcW w:w="64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Terminal services revenues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15,902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13,655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2,247</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15,902</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18,275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(2,373)</w:t>
            </w:r>
          </w:p>
        </w:tc>
      </w:tr>
      <w:tr>
        <w:trPr>
          <w:trHeight w:val="243"/>
        </w:trPr>
        <w:tc>
          <w:tcPr>
            <w:tcW w:w="6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21,886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33,154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(11,268)</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15,500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13,897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1,603</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13,501</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12,546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955</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51,287</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59,597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(8,310)</w:t>
            </w:r>
          </w:p>
        </w:tc>
      </w:tr>
      <w:tr>
        <w:trPr>
          <w:trHeight w:val="243"/>
        </w:trPr>
        <w:tc>
          <w:tcPr>
            <w:tcW w:w="6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Other expense</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Loss on sale of assets, net</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199</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Interest (expense) income</w:t>
            </w:r>
          </w:p>
        </w:tc>
        <w:tc>
          <w:tcPr>
            <w:tcW w:w="9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(1,014)</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(940)</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(36,399)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4,997</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(36,473)</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(41,437)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4,964</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(16,456)</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(17,376)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920</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(20,017)</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(24,061)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4,044</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9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(7,483)</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400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9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228</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Net Loss</w:t>
            </w:r>
            <w:r>
              <w:rPr>
                <w:rFonts w:ascii="Arial" w:cs="Arial" w:eastAsia="Arial" w:hAnsi="Arial"/>
                <w:sz w:val="17"/>
                <w:szCs w:val="17"/>
                <w:color w:val="auto"/>
                <w:vertAlign w:val="superscript"/>
              </w:rPr>
              <w:t>(1)</w:t>
            </w:r>
          </w:p>
        </w:tc>
        <w:tc>
          <w:tcPr>
            <w:tcW w:w="9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800</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2,085</w:t>
            </w:r>
          </w:p>
        </w:tc>
      </w:tr>
      <w:tr>
        <w:trPr>
          <w:trHeight w:val="24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(21,249)</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(22,153)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904</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64" w:lineRule="exact"/>
        <w:rPr>
          <w:sz w:val="20"/>
          <w:szCs w:val="20"/>
          <w:color w:val="auto"/>
        </w:rPr>
      </w:pPr>
    </w:p>
    <w:p>
      <w:pPr>
        <w:ind w:left="160" w:hanging="152"/>
        <w:spacing w:after="0"/>
        <w:tabs>
          <w:tab w:leader="none" w:pos="16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Net Loss is comprised of the following for the years ended December 31, 2016 and 2015: (i) equity-based compensation of $(1,581) and</w:t>
      </w:r>
    </w:p>
    <w:p>
      <w:pPr>
        <w:ind w:left="440" w:right="20"/>
        <w:spacing w:after="0" w:line="258" w:lineRule="auto"/>
        <w:rPr>
          <w:sz w:val="20"/>
          <w:szCs w:val="20"/>
          <w:color w:val="auto"/>
        </w:rPr>
      </w:pPr>
      <w:r>
        <w:rPr>
          <w:rFonts w:ascii="Arial" w:cs="Arial" w:eastAsia="Arial" w:hAnsi="Arial"/>
          <w:sz w:val="14"/>
          <w:szCs w:val="14"/>
          <w:color w:val="auto"/>
        </w:rPr>
        <w:t>$1,339, (ii) provision for income tax of $29 and $16, (iii) acquisition and transaction expenses of $156 and $0, and (iv) loss on extinguishment of debt of $616 and $0 less (v) cash tax payments of $20 and $70, respectively.</w:t>
      </w:r>
    </w:p>
    <w:p>
      <w:pPr>
        <w:sectPr>
          <w:pgSz w:w="11900" w:h="16838" w:orient="portrait"/>
          <w:cols w:equalWidth="0" w:num="1">
            <w:col w:w="11420"/>
          </w:cols>
          <w:pgMar w:left="240" w:top="473" w:right="2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473" w:right="239" w:bottom="1440" w:gutter="0" w:footer="0" w:header="0"/>
          <w:type w:val="continuous"/>
        </w:sectPr>
      </w:pPr>
    </w:p>
    <w:bookmarkStart w:id="72" w:name="page73"/>
    <w:bookmarkEnd w:id="72"/>
    <w:p>
      <w:pPr>
        <w:ind w:right="20" w:firstLine="486"/>
        <w:spacing w:after="0" w:line="260"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Jefferson Terminal segment for the years ended December 31, 2016 and December 31,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
        </w:trPr>
        <w:tc>
          <w:tcPr>
            <w:tcW w:w="6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(20,017)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(24,061)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4,044</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(7,483)</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400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1,603</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13,501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12,546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955</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9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(10,184)</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(11,562)</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1,378</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(3,180)</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(5,707)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2,527</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440" w:right="100" w:hanging="432"/>
        <w:spacing w:after="0" w:line="249" w:lineRule="auto"/>
        <w:tabs>
          <w:tab w:leader="none" w:pos="143" w:val="left"/>
        </w:tabs>
        <w:numPr>
          <w:ilvl w:val="0"/>
          <w:numId w:val="45"/>
        </w:numPr>
        <w:rPr>
          <w:rFonts w:ascii="Arial" w:cs="Arial" w:eastAsia="Arial" w:hAnsi="Arial"/>
          <w:sz w:val="16"/>
          <w:szCs w:val="16"/>
          <w:color w:val="auto"/>
          <w:vertAlign w:val="superscript"/>
        </w:rPr>
      </w:pPr>
      <w:r>
        <w:rPr>
          <w:rFonts w:ascii="Arial" w:cs="Arial" w:eastAsia="Arial" w:hAnsi="Arial"/>
          <w:sz w:val="13"/>
          <w:szCs w:val="13"/>
          <w:color w:val="auto"/>
        </w:rPr>
        <w:t>Non-controlling share of Adjusted EBITDA is comprised of the following items for the years ended December 31, 2016 and 2015: (i) equity-based compensation of $(1,581) and $1,339, (ii) provision for income taxes of $29 and $16, (iii) interest expense of $4,914 and $4,783, (iv) loss on extinguishment of debt of $616 and $0, (v) acquisition and transaction expenses of $156 and $0, and (vi) depreciation and amortization expense of $6,050 and $5,424,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Total revenues in the Jefferson Terminal segment decreased by $2,373 in the year ended December 31, 2016 as compared to the year ended December 31, 2015. The decrease was primarily due to a decrease in lease income of $4,620 as rail cars were off-lease during the year ended December 31, 2016. Terminal services revenue increased by $2,247 in the year ended December 31, 2016, due to higher tank lease revenue of $2,709 as a result of new lease contracts, offset by decreases in unloading revenues due to lower volumes.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446"/>
        <w:spacing w:after="0" w:line="249" w:lineRule="auto"/>
        <w:rPr>
          <w:sz w:val="20"/>
          <w:szCs w:val="20"/>
          <w:color w:val="auto"/>
        </w:rPr>
      </w:pPr>
      <w:r>
        <w:rPr>
          <w:rFonts w:ascii="Arial" w:cs="Arial" w:eastAsia="Arial" w:hAnsi="Arial"/>
          <w:sz w:val="16"/>
          <w:szCs w:val="16"/>
          <w:color w:val="auto"/>
        </w:rPr>
        <w:t>Total expenses in the Jefferson Terminal segment decreased by $8,310 in the year ended December 31, 2016 as compared to the year ended December 31, 2015. The decrease consists of lower operating expenses of $11,268, including lower equity-based compensation expense of $7,483, a decrease of $4,349 in facility operations expense primarily due to lower volume, $1,242 in professional fees and $163 in lease expense. The above decreases were offset by an increase in property tax expense of $1,205 due to additional property, plant and equipment placed into service during the year and maintenance expense of $1,165 due to repair on certain assets. The decrease in operating expenses was offset by an increase of $400 in acquisition and transaction costs, $1,603 of depreciation expense due to property, plant and equipment placed into service and $955 of interest expense driven by the 2016 bonds issued in March 2016.</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Loss</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Adjusted Net Loss was $21,249 in the year ended December 31, 2016, decreased by $904 as compared to the year ended December 31, 2015. In addition to the changes in net loss attributable to shareholders noted above, the change was driven by the decrease in equity-based compensation of $7,483 in the year ended December 31, 2016 as compared to the year ended December 31, 2015, offset by acquisition and transaction expenses incurred related to the creation of a joint venture during 2016, and a loss on extinguishment of debt.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Adjusted EBITDA was $(3,180) in the year ended December 31, 2016, increasing $2,527 as compared to the year ended December 31, 2015. In addition to the changes in net loss attributable to shareholders noted above, Adjusted EBITDA was impacted by a decrease in equity-based compensation of $7,483, offset by the increase in a loss on extinguishment of debt, depreciation and amortization, and interest expense for the year ended December 31, 2016 as compared to the year ended December 31, 2015.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93" w:right="2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00497F"/>
        </w:rPr>
        <w:t>Railroad Segment</w:t>
      </w:r>
    </w:p>
    <w:p>
      <w:pPr>
        <w:spacing w:after="0" w:line="147"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Income (Loss) for the Railroad segment for the years ended December 31, 2016 and December 31, 2015: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64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Rail revenues</w:t>
            </w:r>
          </w:p>
        </w:tc>
        <w:tc>
          <w:tcPr>
            <w:tcW w:w="10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30,837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25,550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5,287</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30,837</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25,550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5,287</w:t>
            </w:r>
          </w:p>
        </w:tc>
      </w:tr>
      <w:tr>
        <w:trPr>
          <w:trHeight w:val="297"/>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27,975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1,926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30,655</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30,292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363</w:t>
            </w:r>
          </w:p>
        </w:tc>
      </w:tr>
      <w:tr>
        <w:trPr>
          <w:trHeight w:val="297"/>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Other income</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assets, net</w:t>
            </w:r>
          </w:p>
        </w:tc>
        <w:tc>
          <w:tcPr>
            <w:tcW w:w="10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565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w:t>
            </w:r>
          </w:p>
        </w:tc>
      </w:tr>
      <w:tr>
        <w:trPr>
          <w:trHeight w:val="256"/>
        </w:trPr>
        <w:tc>
          <w:tcPr>
            <w:tcW w:w="64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Income (loss) before income taxes</w:t>
            </w:r>
          </w:p>
        </w:tc>
        <w:tc>
          <w:tcPr>
            <w:tcW w:w="10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4,782</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0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0"/>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605</w:t>
            </w: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(4,177)</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4,782</w:t>
            </w: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income (loss) attributable to non-controlling interest in consolidated subsidiaries</w:t>
            </w: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582</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(4,056)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4,638</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7"/>
                <w:szCs w:val="17"/>
                <w:color w:val="auto"/>
                <w:vertAlign w:val="superscript"/>
              </w:rPr>
              <w:t>(1)</w:t>
            </w:r>
          </w:p>
        </w:tc>
        <w:tc>
          <w:tcPr>
            <w:tcW w:w="10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3,839</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w:t>
      </w:r>
    </w:p>
    <w:p>
      <w:pPr>
        <w:spacing w:after="0" w:line="109" w:lineRule="exact"/>
        <w:rPr>
          <w:sz w:val="20"/>
          <w:szCs w:val="20"/>
          <w:color w:val="auto"/>
        </w:rPr>
      </w:pPr>
    </w:p>
    <w:p>
      <w:pPr>
        <w:ind w:left="440" w:right="280" w:hanging="432"/>
        <w:spacing w:after="0" w:line="218" w:lineRule="auto"/>
        <w:tabs>
          <w:tab w:leader="none" w:pos="157"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Net Income (Loss) is comprised of equity-based compensation of $20 and $48 for the years ended December 31, 2016 and December 31, 2015, respectively.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00"/>
          </w:cols>
          <w:pgMar w:left="240" w:top="473" w:right="259" w:bottom="1440" w:gutter="0" w:footer="0" w:header="0"/>
        </w:sectPr>
      </w:pPr>
    </w:p>
    <w:bookmarkStart w:id="74" w:name="page75"/>
    <w:bookmarkEnd w:id="74"/>
    <w:p>
      <w:pPr>
        <w:ind w:right="60" w:firstLine="446"/>
        <w:spacing w:after="0" w:line="260" w:lineRule="auto"/>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 for the Railroad segment for the years ended December 31, 2016 and December 31, 2015:</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63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64"/>
        </w:trPr>
        <w:tc>
          <w:tcPr>
            <w:tcW w:w="6380" w:type="dxa"/>
            <w:vAlign w:val="bottom"/>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
        </w:trPr>
        <w:tc>
          <w:tcPr>
            <w:tcW w:w="6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582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(4,056)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4,638</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1060" w:type="dxa"/>
            <w:vAlign w:val="bottom"/>
          </w:tcPr>
          <w:p>
            <w:pPr>
              <w:spacing w:after="0"/>
              <w:rPr>
                <w:sz w:val="22"/>
                <w:szCs w:val="22"/>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176</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106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6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37"/>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3,474</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3,998</w:t>
            </w:r>
          </w:p>
        </w:tc>
      </w:tr>
      <w:tr>
        <w:trPr>
          <w:trHeight w:val="20"/>
        </w:trPr>
        <w:tc>
          <w:tcPr>
            <w:tcW w:w="6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64"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year ended December 31, 2016 and 2015: (i) equity-based compensation of $20 and $48,</w:t>
      </w:r>
    </w:p>
    <w:p>
      <w:pPr>
        <w:ind w:left="640" w:hanging="200"/>
        <w:spacing w:after="0"/>
        <w:tabs>
          <w:tab w:leader="none" w:pos="640" w:val="left"/>
        </w:tabs>
        <w:numPr>
          <w:ilvl w:val="1"/>
          <w:numId w:val="47"/>
        </w:numPr>
        <w:rPr>
          <w:rFonts w:ascii="Arial" w:cs="Arial" w:eastAsia="Arial" w:hAnsi="Arial"/>
          <w:sz w:val="14"/>
          <w:szCs w:val="14"/>
          <w:color w:val="auto"/>
        </w:rPr>
      </w:pPr>
      <w:r>
        <w:rPr>
          <w:rFonts w:ascii="Arial" w:cs="Arial" w:eastAsia="Arial" w:hAnsi="Arial"/>
          <w:sz w:val="14"/>
          <w:szCs w:val="14"/>
          <w:color w:val="auto"/>
        </w:rPr>
        <w:t>interest expense of $41 and $23, and (iii) depreciation and amortization expense of $105 and $76,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Total revenues in the Railroad segment increased by $5,287, in the year ended December 31, 2016 due to higher traffic and expanded service offerings to customers. The increase primarily consists of (i) $3,872 in freight transportation revenue and (ii) $837 in car hire income in the year ended December 31, 2016, as compared to the year ended December 31, 2015. Additionally, switching and other rail service revenue increased by $578 in the year ended December 31, 2016 as compared to the year ended December 31, 2015.</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expenses in the Railroad segment increased by $363 in the year ended December 31, 2016, as compared to the year ended December 31, 2015.</w:t>
      </w:r>
    </w:p>
    <w:p>
      <w:pPr>
        <w:spacing w:after="0" w:line="113" w:lineRule="exact"/>
        <w:rPr>
          <w:sz w:val="20"/>
          <w:szCs w:val="20"/>
          <w:color w:val="auto"/>
        </w:rPr>
      </w:pPr>
    </w:p>
    <w:p>
      <w:pPr>
        <w:jc w:val="both"/>
        <w:ind w:firstLine="446"/>
        <w:spacing w:after="0" w:line="246" w:lineRule="auto"/>
        <w:rPr>
          <w:sz w:val="20"/>
          <w:szCs w:val="20"/>
          <w:color w:val="auto"/>
        </w:rPr>
      </w:pPr>
      <w:r>
        <w:rPr>
          <w:rFonts w:ascii="Arial" w:cs="Arial" w:eastAsia="Arial" w:hAnsi="Arial"/>
          <w:sz w:val="16"/>
          <w:szCs w:val="16"/>
          <w:color w:val="auto"/>
        </w:rPr>
        <w:t>The increase of $363 primarily consists of $156 in operating expense, $31 in depreciation expense related to property, plant and equipment, and interest expense of $176 related to borrowings under the CMQR Credit Agreement used to finance construction and improvements to the railroad. The increase in operating expenses was driven by an increase in compensation and benefits of $615, and other operating expenses of $593, which was offset by a decrease in</w:t>
      </w:r>
    </w:p>
    <w:p>
      <w:pPr>
        <w:spacing w:after="0" w:line="1" w:lineRule="exact"/>
        <w:rPr>
          <w:sz w:val="20"/>
          <w:szCs w:val="20"/>
          <w:color w:val="auto"/>
        </w:rPr>
      </w:pPr>
    </w:p>
    <w:p>
      <w:pPr>
        <w:ind w:firstLine="8"/>
        <w:spacing w:after="0" w:line="260" w:lineRule="auto"/>
        <w:tabs>
          <w:tab w:leader="none" w:pos="191"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professional fees of $692, (ii) bad debt expenses of $143, and (iii) insurance expense of $217 offset by an increase in in the year ended December 31, 2016 as compared to the year ended December 31, 2015.</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Income (Loss)</w:t>
      </w:r>
    </w:p>
    <w:p>
      <w:pPr>
        <w:spacing w:after="0" w:line="129"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Adjusted Net Income increased by $3,839 in the year ended December 31, 2016, as compared to the year ended December 31, 2015. In addition to the changes in net income (loss) attributable to shareholders noted above, Adjusted Net Income was impacted by lower equity-based compensation expense of $827 in the year ended December 31, 2016 as compared to the year ended December 31, 2015.</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46"/>
        <w:spacing w:after="0" w:line="252" w:lineRule="auto"/>
        <w:rPr>
          <w:sz w:val="20"/>
          <w:szCs w:val="20"/>
          <w:color w:val="auto"/>
        </w:rPr>
      </w:pPr>
      <w:r>
        <w:rPr>
          <w:rFonts w:ascii="Arial" w:cs="Arial" w:eastAsia="Arial" w:hAnsi="Arial"/>
          <w:sz w:val="16"/>
          <w:szCs w:val="16"/>
          <w:color w:val="auto"/>
        </w:rPr>
        <w:t>Adjusted EBITDA was $3,474 in the year ended December 31, 2016, increasing by $3,998 as compared to the year ended December 31, 2015. In addition to the changes in net income (loss) attributable to shareholders noted above, Adjusted EBITDA was also impacted primarily by lower equity-based compensation expense of $827 and an increase in interest expense of $176, in the year ended December 31, 2016 as compared to the year ended December 31, 2015.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93"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00497F"/>
        </w:rPr>
        <w:t>Ports and Terminals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Ports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Terminals for the years ended December 31,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gridSpan w:val="3"/>
          </w:tcPr>
          <w:p>
            <w:pPr>
              <w:jc w:val="right"/>
              <w:ind w:right="908"/>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8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Lease income</w:t>
            </w:r>
          </w:p>
        </w:tc>
        <w:tc>
          <w:tcPr>
            <w:tcW w:w="8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8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8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545</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8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1,177</w:t>
            </w:r>
          </w:p>
        </w:tc>
        <w:tc>
          <w:tcPr>
            <w:tcW w:w="12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1,177</w:t>
            </w:r>
          </w:p>
        </w:tc>
        <w:tc>
          <w:tcPr>
            <w:tcW w:w="0" w:type="dxa"/>
            <w:vAlign w:val="bottom"/>
          </w:tcPr>
          <w:p>
            <w:pPr>
              <w:spacing w:after="0"/>
              <w:rPr>
                <w:sz w:val="1"/>
                <w:szCs w:val="1"/>
                <w:color w:val="auto"/>
              </w:rPr>
            </w:pPr>
          </w:p>
        </w:tc>
      </w:tr>
      <w:tr>
        <w:trPr>
          <w:trHeight w:val="250"/>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(1,145)</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(1,145)</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8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8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(1,158)</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(1,158)</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8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8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(1,001)</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(1,001)</w:t>
            </w:r>
          </w:p>
        </w:tc>
        <w:tc>
          <w:tcPr>
            <w:tcW w:w="0" w:type="dxa"/>
            <w:vAlign w:val="bottom"/>
          </w:tcPr>
          <w:p>
            <w:pPr>
              <w:spacing w:after="0"/>
              <w:rPr>
                <w:sz w:val="1"/>
                <w:szCs w:val="1"/>
                <w:color w:val="auto"/>
              </w:rPr>
            </w:pP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8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8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1840" w:type="dxa"/>
            <w:vAlign w:val="bottom"/>
            <w:gridSpan w:val="2"/>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(993)</w:t>
            </w:r>
          </w:p>
        </w:tc>
        <w:tc>
          <w:tcPr>
            <w:tcW w:w="120" w:type="dxa"/>
            <w:vAlign w:val="bottom"/>
          </w:tcPr>
          <w:p>
            <w:pPr>
              <w:spacing w:after="0"/>
              <w:rPr>
                <w:sz w:val="21"/>
                <w:szCs w:val="21"/>
                <w:color w:val="auto"/>
              </w:rPr>
            </w:pPr>
          </w:p>
        </w:tc>
        <w:tc>
          <w:tcPr>
            <w:tcW w:w="1300" w:type="dxa"/>
            <w:vAlign w:val="bottom"/>
          </w:tcPr>
          <w:p>
            <w:pPr>
              <w:jc w:val="right"/>
              <w:ind w:right="1128"/>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(993)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vMerge w:val="restart"/>
          </w:tcPr>
          <w:p>
            <w:pPr>
              <w:jc w:val="right"/>
              <w:ind w:right="528"/>
              <w:spacing w:after="0"/>
              <w:rPr>
                <w:sz w:val="20"/>
                <w:szCs w:val="20"/>
                <w:color w:val="auto"/>
              </w:rPr>
            </w:pPr>
            <w:r>
              <w:rPr>
                <w:rFonts w:ascii="Arial" w:cs="Arial" w:eastAsia="Arial" w:hAnsi="Arial"/>
                <w:sz w:val="14"/>
                <w:szCs w:val="14"/>
                <w:color w:val="auto"/>
              </w:rPr>
              <w:t>76</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6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3"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Ports and Terminals for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gridSpan w:val="3"/>
          </w:tcPr>
          <w:p>
            <w:pPr>
              <w:jc w:val="right"/>
              <w:ind w:right="908"/>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
        </w:trPr>
        <w:tc>
          <w:tcPr>
            <w:tcW w:w="6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(1,001)</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Benefit from income taxes</w:t>
            </w:r>
          </w:p>
        </w:tc>
        <w:tc>
          <w:tcPr>
            <w:tcW w:w="104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4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(494)</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 w:lineRule="exact"/>
        <w:rPr>
          <w:sz w:val="20"/>
          <w:szCs w:val="20"/>
          <w:color w:val="auto"/>
        </w:rPr>
      </w:pPr>
    </w:p>
    <w:p>
      <w:pPr>
        <w:ind w:left="500" w:hanging="492"/>
        <w:spacing w:after="0" w:line="249" w:lineRule="auto"/>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Non-controlling share of Adjusted EBITDA is comprised of the following items for the years ended December 31, 2016 and 205,: (i) interest expense of $55 and $0,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For the year ended December 31, 2016, there was $32 of lease income as a result of an in-place lease agreement acquired with the purchase of Repauno.</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There was expense of $1,177 for the year ended December 31, 2016 primarily reflecting i) operating expenses of $628 due to compensation and benefits and property taxes incurred due to operations at Repauno which was acquired in July 2016, ii) interest expense of $545 related to the payment obligation to the non-controlling interest as part of the Repauno purchase and iii) depreciation expense of $4.</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Loss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Net Loss was $993 for the year ended December 31, 2016 due to the revenue and expense noted above.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Adjusted EBITDA was $(494) for the year ended December 31, 2016. In addition to the changes in the net loss attributable to shareholders noted above, Adjusted EBITDA includes the impact of interest expense of $545 as a result of the obligation payable to the non-controlling interest as part of the Repauno purchase.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92"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00497F"/>
        </w:rPr>
        <w:t>Corporate</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Corporate for the years ended December 31, 2016 and December 31,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8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78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4,746</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5,836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5,683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8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16,742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8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8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34,906</w:t>
            </w:r>
          </w:p>
        </w:tc>
        <w:tc>
          <w:tcPr>
            <w:tcW w:w="1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28,269</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6,637</w:t>
            </w: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(34,906)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(28,269)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(6,637)</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8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8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(34,906)</w:t>
            </w:r>
          </w:p>
        </w:tc>
        <w:tc>
          <w:tcPr>
            <w:tcW w:w="1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(28,273)</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(6,633)</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8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8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(34,895)</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(28,268)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(6,627)</w:t>
            </w:r>
          </w:p>
        </w:tc>
        <w:tc>
          <w:tcPr>
            <w:tcW w:w="0" w:type="dxa"/>
            <w:vAlign w:val="bottom"/>
          </w:tcPr>
          <w:p>
            <w:pPr>
              <w:spacing w:after="0"/>
              <w:rPr>
                <w:sz w:val="1"/>
                <w:szCs w:val="1"/>
                <w:color w:val="auto"/>
              </w:rPr>
            </w:pP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8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8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5,836</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8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8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8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8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1780" w:type="dxa"/>
            <w:vAlign w:val="bottom"/>
            <w:gridSpan w:val="2"/>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(29,073)</w:t>
            </w:r>
          </w:p>
        </w:tc>
        <w:tc>
          <w:tcPr>
            <w:tcW w:w="120" w:type="dxa"/>
            <w:vAlign w:val="bottom"/>
          </w:tcPr>
          <w:p>
            <w:pPr>
              <w:spacing w:after="0"/>
              <w:rPr>
                <w:sz w:val="21"/>
                <w:szCs w:val="21"/>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(22,557)</w:t>
            </w:r>
          </w:p>
        </w:tc>
        <w:tc>
          <w:tcPr>
            <w:tcW w:w="100" w:type="dxa"/>
            <w:vAlign w:val="bottom"/>
          </w:tcPr>
          <w:p>
            <w:pPr>
              <w:spacing w:after="0"/>
              <w:rPr>
                <w:sz w:val="21"/>
                <w:szCs w:val="21"/>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(6,516)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vMerge w:val="restart"/>
          </w:tcPr>
          <w:p>
            <w:pPr>
              <w:jc w:val="right"/>
              <w:ind w:right="528"/>
              <w:spacing w:after="0"/>
              <w:rPr>
                <w:sz w:val="20"/>
                <w:szCs w:val="20"/>
                <w:color w:val="auto"/>
              </w:rPr>
            </w:pPr>
            <w:r>
              <w:rPr>
                <w:rFonts w:ascii="Arial" w:cs="Arial" w:eastAsia="Arial" w:hAnsi="Arial"/>
                <w:sz w:val="14"/>
                <w:szCs w:val="14"/>
                <w:color w:val="auto"/>
              </w:rPr>
              <w:t>78</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6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78" w:name="page79"/>
    <w:bookmarkEnd w:id="78"/>
    <w:p>
      <w:pPr>
        <w:ind w:right="40"/>
        <w:spacing w:after="0" w:line="260"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Corporate for the years ended December 31, 2016 and December 31, 2015:</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64"/>
        </w:trPr>
        <w:tc>
          <w:tcPr>
            <w:tcW w:w="63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r>
      <w:tr>
        <w:trPr>
          <w:trHeight w:val="217"/>
        </w:trPr>
        <w:tc>
          <w:tcPr>
            <w:tcW w:w="6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
        </w:trPr>
        <w:tc>
          <w:tcPr>
            <w:tcW w:w="6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9"/>
              </w:rPr>
              <w:t>(35,896)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(28,268)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(7,628)</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5,836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5,683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153</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38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10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10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(30,060)</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(22,557)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(7,503)</w:t>
            </w:r>
          </w:p>
        </w:tc>
      </w:tr>
      <w:tr>
        <w:trPr>
          <w:trHeight w:val="20"/>
        </w:trPr>
        <w:tc>
          <w:tcPr>
            <w:tcW w:w="6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expenses increased by $6,637 in the year ended December 31, 2016 as compared to the year ended December 31, 2015, respectively.</w:t>
      </w:r>
    </w:p>
    <w:p>
      <w:pPr>
        <w:spacing w:after="0" w:line="113" w:lineRule="exact"/>
        <w:rPr>
          <w:sz w:val="20"/>
          <w:szCs w:val="20"/>
          <w:color w:val="auto"/>
        </w:rPr>
      </w:pPr>
    </w:p>
    <w:p>
      <w:pPr>
        <w:jc w:val="both"/>
        <w:ind w:firstLine="446"/>
        <w:spacing w:after="0" w:line="246" w:lineRule="auto"/>
        <w:rPr>
          <w:sz w:val="20"/>
          <w:szCs w:val="20"/>
          <w:color w:val="auto"/>
        </w:rPr>
      </w:pPr>
      <w:r>
        <w:rPr>
          <w:rFonts w:ascii="Arial" w:cs="Arial" w:eastAsia="Arial" w:hAnsi="Arial"/>
          <w:sz w:val="16"/>
          <w:szCs w:val="16"/>
          <w:color w:val="auto"/>
        </w:rPr>
        <w:t>For the year ended December 31, 2016, the increase primarily consists of higher general and administrative expenses of $4,746, including (i) $3,182 of reimbursement expenses to our manager, (ii) $835 of general corporate costs required for a stand-alone public company including insurance and director fees,</w:t>
      </w:r>
    </w:p>
    <w:p>
      <w:pPr>
        <w:spacing w:after="0" w:line="1" w:lineRule="exact"/>
        <w:rPr>
          <w:sz w:val="20"/>
          <w:szCs w:val="20"/>
          <w:color w:val="auto"/>
        </w:rPr>
      </w:pPr>
    </w:p>
    <w:p>
      <w:pPr>
        <w:ind w:firstLine="8"/>
        <w:spacing w:after="0" w:line="260" w:lineRule="auto"/>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$585 of professional fees, and (iv) $151 of director fees. Also contributing to the increase were higher management fees of $1,724 attributable to new agreements put in place subsequent to our IPO.</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Net Loss</w:t>
      </w:r>
    </w:p>
    <w:p>
      <w:pPr>
        <w:spacing w:after="0" w:line="129"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Adjusted Net Loss was $29,073 for the year ended December 31, 2016, increasing $6,516 compared to the year ended December 31, 2015. In addition to the changes in net loss attributable to shareholders noted above, Adjusted Net Loss was adjusted by acquisition and transaction expenses, incurred for potential acquisition opportunities, which were higher for the year ended December 31, 2016, as compared to the year ended December 31, 2015.</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(non-GAAP)</w:t>
      </w:r>
    </w:p>
    <w:p>
      <w:pPr>
        <w:spacing w:after="0" w:line="129"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Adjusted EBITDA was $(30,060) in the year ended December 31, 2016, decreasing $(7,503) compared to the year ended December 31, 2015. In addition to the changes in net loss attributable to shareholders noted above, Adjusted EBITDA was affected by acquisition and transaction expenses, incurred for potential acquisition opportunities, which were higher for the year ended December 31, 2016, as compared to year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managed by FIG LLC (the “Manager”), an affiliate of Fortress, pursuant to a management agreement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13 to our consolidated financial statements included elsewhere in this filing for more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92"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00497F"/>
        </w:rPr>
        <w:t>Subsequent Events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January 10, 2018, the Company agreed to sell 7,000,000 common shares, par value $0.01 per share, representing limited liability interest in the Company, in connection with a public offering, at a price of $18.65 per share. The offering closed on January 16, 2018. Net proceeds received by the Company from the offering were approximately $128 million, after deducting underwriting discounts and commissions and estimated offering expenses payable by the Company. To compensate the Manager for its successful efforts in raising capital for the Company, in connection with the offering, the Company granted options to the Manager related to 700,000 shares of the Company’s common stock at the public offering price which had a fair value of approximately $1.9 million as of the grant date. The assumptions used in valuing the options were: a 2.52% risk-free rate, a 5.45% dividend yield, a 27.73% volatility and a ten-year term. The Company intends to use the net proceeds from the offering for general corporate purposes, including the funding of future investments.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27, 2018, the Company’s Board of Directors declared a cash dividend on its common shares of $0.33 per share for the quarter ended December 31, 2017, payable on March 27, 2018 to the holders of record on March 16, 2018.</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distributions to our shareholders, (iii) expenses associated with our operating activities and (iv) debt service obligations associated with our investments (all dollar amounts are expressed in thousands).</w:t>
      </w:r>
    </w:p>
    <w:p>
      <w:pPr>
        <w:spacing w:after="0" w:line="93" w:lineRule="exact"/>
        <w:rPr>
          <w:sz w:val="20"/>
          <w:szCs w:val="20"/>
          <w:color w:val="auto"/>
        </w:rPr>
      </w:pPr>
    </w:p>
    <w:p>
      <w:pPr>
        <w:ind w:left="880" w:hanging="318"/>
        <w:spacing w:after="0" w:line="260"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years ended December 31, 2017, 2016, and 2015, cash used for the purpose of making investments was $594,558, $308,069, and $278,433, respectively.</w:t>
      </w:r>
    </w:p>
    <w:p>
      <w:pPr>
        <w:spacing w:after="0" w:line="87" w:lineRule="exact"/>
        <w:rPr>
          <w:rFonts w:ascii="Arial" w:cs="Arial" w:eastAsia="Arial" w:hAnsi="Arial"/>
          <w:sz w:val="16"/>
          <w:szCs w:val="16"/>
          <w:color w:val="auto"/>
        </w:rPr>
      </w:pPr>
    </w:p>
    <w:p>
      <w:pPr>
        <w:ind w:left="880" w:hanging="318"/>
        <w:spacing w:after="0" w:line="260"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years ended December 31, 2017, 2016 and 2015, distributions to shareholders, including cash dividends, were $100,058, $100,027 and $81,260 respectively, and distributions to non-controlling interest were $254, $0, and $321 respectively.</w:t>
      </w:r>
    </w:p>
    <w:p>
      <w:pPr>
        <w:spacing w:after="0" w:line="87" w:lineRule="exact"/>
        <w:rPr>
          <w:rFonts w:ascii="Arial" w:cs="Arial" w:eastAsia="Arial" w:hAnsi="Arial"/>
          <w:sz w:val="16"/>
          <w:szCs w:val="16"/>
          <w:color w:val="auto"/>
        </w:rPr>
      </w:pPr>
    </w:p>
    <w:p>
      <w:pPr>
        <w:ind w:left="880" w:hanging="318"/>
        <w:spacing w:after="0" w:line="260"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(iii) distributions received from unconsolidated investees, (iv) capital contributions from our shareholders, and (v) proceeds from asset sales.</w:t>
      </w:r>
    </w:p>
    <w:p>
      <w:pPr>
        <w:spacing w:after="0" w:line="93" w:lineRule="exact"/>
        <w:rPr>
          <w:sz w:val="20"/>
          <w:szCs w:val="20"/>
          <w:color w:val="auto"/>
        </w:rPr>
      </w:pPr>
    </w:p>
    <w:p>
      <w:pPr>
        <w:ind w:left="880" w:right="20" w:hanging="318"/>
        <w:spacing w:after="0" w:line="260"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the years ended December 31, 2017, 2016, and 2015, cash flows from operating activities, plus the principal collections on finance leases and maintenance reserve collections were $96,019, $48,220 and $53,969, respectively.</w:t>
      </w:r>
    </w:p>
    <w:p>
      <w:pPr>
        <w:spacing w:after="0" w:line="87" w:lineRule="exact"/>
        <w:rPr>
          <w:rFonts w:ascii="Arial" w:cs="Arial" w:eastAsia="Arial" w:hAnsi="Arial"/>
          <w:sz w:val="16"/>
          <w:szCs w:val="16"/>
          <w:color w:val="auto"/>
        </w:rPr>
      </w:pPr>
    </w:p>
    <w:p>
      <w:pPr>
        <w:jc w:val="both"/>
        <w:ind w:left="880" w:hanging="318"/>
        <w:spacing w:after="0" w:line="248"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the year ended December 31, 2017, additional borrowings were obtained in connection with i) the Term Loan of $97,163, net of deferred financing costs, ii) the Revolving Credit Facility of $95,000, iii) the CMQR Credit Agreement of $32,030 and iv) the Senior Notes of $342,998, net of deferred financing costs and repayment of the Term Loan. We made principal repayments of $125,223, primarily relating to the FTAI Pride Credit Agreement, the Revolving Credit Facility and the CMQR Credit Agreement. During year ended December 31, 2016, additional borrowings were obtained in connection with the Series 2016 Bonds of $99,858 and the CMQR Credit Agreement of $10,800. We made total principal repayments of $160,166, primarily relating to the termination of the Jefferson Terminal Credit Agreement, Container Loan #1, and Container Loan #2. During the year ended December 31, 2015, additional borrowings of $200 were obtained in connection with the CMQR Credit Agreement and we made total principal repayments of $23,761.</w:t>
      </w:r>
    </w:p>
    <w:p>
      <w:pPr>
        <w:spacing w:after="0" w:line="99" w:lineRule="exact"/>
        <w:rPr>
          <w:rFonts w:ascii="Arial" w:cs="Arial" w:eastAsia="Arial" w:hAnsi="Arial"/>
          <w:sz w:val="16"/>
          <w:szCs w:val="16"/>
          <w:color w:val="auto"/>
        </w:rPr>
      </w:pPr>
    </w:p>
    <w:p>
      <w:pPr>
        <w:ind w:left="880" w:hanging="318"/>
        <w:spacing w:after="0" w:line="260"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the years ended December 31, 2017, 2016, and 2015, we received $0, $462 and $3,937 in cash distributions from our unconsolidated investees, respectively, of which $0, $30 and $209 was included in cash flows from operating activities, respectively.</w:t>
      </w:r>
    </w:p>
    <w:p>
      <w:pPr>
        <w:spacing w:after="0" w:line="87" w:lineRule="exact"/>
        <w:rPr>
          <w:rFonts w:ascii="Arial" w:cs="Arial" w:eastAsia="Arial" w:hAnsi="Arial"/>
          <w:sz w:val="16"/>
          <w:szCs w:val="16"/>
          <w:color w:val="auto"/>
        </w:rPr>
      </w:pPr>
    </w:p>
    <w:p>
      <w:pPr>
        <w:ind w:left="880" w:hanging="318"/>
        <w:spacing w:after="0"/>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the years ended December 31, 2017, 2016, and 2015 proceeds from the sale of assets were $121,419, $94,375 and $14,518, respectively.</w:t>
      </w:r>
    </w:p>
    <w:p>
      <w:pPr>
        <w:spacing w:after="0" w:line="113" w:lineRule="exact"/>
        <w:rPr>
          <w:rFonts w:ascii="Arial" w:cs="Arial" w:eastAsia="Arial" w:hAnsi="Arial"/>
          <w:sz w:val="16"/>
          <w:szCs w:val="16"/>
          <w:color w:val="auto"/>
        </w:rPr>
      </w:pPr>
    </w:p>
    <w:p>
      <w:pPr>
        <w:ind w:left="880" w:hanging="318"/>
        <w:spacing w:after="0" w:line="260"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the years ended December 31, 2017, 2016, and 2015 capital contributions from shareholders were $0, $0, and $295,879 respectively, and capital contributions from non-controlling interests were $35, $11,480, and $37,826 respectively.</w:t>
      </w:r>
    </w:p>
    <w:p>
      <w:pPr>
        <w:spacing w:after="0" w:line="87" w:lineRule="exact"/>
        <w:rPr>
          <w:rFonts w:ascii="Arial" w:cs="Arial" w:eastAsia="Arial" w:hAnsi="Arial"/>
          <w:sz w:val="16"/>
          <w:szCs w:val="16"/>
          <w:color w:val="auto"/>
        </w:rPr>
      </w:pPr>
    </w:p>
    <w:p>
      <w:pPr>
        <w:ind w:left="880" w:hanging="318"/>
        <w:spacing w:after="0"/>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the year ended December 31, 2015, proceeds from the issuance of common stock were $351,059, net of issuance costs of $2,998.</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473" w:right="239" w:bottom="1440" w:gutter="0" w:footer="0" w:header="0"/>
        </w:sectPr>
      </w:pPr>
    </w:p>
    <w:bookmarkStart w:id="80" w:name="page81"/>
    <w:bookmarkEnd w:id="80"/>
    <w:p>
      <w:pPr>
        <w:jc w:val="both"/>
        <w:ind w:firstLine="648"/>
        <w:spacing w:after="0" w:line="253" w:lineRule="auto"/>
        <w:rPr>
          <w:sz w:val="20"/>
          <w:szCs w:val="20"/>
          <w:color w:val="auto"/>
        </w:rPr>
      </w:pPr>
      <w:r>
        <w:rPr>
          <w:rFonts w:ascii="Arial" w:cs="Arial" w:eastAsia="Arial" w:hAnsi="Arial"/>
          <w:sz w:val="16"/>
          <w:szCs w:val="16"/>
          <w:color w:val="auto"/>
        </w:rPr>
        <w:t>The Company is currently evaluating several potential Infrastructure and Equipment Leasing transactions, which could occur within the next 12 months. However, as of the date of this filing, none of these pipeline transactions or negotiations are definitive or included within the planned liquidity needs of the Company. We cannot assure you if or when any such transaction will be consummated or the terms of any such transaction.</w:t>
      </w:r>
    </w:p>
    <w:p>
      <w:pPr>
        <w:spacing w:after="0" w:line="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a dividend reinvestment plan in place which allows shareholders to automatically reinvest dividends in the Company’s common shares. The plan became effective on February 24,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years ended December 31, 2017, 2016 and 2015: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r>
      <w:tr>
        <w:trPr>
          <w:trHeight w:val="264"/>
        </w:trPr>
        <w:tc>
          <w:tcPr>
            <w:tcW w:w="5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2017</w:t>
            </w: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2015</w:t>
            </w:r>
          </w:p>
        </w:tc>
      </w:tr>
      <w:tr>
        <w:trPr>
          <w:trHeight w:val="204"/>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76"/>
        </w:trPr>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Cash Flow Data:</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6"/>
        </w:trPr>
        <w:tc>
          <w:tcPr>
            <w:tcW w:w="5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68,497</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30,903</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23,528</w:t>
            </w:r>
          </w:p>
        </w:tc>
      </w:tr>
      <w:tr>
        <w:trPr>
          <w:trHeight w:val="264"/>
        </w:trPr>
        <w:tc>
          <w:tcPr>
            <w:tcW w:w="5020" w:type="dxa"/>
            <w:vAlign w:val="bottom"/>
          </w:tcPr>
          <w:p>
            <w:pPr>
              <w:ind w:left="50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ind w:right="28"/>
              <w:spacing w:after="0"/>
              <w:rPr>
                <w:sz w:val="20"/>
                <w:szCs w:val="20"/>
                <w:color w:val="auto"/>
              </w:rPr>
            </w:pPr>
            <w:r>
              <w:rPr>
                <w:rFonts w:ascii="Arial" w:cs="Arial" w:eastAsia="Arial" w:hAnsi="Arial"/>
                <w:sz w:val="14"/>
                <w:szCs w:val="14"/>
                <w:b w:val="1"/>
                <w:bCs w:val="1"/>
                <w:color w:val="auto"/>
              </w:rPr>
              <w:t>(440,230)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(213,098)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(239,921)</w:t>
            </w:r>
          </w:p>
        </w:tc>
      </w:tr>
      <w:tr>
        <w:trPr>
          <w:trHeight w:val="276"/>
        </w:trPr>
        <w:tc>
          <w:tcPr>
            <w:tcW w:w="5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363,078</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(131,453)</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575,971</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2017 and December 31, 2016</w:t>
      </w:r>
    </w:p>
    <w:p>
      <w:pPr>
        <w:spacing w:after="0" w:line="1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Net cash provided by operating activities was $68,497 in the year ended December 31, 2017 as compared to $30,903 in the year ended December 31, 2016, representing a $37,594 increase. Net loss was $23,240 for the year ended December 31, 2017, compared $40,598 for the year ended December 31, 2016, an increase in net income of $17,358. The increase was also attributable to adjustments to reconcile net income which include an increase of $27,900 relating to depreciation and amortization, $5,015 relating to equity based compensation, and $2,859 of amortization of lease intangibles and incentives, partially offset by asset impairment of $7,450 in 2016 and a change in gain on sale of equipment of $12,340 as compared to 2016. Also contributing to the offset were the changes in accounts receivable, other assets, and other liabilities due to the continued expansion of operations across all business segments.</w:t>
      </w:r>
    </w:p>
    <w:p>
      <w:pPr>
        <w:spacing w:after="0" w:line="2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Net cash used in investing activities was $ 440,230 and $213,098 in the years ended December 31, 2017 and 2016, respectively, representing a $227,132 increase. Cash used in investing activities increased due to the acquisition of leasing equipment and lease intangibles of $230,751 in the Aviation Leasing segment, cash used for investments of $1,526, and the acquisition of property, plant and equipment of $58,660 mainly due to the acquisition of Long Ridge. Partially offsetting this increase were higher proceeds from the sale of leasing equipment and available-for-sale securities of $68,245 and $30,238, respectively, and a change in restricted cash of $34,385 at December 31, 2017 as compared to December 31, 2016. Additionally, cash used in investing activities increased due to less cash received from the sale of two finance leases of $71,000 in the year ended December 31, 2017 as compared to the year ended December 31, 2016.</w:t>
      </w:r>
    </w:p>
    <w:p>
      <w:pPr>
        <w:spacing w:after="0" w:line="10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Net cash provided by financing activities was $363,078 in the year ended December 31, 2017 as compared to cash used in financing activities of $131,453 in year ended December 31, 2016, representing a $494,531 increase. The increase was primarily attributable to proceeds from borrowings under i) the Term Loan of $97,163, net of deferred financing costs, ii) the Revolving Credit Facility of $95,000, iii) the CMQR Credit Agreement of $32,030 and iv) the Senior Notes of $342,998, net of deferred financing costs and repayment of the Term Loan. Also contributing to the increase was a decrease in the repayment of debt related to the termination of the Jefferson Terminal Credit Agreement and loans associated with the sale of shipping containers in the year ended December 31, 2016, as well as an increase in receipt of maintenance deposits of $12,245, offset by a decrease in cash contributions from non-controlling interests of $11,445.</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2016 and December 31, 2015</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Net cash provided by operating activities was $30,903 in the years ended December 31, 2016 as compared to $23,528 in the year ended December 31, 2015, representing a $7,375 increase. Net loss was $40,598 for the year ended December 31, 2016, compared $28,631 for the year ended December 31, 2015, a decrease of $11,967. The decrease was offset by non-cash adjustments to reconcile net income which include an increase of (i) $7,450 relating to an asset impairment, (ii) $14,902 relating to depreciation and amortization, and (iii) $1,579 loss on extinguishment of debt, offset by a decrease in equity based compensation of $8,334, equity in losses from unconsolidated entities of $964 and gain on sale of equipment of $2,522 as compared to 2015. The decrease was further offset by the changes in in accounts payable, other liabilities, accounts receivable and other assets due to the continued expansion of operations across all business segments,</w:t>
      </w:r>
    </w:p>
    <w:p>
      <w:pPr>
        <w:spacing w:after="0" w:line="10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Net cash used in investing activities was $213,098 and $239,921 in the years ended December 31, 2016 and 2015, respectively, representing a $26,823 decrease. Cash used in investing activities decreased due to cash received for the sale of two finance leases, resulting in proceeds of $71,000, a decrease in cash paid for property, plant and equipment of $38,657, and the investment in the note receivable of $11,803 in the year ended December 31, 2016 as compared to the year ended December 31, 2015. Offsetting these decreases was an increase in cash used for the acquisition of leasing equipment of $35,550, cash used for purchase deposits of aircraft and aircraft engines of $13,681, and investments of $28,784, as well as a decrease principal collections on finance leases of $17,779 in the year ended December 31, 2016 as compared to the year ended December 31, 2015.</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93" w:right="239" w:bottom="1440" w:gutter="0" w:footer="0" w:header="0"/>
        </w:sectPr>
      </w:pPr>
    </w:p>
    <w:bookmarkStart w:id="81" w:name="page82"/>
    <w:bookmarkEnd w:id="81"/>
    <w:p>
      <w:pPr>
        <w:jc w:val="both"/>
        <w:ind w:firstLine="648"/>
        <w:spacing w:after="0" w:line="249" w:lineRule="auto"/>
        <w:rPr>
          <w:sz w:val="20"/>
          <w:szCs w:val="20"/>
          <w:color w:val="auto"/>
        </w:rPr>
      </w:pPr>
      <w:r>
        <w:rPr>
          <w:rFonts w:ascii="Arial" w:cs="Arial" w:eastAsia="Arial" w:hAnsi="Arial"/>
          <w:sz w:val="16"/>
          <w:szCs w:val="16"/>
          <w:color w:val="auto"/>
        </w:rPr>
        <w:t>Net cash used in financing activities was $131,453 in the year ended December 31, 2016 as compared to cash provided by financing activities of $575,971 in year ended December 31, 2015, representing a $707,424 decrease. Such decrease was attributable to (i) a decrease in cash proceeds received due to the issuance of common shares net of issuance costs paid of $351,059, (ii) a decrease in capital contributions from shareholders of $295,879, and (iii) a decrease in capital contributions from non-controlling interests of $26,346. In addition to these decreases, cash outflows increased in the year ended December 31, 2016 as compared to the year ended December 31, 2015 due to repayment of debt, net of proceeds from borrowings of $25,947, cash dividends paid of $63,684, offset by a decrease in distributions to shareholders of $44,917 and a net increase in maintenance deposits of $13,164.</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68,497</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48"/>
              <w:spacing w:after="0"/>
              <w:rPr>
                <w:sz w:val="20"/>
                <w:szCs w:val="20"/>
                <w:color w:val="auto"/>
              </w:rPr>
            </w:pPr>
            <w:r>
              <w:rPr>
                <w:rFonts w:ascii="Arial" w:cs="Arial" w:eastAsia="Arial" w:hAnsi="Arial"/>
                <w:sz w:val="14"/>
                <w:szCs w:val="14"/>
                <w:b w:val="1"/>
                <w:bCs w:val="1"/>
                <w:color w:val="auto"/>
              </w:rPr>
              <w:t>30,903</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28"/>
              <w:spacing w:after="0"/>
              <w:rPr>
                <w:sz w:val="20"/>
                <w:szCs w:val="20"/>
                <w:color w:val="auto"/>
              </w:rPr>
            </w:pPr>
            <w:r>
              <w:rPr>
                <w:rFonts w:ascii="Arial" w:cs="Arial" w:eastAsia="Arial" w:hAnsi="Arial"/>
                <w:sz w:val="14"/>
                <w:szCs w:val="14"/>
                <w:b w:val="1"/>
                <w:bCs w:val="1"/>
                <w:color w:val="auto"/>
              </w:rPr>
              <w:t>23,528</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Principal Collections on Finance Leases</w:t>
            </w:r>
          </w:p>
        </w:tc>
        <w:tc>
          <w:tcPr>
            <w:tcW w:w="2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20,292</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4"/>
                <w:szCs w:val="14"/>
                <w:color w:val="auto"/>
              </w:rPr>
              <w:t xml:space="preserve">Add: Proceeds from Sale of Assets </w:t>
            </w:r>
            <w:r>
              <w:rPr>
                <w:rFonts w:ascii="Arial" w:cs="Arial" w:eastAsia="Arial" w:hAnsi="Arial"/>
                <w:sz w:val="17"/>
                <w:szCs w:val="17"/>
                <w:color w:val="auto"/>
                <w:vertAlign w:val="superscript"/>
              </w:rPr>
              <w:t>(1)</w:t>
            </w:r>
          </w:p>
        </w:tc>
        <w:tc>
          <w:tcPr>
            <w:tcW w:w="24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121,419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94,875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14,518</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Return of Capital Distributions from Unconsolidated Entities</w:t>
            </w:r>
          </w:p>
        </w:tc>
        <w:tc>
          <w:tcPr>
            <w:tcW w:w="24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3,728</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7"/>
                <w:szCs w:val="17"/>
                <w:color w:val="auto"/>
                <w:vertAlign w:val="superscript"/>
              </w:rPr>
              <w:t>(2)</w:t>
            </w:r>
          </w:p>
        </w:tc>
        <w:tc>
          <w:tcPr>
            <w:tcW w:w="240" w:type="dxa"/>
            <w:vAlign w:val="bottom"/>
          </w:tcPr>
          <w:p>
            <w:pPr>
              <w:spacing w:after="0"/>
              <w:rPr>
                <w:sz w:val="23"/>
                <w:szCs w:val="23"/>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(8,368)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(53,668)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(23,761)</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Capital Distributions to Non-Controlling Interest</w:t>
            </w: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Exclude: Changes in Working Capital</w:t>
            </w:r>
          </w:p>
        </w:tc>
        <w:tc>
          <w:tcPr>
            <w:tcW w:w="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10,104</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Funds Available for Distribution (FAD)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177,252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76,785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48,088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w w:val="94"/>
              </w:rPr>
              <w:t>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right="20" w:hanging="492"/>
        <w:spacing w:after="0" w:line="211" w:lineRule="auto"/>
        <w:tabs>
          <w:tab w:leader="none" w:pos="177"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Proceeds from sale of assets includes $500 received in December 2015 for a deposit on the sale of a commercial jet engine, which was completed in the year ended December 31, 2016.</w:t>
      </w:r>
    </w:p>
    <w:p>
      <w:pPr>
        <w:ind w:left="500" w:hanging="492"/>
        <w:spacing w:after="0" w:line="229" w:lineRule="auto"/>
        <w:tabs>
          <w:tab w:leader="none" w:pos="177"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Required payments on debt obligations for the year ended December 31, 2017 excludes $100,000 repayment of the Term Loan, $95,000 repayment of the Revolving Credit Facility and $21,855 repayment of the CMQR Credit Agreement, and for the year ended December 31, 2016 excludes $98,750 repayment upon the termination of the Jefferson Terminal Credit Agreement and $7,748 repayment under the CMQR Credit Agreement which were voluntary refinancing as repayment of these amounts were not required at this time.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in evaluating the Company’s ability to meet its stated dividend policy. Specifically:</w:t>
      </w:r>
    </w:p>
    <w:p>
      <w:pPr>
        <w:spacing w:after="0" w:line="95" w:lineRule="exact"/>
        <w:rPr>
          <w:sz w:val="20"/>
          <w:szCs w:val="20"/>
          <w:color w:val="auto"/>
        </w:rPr>
      </w:pPr>
    </w:p>
    <w:p>
      <w:pPr>
        <w:ind w:left="660" w:hanging="328"/>
        <w:spacing w:after="0" w:line="26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FAD does not include equity capital called from the Company’s existing limited partners, proceeds from any debt issuance or future equity offering, historical cash and cash equivalents and expected investments in the Company’s operations.</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the Company relies on alternative sources of liquidity to fund such purchases.</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the Company is not bound by any contractual provision that requires it to use cash for distributions.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92"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the Company’s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0000"/>
        </w:rPr>
        <w:t>—On September 15, 2014, FTAI Pride, LLC, (“FTAI Pride”) a subsidiary of the Company entered into a credit agreement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on September 15, 2019, and can be prepaid without penalty at any time. The FTAI Pride Credit Agreement is secured on a first priority basis by the offshore construction vessel and charter. Borrowings under the FTAI Pride Credit Agreement bear interest at the LIBOR rate plus a spread of 4.50%.</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0000"/>
        </w:rPr>
        <w:t>—On June 30, 2017, CMQR amended its credit agreement (the “CMQR Credit Agreement”) with a financial institution for a revolving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credit to increase the aggregate amount from $20,000 to $25,000 and to extend the maturity date to September 18, 2019. Borrowings under the CMQR Credit Agreement bear interest at either (i) Adjusted LIBOR plus a spread of 2.50% of 4.50%, (ii) the U.S. or Canadian Base Rate plus a spread of 1.50% to 3.50%, or</w:t>
      </w:r>
    </w:p>
    <w:p>
      <w:pPr>
        <w:spacing w:after="0" w:line="1" w:lineRule="exact"/>
        <w:rPr>
          <w:sz w:val="20"/>
          <w:szCs w:val="20"/>
          <w:color w:val="auto"/>
        </w:rPr>
      </w:pPr>
    </w:p>
    <w:p>
      <w:pPr>
        <w:ind w:firstLine="8"/>
        <w:spacing w:after="0" w:line="260" w:lineRule="auto"/>
        <w:tabs>
          <w:tab w:leader="none" w:pos="29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Canadian Fixed Rate plus a spread of 2.50% or 4.50%, as defined by the CMQR Credit Agreement. The weighted average interest rate as of December 31, 2017 and 2016 was 3.95% and 3.21%, respectively.</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CMQR Credit Agreement is also indirectly supported by Fortress Transportation and Infrastructure Investors LLC (the “Sponsor”). In the event of a default under the credit agreement, CMQR’s lenders can cause CMQR to call up to a total of $29 million in capital from the Sponsor, and in the event of CMQR’s bankruptcy, the lenders can put the debt back to the Sponsor. The CMQR Credit Agreement contains affirmative and negative covenants which limit certain actions of CMQR.</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Series 2012 Bonds</w:t>
      </w:r>
      <w:r>
        <w:rPr>
          <w:rFonts w:ascii="Arial" w:cs="Arial" w:eastAsia="Arial" w:hAnsi="Arial"/>
          <w:sz w:val="16"/>
          <w:szCs w:val="16"/>
          <w:color w:val="000000"/>
        </w:rPr>
        <w:t>—On August 1, 2012, Jefferson County Development Corporation issued $46,875 of tax-exempt industrial bonds (“Series 2012 Bonds”),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Series 2012 Bond agreement contains a financial covenant requiring a subsidiary of the Company to maintain a long-term debt service coverage ratio, as defined in the agreement, of 1.25 to 1, in each fiscal year, beginning with December 31, 2014.</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Series 2016 Bonds</w:t>
      </w:r>
      <w:r>
        <w:rPr>
          <w:rFonts w:ascii="Arial" w:cs="Arial" w:eastAsia="Arial" w:hAnsi="Arial"/>
          <w:sz w:val="16"/>
          <w:szCs w:val="16"/>
          <w:color w:val="000000"/>
        </w:rPr>
        <w:t>—On March 7, 2016, the Port of Beaumont Navigation District of Jefferson County, Texas (the “District”) issued $144,200 of Dock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92" w:right="239" w:bottom="1440" w:gutter="0" w:footer="0" w:header="0"/>
        </w:sectPr>
      </w:pPr>
    </w:p>
    <w:bookmarkStart w:id="83" w:name="page84"/>
    <w:bookmarkEnd w:id="83"/>
    <w:p>
      <w:pPr>
        <w:jc w:val="both"/>
        <w:spacing w:after="0" w:line="248" w:lineRule="auto"/>
        <w:rPr>
          <w:sz w:val="20"/>
          <w:szCs w:val="20"/>
          <w:color w:val="auto"/>
        </w:rPr>
      </w:pPr>
      <w:r>
        <w:rPr>
          <w:rFonts w:ascii="Arial" w:cs="Arial" w:eastAsia="Arial" w:hAnsi="Arial"/>
          <w:sz w:val="16"/>
          <w:szCs w:val="16"/>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as well as maintenance of a minimum total asset value of Aviation Assets and minimum total equity of the Company. In connection with the above,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such affiliate, will effectively guarantee a pro rata portion of the obligations under the Standby Bond Purchase Agreement in return for a guarantee fee of $6,873 (shared on the same pro rata basis). This fee will be amortized as interest expense to the redemption date or February 13, 2020.</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Term Loan</w:t>
      </w:r>
      <w:r>
        <w:rPr>
          <w:rFonts w:ascii="Arial" w:cs="Arial" w:eastAsia="Arial" w:hAnsi="Arial"/>
          <w:sz w:val="16"/>
          <w:szCs w:val="16"/>
          <w:color w:val="000000"/>
        </w:rPr>
        <w:t>—On January 23, 2017, the Company entered into an unsecured credit agreement under which the Company, through its wholly owned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subsidiaries, including the Partnership and WWTAI Finance Ltd., an exempted company incorporated with limited liability under the laws of Bermuda, borrowed $100,000 in term loans denominated in U.S. dollars (the “Term Loans”). The proceeds of the Term Loans are to be used for general corporate purposes, including future acquisitions by the Company and its subsidiaries of certain aviation and infrastructure assets. The Terms Loans bear interest at the Base Rate (determined in accordance with the agreement) plus 2.75% per annum, or at the Adjusted Eurodollar Rate (determined in accordance with the agreement) plus 3.75% per annum, if the Company chooses to make Eurodollar Rate borrowings. The Term Loans mature on January 22, 2018, subject to the Company’s right to elect a one-year extension, and require amortization payments in the amount of $250 on the last day of each fiscal quarter beginning on March 31, 2017. On March 15, 2017, all amounts outstanding under the Term Loan were repaid in full and the agreement was terminated. Accordingly, during the year ended December 31, 2017, the Company recorded a loss on extinguishment of debt of $2,456.</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Senior Notes</w:t>
      </w:r>
      <w:r>
        <w:rPr>
          <w:rFonts w:ascii="Arial" w:cs="Arial" w:eastAsia="Arial" w:hAnsi="Arial"/>
          <w:sz w:val="16"/>
          <w:szCs w:val="16"/>
          <w:color w:val="000000"/>
        </w:rPr>
        <w:t>—On March 15, 2017, the Company issued $250,000 aggregate principal amount of 6.75% senior unsecured notes due 2022 (the “Senior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The Senior Notes were issued pursuant to an indenture, dated as of March 15, 2017, between the Company and U.S. Bank National Association, as trustee. On August 23, 2017, the Company issued an additional $100,000 of Senior Notes. The additional notes issued on August 23, 2017 were issued at an offering price of 102.75% of the principal amount plus accrued interest from March 15, 2017 to the date of issuance. On December 20, 2017, the Company issued an additional $100,000 of Senior Notes. The additional notes issued on December 20, 2017 were issued at an offering price of 103.25% of the principal amount plus accrued interest from September 15, 2017.</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Senior Notes bear interest at a rate of 6.75% per annum, payable semi-annually in arrears on March 15 and September 15 of each year, commencing on September 15, 2017, to persons who are registered holders of the Senior Notes on the immediately preceding March 1 and September 1, respectively.</w:t>
      </w:r>
    </w:p>
    <w:p>
      <w:pPr>
        <w:spacing w:after="0" w:line="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Senior Notes mature on March 15, 2022. Prior to March 15, 2020, the Company may redeem some or all of the Senior Notes at a redemption price equal to 100.00% of the principal amount of the Senior Notes redeemed, plus accrued and unpaid interest, if any, to, but not including, the applicable redemption date, plus a “make-whole” premium. On or after March 15, 2020, the Company may redeem some or all of the Senior Notes at any time at declining redemption prices equal to (i) 105.063% beginning on March 15, 2020, and (ii) 100.000% beginning on March 15, 2021 and thereafter, plus, in each case, accrued and unpaid interest, if any, to, but not including, the applicable redemption date. In addition, at any time on or prior to March 15, 2020, the Company may redeem up to 40% of the aggregate principal amount of the Senior Notes using net proceeds from certain equity offerings at a redemption price equal to 106.75% of the principal amount of the Senior Notes redeemed, plus accrued and unpaid interest, if any, to, but not including, the applicable redemption date.</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used a portion of the proceeds to fully repay all outstanding indebtedness under the Company’s Term Loan in the amount of $100,000, payment of fees related to the issuance of Senior Notes, and to fund the purchase of additional investments. The Company intends to use the remainder of the proceeds for general corporate purposes, including the funding of future investments.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0000"/>
        </w:rPr>
        <w:t>—On June 16, 2017, the Company entered into a revolving credit facility (the “Revolving Credit Facility”) with certain lenders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issuing banks and JPMorgan Chase Bank N.A., as administrative agent. The Revolving Credit Facility provides for revolving loans in the aggregate principal amount of up to $75,000, of which $25,000 may be utilized for the issuance of letters of credit. The proceeds drawn on this facility will be used for working capital and general corporate purposes, including, without limitation, permitted acquisitions and other investments. The Revolving Credit Facility is secured by the capital stock of certain direct subsidiaries of the Company as defined in the related credit agreement.</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Borrowings outstanding under the Revolving Credit Facility at the Adjusted Eurodollar Rate (determined in accordance with the credit agreement) plus 3.00% per annum, if the Company chooses to make Eurodollar Rate borrowings, or at the Base Rate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92" w:right="239" w:bottom="1440" w:gutter="0" w:footer="0" w:header="0"/>
        </w:sectPr>
      </w:pPr>
    </w:p>
    <w:bookmarkStart w:id="84" w:name="page85"/>
    <w:bookmarkEnd w:id="84"/>
    <w:p>
      <w:pPr>
        <w:jc w:val="both"/>
        <w:ind w:right="20"/>
        <w:spacing w:after="0" w:line="260" w:lineRule="auto"/>
        <w:rPr>
          <w:sz w:val="20"/>
          <w:szCs w:val="20"/>
          <w:color w:val="auto"/>
        </w:rPr>
      </w:pPr>
      <w:r>
        <w:rPr>
          <w:rFonts w:ascii="Arial" w:cs="Arial" w:eastAsia="Arial" w:hAnsi="Arial"/>
          <w:sz w:val="16"/>
          <w:szCs w:val="16"/>
          <w:color w:val="auto"/>
        </w:rPr>
        <w:t>(determined in accordance with the credit agreement) plus 2.00% per annum. The Company will also be required to pay a quarterly commitment fee at a rate per annum equal to 0.50% on the average unused portion of the Revolving Credit Facility, as well as customary letter of credit fees and agency fees.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Revolving Credit Facility will mature, and commitments in respect of the Revolving Credit Facility will terminate, on June 16, 2020. Any amount borrowed under the Revolving Credit Facility may be voluntarily prepaid without penalty or premium, other than customary breakage costs related to prepayments of Eurodollar Rate Borrowings.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Revolving Credit Facility includes financial covenants requiring the maintenance of (1) a minimum ratio of the appraised value of certain aviation assets to the aggregate commitments under the Revolving Credit Facility of 3.00 to 1.00 and (2) a maximum ratio of debt to total equity (before reduction for minority interest) for the Company and its subsidiaries of 1.65 to 1.00 per the terms of the credit agreement.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in compliance with all debt covenants as of December 31, 2017.</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ind w:right="840" w:firstLine="446"/>
        <w:spacing w:after="0" w:line="260" w:lineRule="auto"/>
        <w:rPr>
          <w:sz w:val="20"/>
          <w:szCs w:val="20"/>
          <w:color w:val="auto"/>
        </w:rPr>
      </w:pPr>
      <w:r>
        <w:rPr>
          <w:rFonts w:ascii="Arial" w:cs="Arial" w:eastAsia="Arial" w:hAnsi="Arial"/>
          <w:sz w:val="16"/>
          <w:szCs w:val="16"/>
          <w:color w:val="auto"/>
        </w:rPr>
        <w:t>The following table summarizes our future obligations, by period due, as of December 31, 2017, under our various contractual obligations and commitments. We had no off-balance sheet arrangements as of December 31,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Payments Due by Period</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40"/>
              <w:spacing w:after="0"/>
              <w:rPr>
                <w:sz w:val="20"/>
                <w:szCs w:val="20"/>
                <w:color w:val="auto"/>
              </w:rPr>
            </w:pPr>
            <w:r>
              <w:rPr>
                <w:rFonts w:ascii="Arial" w:cs="Arial" w:eastAsia="Arial" w:hAnsi="Arial"/>
                <w:sz w:val="14"/>
                <w:szCs w:val="14"/>
                <w:color w:val="auto"/>
              </w:rPr>
              <w:t>FTAI Pride Credit Agreement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53,993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47,743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CMQR Credit Agreement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Series 2012 Bonds</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42,765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33,660</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Series 2016 Bonds</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144,200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144,200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Senior Notes</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principal payments on loans and bonds payable</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713,758</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7,795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72,213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146,010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452,120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33,660</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7"/>
                <w:szCs w:val="17"/>
                <w:color w:val="auto"/>
                <w:vertAlign w:val="superscript"/>
              </w:rPr>
              <w:t>(1)</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269,775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47,695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15,683</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Obligation to third-party (Repauno)</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obligations</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97,054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70,713</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Capital lease obligations</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373,468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60,330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53,175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40,737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37,883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94,947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86,396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4"/>
                <w:szCs w:val="14"/>
                <w:color w:val="auto"/>
              </w:rPr>
              <w:t>Total contractual obligations</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1,087,226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68,125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125,388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186,747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39,843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547,067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120,056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72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55" w:lineRule="exact"/>
        <w:rPr>
          <w:sz w:val="20"/>
          <w:szCs w:val="20"/>
          <w:color w:val="auto"/>
        </w:rPr>
      </w:pPr>
    </w:p>
    <w:p>
      <w:pPr>
        <w:ind w:left="200" w:hanging="165"/>
        <w:spacing w:after="0"/>
        <w:tabs>
          <w:tab w:leader="none" w:pos="20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Estimated interest payments based on rates as of December 31, 2017.</w:t>
      </w:r>
    </w:p>
    <w:p>
      <w:pPr>
        <w:spacing w:after="0" w:line="122" w:lineRule="exact"/>
        <w:rPr>
          <w:sz w:val="20"/>
          <w:szCs w:val="20"/>
          <w:color w:val="auto"/>
        </w:rPr>
      </w:pPr>
    </w:p>
    <w:p>
      <w:pPr>
        <w:jc w:val="both"/>
        <w:ind w:firstLine="446"/>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—The Company leases equipment pursuant to net operating leases. Operating leases with fixed rentals and step rentals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2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Company also recognizes maintenance revenue related to the portion of maintenance payments received from lessees of aviation equipment that are not expected to be reimbursed in connection with major maintenance events.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493" w:right="239" w:bottom="1440" w:gutter="0" w:footer="0" w:header="0"/>
        </w:sectPr>
      </w:pPr>
    </w:p>
    <w:bookmarkStart w:id="85" w:name="page86"/>
    <w:bookmarkEnd w:id="85"/>
    <w:p>
      <w:pPr>
        <w:jc w:val="both"/>
        <w:ind w:firstLine="486"/>
        <w:spacing w:after="0" w:line="254" w:lineRule="auto"/>
        <w:rPr>
          <w:sz w:val="20"/>
          <w:szCs w:val="20"/>
          <w:color w:val="auto"/>
        </w:rPr>
      </w:pPr>
      <w:r>
        <w:rPr>
          <w:rFonts w:ascii="Arial" w:cs="Arial" w:eastAsia="Arial" w:hAnsi="Arial"/>
          <w:sz w:val="16"/>
          <w:szCs w:val="16"/>
          <w:b w:val="1"/>
          <w:bCs w:val="1"/>
          <w:i w:val="1"/>
          <w:iCs w:val="1"/>
          <w:color w:val="00497F"/>
        </w:rPr>
        <w:t>Finance Lease</w:t>
      </w:r>
      <w:r>
        <w:rPr>
          <w:rFonts w:ascii="Arial" w:cs="Arial" w:eastAsia="Arial" w:hAnsi="Arial"/>
          <w:sz w:val="16"/>
          <w:szCs w:val="16"/>
          <w:color w:val="000000"/>
        </w:rPr>
        <w:t>—The Company holds one anchor handling tug supply vessel, subject to a finance lease, as of December 31, 2017. This lease generally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includes a lessee obligation to purchase the leased equipment at the end of the lease term,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182"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2"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required to make maintenance payments to the Company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the Company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94"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The Company records the portion of maintenance payments paid by the lessee that are expected to be reimbursed as maintenance deposit liabilities on the Consolidated Balance Sheet. Reimbursements made to the lessee upon the receipt of evidence of qualifying maintenance work are recorded against the maintenance deposit liability.</w:t>
      </w:r>
    </w:p>
    <w:p>
      <w:pPr>
        <w:spacing w:after="0" w:line="93" w:lineRule="exact"/>
        <w:rPr>
          <w:sz w:val="20"/>
          <w:szCs w:val="20"/>
          <w:color w:val="auto"/>
        </w:rPr>
      </w:pPr>
    </w:p>
    <w:p>
      <w:pPr>
        <w:jc w:val="both"/>
        <w:ind w:firstLine="446"/>
        <w:spacing w:after="0" w:line="249" w:lineRule="auto"/>
        <w:rPr>
          <w:sz w:val="20"/>
          <w:szCs w:val="20"/>
          <w:color w:val="auto"/>
        </w:rPr>
      </w:pPr>
      <w:r>
        <w:rPr>
          <w:rFonts w:ascii="Arial" w:cs="Arial" w:eastAsia="Arial" w:hAnsi="Arial"/>
          <w:sz w:val="16"/>
          <w:szCs w:val="16"/>
          <w:color w:val="auto"/>
        </w:rPr>
        <w:t>In certain leases, the lessee or the Company may be obligated to make a payment to the other party at lease termination based on redelivery conditions stipulated at the inception of the lease. When the lessee is required to return the aircraft in an improved maintenance condition, the Company records a maintenance right asset, as a component of other assets, for the estimated value of the end-of-life maintenance payment at acquisition. The Company recognizes payments received as end-of-lease compensation adjustments, within lease revenue or as a reduction to the maintenance right asset, when payment is received or collectability is assured. In the event the Company is required to make payments at the end of the lease for redelivery conditions, amounts are accrued as additional maintenance liability when the Company is obligated and can reasonably estimate such payment.</w:t>
      </w:r>
    </w:p>
    <w:p>
      <w:pPr>
        <w:spacing w:after="0" w:line="77" w:lineRule="exact"/>
        <w:rPr>
          <w:sz w:val="20"/>
          <w:szCs w:val="20"/>
          <w:color w:val="auto"/>
        </w:rPr>
      </w:pPr>
    </w:p>
    <w:p>
      <w:pPr>
        <w:jc w:val="both"/>
        <w:ind w:firstLine="446"/>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estimated useful lives, to estimated residual values which are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2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4"/>
                <w:szCs w:val="14"/>
                <w:b w:val="1"/>
                <w:bCs w:val="1"/>
                <w:color w:val="auto"/>
              </w:rPr>
              <w:t>Asset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3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Range of Estimated Useful Lives</w:t>
            </w:r>
          </w:p>
        </w:tc>
        <w:tc>
          <w:tcPr>
            <w:tcW w:w="120" w:type="dxa"/>
            <w:vAlign w:val="bottom"/>
            <w:shd w:val="clear" w:color="auto" w:fill="CCEEFF"/>
          </w:tcPr>
          <w:p>
            <w:pPr>
              <w:spacing w:after="0"/>
              <w:rPr>
                <w:sz w:val="22"/>
                <w:szCs w:val="22"/>
                <w:color w:val="auto"/>
              </w:rPr>
            </w:pPr>
          </w:p>
        </w:tc>
        <w:tc>
          <w:tcPr>
            <w:tcW w:w="35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Residual Value Estimates</w:t>
            </w:r>
          </w:p>
        </w:tc>
      </w:tr>
      <w:tr>
        <w:trPr>
          <w:trHeight w:val="193"/>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Aircraft</w:t>
            </w:r>
          </w:p>
        </w:tc>
        <w:tc>
          <w:tcPr>
            <w:tcW w:w="3660" w:type="dxa"/>
            <w:vAlign w:val="bottom"/>
            <w:gridSpan w:val="4"/>
          </w:tcPr>
          <w:p>
            <w:pPr>
              <w:ind w:left="40"/>
              <w:spacing w:after="0"/>
              <w:rPr>
                <w:sz w:val="20"/>
                <w:szCs w:val="20"/>
                <w:color w:val="auto"/>
              </w:rPr>
            </w:pPr>
            <w:r>
              <w:rPr>
                <w:rFonts w:ascii="Arial" w:cs="Arial" w:eastAsia="Arial" w:hAnsi="Arial"/>
                <w:sz w:val="14"/>
                <w:szCs w:val="14"/>
                <w:color w:val="auto"/>
              </w:rPr>
              <w:t>25 years from date of manufacture</w:t>
            </w:r>
          </w:p>
        </w:tc>
        <w:tc>
          <w:tcPr>
            <w:tcW w:w="3520" w:type="dxa"/>
            <w:vAlign w:val="bottom"/>
          </w:tcPr>
          <w:p>
            <w:pPr>
              <w:ind w:left="20"/>
              <w:spacing w:after="0"/>
              <w:rPr>
                <w:sz w:val="20"/>
                <w:szCs w:val="20"/>
                <w:color w:val="auto"/>
              </w:rPr>
            </w:pPr>
            <w:r>
              <w:rPr>
                <w:rFonts w:ascii="Arial" w:cs="Arial" w:eastAsia="Arial" w:hAnsi="Arial"/>
                <w:sz w:val="14"/>
                <w:szCs w:val="14"/>
                <w:color w:val="auto"/>
              </w:rPr>
              <w:t>Generally not to exceed 15% of manufacturer’s list</w:t>
            </w:r>
          </w:p>
        </w:tc>
      </w:tr>
      <w:tr>
        <w:trPr>
          <w:trHeight w:val="178"/>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ind w:left="20"/>
              <w:spacing w:after="0"/>
              <w:rPr>
                <w:sz w:val="20"/>
                <w:szCs w:val="20"/>
                <w:color w:val="auto"/>
              </w:rPr>
            </w:pPr>
            <w:r>
              <w:rPr>
                <w:rFonts w:ascii="Arial" w:cs="Arial" w:eastAsia="Arial" w:hAnsi="Arial"/>
                <w:sz w:val="14"/>
                <w:szCs w:val="14"/>
                <w:color w:val="auto"/>
              </w:rPr>
              <w:t>price when new</w:t>
            </w:r>
          </w:p>
        </w:tc>
      </w:tr>
      <w:tr>
        <w:trPr>
          <w:trHeight w:val="20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Aircraft engines</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- 6 years, based on maintenance adjusted service</w:t>
            </w:r>
          </w:p>
        </w:tc>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Sum of engine core salvage value plus the estimated</w:t>
            </w:r>
          </w:p>
        </w:tc>
      </w:tr>
      <w:tr>
        <w:trPr>
          <w:trHeight w:val="184"/>
        </w:trPr>
        <w:tc>
          <w:tcPr>
            <w:tcW w:w="4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life</w:t>
            </w:r>
          </w:p>
        </w:tc>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204"/>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Offshore energy vessels</w:t>
            </w:r>
          </w:p>
        </w:tc>
        <w:tc>
          <w:tcPr>
            <w:tcW w:w="3660" w:type="dxa"/>
            <w:vAlign w:val="bottom"/>
            <w:gridSpan w:val="4"/>
          </w:tcPr>
          <w:p>
            <w:pPr>
              <w:ind w:left="40"/>
              <w:spacing w:after="0"/>
              <w:rPr>
                <w:sz w:val="20"/>
                <w:szCs w:val="20"/>
                <w:color w:val="auto"/>
              </w:rPr>
            </w:pPr>
            <w:r>
              <w:rPr>
                <w:rFonts w:ascii="Arial" w:cs="Arial" w:eastAsia="Arial" w:hAnsi="Arial"/>
                <w:sz w:val="14"/>
                <w:szCs w:val="14"/>
                <w:color w:val="auto"/>
              </w:rPr>
              <w:t>25 years from date of manufacture</w:t>
            </w:r>
          </w:p>
        </w:tc>
        <w:tc>
          <w:tcPr>
            <w:tcW w:w="3520" w:type="dxa"/>
            <w:vAlign w:val="bottom"/>
          </w:tcPr>
          <w:p>
            <w:pPr>
              <w:ind w:left="20"/>
              <w:spacing w:after="0"/>
              <w:rPr>
                <w:sz w:val="20"/>
                <w:szCs w:val="20"/>
                <w:color w:val="auto"/>
              </w:rPr>
            </w:pPr>
            <w:r>
              <w:rPr>
                <w:rFonts w:ascii="Arial" w:cs="Arial" w:eastAsia="Arial" w:hAnsi="Arial"/>
                <w:sz w:val="14"/>
                <w:szCs w:val="14"/>
                <w:color w:val="auto"/>
              </w:rPr>
              <w:t>20% of new build cost</w:t>
            </w:r>
          </w:p>
        </w:tc>
      </w:tr>
      <w:tr>
        <w:trPr>
          <w:trHeight w:val="66"/>
        </w:trPr>
        <w:tc>
          <w:tcPr>
            <w:tcW w:w="4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3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20" w:type="dxa"/>
            <w:vAlign w:val="bottom"/>
          </w:tcPr>
          <w:p>
            <w:pPr>
              <w:spacing w:after="0"/>
              <w:rPr>
                <w:sz w:val="5"/>
                <w:szCs w:val="5"/>
                <w:color w:val="auto"/>
              </w:rPr>
            </w:pPr>
          </w:p>
        </w:tc>
      </w:tr>
      <w:tr>
        <w:trPr>
          <w:trHeight w:val="204"/>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Railcars and locomotives</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40</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66"/>
        </w:trPr>
        <w:tc>
          <w:tcPr>
            <w:tcW w:w="4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gridSpan w:val="2"/>
            <w:shd w:val="clear" w:color="auto" w:fill="CCEEFF"/>
          </w:tcPr>
          <w:p>
            <w:pPr>
              <w:spacing w:after="0"/>
              <w:rPr>
                <w:sz w:val="5"/>
                <w:szCs w:val="5"/>
                <w:color w:val="auto"/>
              </w:rPr>
            </w:pPr>
          </w:p>
        </w:tc>
        <w:tc>
          <w:tcPr>
            <w:tcW w:w="3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04"/>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Track and track related assets</w:t>
            </w: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15</w:t>
            </w:r>
          </w:p>
        </w:tc>
        <w:tc>
          <w:tcPr>
            <w:tcW w:w="3440" w:type="dxa"/>
            <w:vAlign w:val="bottom"/>
            <w:gridSpan w:val="2"/>
          </w:tcPr>
          <w:p>
            <w:pPr>
              <w:ind w:left="20"/>
              <w:spacing w:after="0"/>
              <w:rPr>
                <w:sz w:val="20"/>
                <w:szCs w:val="20"/>
                <w:color w:val="auto"/>
              </w:rPr>
            </w:pPr>
            <w:r>
              <w:rPr>
                <w:rFonts w:ascii="Arial" w:cs="Arial" w:eastAsia="Arial" w:hAnsi="Arial"/>
                <w:sz w:val="14"/>
                <w:szCs w:val="14"/>
                <w:color w:val="auto"/>
              </w:rPr>
              <w:t>- 50 years from date of manufacture</w:t>
            </w:r>
          </w:p>
        </w:tc>
        <w:tc>
          <w:tcPr>
            <w:tcW w:w="352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66"/>
        </w:trPr>
        <w:tc>
          <w:tcPr>
            <w:tcW w:w="4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3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20" w:type="dxa"/>
            <w:vAlign w:val="bottom"/>
          </w:tcPr>
          <w:p>
            <w:pPr>
              <w:spacing w:after="0"/>
              <w:rPr>
                <w:sz w:val="5"/>
                <w:szCs w:val="5"/>
                <w:color w:val="auto"/>
              </w:rPr>
            </w:pPr>
          </w:p>
        </w:tc>
      </w:tr>
      <w:tr>
        <w:trPr>
          <w:trHeight w:val="204"/>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Buildings and site improvements</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- 30 years</w:t>
            </w:r>
          </w:p>
        </w:tc>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66"/>
        </w:trPr>
        <w:tc>
          <w:tcPr>
            <w:tcW w:w="4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400" w:type="dxa"/>
            <w:vAlign w:val="bottom"/>
            <w:gridSpan w:val="2"/>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04"/>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Railroad equipment</w:t>
            </w:r>
          </w:p>
        </w:tc>
        <w:tc>
          <w:tcPr>
            <w:tcW w:w="140" w:type="dxa"/>
            <w:vAlign w:val="bottom"/>
          </w:tcPr>
          <w:p>
            <w:pPr>
              <w:ind w:left="40"/>
              <w:spacing w:after="0"/>
              <w:rPr>
                <w:sz w:val="20"/>
                <w:szCs w:val="20"/>
                <w:color w:val="auto"/>
              </w:rPr>
            </w:pPr>
            <w:r>
              <w:rPr>
                <w:rFonts w:ascii="Arial" w:cs="Arial" w:eastAsia="Arial" w:hAnsi="Arial"/>
                <w:sz w:val="14"/>
                <w:szCs w:val="14"/>
                <w:color w:val="auto"/>
              </w:rPr>
              <w:t>3</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- 15 years from date of manufacture</w:t>
            </w:r>
          </w:p>
        </w:tc>
        <w:tc>
          <w:tcPr>
            <w:tcW w:w="352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66"/>
        </w:trPr>
        <w:tc>
          <w:tcPr>
            <w:tcW w:w="4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3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20" w:type="dxa"/>
            <w:vAlign w:val="bottom"/>
          </w:tcPr>
          <w:p>
            <w:pPr>
              <w:spacing w:after="0"/>
              <w:rPr>
                <w:sz w:val="5"/>
                <w:szCs w:val="5"/>
                <w:color w:val="auto"/>
              </w:rPr>
            </w:pPr>
          </w:p>
        </w:tc>
      </w:tr>
      <w:tr>
        <w:trPr>
          <w:trHeight w:val="204"/>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Terminal machinery and equipment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- 25 years from date of manufacture</w:t>
            </w:r>
          </w:p>
        </w:tc>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66"/>
        </w:trPr>
        <w:tc>
          <w:tcPr>
            <w:tcW w:w="4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400" w:type="dxa"/>
            <w:vAlign w:val="bottom"/>
            <w:gridSpan w:val="2"/>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04"/>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Vehicles</w:t>
            </w:r>
          </w:p>
        </w:tc>
        <w:tc>
          <w:tcPr>
            <w:tcW w:w="140" w:type="dxa"/>
            <w:vAlign w:val="bottom"/>
          </w:tcPr>
          <w:p>
            <w:pPr>
              <w:ind w:left="40"/>
              <w:spacing w:after="0"/>
              <w:rPr>
                <w:sz w:val="20"/>
                <w:szCs w:val="20"/>
                <w:color w:val="auto"/>
              </w:rPr>
            </w:pPr>
            <w:r>
              <w:rPr>
                <w:rFonts w:ascii="Arial" w:cs="Arial" w:eastAsia="Arial" w:hAnsi="Arial"/>
                <w:sz w:val="14"/>
                <w:szCs w:val="14"/>
                <w:color w:val="auto"/>
              </w:rPr>
              <w:t>5</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- 7 years from date of manufacture</w:t>
            </w:r>
          </w:p>
        </w:tc>
        <w:tc>
          <w:tcPr>
            <w:tcW w:w="352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66"/>
        </w:trPr>
        <w:tc>
          <w:tcPr>
            <w:tcW w:w="4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520" w:type="dxa"/>
            <w:vAlign w:val="bottom"/>
          </w:tcPr>
          <w:p>
            <w:pPr>
              <w:spacing w:after="0"/>
              <w:rPr>
                <w:sz w:val="5"/>
                <w:szCs w:val="5"/>
                <w:color w:val="auto"/>
              </w:rPr>
            </w:pPr>
          </w:p>
        </w:tc>
      </w:tr>
      <w:tr>
        <w:trPr>
          <w:trHeight w:val="204"/>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Furniture and fixtures</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r>
        <w:trPr>
          <w:trHeight w:val="66"/>
        </w:trPr>
        <w:tc>
          <w:tcPr>
            <w:tcW w:w="4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400" w:type="dxa"/>
            <w:vAlign w:val="bottom"/>
            <w:gridSpan w:val="2"/>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04"/>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Computer hardware and software</w:t>
            </w:r>
          </w:p>
        </w:tc>
        <w:tc>
          <w:tcPr>
            <w:tcW w:w="140" w:type="dxa"/>
            <w:vAlign w:val="bottom"/>
          </w:tcPr>
          <w:p>
            <w:pPr>
              <w:ind w:left="40"/>
              <w:spacing w:after="0"/>
              <w:rPr>
                <w:sz w:val="20"/>
                <w:szCs w:val="20"/>
                <w:color w:val="auto"/>
              </w:rPr>
            </w:pPr>
            <w:r>
              <w:rPr>
                <w:rFonts w:ascii="Arial" w:cs="Arial" w:eastAsia="Arial" w:hAnsi="Arial"/>
                <w:sz w:val="14"/>
                <w:szCs w:val="14"/>
                <w:color w:val="auto"/>
              </w:rPr>
              <w:t>3</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- 5 years from date of purchase</w:t>
            </w:r>
          </w:p>
        </w:tc>
        <w:tc>
          <w:tcPr>
            <w:tcW w:w="3520" w:type="dxa"/>
            <w:vAlign w:val="bottom"/>
          </w:tcPr>
          <w:p>
            <w:pPr>
              <w:ind w:left="20"/>
              <w:spacing w:after="0"/>
              <w:rPr>
                <w:sz w:val="20"/>
                <w:szCs w:val="20"/>
                <w:color w:val="auto"/>
              </w:rPr>
            </w:pPr>
            <w:r>
              <w:rPr>
                <w:rFonts w:ascii="Arial" w:cs="Arial" w:eastAsia="Arial" w:hAnsi="Arial"/>
                <w:sz w:val="14"/>
                <w:szCs w:val="14"/>
                <w:color w:val="auto"/>
              </w:rPr>
              <w:t>None</w:t>
            </w:r>
          </w:p>
        </w:tc>
      </w:tr>
    </w:tbl>
    <w:p>
      <w:pPr>
        <w:spacing w:after="0" w:line="156"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—The Company performs a recoverability assessment of each of its long-lived assets whenever events or changes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 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the Company measures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418" w:right="239" w:bottom="1440" w:gutter="0" w:footer="0" w:header="0"/>
        </w:sectPr>
      </w:pPr>
    </w:p>
    <w:bookmarkStart w:id="86" w:name="page87"/>
    <w:bookmarkEnd w:id="86"/>
    <w:p>
      <w:pPr>
        <w:jc w:val="both"/>
        <w:ind w:firstLine="446"/>
        <w:spacing w:after="0" w:line="251"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75"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b w:val="1"/>
          <w:bCs w:val="1"/>
          <w:i w:val="1"/>
          <w:iCs w:val="1"/>
          <w:color w:val="00497F"/>
        </w:rPr>
        <w:t xml:space="preserve">Goodwill </w:t>
      </w:r>
      <w:r>
        <w:rPr>
          <w:rFonts w:ascii="Arial" w:cs="Arial" w:eastAsia="Arial" w:hAnsi="Arial"/>
          <w:sz w:val="16"/>
          <w:szCs w:val="16"/>
          <w:color w:val="000000"/>
        </w:rPr>
        <w:t>—Goodwill includes the excess of the purchase price over the fair value of the net tangible and intangible assets associated with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acquisitions of CMQR and Jefferson Terminal. The carrying amount of goodwill is approximately $116,584 as of December 31, 2017 and December 31, 2016.</w:t>
      </w:r>
    </w:p>
    <w:p>
      <w:pPr>
        <w:spacing w:after="0" w:line="68"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The Company reviews the carrying values of goodwill at least annually to assess impairment since these assets are not amortized. An 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2017 or December 31, 2016.</w:t>
      </w:r>
    </w:p>
    <w:p>
      <w:pPr>
        <w:spacing w:after="0" w:line="93" w:lineRule="exact"/>
        <w:rPr>
          <w:sz w:val="20"/>
          <w:szCs w:val="20"/>
          <w:color w:val="auto"/>
        </w:rPr>
      </w:pPr>
    </w:p>
    <w:p>
      <w:pPr>
        <w:jc w:val="both"/>
        <w:ind w:firstLine="446"/>
        <w:spacing w:after="0" w:line="250" w:lineRule="auto"/>
        <w:rPr>
          <w:sz w:val="20"/>
          <w:szCs w:val="20"/>
          <w:color w:val="auto"/>
        </w:rPr>
      </w:pPr>
      <w:r>
        <w:rPr>
          <w:rFonts w:ascii="Arial" w:cs="Arial" w:eastAsia="Arial" w:hAnsi="Arial"/>
          <w:sz w:val="16"/>
          <w:szCs w:val="16"/>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the Company’s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For the purpose of performing the annual analysis, the Company’s two reporting units subject to the test are the Jefferson Terminal and Railroad reporting units. The Company estimates the fair value of the reporting units using an income approach, specifically a discounted cash flow analysis. This analysis requires the Company to make significant assumptions and estimates about the extent and timing of future cash flows, discount rates and growth rates. The estimates and assumptions used consider historical performance and are consistent with the assumptions used in determining future profit plans for the reporting units. The Company also utilizes market valuation models and other financial ratios, which require the Company to make certain assumptions and estimates regarding the applicability of those models to its assets and businesses.</w:t>
      </w:r>
    </w:p>
    <w:p>
      <w:pPr>
        <w:spacing w:after="0" w:line="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Although the Company believes the estimates of fair value are reasonable, the determination of certain valuation inputs is subject to management’s judgment. Changes in these inputs could materially affect the results of the impairment review. If the forecasts of cash flows generated by the Jefferson Terminal and Railroad reporting units or other key inputs are negatively revised in the future, the estimated fair value of the Jefferson Terminal and Railroad reporting units would be adversely impacted, potentially leading to an impairment in the future that could materially affect the Company’s operating results. </w:t>
      </w:r>
      <w:r>
        <w:rPr>
          <w:rFonts w:ascii="Arial" w:cs="Arial" w:eastAsia="Arial" w:hAnsi="Arial"/>
          <w:sz w:val="16"/>
          <w:szCs w:val="16"/>
          <w:color w:val="333333"/>
        </w:rPr>
        <w:t>S</w:t>
      </w:r>
      <w:r>
        <w:rPr>
          <w:rFonts w:ascii="Arial" w:cs="Arial" w:eastAsia="Arial" w:hAnsi="Arial"/>
          <w:sz w:val="16"/>
          <w:szCs w:val="16"/>
          <w:color w:val="000000"/>
        </w:rPr>
        <w:t>pecifically, as it relates to the Jefferson Terminal segment, forecasted revenue is dependent on the ramp up of volumes under current contracts and the</w:t>
      </w:r>
      <w:r>
        <w:rPr>
          <w:rFonts w:ascii="Arial" w:cs="Arial" w:eastAsia="Arial" w:hAnsi="Arial"/>
          <w:sz w:val="16"/>
          <w:szCs w:val="16"/>
          <w:color w:val="333333"/>
        </w:rPr>
        <w:t xml:space="preserve"> </w:t>
      </w:r>
      <w:r>
        <w:rPr>
          <w:rFonts w:ascii="Arial" w:cs="Arial" w:eastAsia="Arial" w:hAnsi="Arial"/>
          <w:sz w:val="16"/>
          <w:szCs w:val="16"/>
          <w:color w:val="000000"/>
        </w:rPr>
        <w:t>acquisition of additional storage contracts for the heavy and light crude and refined products during 2018. The expansion of refineries in the Beaumont/Port Arthur area, as well as growing crude oil production in the U.S. and Canada, are expected to result in increased demand for storage on the U.S. Gulf Coast. Other assumptions that are significant in determination of the fair value of the reporting unit include the discount rate utilized in our discounted cash flow analysis of 14% and our terminal growth rate of 3%.</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Furthermore, development of both inbound and outbound pipelines to and from the Jefferson Terminal over the next two years will affect our forecasted growth and therefore our estimated fair value. We expect the Jefferson Terminal segment to generate positive Adjusted EBITDA during 2018. The Company’s estimated fair value exceeded carrying value by greater than 15%.</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2017 and December 31, 2016, there was no impairment of goodwill.</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see Note 2 to our consolidated financial statements included elsewhere in this filing for recent accounting pronouncements.</w:t>
      </w:r>
    </w:p>
    <w:p>
      <w:pPr>
        <w:spacing w:after="0" w:line="93"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00497F"/>
        </w:rPr>
        <w:t>Item 7A.</w:t>
        <w:tab/>
        <w:t>Quantitative and Qualitative Disclosures About Market Risk</w:t>
      </w:r>
    </w:p>
    <w:p>
      <w:pPr>
        <w:spacing w:after="0" w:line="133" w:lineRule="exact"/>
        <w:rPr>
          <w:sz w:val="20"/>
          <w:szCs w:val="20"/>
          <w:color w:val="auto"/>
        </w:rPr>
      </w:pPr>
    </w:p>
    <w:p>
      <w:pPr>
        <w:jc w:val="both"/>
        <w:ind w:firstLine="446"/>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493"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5"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95" w:lineRule="exact"/>
        <w:rPr>
          <w:sz w:val="20"/>
          <w:szCs w:val="20"/>
          <w:color w:val="auto"/>
        </w:rPr>
      </w:pPr>
    </w:p>
    <w:p>
      <w:pPr>
        <w:jc w:val="both"/>
        <w:ind w:firstLine="446"/>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00"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6"/>
          <w:szCs w:val="16"/>
          <w:color w:val="auto"/>
        </w:rPr>
        <w:t>As of December 31, 2017,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$860 and $(761), respectively, over the next 12 months before the impact of interest rate derivatives.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33" w:lineRule="exact"/>
        <w:rPr>
          <w:sz w:val="20"/>
          <w:szCs w:val="20"/>
          <w:color w:val="auto"/>
        </w:rPr>
      </w:pPr>
    </w:p>
    <w:p>
      <w:pPr>
        <w:jc w:val="both"/>
        <w:ind w:firstLine="446"/>
        <w:spacing w:after="0" w:line="249"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473"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5"/>
        </w:trPr>
        <w:tc>
          <w:tcPr>
            <w:tcW w:w="820" w:type="dxa"/>
            <w:vAlign w:val="bottom"/>
            <w:gridSpan w:val="2"/>
          </w:tcPr>
          <w:p>
            <w:pPr>
              <w:spacing w:after="0"/>
              <w:rPr>
                <w:sz w:val="20"/>
                <w:szCs w:val="20"/>
                <w:color w:val="auto"/>
              </w:rPr>
            </w:pPr>
            <w:r>
              <w:rPr>
                <w:rFonts w:ascii="Arial" w:cs="Arial" w:eastAsia="Arial" w:hAnsi="Arial"/>
                <w:sz w:val="16"/>
                <w:szCs w:val="16"/>
                <w:b w:val="1"/>
                <w:bCs w:val="1"/>
                <w:color w:val="00497F"/>
              </w:rPr>
              <w:t>Item 8.</w:t>
            </w:r>
          </w:p>
        </w:tc>
        <w:tc>
          <w:tcPr>
            <w:tcW w:w="9060" w:type="dxa"/>
            <w:vAlign w:val="bottom"/>
            <w:gridSpan w:val="2"/>
          </w:tcPr>
          <w:p>
            <w:pPr>
              <w:ind w:left="280"/>
              <w:spacing w:after="0"/>
              <w:rPr>
                <w:sz w:val="20"/>
                <w:szCs w:val="20"/>
                <w:color w:val="auto"/>
              </w:rPr>
            </w:pPr>
            <w:r>
              <w:rPr>
                <w:rFonts w:ascii="Arial" w:cs="Arial" w:eastAsia="Arial" w:hAnsi="Arial"/>
                <w:sz w:val="16"/>
                <w:szCs w:val="16"/>
                <w:b w:val="1"/>
                <w:bCs w:val="1"/>
                <w:color w:val="00497F"/>
              </w:rPr>
              <w:t>Financial Statements and Supplementary Data</w:t>
            </w:r>
          </w:p>
        </w:tc>
        <w:tc>
          <w:tcPr>
            <w:tcW w:w="1140" w:type="dxa"/>
            <w:vAlign w:val="bottom"/>
          </w:tcPr>
          <w:p>
            <w:pPr>
              <w:spacing w:after="0"/>
              <w:rPr>
                <w:sz w:val="18"/>
                <w:szCs w:val="18"/>
                <w:color w:val="auto"/>
              </w:rPr>
            </w:pPr>
          </w:p>
        </w:tc>
      </w:tr>
      <w:tr>
        <w:trPr>
          <w:trHeight w:val="419"/>
        </w:trPr>
        <w:tc>
          <w:tcPr>
            <w:tcW w:w="9880" w:type="dxa"/>
            <w:vAlign w:val="bottom"/>
            <w:gridSpan w:val="4"/>
          </w:tcPr>
          <w:p>
            <w:pPr>
              <w:spacing w:after="0"/>
              <w:rPr>
                <w:sz w:val="20"/>
                <w:szCs w:val="20"/>
                <w:color w:val="auto"/>
              </w:rPr>
            </w:pPr>
            <w:r>
              <w:rPr>
                <w:rFonts w:ascii="Arial" w:cs="Arial" w:eastAsia="Arial" w:hAnsi="Arial"/>
                <w:sz w:val="16"/>
                <w:szCs w:val="16"/>
                <w:color w:val="auto"/>
              </w:rPr>
              <w:t>Index to Financial Statements:</w:t>
            </w:r>
          </w:p>
        </w:tc>
        <w:tc>
          <w:tcPr>
            <w:tcW w:w="1140" w:type="dxa"/>
            <w:vAlign w:val="bottom"/>
          </w:tcPr>
          <w:p>
            <w:pPr>
              <w:spacing w:after="0"/>
              <w:rPr>
                <w:sz w:val="24"/>
                <w:szCs w:val="24"/>
                <w:color w:val="auto"/>
              </w:rPr>
            </w:pPr>
          </w:p>
        </w:tc>
      </w:tr>
      <w:tr>
        <w:trPr>
          <w:trHeight w:val="426"/>
        </w:trPr>
        <w:tc>
          <w:tcPr>
            <w:tcW w:w="9880" w:type="dxa"/>
            <w:vAlign w:val="bottom"/>
            <w:gridSpan w:val="4"/>
          </w:tcPr>
          <w:p>
            <w:pPr>
              <w:ind w:left="40"/>
              <w:spacing w:after="0"/>
              <w:rPr>
                <w:sz w:val="20"/>
                <w:szCs w:val="20"/>
                <w:color w:val="auto"/>
              </w:rPr>
            </w:pPr>
            <w:r>
              <w:rPr>
                <w:rFonts w:ascii="Arial" w:cs="Arial" w:eastAsia="Arial" w:hAnsi="Arial"/>
                <w:sz w:val="14"/>
                <w:szCs w:val="14"/>
                <w:b w:val="1"/>
                <w:bCs w:val="1"/>
                <w:color w:val="auto"/>
              </w:rPr>
              <w:t>Consolidated Financial Statements of Fortress Transportation and Infrastructure Investors LLC:</w:t>
            </w:r>
          </w:p>
        </w:tc>
        <w:tc>
          <w:tcPr>
            <w:tcW w:w="1140" w:type="dxa"/>
            <w:vAlign w:val="bottom"/>
          </w:tcPr>
          <w:p>
            <w:pPr>
              <w:spacing w:after="0"/>
              <w:rPr>
                <w:sz w:val="24"/>
                <w:szCs w:val="24"/>
                <w:color w:val="auto"/>
              </w:rPr>
            </w:pPr>
          </w:p>
        </w:tc>
      </w:tr>
      <w:tr>
        <w:trPr>
          <w:trHeight w:val="242"/>
        </w:trPr>
        <w:tc>
          <w:tcPr>
            <w:tcW w:w="500" w:type="dxa"/>
            <w:vAlign w:val="bottom"/>
          </w:tcPr>
          <w:p>
            <w:pPr>
              <w:spacing w:after="0"/>
              <w:rPr>
                <w:sz w:val="21"/>
                <w:szCs w:val="21"/>
                <w:color w:val="auto"/>
              </w:rPr>
            </w:pPr>
          </w:p>
        </w:tc>
        <w:tc>
          <w:tcPr>
            <w:tcW w:w="8480" w:type="dxa"/>
            <w:vAlign w:val="bottom"/>
            <w:tcBorders>
              <w:bottom w:val="single" w:sz="8" w:color="0000EE"/>
            </w:tcBorders>
            <w:gridSpan w:val="2"/>
          </w:tcPr>
          <w:p>
            <w:pPr>
              <w:spacing w:after="0"/>
              <w:rPr>
                <w:rFonts w:ascii="Arial" w:cs="Arial" w:eastAsia="Arial" w:hAnsi="Arial"/>
                <w:sz w:val="14"/>
                <w:szCs w:val="14"/>
                <w:color w:val="0000EE"/>
              </w:rPr>
            </w:pPr>
            <w:hyperlink w:anchor="page90">
              <w:r>
                <w:rPr>
                  <w:rFonts w:ascii="Arial" w:cs="Arial" w:eastAsia="Arial" w:hAnsi="Arial"/>
                  <w:sz w:val="14"/>
                  <w:szCs w:val="14"/>
                  <w:color w:val="0000EE"/>
                </w:rPr>
                <w:t>Report of Independent Registered Public Accounting Firm as of and for the years ended December 31, 2017 and December 31, 2016</w:t>
              </w:r>
            </w:hyperlink>
          </w:p>
        </w:tc>
        <w:tc>
          <w:tcPr>
            <w:tcW w:w="900" w:type="dxa"/>
            <w:vAlign w:val="bottom"/>
          </w:tcPr>
          <w:p>
            <w:pPr>
              <w:spacing w:after="0"/>
              <w:rPr>
                <w:sz w:val="21"/>
                <w:szCs w:val="21"/>
                <w:color w:val="auto"/>
              </w:rPr>
            </w:pPr>
          </w:p>
        </w:tc>
        <w:tc>
          <w:tcPr>
            <w:tcW w:w="1140" w:type="dxa"/>
            <w:vAlign w:val="bottom"/>
          </w:tcPr>
          <w:p>
            <w:pPr>
              <w:ind w:left="900"/>
              <w:spacing w:after="0"/>
              <w:rPr>
                <w:rFonts w:ascii="Arial" w:cs="Arial" w:eastAsia="Arial" w:hAnsi="Arial"/>
                <w:sz w:val="14"/>
                <w:szCs w:val="14"/>
                <w:color w:val="0000EE"/>
              </w:rPr>
            </w:pPr>
            <w:hyperlink w:anchor="page90">
              <w:r>
                <w:rPr>
                  <w:rFonts w:ascii="Arial" w:cs="Arial" w:eastAsia="Arial" w:hAnsi="Arial"/>
                  <w:sz w:val="14"/>
                  <w:szCs w:val="14"/>
                  <w:color w:val="0000EE"/>
                </w:rPr>
                <w:t>90</w:t>
              </w:r>
            </w:hyperlink>
          </w:p>
        </w:tc>
      </w:tr>
      <w:tr>
        <w:trPr>
          <w:trHeight w:val="279"/>
        </w:trPr>
        <w:tc>
          <w:tcPr>
            <w:tcW w:w="500" w:type="dxa"/>
            <w:vAlign w:val="bottom"/>
          </w:tcPr>
          <w:p>
            <w:pPr>
              <w:spacing w:after="0"/>
              <w:rPr>
                <w:sz w:val="24"/>
                <w:szCs w:val="24"/>
                <w:color w:val="auto"/>
              </w:rPr>
            </w:pPr>
          </w:p>
        </w:tc>
        <w:tc>
          <w:tcPr>
            <w:tcW w:w="9380" w:type="dxa"/>
            <w:vAlign w:val="bottom"/>
            <w:gridSpan w:val="3"/>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Report of Independent Registered Public Accounting Firm as of December 31, 2015</w:t>
              </w:r>
            </w:hyperlink>
          </w:p>
        </w:tc>
        <w:tc>
          <w:tcPr>
            <w:tcW w:w="1140" w:type="dxa"/>
            <w:vAlign w:val="bottom"/>
          </w:tcPr>
          <w:p>
            <w:pPr>
              <w:ind w:left="900"/>
              <w:spacing w:after="0"/>
              <w:rPr>
                <w:rFonts w:ascii="Arial" w:cs="Arial" w:eastAsia="Arial" w:hAnsi="Arial"/>
                <w:sz w:val="14"/>
                <w:szCs w:val="14"/>
                <w:color w:val="0000EE"/>
              </w:rPr>
            </w:pPr>
            <w:hyperlink w:anchor="page91">
              <w:r>
                <w:rPr>
                  <w:rFonts w:ascii="Arial" w:cs="Arial" w:eastAsia="Arial" w:hAnsi="Arial"/>
                  <w:sz w:val="14"/>
                  <w:szCs w:val="14"/>
                  <w:color w:val="0000EE"/>
                </w:rPr>
                <w:t>91</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Consolidated Balance Sheets as of December 31, 2017 and December 31, 2016</w:t>
              </w:r>
            </w:hyperlink>
          </w:p>
        </w:tc>
        <w:tc>
          <w:tcPr>
            <w:tcW w:w="1140" w:type="dxa"/>
            <w:vAlign w:val="bottom"/>
          </w:tcPr>
          <w:p>
            <w:pPr>
              <w:ind w:left="900"/>
              <w:spacing w:after="0"/>
              <w:rPr>
                <w:rFonts w:ascii="Arial" w:cs="Arial" w:eastAsia="Arial" w:hAnsi="Arial"/>
                <w:sz w:val="14"/>
                <w:szCs w:val="14"/>
                <w:color w:val="0000EE"/>
              </w:rPr>
            </w:pPr>
            <w:hyperlink w:anchor="page92">
              <w:r>
                <w:rPr>
                  <w:rFonts w:ascii="Arial" w:cs="Arial" w:eastAsia="Arial" w:hAnsi="Arial"/>
                  <w:sz w:val="14"/>
                  <w:szCs w:val="14"/>
                  <w:color w:val="0000EE"/>
                </w:rPr>
                <w:t>92</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93">
              <w:r>
                <w:rPr>
                  <w:rFonts w:ascii="Arial" w:cs="Arial" w:eastAsia="Arial" w:hAnsi="Arial"/>
                  <w:sz w:val="14"/>
                  <w:szCs w:val="14"/>
                  <w:color w:val="0000EE"/>
                </w:rPr>
                <w:t>Consolidated Statements of Operations for the years ended December 31, 2017, 2016 and 2015</w:t>
              </w:r>
            </w:hyperlink>
          </w:p>
        </w:tc>
        <w:tc>
          <w:tcPr>
            <w:tcW w:w="1140" w:type="dxa"/>
            <w:vAlign w:val="bottom"/>
          </w:tcPr>
          <w:p>
            <w:pPr>
              <w:ind w:left="900"/>
              <w:spacing w:after="0"/>
              <w:rPr>
                <w:rFonts w:ascii="Arial" w:cs="Arial" w:eastAsia="Arial" w:hAnsi="Arial"/>
                <w:sz w:val="14"/>
                <w:szCs w:val="14"/>
                <w:color w:val="0000EE"/>
              </w:rPr>
            </w:pPr>
            <w:hyperlink w:anchor="page93">
              <w:r>
                <w:rPr>
                  <w:rFonts w:ascii="Arial" w:cs="Arial" w:eastAsia="Arial" w:hAnsi="Arial"/>
                  <w:sz w:val="14"/>
                  <w:szCs w:val="14"/>
                  <w:color w:val="0000EE"/>
                </w:rPr>
                <w:t>93</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94">
              <w:r>
                <w:rPr>
                  <w:rFonts w:ascii="Arial" w:cs="Arial" w:eastAsia="Arial" w:hAnsi="Arial"/>
                  <w:sz w:val="14"/>
                  <w:szCs w:val="14"/>
                  <w:color w:val="0000EE"/>
                </w:rPr>
                <w:t>Consolidated Statements of Comprehensive (Loss) Income for the years ended December 31, 2017, 2016 and 2015</w:t>
              </w:r>
            </w:hyperlink>
          </w:p>
        </w:tc>
        <w:tc>
          <w:tcPr>
            <w:tcW w:w="1140" w:type="dxa"/>
            <w:vAlign w:val="bottom"/>
          </w:tcPr>
          <w:p>
            <w:pPr>
              <w:ind w:left="900"/>
              <w:spacing w:after="0"/>
              <w:rPr>
                <w:rFonts w:ascii="Arial" w:cs="Arial" w:eastAsia="Arial" w:hAnsi="Arial"/>
                <w:sz w:val="14"/>
                <w:szCs w:val="14"/>
                <w:color w:val="0000EE"/>
              </w:rPr>
            </w:pPr>
            <w:hyperlink w:anchor="page94">
              <w:r>
                <w:rPr>
                  <w:rFonts w:ascii="Arial" w:cs="Arial" w:eastAsia="Arial" w:hAnsi="Arial"/>
                  <w:sz w:val="14"/>
                  <w:szCs w:val="14"/>
                  <w:color w:val="0000EE"/>
                </w:rPr>
                <w:t>94</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95">
              <w:r>
                <w:rPr>
                  <w:rFonts w:ascii="Arial" w:cs="Arial" w:eastAsia="Arial" w:hAnsi="Arial"/>
                  <w:sz w:val="14"/>
                  <w:szCs w:val="14"/>
                  <w:color w:val="0000EE"/>
                </w:rPr>
                <w:t>Consolidated Statement of Changes in Equity for the years ended December 31, 2017 and 2016</w:t>
              </w:r>
            </w:hyperlink>
          </w:p>
        </w:tc>
        <w:tc>
          <w:tcPr>
            <w:tcW w:w="1140" w:type="dxa"/>
            <w:vAlign w:val="bottom"/>
          </w:tcPr>
          <w:p>
            <w:pPr>
              <w:ind w:left="900"/>
              <w:spacing w:after="0"/>
              <w:rPr>
                <w:rFonts w:ascii="Arial" w:cs="Arial" w:eastAsia="Arial" w:hAnsi="Arial"/>
                <w:sz w:val="14"/>
                <w:szCs w:val="14"/>
                <w:color w:val="0000EE"/>
              </w:rPr>
            </w:pPr>
            <w:hyperlink w:anchor="page95">
              <w:r>
                <w:rPr>
                  <w:rFonts w:ascii="Arial" w:cs="Arial" w:eastAsia="Arial" w:hAnsi="Arial"/>
                  <w:sz w:val="14"/>
                  <w:szCs w:val="14"/>
                  <w:color w:val="0000EE"/>
                </w:rPr>
                <w:t>95</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96">
              <w:r>
                <w:rPr>
                  <w:rFonts w:ascii="Arial" w:cs="Arial" w:eastAsia="Arial" w:hAnsi="Arial"/>
                  <w:sz w:val="14"/>
                  <w:szCs w:val="14"/>
                  <w:color w:val="0000EE"/>
                </w:rPr>
                <w:t>Consolidated Statements of Cash Flows for the years ended December 31, 2017, 2016 and 2015</w:t>
              </w:r>
            </w:hyperlink>
          </w:p>
        </w:tc>
        <w:tc>
          <w:tcPr>
            <w:tcW w:w="1140" w:type="dxa"/>
            <w:vAlign w:val="bottom"/>
          </w:tcPr>
          <w:p>
            <w:pPr>
              <w:ind w:left="900"/>
              <w:spacing w:after="0"/>
              <w:rPr>
                <w:rFonts w:ascii="Arial" w:cs="Arial" w:eastAsia="Arial" w:hAnsi="Arial"/>
                <w:sz w:val="14"/>
                <w:szCs w:val="14"/>
                <w:color w:val="0000EE"/>
              </w:rPr>
            </w:pPr>
            <w:hyperlink w:anchor="page96">
              <w:r>
                <w:rPr>
                  <w:rFonts w:ascii="Arial" w:cs="Arial" w:eastAsia="Arial" w:hAnsi="Arial"/>
                  <w:sz w:val="14"/>
                  <w:szCs w:val="14"/>
                  <w:color w:val="0000EE"/>
                </w:rPr>
                <w:t>96</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98">
              <w:r>
                <w:rPr>
                  <w:rFonts w:ascii="Arial" w:cs="Arial" w:eastAsia="Arial" w:hAnsi="Arial"/>
                  <w:sz w:val="14"/>
                  <w:szCs w:val="14"/>
                  <w:color w:val="0000EE"/>
                </w:rPr>
                <w:t>Notes to Consolidated Financial Statements</w:t>
              </w:r>
            </w:hyperlink>
          </w:p>
        </w:tc>
        <w:tc>
          <w:tcPr>
            <w:tcW w:w="1140" w:type="dxa"/>
            <w:vAlign w:val="bottom"/>
          </w:tcPr>
          <w:p>
            <w:pPr>
              <w:ind w:left="900"/>
              <w:spacing w:after="0"/>
              <w:rPr>
                <w:rFonts w:ascii="Arial" w:cs="Arial" w:eastAsia="Arial" w:hAnsi="Arial"/>
                <w:sz w:val="14"/>
                <w:szCs w:val="14"/>
                <w:color w:val="0000EE"/>
              </w:rPr>
            </w:pPr>
            <w:hyperlink w:anchor="page98">
              <w:r>
                <w:rPr>
                  <w:rFonts w:ascii="Arial" w:cs="Arial" w:eastAsia="Arial" w:hAnsi="Arial"/>
                  <w:sz w:val="14"/>
                  <w:szCs w:val="14"/>
                  <w:color w:val="0000EE"/>
                </w:rPr>
                <w:t>98</w:t>
              </w:r>
            </w:hyperlink>
          </w:p>
        </w:tc>
      </w:tr>
      <w:tr>
        <w:trPr>
          <w:trHeight w:val="513"/>
        </w:trPr>
        <w:tc>
          <w:tcPr>
            <w:tcW w:w="9880" w:type="dxa"/>
            <w:vAlign w:val="bottom"/>
            <w:gridSpan w:val="4"/>
          </w:tcPr>
          <w:p>
            <w:pPr>
              <w:ind w:left="40"/>
              <w:spacing w:after="0"/>
              <w:rPr>
                <w:sz w:val="20"/>
                <w:szCs w:val="20"/>
                <w:color w:val="auto"/>
              </w:rPr>
            </w:pPr>
            <w:r>
              <w:rPr>
                <w:rFonts w:ascii="Arial" w:cs="Arial" w:eastAsia="Arial" w:hAnsi="Arial"/>
                <w:sz w:val="14"/>
                <w:szCs w:val="14"/>
                <w:b w:val="1"/>
                <w:bCs w:val="1"/>
                <w:color w:val="auto"/>
              </w:rPr>
              <w:t>Consolidated Financial Statements of Intermodal Finance I Ltd:</w:t>
            </w:r>
          </w:p>
        </w:tc>
        <w:tc>
          <w:tcPr>
            <w:tcW w:w="1140" w:type="dxa"/>
            <w:vAlign w:val="bottom"/>
          </w:tcPr>
          <w:p>
            <w:pPr>
              <w:spacing w:after="0"/>
              <w:rPr>
                <w:sz w:val="24"/>
                <w:szCs w:val="24"/>
                <w:color w:val="auto"/>
              </w:rPr>
            </w:pPr>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138">
              <w:r>
                <w:rPr>
                  <w:rFonts w:ascii="Arial" w:cs="Arial" w:eastAsia="Arial" w:hAnsi="Arial"/>
                  <w:sz w:val="14"/>
                  <w:szCs w:val="14"/>
                  <w:color w:val="0000EE"/>
                </w:rPr>
                <w:t>Report of Independent Auditors as of and for the years ended December 31, 2017 and 2016</w:t>
              </w:r>
            </w:hyperlink>
          </w:p>
        </w:tc>
        <w:tc>
          <w:tcPr>
            <w:tcW w:w="1140" w:type="dxa"/>
            <w:vAlign w:val="bottom"/>
          </w:tcPr>
          <w:p>
            <w:pPr>
              <w:ind w:left="900"/>
              <w:spacing w:after="0"/>
              <w:rPr>
                <w:rFonts w:ascii="Arial" w:cs="Arial" w:eastAsia="Arial" w:hAnsi="Arial"/>
                <w:sz w:val="14"/>
                <w:szCs w:val="14"/>
                <w:color w:val="0000EE"/>
                <w:w w:val="93"/>
              </w:rPr>
            </w:pPr>
            <w:hyperlink w:anchor="page138">
              <w:r>
                <w:rPr>
                  <w:rFonts w:ascii="Arial" w:cs="Arial" w:eastAsia="Arial" w:hAnsi="Arial"/>
                  <w:sz w:val="14"/>
                  <w:szCs w:val="14"/>
                  <w:color w:val="0000EE"/>
                  <w:w w:val="93"/>
                </w:rPr>
                <w:t>138</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139">
              <w:r>
                <w:rPr>
                  <w:rFonts w:ascii="Arial" w:cs="Arial" w:eastAsia="Arial" w:hAnsi="Arial"/>
                  <w:sz w:val="14"/>
                  <w:szCs w:val="14"/>
                  <w:color w:val="0000EE"/>
                </w:rPr>
                <w:t>Report of Independent Auditors as of December 31, 2015</w:t>
              </w:r>
            </w:hyperlink>
          </w:p>
        </w:tc>
        <w:tc>
          <w:tcPr>
            <w:tcW w:w="1140" w:type="dxa"/>
            <w:vAlign w:val="bottom"/>
          </w:tcPr>
          <w:p>
            <w:pPr>
              <w:ind w:left="900"/>
              <w:spacing w:after="0"/>
              <w:rPr>
                <w:rFonts w:ascii="Arial" w:cs="Arial" w:eastAsia="Arial" w:hAnsi="Arial"/>
                <w:sz w:val="14"/>
                <w:szCs w:val="14"/>
                <w:color w:val="0000EE"/>
                <w:w w:val="93"/>
              </w:rPr>
            </w:pPr>
            <w:hyperlink w:anchor="page139">
              <w:r>
                <w:rPr>
                  <w:rFonts w:ascii="Arial" w:cs="Arial" w:eastAsia="Arial" w:hAnsi="Arial"/>
                  <w:sz w:val="14"/>
                  <w:szCs w:val="14"/>
                  <w:color w:val="0000EE"/>
                  <w:w w:val="93"/>
                </w:rPr>
                <w:t>139</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140">
              <w:r>
                <w:rPr>
                  <w:rFonts w:ascii="Arial" w:cs="Arial" w:eastAsia="Arial" w:hAnsi="Arial"/>
                  <w:sz w:val="14"/>
                  <w:szCs w:val="14"/>
                  <w:color w:val="0000EE"/>
                </w:rPr>
                <w:t>Consolidated Balance Sheets as of December 31, 2017 and 2016</w:t>
              </w:r>
            </w:hyperlink>
          </w:p>
        </w:tc>
        <w:tc>
          <w:tcPr>
            <w:tcW w:w="1140" w:type="dxa"/>
            <w:vAlign w:val="bottom"/>
          </w:tcPr>
          <w:p>
            <w:pPr>
              <w:ind w:left="900"/>
              <w:spacing w:after="0"/>
              <w:rPr>
                <w:rFonts w:ascii="Arial" w:cs="Arial" w:eastAsia="Arial" w:hAnsi="Arial"/>
                <w:sz w:val="14"/>
                <w:szCs w:val="14"/>
                <w:color w:val="0000EE"/>
                <w:w w:val="93"/>
              </w:rPr>
            </w:pPr>
            <w:hyperlink w:anchor="page140">
              <w:r>
                <w:rPr>
                  <w:rFonts w:ascii="Arial" w:cs="Arial" w:eastAsia="Arial" w:hAnsi="Arial"/>
                  <w:sz w:val="14"/>
                  <w:szCs w:val="14"/>
                  <w:color w:val="0000EE"/>
                  <w:w w:val="93"/>
                </w:rPr>
                <w:t>140</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141">
              <w:r>
                <w:rPr>
                  <w:rFonts w:ascii="Arial" w:cs="Arial" w:eastAsia="Arial" w:hAnsi="Arial"/>
                  <w:sz w:val="14"/>
                  <w:szCs w:val="14"/>
                  <w:color w:val="0000EE"/>
                </w:rPr>
                <w:t>Consolidated Statements of Operations for the years ended December 31, 2017, 2016 and 2015</w:t>
              </w:r>
            </w:hyperlink>
          </w:p>
        </w:tc>
        <w:tc>
          <w:tcPr>
            <w:tcW w:w="1140" w:type="dxa"/>
            <w:vAlign w:val="bottom"/>
          </w:tcPr>
          <w:p>
            <w:pPr>
              <w:ind w:left="900"/>
              <w:spacing w:after="0"/>
              <w:rPr>
                <w:rFonts w:ascii="Arial" w:cs="Arial" w:eastAsia="Arial" w:hAnsi="Arial"/>
                <w:sz w:val="14"/>
                <w:szCs w:val="14"/>
                <w:color w:val="0000EE"/>
                <w:w w:val="93"/>
              </w:rPr>
            </w:pPr>
            <w:hyperlink w:anchor="page141">
              <w:r>
                <w:rPr>
                  <w:rFonts w:ascii="Arial" w:cs="Arial" w:eastAsia="Arial" w:hAnsi="Arial"/>
                  <w:sz w:val="14"/>
                  <w:szCs w:val="14"/>
                  <w:color w:val="0000EE"/>
                  <w:w w:val="93"/>
                </w:rPr>
                <w:t>141</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142">
              <w:r>
                <w:rPr>
                  <w:rFonts w:ascii="Arial" w:cs="Arial" w:eastAsia="Arial" w:hAnsi="Arial"/>
                  <w:sz w:val="14"/>
                  <w:szCs w:val="14"/>
                  <w:color w:val="0000EE"/>
                </w:rPr>
                <w:t>Consolidated Statements of Comprehensive (Loss) Income for the years ended December 31, 2017, 2016, and 2015</w:t>
              </w:r>
            </w:hyperlink>
          </w:p>
        </w:tc>
        <w:tc>
          <w:tcPr>
            <w:tcW w:w="1140" w:type="dxa"/>
            <w:vAlign w:val="bottom"/>
          </w:tcPr>
          <w:p>
            <w:pPr>
              <w:ind w:left="900"/>
              <w:spacing w:after="0"/>
              <w:rPr>
                <w:rFonts w:ascii="Arial" w:cs="Arial" w:eastAsia="Arial" w:hAnsi="Arial"/>
                <w:sz w:val="14"/>
                <w:szCs w:val="14"/>
                <w:color w:val="0000EE"/>
                <w:w w:val="93"/>
              </w:rPr>
            </w:pPr>
            <w:hyperlink w:anchor="page142">
              <w:r>
                <w:rPr>
                  <w:rFonts w:ascii="Arial" w:cs="Arial" w:eastAsia="Arial" w:hAnsi="Arial"/>
                  <w:sz w:val="14"/>
                  <w:szCs w:val="14"/>
                  <w:color w:val="0000EE"/>
                  <w:w w:val="93"/>
                </w:rPr>
                <w:t>142</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143">
              <w:r>
                <w:rPr>
                  <w:rFonts w:ascii="Arial" w:cs="Arial" w:eastAsia="Arial" w:hAnsi="Arial"/>
                  <w:sz w:val="14"/>
                  <w:szCs w:val="14"/>
                  <w:color w:val="0000EE"/>
                </w:rPr>
                <w:t>Consolidated Statements of Cash Flows for the years ended December 31, 2017, 2016, and 2015</w:t>
              </w:r>
            </w:hyperlink>
          </w:p>
        </w:tc>
        <w:tc>
          <w:tcPr>
            <w:tcW w:w="1140" w:type="dxa"/>
            <w:vAlign w:val="bottom"/>
          </w:tcPr>
          <w:p>
            <w:pPr>
              <w:ind w:left="900"/>
              <w:spacing w:after="0"/>
              <w:rPr>
                <w:rFonts w:ascii="Arial" w:cs="Arial" w:eastAsia="Arial" w:hAnsi="Arial"/>
                <w:sz w:val="14"/>
                <w:szCs w:val="14"/>
                <w:color w:val="0000EE"/>
                <w:w w:val="93"/>
              </w:rPr>
            </w:pPr>
            <w:hyperlink w:anchor="page143">
              <w:r>
                <w:rPr>
                  <w:rFonts w:ascii="Arial" w:cs="Arial" w:eastAsia="Arial" w:hAnsi="Arial"/>
                  <w:sz w:val="14"/>
                  <w:szCs w:val="14"/>
                  <w:color w:val="0000EE"/>
                  <w:w w:val="93"/>
                </w:rPr>
                <w:t>143</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144">
              <w:r>
                <w:rPr>
                  <w:rFonts w:ascii="Arial" w:cs="Arial" w:eastAsia="Arial" w:hAnsi="Arial"/>
                  <w:sz w:val="14"/>
                  <w:szCs w:val="14"/>
                  <w:color w:val="0000EE"/>
                </w:rPr>
                <w:t>Consolidated Statements of Members’ Equity for the years ended December 31, 2017, 2016, and 2015</w:t>
              </w:r>
            </w:hyperlink>
          </w:p>
        </w:tc>
        <w:tc>
          <w:tcPr>
            <w:tcW w:w="1140" w:type="dxa"/>
            <w:vAlign w:val="bottom"/>
          </w:tcPr>
          <w:p>
            <w:pPr>
              <w:ind w:left="900"/>
              <w:spacing w:after="0"/>
              <w:rPr>
                <w:rFonts w:ascii="Arial" w:cs="Arial" w:eastAsia="Arial" w:hAnsi="Arial"/>
                <w:sz w:val="14"/>
                <w:szCs w:val="14"/>
                <w:color w:val="0000EE"/>
                <w:w w:val="93"/>
              </w:rPr>
            </w:pPr>
            <w:hyperlink w:anchor="page144">
              <w:r>
                <w:rPr>
                  <w:rFonts w:ascii="Arial" w:cs="Arial" w:eastAsia="Arial" w:hAnsi="Arial"/>
                  <w:sz w:val="14"/>
                  <w:szCs w:val="14"/>
                  <w:color w:val="0000EE"/>
                  <w:w w:val="93"/>
                </w:rPr>
                <w:t>144</w:t>
              </w:r>
            </w:hyperlink>
          </w:p>
        </w:tc>
      </w:tr>
      <w:tr>
        <w:trPr>
          <w:trHeight w:val="270"/>
        </w:trPr>
        <w:tc>
          <w:tcPr>
            <w:tcW w:w="500" w:type="dxa"/>
            <w:vAlign w:val="bottom"/>
          </w:tcPr>
          <w:p>
            <w:pPr>
              <w:spacing w:after="0"/>
              <w:rPr>
                <w:sz w:val="23"/>
                <w:szCs w:val="23"/>
                <w:color w:val="auto"/>
              </w:rPr>
            </w:pPr>
          </w:p>
        </w:tc>
        <w:tc>
          <w:tcPr>
            <w:tcW w:w="9380" w:type="dxa"/>
            <w:vAlign w:val="bottom"/>
            <w:gridSpan w:val="3"/>
          </w:tcPr>
          <w:p>
            <w:pPr>
              <w:spacing w:after="0"/>
              <w:rPr>
                <w:rFonts w:ascii="Arial" w:cs="Arial" w:eastAsia="Arial" w:hAnsi="Arial"/>
                <w:sz w:val="14"/>
                <w:szCs w:val="14"/>
                <w:color w:val="0000EE"/>
              </w:rPr>
            </w:pPr>
            <w:hyperlink w:anchor="page145">
              <w:r>
                <w:rPr>
                  <w:rFonts w:ascii="Arial" w:cs="Arial" w:eastAsia="Arial" w:hAnsi="Arial"/>
                  <w:sz w:val="14"/>
                  <w:szCs w:val="14"/>
                  <w:color w:val="0000EE"/>
                </w:rPr>
                <w:t>Notes to Consolidated Financial Statements</w:t>
              </w:r>
            </w:hyperlink>
          </w:p>
        </w:tc>
        <w:tc>
          <w:tcPr>
            <w:tcW w:w="1140" w:type="dxa"/>
            <w:vAlign w:val="bottom"/>
          </w:tcPr>
          <w:p>
            <w:pPr>
              <w:ind w:left="900"/>
              <w:spacing w:after="0"/>
              <w:rPr>
                <w:rFonts w:ascii="Arial" w:cs="Arial" w:eastAsia="Arial" w:hAnsi="Arial"/>
                <w:sz w:val="14"/>
                <w:szCs w:val="14"/>
                <w:color w:val="0000EE"/>
                <w:w w:val="93"/>
              </w:rPr>
            </w:pPr>
            <w:hyperlink w:anchor="page145">
              <w:r>
                <w:rPr>
                  <w:rFonts w:ascii="Arial" w:cs="Arial" w:eastAsia="Arial" w:hAnsi="Arial"/>
                  <w:sz w:val="14"/>
                  <w:szCs w:val="14"/>
                  <w:color w:val="0000EE"/>
                  <w:w w:val="93"/>
                </w:rPr>
                <w:t>145</w:t>
              </w:r>
            </w:hyperlink>
          </w:p>
        </w:tc>
      </w:tr>
    </w:tbl>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accordance with Regulation S-X 3-09, the audited consolidated financial statements of Intermodal Finance I Ltd. as of December 31, 2017 and December 31, 2016 and for the years ended December 31, 2017, 2016, and 2015, are presented herein.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180"/>
          </w:cols>
          <w:pgMar w:left="240" w:top="364" w:right="479" w:bottom="1440" w:gutter="0" w:footer="0" w:header="0"/>
        </w:sectPr>
      </w:pPr>
    </w:p>
    <w:bookmarkStart w:id="89" w:name="page90"/>
    <w:bookmarkEnd w:id="89"/>
    <w:p>
      <w:pPr>
        <w:jc w:val="center"/>
        <w:ind w:right="-7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49" w:lineRule="exact"/>
        <w:rPr>
          <w:sz w:val="20"/>
          <w:szCs w:val="20"/>
          <w:color w:val="auto"/>
        </w:rPr>
      </w:pPr>
    </w:p>
    <w:p>
      <w:pPr>
        <w:ind w:right="3980"/>
        <w:spacing w:after="0" w:line="422" w:lineRule="auto"/>
        <w:rPr>
          <w:sz w:val="20"/>
          <w:szCs w:val="20"/>
          <w:color w:val="auto"/>
        </w:rPr>
      </w:pPr>
      <w:r>
        <w:rPr>
          <w:rFonts w:ascii="Arial" w:cs="Arial" w:eastAsia="Arial" w:hAnsi="Arial"/>
          <w:sz w:val="16"/>
          <w:szCs w:val="16"/>
          <w:color w:val="auto"/>
        </w:rPr>
        <w:t xml:space="preserve">To the Shareholders and Board of Directors of Fortress Transportation and Infrastructure Investors LLC </w:t>
      </w:r>
      <w:r>
        <w:rPr>
          <w:rFonts w:ascii="Arial" w:cs="Arial" w:eastAsia="Arial" w:hAnsi="Arial"/>
          <w:sz w:val="16"/>
          <w:szCs w:val="16"/>
          <w:b w:val="1"/>
          <w:bCs w:val="1"/>
          <w:color w:val="auto"/>
        </w:rPr>
        <w:t>Opinion on the Financial Statements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have audited the accompanying consolidated balance sheets of Fortress Transportation and Infrastructure Investors LLC (“the Company”) as of December 31, 2017 and 2016, the related consolidated statements of operations, comprehensive (loss) income, changes in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the years then ended, in conformity with U.S. generally accepted accounting principles.</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2017, based on criteria established in Internal Control - Integrated Framework issued by the Committee of Sponsoring Organizations of the Treadway Commission (2013 framework) and our report dated March 1, 2018 expressed an adverse opinion thereon.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6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1, 2018</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360"/>
          </w:cols>
          <w:pgMar w:left="240" w:top="364" w:right="29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Fortress Transportation and Infrastructure Investors LLC:</w:t>
      </w:r>
    </w:p>
    <w:p>
      <w:pPr>
        <w:spacing w:after="0" w:line="3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our opinion, the consolidated statements of operations, comprehensive (loss) income, changes in equity and cash flows for the year ended December 31, 2015 present fairly, in all material respects, the results of operations and cash flows of Fortress Transportation and Infrastructure Investors LLC and its subsidiaries for the year ended December 31, 2015,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March 8, 2016, except for the change in presentation of debt issuance costs as discussed in Note 2 to the consolidated financial statements, as to which the date is February 24, 2017</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364" w:right="2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BALANCE SHEETS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8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400" w:type="dxa"/>
            <w:vAlign w:val="bottom"/>
          </w:tcPr>
          <w:p>
            <w:pPr>
              <w:spacing w:after="0"/>
              <w:rPr>
                <w:sz w:val="18"/>
                <w:szCs w:val="18"/>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59,400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68,055</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Restricted cash</w:t>
            </w:r>
          </w:p>
        </w:tc>
        <w:tc>
          <w:tcPr>
            <w:tcW w:w="7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33,406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65,441</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receivable, net</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31,076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21,358</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Leasing equipment, net</w:t>
            </w:r>
          </w:p>
        </w:tc>
        <w:tc>
          <w:tcPr>
            <w:tcW w:w="70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1,074,130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765,455</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Finance leases,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9,244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9,717</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Property, plant, and equipment, net</w:t>
            </w:r>
          </w:p>
        </w:tc>
        <w:tc>
          <w:tcPr>
            <w:tcW w:w="70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489,949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352,181</w:t>
            </w:r>
          </w:p>
        </w:tc>
        <w:tc>
          <w:tcPr>
            <w:tcW w:w="0" w:type="dxa"/>
            <w:vAlign w:val="bottom"/>
          </w:tcPr>
          <w:p>
            <w:pPr>
              <w:spacing w:after="0"/>
              <w:rPr>
                <w:sz w:val="1"/>
                <w:szCs w:val="1"/>
                <w:color w:val="auto"/>
              </w:rPr>
            </w:pPr>
          </w:p>
        </w:tc>
      </w:tr>
      <w:tr>
        <w:trPr>
          <w:trHeight w:val="20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Investments (includes $0 and $17,630 available-for-sale securities at fair value as of December 31,</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42,538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2017 and 2016, respectively)</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39,978</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Intangible assets, net</w:t>
            </w:r>
          </w:p>
        </w:tc>
        <w:tc>
          <w:tcPr>
            <w:tcW w:w="70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40,043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38,954</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Goodwill</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116,584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 assets</w:t>
            </w:r>
          </w:p>
        </w:tc>
        <w:tc>
          <w:tcPr>
            <w:tcW w:w="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59,436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69,589</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1,955,806</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1,547,312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Accounts payable and accrued 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68,226</w:t>
            </w:r>
          </w:p>
        </w:tc>
        <w:tc>
          <w:tcPr>
            <w:tcW w:w="120" w:type="dxa"/>
            <w:vAlign w:val="bottom"/>
          </w:tcPr>
          <w:p>
            <w:pPr>
              <w:spacing w:after="0"/>
              <w:rPr>
                <w:sz w:val="18"/>
                <w:szCs w:val="18"/>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38,239</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Debt,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703,264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Maintenance deposits</w:t>
            </w:r>
          </w:p>
        </w:tc>
        <w:tc>
          <w:tcPr>
            <w:tcW w:w="7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103,464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45,394</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Security deposits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27,257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19,947</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 liabilities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18,520</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18,540</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920,731</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381,632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Commitments and contingencies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500"/>
              <w:spacing w:after="0"/>
              <w:rPr>
                <w:sz w:val="20"/>
                <w:szCs w:val="20"/>
                <w:color w:val="auto"/>
              </w:rPr>
            </w:pPr>
            <w:r>
              <w:rPr>
                <w:rFonts w:ascii="Arial" w:cs="Arial" w:eastAsia="Arial" w:hAnsi="Arial"/>
                <w:sz w:val="14"/>
                <w:szCs w:val="14"/>
                <w:color w:val="auto"/>
              </w:rPr>
              <w:t>Common shares ($0.01 par value per share; 2,000,000,000 shares authorized; 75,771,738 and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500"/>
              <w:spacing w:after="0"/>
              <w:rPr>
                <w:sz w:val="20"/>
                <w:szCs w:val="20"/>
                <w:color w:val="auto"/>
              </w:rPr>
            </w:pPr>
            <w:r>
              <w:rPr>
                <w:rFonts w:ascii="Arial" w:cs="Arial" w:eastAsia="Arial" w:hAnsi="Arial"/>
                <w:sz w:val="14"/>
                <w:szCs w:val="14"/>
                <w:color w:val="auto"/>
              </w:rPr>
              <w:t>75,750,943 shares issued and outstanding as of December 31, 2017 and December 31, 2016,</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080" w:type="dxa"/>
            <w:vAlign w:val="bottom"/>
          </w:tcPr>
          <w:p>
            <w:pPr>
              <w:ind w:left="500"/>
              <w:spacing w:after="0"/>
              <w:rPr>
                <w:sz w:val="20"/>
                <w:szCs w:val="20"/>
                <w:color w:val="auto"/>
              </w:rPr>
            </w:pPr>
            <w:r>
              <w:rPr>
                <w:rFonts w:ascii="Arial" w:cs="Arial" w:eastAsia="Arial" w:hAnsi="Arial"/>
                <w:sz w:val="14"/>
                <w:szCs w:val="14"/>
                <w:color w:val="auto"/>
              </w:rPr>
              <w:t>respectively)</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 in capital</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985,009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1,084,757</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Accumulated deficit</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(38,699)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(38,833)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other comprehensive income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7,130</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Shareholders'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947,068</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1,053,812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Non-controlling interest in equity of consolidated subsidiaries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88,007</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111,868</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equity</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1,035,075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1,165,680</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equity</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1,955,806</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1,547,312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365"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22"/>
                <w:szCs w:val="22"/>
                <w:color w:val="auto"/>
              </w:rPr>
            </w:pPr>
          </w:p>
        </w:tc>
        <w:tc>
          <w:tcPr>
            <w:tcW w:w="1240" w:type="dxa"/>
            <w:vAlign w:val="bottom"/>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Equipment leasing revenues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170,000</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101,949</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92,743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Infrastructure revenues</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47,659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46,771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43,825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revenues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217,659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148,720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136,568</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expenses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92,385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66,169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68,793</w:t>
            </w: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14,570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12,314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7,568</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Acquisition and transaction expenses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7,306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6,316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5,683</w:t>
            </w: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Management fees and incentive allocation to affiliate</w:t>
            </w:r>
          </w:p>
        </w:tc>
        <w:tc>
          <w:tcPr>
            <w:tcW w:w="68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15,732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16,742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15,018</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88,110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45,308</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Interest expense</w:t>
            </w: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38,827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18,957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19,311</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256,930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180,708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161,681</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Equity in (losses) earnings of unconsolidated entities</w:t>
            </w:r>
          </w:p>
        </w:tc>
        <w:tc>
          <w:tcPr>
            <w:tcW w:w="68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(1,601)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Gain on sale of assets, net</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18,281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Asset impairment</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Interest income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688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income</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3,073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w:t>
            </w: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17,985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b w:val="1"/>
                <w:bCs w:val="1"/>
                <w:color w:val="auto"/>
              </w:rPr>
              <w:t>Loss before income taxes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(21,286)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(40,330)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(28,045)</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Provision for income taxes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1,954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b w:val="1"/>
                <w:bCs w:val="1"/>
                <w:color w:val="auto"/>
              </w:rPr>
              <w:t>Net loss</w:t>
            </w: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(23,240)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(40,598)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(28,631)</w:t>
            </w: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Less: Net loss attributable to non-controlling interests in consolidated</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(23,374)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subsidiaries</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(16,805)</w:t>
            </w:r>
          </w:p>
        </w:tc>
        <w:tc>
          <w:tcPr>
            <w:tcW w:w="0" w:type="dxa"/>
            <w:vAlign w:val="bottom"/>
          </w:tcPr>
          <w:p>
            <w:pPr>
              <w:spacing w:after="0"/>
              <w:rPr>
                <w:sz w:val="1"/>
                <w:szCs w:val="1"/>
                <w:color w:val="auto"/>
              </w:rPr>
            </w:pPr>
          </w:p>
        </w:tc>
      </w:tr>
      <w:tr>
        <w:trPr>
          <w:trHeight w:val="283"/>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134</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(20,064)</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(11,826)</w:t>
            </w:r>
          </w:p>
        </w:tc>
        <w:tc>
          <w:tcPr>
            <w:tcW w:w="0" w:type="dxa"/>
            <w:vAlign w:val="bottom"/>
          </w:tcPr>
          <w:p>
            <w:pPr>
              <w:spacing w:after="0"/>
              <w:rPr>
                <w:sz w:val="1"/>
                <w:szCs w:val="1"/>
                <w:color w:val="auto"/>
              </w:rPr>
            </w:pPr>
          </w:p>
        </w:tc>
      </w:tr>
      <w:tr>
        <w:trPr>
          <w:trHeight w:val="102"/>
        </w:trPr>
        <w:tc>
          <w:tcPr>
            <w:tcW w:w="56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Basic and Diluted Earnings (Loss) per Share</w:t>
            </w:r>
          </w:p>
        </w:tc>
        <w:tc>
          <w:tcPr>
            <w:tcW w:w="68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95"/>
        </w:trPr>
        <w:tc>
          <w:tcPr>
            <w:tcW w:w="5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Basic</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75,766,811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75,738,698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67,039,439</w:t>
            </w:r>
          </w:p>
        </w:tc>
        <w:tc>
          <w:tcPr>
            <w:tcW w:w="0" w:type="dxa"/>
            <w:vAlign w:val="bottom"/>
          </w:tcPr>
          <w:p>
            <w:pPr>
              <w:spacing w:after="0"/>
              <w:rPr>
                <w:sz w:val="1"/>
                <w:szCs w:val="1"/>
                <w:color w:val="auto"/>
              </w:rPr>
            </w:pPr>
          </w:p>
        </w:tc>
      </w:tr>
      <w:tr>
        <w:trPr>
          <w:trHeight w:val="258"/>
        </w:trPr>
        <w:tc>
          <w:tcPr>
            <w:tcW w:w="5620" w:type="dxa"/>
            <w:vAlign w:val="bottom"/>
          </w:tcPr>
          <w:p>
            <w:pPr>
              <w:ind w:left="500"/>
              <w:spacing w:after="0"/>
              <w:rPr>
                <w:sz w:val="20"/>
                <w:szCs w:val="20"/>
                <w:color w:val="auto"/>
              </w:rPr>
            </w:pPr>
            <w:r>
              <w:rPr>
                <w:rFonts w:ascii="Arial" w:cs="Arial" w:eastAsia="Arial" w:hAnsi="Arial"/>
                <w:sz w:val="14"/>
                <w:szCs w:val="14"/>
                <w:color w:val="auto"/>
              </w:rPr>
              <w:t>Diluted</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75,766,811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75,738,698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67,039,439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581" w:right="2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581"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COMPREHENSIVE (LOSS) INCOME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(23,240)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(28,631)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loss:</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Cash Flow Hedge:</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400" w:type="dxa"/>
            <w:vAlign w:val="bottom"/>
          </w:tcPr>
          <w:p>
            <w:pPr>
              <w:ind w:left="500"/>
              <w:spacing w:after="0"/>
              <w:rPr>
                <w:sz w:val="20"/>
                <w:szCs w:val="20"/>
                <w:color w:val="auto"/>
              </w:rPr>
            </w:pPr>
            <w:r>
              <w:rPr>
                <w:rFonts w:ascii="Arial" w:cs="Arial" w:eastAsia="Arial" w:hAnsi="Arial"/>
                <w:sz w:val="14"/>
                <w:szCs w:val="14"/>
                <w:color w:val="auto"/>
              </w:rPr>
              <w:t>Change in fair value of cash flow hedge</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Available-for-Sale Securities:</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400" w:type="dxa"/>
            <w:vAlign w:val="bottom"/>
          </w:tcPr>
          <w:p>
            <w:pPr>
              <w:ind w:left="500"/>
              <w:spacing w:after="0"/>
              <w:rPr>
                <w:sz w:val="20"/>
                <w:szCs w:val="20"/>
                <w:color w:val="auto"/>
              </w:rPr>
            </w:pPr>
            <w:r>
              <w:rPr>
                <w:rFonts w:ascii="Arial" w:cs="Arial" w:eastAsia="Arial" w:hAnsi="Arial"/>
                <w:sz w:val="14"/>
                <w:szCs w:val="14"/>
                <w:color w:val="auto"/>
              </w:rPr>
              <w:t>Unrealized gain in available-for-sale securities</w:t>
            </w:r>
          </w:p>
        </w:tc>
        <w:tc>
          <w:tcPr>
            <w:tcW w:w="100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4,276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7,130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Reclassification of gains included in net income</w:t>
            </w: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(11,406)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0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(30,370)</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(33,565)</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(28,748)</w:t>
            </w:r>
          </w:p>
        </w:tc>
      </w:tr>
      <w:tr>
        <w:trPr>
          <w:trHeight w:val="270"/>
        </w:trPr>
        <w:tc>
          <w:tcPr>
            <w:tcW w:w="64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Comprehensive loss attributable to non-controlling interest</w:t>
            </w: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(23,374)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(16,805)</w:t>
            </w:r>
          </w:p>
        </w:tc>
      </w:tr>
      <w:tr>
        <w:trPr>
          <w:trHeight w:val="24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Comprehensive loss attributable to shareholders</w:t>
            </w:r>
          </w:p>
        </w:tc>
        <w:tc>
          <w:tcPr>
            <w:tcW w:w="100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(6,996)</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(13,031)</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(11,943)</w:t>
            </w:r>
          </w:p>
        </w:tc>
      </w:tr>
      <w:tr>
        <w:trPr>
          <w:trHeight w:val="20"/>
        </w:trPr>
        <w:tc>
          <w:tcPr>
            <w:tcW w:w="6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581" w:right="2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 OF CHANGES IN EQUITY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Additional Paid In</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6"/>
        </w:trPr>
        <w:tc>
          <w:tcPr>
            <w:tcW w:w="26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613,683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99,065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713,497</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(loss) income:</w:t>
            </w: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for the period</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(28,631)</w:t>
            </w: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70"/>
        </w:trPr>
        <w:tc>
          <w:tcPr>
            <w:tcW w:w="264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6,943</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(18,769)</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(16,805)</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(28,748)</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Capital contributions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295,879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37,826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333,705</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distributions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(45,238)</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348,929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349,151</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(36,343)</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4,662</w:t>
            </w: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757</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1,184,198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(18,769)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124,403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1,290,686</w:t>
            </w: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(loss) income:</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for the period</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(40,598)</w:t>
            </w: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7,033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7,033</w:t>
            </w:r>
          </w:p>
        </w:tc>
      </w:tr>
      <w:tr>
        <w:trPr>
          <w:trHeight w:val="270"/>
        </w:trPr>
        <w:tc>
          <w:tcPr>
            <w:tcW w:w="264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7,033</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(20,534)</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(33,565)</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Capital contributions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12,121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12,121</w:t>
            </w: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337</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(99,977)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(100,027)</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(3,672)</w:t>
            </w: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1,084,757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(38,833)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7,130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111,868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1,165,680</w:t>
            </w: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for the period</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(23,240)</w:t>
            </w: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(7,130)</w:t>
            </w:r>
          </w:p>
        </w:tc>
      </w:tr>
      <w:tr>
        <w:trPr>
          <w:trHeight w:val="256"/>
        </w:trPr>
        <w:tc>
          <w:tcPr>
            <w:tcW w:w="2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comprehensive (loss) income</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(30,370)</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Capital contributions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1,296</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distributions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Transfer of non-controlling interest</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(2,798)</w:t>
            </w: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(100,058)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(100,058)</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1,343</w:t>
            </w: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985,009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(38,699)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88,007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1,035,075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581" w:right="2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581" w:right="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r>
      <w:tr>
        <w:trPr>
          <w:trHeight w:val="270"/>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7320" w:type="dxa"/>
            <w:vAlign w:val="bottom"/>
          </w:tcPr>
          <w:p>
            <w:pPr>
              <w:ind w:left="80"/>
              <w:spacing w:after="0"/>
              <w:rPr>
                <w:sz w:val="20"/>
                <w:szCs w:val="20"/>
                <w:color w:val="auto"/>
              </w:rPr>
            </w:pPr>
            <w:r>
              <w:rPr>
                <w:rFonts w:ascii="Arial" w:cs="Arial" w:eastAsia="Arial" w:hAnsi="Arial"/>
                <w:sz w:val="14"/>
                <w:szCs w:val="14"/>
                <w:color w:val="auto"/>
              </w:rPr>
              <w:t>Net loss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(23,240)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(40,598)</w:t>
            </w:r>
          </w:p>
        </w:tc>
        <w:tc>
          <w:tcPr>
            <w:tcW w:w="10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(28,631)</w:t>
            </w:r>
          </w:p>
        </w:tc>
      </w:tr>
      <w:tr>
        <w:trPr>
          <w:trHeight w:val="276"/>
        </w:trPr>
        <w:tc>
          <w:tcPr>
            <w:tcW w:w="7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Equity in losses (earnings) of unconsolidated entities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1,601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6,956</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sale of assets, net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(18,281)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Security deposits and maintenance claims included in earnings</w:t>
            </w:r>
          </w:p>
        </w:tc>
        <w:tc>
          <w:tcPr>
            <w:tcW w:w="28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(439)</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Equity-based compensation</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1,343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4,662</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88,110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45,308</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Gain on settlement of liabilities</w:t>
            </w:r>
          </w:p>
        </w:tc>
        <w:tc>
          <w:tcPr>
            <w:tcW w:w="28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(1,093)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Change in current and deferred income taxes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227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fair value of non-hedge derivative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Amortization of lease intangibles and incentives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8,306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5,447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7,016</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Amortization of deferred financing costs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1,469</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Operating distributions from unconsolidated entities</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209</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Bad debt expense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732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320" w:type="dxa"/>
            <w:vAlign w:val="bottom"/>
          </w:tcPr>
          <w:p>
            <w:pPr>
              <w:ind w:left="128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(12,001)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(5,940)</w:t>
            </w:r>
          </w:p>
        </w:tc>
      </w:tr>
      <w:tr>
        <w:trPr>
          <w:trHeight w:val="276"/>
        </w:trPr>
        <w:tc>
          <w:tcPr>
            <w:tcW w:w="73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(5,057)</w:t>
            </w:r>
          </w:p>
        </w:tc>
      </w:tr>
      <w:tr>
        <w:trPr>
          <w:trHeight w:val="264"/>
        </w:trPr>
        <w:tc>
          <w:tcPr>
            <w:tcW w:w="7320" w:type="dxa"/>
            <w:vAlign w:val="bottom"/>
          </w:tcPr>
          <w:p>
            <w:pPr>
              <w:ind w:left="1280"/>
              <w:spacing w:after="0"/>
              <w:rPr>
                <w:sz w:val="20"/>
                <w:szCs w:val="20"/>
                <w:color w:val="auto"/>
              </w:rPr>
            </w:pPr>
            <w:r>
              <w:rPr>
                <w:rFonts w:ascii="Arial" w:cs="Arial" w:eastAsia="Arial" w:hAnsi="Arial"/>
                <w:sz w:val="14"/>
                <w:szCs w:val="14"/>
                <w:color w:val="auto"/>
              </w:rPr>
              <w:t>Accounts payable and accrued liabilities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10,266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7,726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3,180</w:t>
            </w:r>
          </w:p>
        </w:tc>
      </w:tr>
      <w:tr>
        <w:trPr>
          <w:trHeight w:val="276"/>
        </w:trPr>
        <w:tc>
          <w:tcPr>
            <w:tcW w:w="73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Management fees payable to affiliate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r>
      <w:tr>
        <w:trPr>
          <w:trHeight w:val="264"/>
        </w:trPr>
        <w:tc>
          <w:tcPr>
            <w:tcW w:w="7320" w:type="dxa"/>
            <w:vAlign w:val="bottom"/>
            <w:tcBorders>
              <w:bottom w:val="single" w:sz="8" w:color="CCEEFF"/>
            </w:tcBorders>
          </w:tcPr>
          <w:p>
            <w:pPr>
              <w:ind w:left="130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(1,124)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6,651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w:t>
            </w:r>
          </w:p>
        </w:tc>
      </w:tr>
      <w:tr>
        <w:trPr>
          <w:trHeight w:val="250"/>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68,497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30,903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23,528</w:t>
            </w:r>
          </w:p>
        </w:tc>
      </w:tr>
      <w:tr>
        <w:trPr>
          <w:trHeight w:val="121"/>
        </w:trPr>
        <w:tc>
          <w:tcPr>
            <w:tcW w:w="7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70"/>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Change in restricted cash</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32,036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(526)</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Investment in notes receivable</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(14,869)</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28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(30,310)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(28,784)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Principal collections on finance leases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20,292</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(425,769)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(200,640)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(165,090)</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(116,031)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(96,028)</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Acquisition of lease intangibles</w:t>
            </w:r>
          </w:p>
        </w:tc>
        <w:tc>
          <w:tcPr>
            <w:tcW w:w="28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(10,149)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(2,446)</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Purchase deposit for aircraft and aircraft engines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(12,299)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sale of finance leases</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leasing equipment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91,130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13,625</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sale of available-for-sale securities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30,238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property, plant and equipment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sale of equipment held for sale</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deposit on sale of leasing equipment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Return of deposit on sale of leasing equipment</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capital distributions from unconsolidated entities</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3,728</w:t>
            </w:r>
          </w:p>
        </w:tc>
      </w:tr>
      <w:tr>
        <w:trPr>
          <w:trHeight w:val="250"/>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(440,230)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(213,098)</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(239,921)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580" w:right="239" w:bottom="883"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580" w:right="239" w:bottom="883"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r>
      <w:tr>
        <w:trPr>
          <w:trHeight w:val="270"/>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debt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567,191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110,658</w:t>
            </w:r>
          </w:p>
        </w:tc>
        <w:tc>
          <w:tcPr>
            <w:tcW w:w="10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200</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of debt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(125,223)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(23,761)</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Payment of other liabilities to non-controlling interest holder</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Payment of deferred financing costs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(3,377)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Receipt of security deposits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7,290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2,060</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security deposits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Receipt of maintenance deposits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27,049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10,149</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Release of maintenance deposits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(14,764)</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354,057</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Common shares issuance costs</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Capital contributions from shareholders</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295,879</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Capital distributions to shareholders</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(44,917)</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Capital contributions from non-controlling interests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11,480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37,826</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Capital distributions to non-controlling interests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Settlement of equity-based compensation</w:t>
            </w:r>
          </w:p>
        </w:tc>
        <w:tc>
          <w:tcPr>
            <w:tcW w:w="28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(74)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Cash dividends</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(100,058)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(100,027)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(36,343)</w:t>
            </w:r>
          </w:p>
        </w:tc>
      </w:tr>
      <w:tr>
        <w:trPr>
          <w:trHeight w:val="250"/>
        </w:trPr>
        <w:tc>
          <w:tcPr>
            <w:tcW w:w="732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363,078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(131,453)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575,971</w:t>
            </w:r>
          </w:p>
        </w:tc>
      </w:tr>
      <w:tr>
        <w:trPr>
          <w:trHeight w:val="283"/>
        </w:trPr>
        <w:tc>
          <w:tcPr>
            <w:tcW w:w="7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28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(8,655)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(313,648)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359,578</w:t>
            </w:r>
          </w:p>
        </w:tc>
      </w:tr>
      <w:tr>
        <w:trPr>
          <w:trHeight w:val="270"/>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68,055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381,703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22,125</w:t>
            </w:r>
          </w:p>
        </w:tc>
      </w:tr>
      <w:tr>
        <w:trPr>
          <w:trHeight w:val="283"/>
        </w:trPr>
        <w:tc>
          <w:tcPr>
            <w:tcW w:w="732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Cash and cash equivalents,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59,400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68,055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381,703</w:t>
            </w:r>
          </w:p>
        </w:tc>
      </w:tr>
      <w:tr>
        <w:trPr>
          <w:trHeight w:val="264"/>
        </w:trPr>
        <w:tc>
          <w:tcPr>
            <w:tcW w:w="7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64"/>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3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Cash paid for interest, net of capitalized interest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25,068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18,566</w:t>
            </w:r>
          </w:p>
        </w:tc>
      </w:tr>
      <w:tr>
        <w:trPr>
          <w:trHeight w:val="264"/>
        </w:trPr>
        <w:tc>
          <w:tcPr>
            <w:tcW w:w="7320" w:type="dxa"/>
            <w:vAlign w:val="bottom"/>
          </w:tcPr>
          <w:p>
            <w:pPr>
              <w:ind w:left="640"/>
              <w:spacing w:after="0"/>
              <w:rPr>
                <w:sz w:val="20"/>
                <w:szCs w:val="20"/>
                <w:color w:val="auto"/>
              </w:rPr>
            </w:pPr>
            <w:r>
              <w:rPr>
                <w:rFonts w:ascii="Arial" w:cs="Arial" w:eastAsia="Arial" w:hAnsi="Arial"/>
                <w:sz w:val="14"/>
                <w:szCs w:val="14"/>
                <w:color w:val="auto"/>
              </w:rPr>
              <w:t>Cash paid for taxes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1,726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507</w:t>
            </w:r>
          </w:p>
        </w:tc>
      </w:tr>
      <w:tr>
        <w:trPr>
          <w:trHeight w:val="290"/>
        </w:trPr>
        <w:tc>
          <w:tcPr>
            <w:tcW w:w="7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Restricted cash proceeds from borrowings of debt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borrowings of debt</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108,339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and settlement of debt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(102,352)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(35,332)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(5,408)</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(37,281)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Financing of property, plant and equipment</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Settled and assumed security deposits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2,388</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Billed, assumed and settled maintenance deposits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37,292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(1,146)</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Deferred financing costs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Non-cash contribution of non-controlling interest</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1,261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Transfer of non-controlling interest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Common share issuance costs</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(1,908)</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Equity compensation to non-controlling interest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4,638</w:t>
            </w:r>
          </w:p>
        </w:tc>
      </w:tr>
      <w:tr>
        <w:trPr>
          <w:trHeight w:val="258"/>
        </w:trPr>
        <w:tc>
          <w:tcPr>
            <w:tcW w:w="7320" w:type="dxa"/>
            <w:vAlign w:val="bottom"/>
          </w:tcPr>
          <w:p>
            <w:pPr>
              <w:ind w:left="600"/>
              <w:spacing w:after="0"/>
              <w:rPr>
                <w:sz w:val="20"/>
                <w:szCs w:val="20"/>
                <w:color w:val="auto"/>
              </w:rPr>
            </w:pPr>
            <w:r>
              <w:rPr>
                <w:rFonts w:ascii="Arial" w:cs="Arial" w:eastAsia="Arial" w:hAnsi="Arial"/>
                <w:sz w:val="14"/>
                <w:szCs w:val="14"/>
                <w:color w:val="auto"/>
              </w:rPr>
              <w:t>Change in fair value of cash flow hedge</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581" w:right="2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581" w:right="2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6"/>
          <w:szCs w:val="16"/>
          <w:b w:val="1"/>
          <w:bCs w:val="1"/>
          <w:color w:val="00497F"/>
        </w:rPr>
      </w:pPr>
      <w:r>
        <w:rPr>
          <w:rFonts w:ascii="Arial" w:cs="Arial" w:eastAsia="Arial" w:hAnsi="Arial"/>
          <w:sz w:val="16"/>
          <w:szCs w:val="16"/>
          <w:b w:val="1"/>
          <w:bCs w:val="1"/>
          <w:color w:val="00497F"/>
        </w:rPr>
        <w:t>ORGANIZATION</w:t>
      </w:r>
    </w:p>
    <w:p>
      <w:pPr>
        <w:spacing w:after="0" w:line="133" w:lineRule="exact"/>
        <w:rPr>
          <w:rFonts w:ascii="Arial" w:cs="Arial" w:eastAsia="Arial" w:hAnsi="Arial"/>
          <w:sz w:val="16"/>
          <w:szCs w:val="16"/>
          <w:b w:val="1"/>
          <w:bCs w:val="1"/>
          <w:color w:val="00497F"/>
        </w:rPr>
      </w:pPr>
    </w:p>
    <w:p>
      <w:pPr>
        <w:jc w:val="both"/>
        <w:ind w:left="660"/>
        <w:spacing w:after="0" w:line="248" w:lineRule="auto"/>
        <w:rPr>
          <w:rFonts w:ascii="Arial" w:cs="Arial" w:eastAsia="Arial" w:hAnsi="Arial"/>
          <w:sz w:val="16"/>
          <w:szCs w:val="16"/>
          <w:b w:val="1"/>
          <w:bCs w:val="1"/>
          <w:color w:val="00497F"/>
        </w:rPr>
      </w:pPr>
      <w:r>
        <w:rPr>
          <w:rFonts w:ascii="Arial" w:cs="Arial" w:eastAsia="Arial" w:hAnsi="Arial"/>
          <w:sz w:val="16"/>
          <w:szCs w:val="16"/>
          <w:color w:val="auto"/>
        </w:rPr>
        <w:t>Fortress Transportation and Infrastructure Investors LLC (the “Company”) is a Delaware limited liability company which, through its subsidiary, Fortress Worldwide Transportation and Infrastructure General Partnership (the “Partnership”), is engaged in the ownership and leasing of i) aviation equipment, ii) offshore energy equipment and iii) shipping containers. The Company also owns and operates i) a short line railroad in North America, Central Maine and Québec Railway (“CMQR”), ii) a multi-modal crude oil and refined products terminal in Beaumont, Texas (“Jefferson Terminal”), iii) a deep-water port located along the Delaware River with an underground storage cavern and multiple industrial development opportunities (“Repauno”), and iv) a multi-modal terminal located along the Ohio River with multiple industrial development opportunities (“Long Ridge”). The Company has six reportable segments, i) Aviation Leasing, ii) Offshore Energy, iii) Shipping Containers, iv) Jefferson Terminal, v) Railroad and vi) Ports and Terminals, which operate in two primary businesses, Equipment Leasing and Infrastructure (Note 14).</w:t>
      </w:r>
    </w:p>
    <w:p>
      <w:pPr>
        <w:spacing w:after="0" w:line="99" w:lineRule="exact"/>
        <w:rPr>
          <w:rFonts w:ascii="Arial" w:cs="Arial" w:eastAsia="Arial" w:hAnsi="Arial"/>
          <w:sz w:val="16"/>
          <w:szCs w:val="16"/>
          <w:b w:val="1"/>
          <w:bCs w:val="1"/>
          <w:color w:val="00497F"/>
        </w:rPr>
      </w:pPr>
    </w:p>
    <w:p>
      <w:pPr>
        <w:jc w:val="both"/>
        <w:ind w:left="660"/>
        <w:spacing w:after="0" w:line="250" w:lineRule="auto"/>
        <w:rPr>
          <w:rFonts w:ascii="Arial" w:cs="Arial" w:eastAsia="Arial" w:hAnsi="Arial"/>
          <w:sz w:val="16"/>
          <w:szCs w:val="16"/>
          <w:b w:val="1"/>
          <w:bCs w:val="1"/>
          <w:color w:val="00497F"/>
        </w:rPr>
      </w:pPr>
      <w:r>
        <w:rPr>
          <w:rFonts w:ascii="Arial" w:cs="Arial" w:eastAsia="Arial" w:hAnsi="Arial"/>
          <w:sz w:val="16"/>
          <w:szCs w:val="16"/>
          <w:color w:val="auto"/>
        </w:rPr>
        <w:t>At December 31, 2014, through their investment in the Company, the beneficial owners of the Partnership were Fortress Worldwide Transportation and Infrastructure Investors LP (the “Onshore Fund”), with an 89.97% interest and Fortress Worldwide Transportation and Infrastructure Offshore LP (the “Offshore Fund”) with a 9.98% interest; in addition, Fortress Worldwide Transportation and Infrastructure Master GP LLP (the “Master GP”) holds a 0.05% interest. The Master GP is owned by an affiliate of Fortress. The Onshore Fund and the Offshore Fund (collectively, the “Initial Shareholders”) are investment vehicles which are sponsored by Fortress. The general partner of the Onshore Fund and the Offshore Fund is an affiliate of Fortress.</w:t>
      </w:r>
    </w:p>
    <w:p>
      <w:pPr>
        <w:spacing w:after="0" w:line="95" w:lineRule="exact"/>
        <w:rPr>
          <w:rFonts w:ascii="Arial" w:cs="Arial" w:eastAsia="Arial" w:hAnsi="Arial"/>
          <w:sz w:val="16"/>
          <w:szCs w:val="16"/>
          <w:b w:val="1"/>
          <w:bCs w:val="1"/>
          <w:color w:val="00497F"/>
        </w:rPr>
      </w:pPr>
    </w:p>
    <w:p>
      <w:pPr>
        <w:jc w:val="both"/>
        <w:ind w:left="660"/>
        <w:spacing w:after="0" w:line="251" w:lineRule="auto"/>
        <w:rPr>
          <w:rFonts w:ascii="Arial" w:cs="Arial" w:eastAsia="Arial" w:hAnsi="Arial"/>
          <w:sz w:val="16"/>
          <w:szCs w:val="16"/>
          <w:b w:val="1"/>
          <w:bCs w:val="1"/>
          <w:color w:val="00497F"/>
        </w:rPr>
      </w:pPr>
      <w:r>
        <w:rPr>
          <w:rFonts w:ascii="Arial" w:cs="Arial" w:eastAsia="Arial" w:hAnsi="Arial"/>
          <w:sz w:val="16"/>
          <w:szCs w:val="16"/>
          <w:color w:val="auto"/>
        </w:rPr>
        <w:t>In May 2015, the remaining capital commitments of the investors of the Onshore Fund, Offshore Fund and Master GP were called. Through a series of transactions,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53,502,873 common shares were issued to the Onshore Fund and Offshore Fund based on their relative interests in the Company.</w:t>
      </w:r>
    </w:p>
    <w:p>
      <w:pPr>
        <w:spacing w:after="0" w:line="94" w:lineRule="exact"/>
        <w:rPr>
          <w:rFonts w:ascii="Arial" w:cs="Arial" w:eastAsia="Arial" w:hAnsi="Arial"/>
          <w:sz w:val="16"/>
          <w:szCs w:val="16"/>
          <w:b w:val="1"/>
          <w:bCs w:val="1"/>
          <w:color w:val="00497F"/>
        </w:rPr>
      </w:pPr>
    </w:p>
    <w:p>
      <w:pPr>
        <w:jc w:val="both"/>
        <w:ind w:left="660"/>
        <w:spacing w:after="0" w:line="253" w:lineRule="auto"/>
        <w:rPr>
          <w:rFonts w:ascii="Arial" w:cs="Arial" w:eastAsia="Arial" w:hAnsi="Arial"/>
          <w:sz w:val="16"/>
          <w:szCs w:val="16"/>
          <w:b w:val="1"/>
          <w:bCs w:val="1"/>
          <w:color w:val="00497F"/>
        </w:rPr>
      </w:pPr>
      <w:r>
        <w:rPr>
          <w:rFonts w:ascii="Arial" w:cs="Arial" w:eastAsia="Arial" w:hAnsi="Arial"/>
          <w:sz w:val="16"/>
          <w:szCs w:val="16"/>
          <w:color w:val="auto"/>
        </w:rPr>
        <w:t>On May 20, 2015, the Company completed an Initial Public Offering (“IPO”) of 20 million common shares at a price to the public of $17.00 per share. On June 15, 2015, the underwriters exercised their overallotment option, pursuant to which the Company issued an additional 2.2 million shares to such underwriters at the IPO price.</w:t>
      </w:r>
    </w:p>
    <w:p>
      <w:pPr>
        <w:spacing w:after="0" w:line="73" w:lineRule="exact"/>
        <w:rPr>
          <w:rFonts w:ascii="Arial" w:cs="Arial" w:eastAsia="Arial" w:hAnsi="Arial"/>
          <w:sz w:val="16"/>
          <w:szCs w:val="16"/>
          <w:b w:val="1"/>
          <w:bCs w:val="1"/>
          <w:color w:val="00497F"/>
        </w:rPr>
      </w:pPr>
    </w:p>
    <w:p>
      <w:pPr>
        <w:ind w:left="660" w:hanging="652"/>
        <w:spacing w:after="0"/>
        <w:tabs>
          <w:tab w:leader="none" w:pos="660" w:val="left"/>
        </w:tabs>
        <w:numPr>
          <w:ilvl w:val="0"/>
          <w:numId w:val="57"/>
        </w:numPr>
        <w:rPr>
          <w:rFonts w:ascii="Arial" w:cs="Arial" w:eastAsia="Arial" w:hAnsi="Arial"/>
          <w:sz w:val="16"/>
          <w:szCs w:val="16"/>
          <w:b w:val="1"/>
          <w:bCs w:val="1"/>
          <w:color w:val="00497F"/>
        </w:rPr>
      </w:pPr>
      <w:r>
        <w:rPr>
          <w:rFonts w:ascii="Arial" w:cs="Arial" w:eastAsia="Arial" w:hAnsi="Arial"/>
          <w:sz w:val="16"/>
          <w:szCs w:val="16"/>
          <w:b w:val="1"/>
          <w:bCs w:val="1"/>
          <w:color w:val="00497F"/>
        </w:rPr>
        <w:t>SUMMARY OF SIGNIFICANT ACCOUNTING POLICIES</w:t>
      </w:r>
    </w:p>
    <w:p>
      <w:pPr>
        <w:spacing w:after="0" w:line="113" w:lineRule="exact"/>
        <w:rPr>
          <w:rFonts w:ascii="Arial" w:cs="Arial" w:eastAsia="Arial" w:hAnsi="Arial"/>
          <w:sz w:val="16"/>
          <w:szCs w:val="16"/>
          <w:b w:val="1"/>
          <w:bCs w:val="1"/>
          <w:color w:val="00497F"/>
        </w:rPr>
      </w:pPr>
    </w:p>
    <w:p>
      <w:pPr>
        <w:ind w:left="660"/>
        <w:spacing w:after="0" w:line="286" w:lineRule="auto"/>
        <w:rPr>
          <w:rFonts w:ascii="Arial" w:cs="Arial" w:eastAsia="Arial" w:hAnsi="Arial"/>
          <w:sz w:val="16"/>
          <w:szCs w:val="16"/>
          <w:b w:val="1"/>
          <w:bCs w:val="1"/>
          <w:color w:val="00497F"/>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0000"/>
        </w:rPr>
        <w:t>—The accompanying consolidated financial statements are prepared in accordance with U.S. generally accepted accounting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principles (“GAAP”) and include the accounts of the Company and its subsidiaries.</w:t>
      </w:r>
    </w:p>
    <w:p>
      <w:pPr>
        <w:spacing w:after="0" w:line="47" w:lineRule="exact"/>
        <w:rPr>
          <w:rFonts w:ascii="Arial" w:cs="Arial" w:eastAsia="Arial" w:hAnsi="Arial"/>
          <w:sz w:val="16"/>
          <w:szCs w:val="16"/>
          <w:b w:val="1"/>
          <w:bCs w:val="1"/>
          <w:color w:val="00497F"/>
        </w:rPr>
      </w:pPr>
    </w:p>
    <w:p>
      <w:pPr>
        <w:jc w:val="both"/>
        <w:ind w:left="660"/>
        <w:spacing w:after="0" w:line="259" w:lineRule="auto"/>
        <w:rPr>
          <w:rFonts w:ascii="Arial" w:cs="Arial" w:eastAsia="Arial" w:hAnsi="Arial"/>
          <w:sz w:val="16"/>
          <w:szCs w:val="16"/>
          <w:b w:val="1"/>
          <w:bCs w:val="1"/>
          <w:color w:val="00497F"/>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0000"/>
        </w:rPr>
        <w:t>—The Company consolidates all entities in which it has a controlling interest and in which it has control over significant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90" w:lineRule="exact"/>
        <w:rPr>
          <w:rFonts w:ascii="Arial" w:cs="Arial" w:eastAsia="Arial" w:hAnsi="Arial"/>
          <w:sz w:val="16"/>
          <w:szCs w:val="16"/>
          <w:b w:val="1"/>
          <w:bCs w:val="1"/>
          <w:color w:val="00497F"/>
        </w:rPr>
      </w:pPr>
    </w:p>
    <w:p>
      <w:pPr>
        <w:jc w:val="both"/>
        <w:ind w:left="660"/>
        <w:spacing w:after="0" w:line="253" w:lineRule="auto"/>
        <w:rPr>
          <w:rFonts w:ascii="Arial" w:cs="Arial" w:eastAsia="Arial" w:hAnsi="Arial"/>
          <w:sz w:val="16"/>
          <w:szCs w:val="16"/>
          <w:b w:val="1"/>
          <w:bCs w:val="1"/>
          <w:color w:val="00497F"/>
        </w:rPr>
      </w:pPr>
      <w:r>
        <w:rPr>
          <w:rFonts w:ascii="Arial" w:cs="Arial" w:eastAsia="Arial" w:hAnsi="Arial"/>
          <w:sz w:val="16"/>
          <w:szCs w:val="16"/>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73" w:lineRule="exact"/>
        <w:rPr>
          <w:rFonts w:ascii="Arial" w:cs="Arial" w:eastAsia="Arial" w:hAnsi="Arial"/>
          <w:sz w:val="16"/>
          <w:szCs w:val="16"/>
          <w:b w:val="1"/>
          <w:bCs w:val="1"/>
          <w:color w:val="00497F"/>
        </w:rPr>
      </w:pPr>
    </w:p>
    <w:p>
      <w:pPr>
        <w:jc w:val="both"/>
        <w:ind w:left="660"/>
        <w:spacing w:after="0" w:line="254" w:lineRule="auto"/>
        <w:rPr>
          <w:rFonts w:ascii="Arial" w:cs="Arial" w:eastAsia="Arial" w:hAnsi="Arial"/>
          <w:sz w:val="16"/>
          <w:szCs w:val="16"/>
          <w:b w:val="1"/>
          <w:bCs w:val="1"/>
          <w:color w:val="00497F"/>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8"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i w:val="1"/>
          <w:iCs w:val="1"/>
          <w:color w:val="auto"/>
        </w:rPr>
        <w:t>WWTAI IES MT6015 Ltd</w:t>
      </w:r>
    </w:p>
    <w:p>
      <w:pPr>
        <w:spacing w:after="0" w:line="129" w:lineRule="exact"/>
        <w:rPr>
          <w:rFonts w:ascii="Arial" w:cs="Arial" w:eastAsia="Arial" w:hAnsi="Arial"/>
          <w:sz w:val="16"/>
          <w:szCs w:val="16"/>
          <w:b w:val="1"/>
          <w:bCs w:val="1"/>
          <w:color w:val="00497F"/>
        </w:rPr>
      </w:pPr>
    </w:p>
    <w:p>
      <w:pPr>
        <w:jc w:val="both"/>
        <w:ind w:left="660"/>
        <w:spacing w:after="0" w:line="248" w:lineRule="auto"/>
        <w:rPr>
          <w:rFonts w:ascii="Arial" w:cs="Arial" w:eastAsia="Arial" w:hAnsi="Arial"/>
          <w:sz w:val="16"/>
          <w:szCs w:val="16"/>
          <w:b w:val="1"/>
          <w:bCs w:val="1"/>
          <w:color w:val="00497F"/>
        </w:rPr>
      </w:pPr>
      <w:r>
        <w:rPr>
          <w:rFonts w:ascii="Arial" w:cs="Arial" w:eastAsia="Arial" w:hAnsi="Arial"/>
          <w:sz w:val="16"/>
          <w:szCs w:val="16"/>
          <w:color w:val="auto"/>
        </w:rPr>
        <w:t>The Company has an interest in WWTAI IES MT6015 Ltd. (“MT6015”), an entity formed in 2014 which had entered into a contract with a shipbuilder for the construction of an offshore multi service / inspection, maintenance and repair vessel (the “Vessel”) for a price of approximately $75 million. A subsidiary of the Company and a third party each hold a 50% interest in MT6015 and have equal representation on its board of directors. In connection with the initial capitalization of MT6015, another subsidiary of the Company provided the third party partner with a $3,725 loan which was utilized by the third party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154" w:lineRule="exact"/>
        <w:rPr>
          <w:rFonts w:ascii="Arial" w:cs="Arial" w:eastAsia="Arial" w:hAnsi="Arial"/>
          <w:sz w:val="16"/>
          <w:szCs w:val="16"/>
          <w:b w:val="1"/>
          <w:bCs w:val="1"/>
          <w:color w:val="00497F"/>
        </w:rPr>
      </w:pPr>
    </w:p>
    <w:p>
      <w:pPr>
        <w:ind w:left="660" w:right="20"/>
        <w:spacing w:after="0" w:line="260" w:lineRule="auto"/>
        <w:rPr>
          <w:rFonts w:ascii="Arial" w:cs="Arial" w:eastAsia="Arial" w:hAnsi="Arial"/>
          <w:sz w:val="16"/>
          <w:szCs w:val="16"/>
          <w:b w:val="1"/>
          <w:bCs w:val="1"/>
          <w:color w:val="00497F"/>
        </w:rPr>
      </w:pPr>
      <w:r>
        <w:rPr>
          <w:rFonts w:ascii="Arial" w:cs="Arial" w:eastAsia="Arial" w:hAnsi="Arial"/>
          <w:sz w:val="16"/>
          <w:szCs w:val="16"/>
          <w:color w:val="auto"/>
        </w:rPr>
        <w:t>During the year ended December 31, 2016, the Company determined not to proceed with the purchase of the Vessel. The shipbuilder delivered a notice of termination of the shipbuilding contract to MT6015 in July 2016. Correspondingly, in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20"/>
          </w:cols>
          <w:pgMar w:left="240" w:top="121" w:right="2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16"/>
          <w:szCs w:val="16"/>
          <w:color w:val="auto"/>
        </w:rPr>
        <w:t>second quarter of 2016, the Company recorded an impairment in its MT6015 investment of $7,450. The shipbuilder has no further recourse to the Company.</w:t>
      </w:r>
    </w:p>
    <w:p>
      <w:pPr>
        <w:spacing w:after="0" w:line="88"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During the year ended December 31, 2017, the Company entered into a settlement arrangement whereby the holder of the non-controlling interest settled its $3,725 loan due to the Company by transferring its interest in the subsidiary of the Company, and the note payable due to the holder of the non-controlling interest was extinguished. The settlement resulted in a net gain of $1,093 recorded in other income. Refer to Note 8 for further details.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JGP Energy Partners LLC</w:t>
      </w:r>
    </w:p>
    <w:p>
      <w:pPr>
        <w:spacing w:after="0" w:line="129"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During the quarter ended September 30, 2016, the Company initiated activities in its 50% owned joint venture, JGP Energy Partners LLC (“JGP”). The other 50% member to the joint venture is a third party ethanol producer. The purpose of the venture is to build storage capacity with capabilities to receive and/or distribute ethanol via water, rail or truck. Each member agreed to contribute up to $27 million (for a total of $54 million) for the development and construction of the ethanol terminal facilities. JGP is governed by a designated operating committee selected by the members in proportion to their equity interests. JGP is solely reliant on its members to finance its activities and therefore is a VIE. The Company concluded that it is not the primary beneficiary of JGP as the members share equally in the risks and rewards and decision making authority of the entity; therefore, the Company does not consolidate JGP and accounts for this investment in accordance with the equity method.</w:t>
      </w:r>
    </w:p>
    <w:p>
      <w:pPr>
        <w:spacing w:after="0" w:line="101"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As of December 31, 2017 and 2016, the Company’s investment in JGP was $24,920 and $3,266, respectively, which is included in investments on the Company’s balance sheet. Refer to Note 6 for further details.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Delaware River Partners LLC</w:t>
      </w:r>
    </w:p>
    <w:p>
      <w:pPr>
        <w:spacing w:after="0" w:line="129"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On July 1, 2016, the Company, through Delaware River Partners LLC (“DRP”), a consolidated subsidiary, purchased the assets of Repauno, which consisted primarily of land, a storage cavern, and riparian rights for the acquired land, site improvements and rights. Currently there are no operational processes that could be applied to these assets that would result in outputs without significant green field development. The Company currently holds a 90% economic interest and a 100% voting interest in DRP. DRP is solely reliant on the Company to finance its activities and therefore is a VIE. The Company concluded it was the primary beneficiary; and accordingly, DRP has been presented on a consolidated basis in the accompanying financial statements. The Company has the right to purchase an additional 8% economic interest from the non-controlling party after the second anniversary but prior to the fifth year anniversary of the acquisition of Repauno. At the time of the purchase, the Company concluded that 8% of the 10% interest held by the non-controlling party did not share in the risks or rewards of true equity; and, therefore upon acquisition $5,321 was recorded in other liabilities on the Company’s Consolidated Balance Sheets. The remaining 2% economic non-controlling interest was valued at $641 at the acquisition date. Refer to Note 5 for details.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Ohio River Partners LLC</w:t>
      </w:r>
    </w:p>
    <w:p>
      <w:pPr>
        <w:spacing w:after="0" w:line="129"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On June 16, 2017, the Company, through Ohio River Partners Shareholders LLC (“ORP”), a consolidated subsidiary, purchased the assets of Long Ridge which consisted primarily of land, buildings, railroad track, docks, water rights, site improvements and other rights. The Company purchased 100% of the interests in these assets. ORP is solely reliant on the Company to finance its activities and therefore is a VIE. The Company concluded it was the primary beneficiary; accordingly, ORP has been presented on a consolidated basis in the accompanying financial statements.</w:t>
      </w:r>
    </w:p>
    <w:p>
      <w:pPr>
        <w:spacing w:after="0" w:line="75"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0000"/>
        </w:rPr>
        <w:t>—The preparation of financial statements in conformity with GAAP requires management to make estimates and assumptions that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4"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0000"/>
        </w:rPr>
        <w:t>—In the normal course of business, the Company encounters several significant types of economic risk including credit,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80"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0000"/>
        </w:rPr>
        <w:t>—The Company considers all highly liquid short-term investments with a maturity of 90 days or less when purchased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be cash equivalents.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0000"/>
        </w:rPr>
        <w:t>—Restricted cash of $33,406 and $65,441 as of December 31, 2017 and December 31, 2016, respectively, consists of prepaid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interest and principal pursuant to the requirements of certain of the Company’s debt agreements (Note 8), and funds set aside for qualifying constructions projects at Jefferson Terminal.</w:t>
      </w:r>
    </w:p>
    <w:p>
      <w:pPr>
        <w:spacing w:after="0" w:line="64" w:lineRule="exact"/>
        <w:rPr>
          <w:sz w:val="20"/>
          <w:szCs w:val="20"/>
          <w:color w:val="auto"/>
        </w:rPr>
      </w:pPr>
    </w:p>
    <w:p>
      <w:pPr>
        <w:jc w:val="both"/>
        <w:ind w:left="660"/>
        <w:spacing w:after="0" w:line="254" w:lineRule="auto"/>
        <w:rPr>
          <w:sz w:val="20"/>
          <w:szCs w:val="20"/>
          <w:color w:val="auto"/>
        </w:rPr>
      </w:pPr>
      <w:r>
        <w:rPr>
          <w:rFonts w:ascii="Arial" w:cs="Arial" w:eastAsia="Arial" w:hAnsi="Arial"/>
          <w:sz w:val="16"/>
          <w:szCs w:val="16"/>
          <w:b w:val="1"/>
          <w:bCs w:val="1"/>
          <w:i w:val="1"/>
          <w:iCs w:val="1"/>
          <w:color w:val="00497F"/>
        </w:rPr>
        <w:t>Available-For-Sale Securities</w:t>
      </w:r>
      <w:r>
        <w:rPr>
          <w:rFonts w:ascii="Arial" w:cs="Arial" w:eastAsia="Arial" w:hAnsi="Arial"/>
          <w:sz w:val="16"/>
          <w:szCs w:val="16"/>
          <w:color w:val="000000"/>
        </w:rPr>
        <w:t>—The Company considers listed equity securities as available-for-sale securities recorded at fair value with unrealized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gains (losses) recorded in other comprehensive income (loss) and realized gains (losses) recorded in earnings. The Company’s basis on which the cost of the security sold or the amount reclassified out of other comprehensive income into earnings is determined using specific identification. Available-for-sale securities are included as a component of investments on the accompanying Consolidated Balance Sheets. At each balance sheet date, we evaluate our available for sale securities holdings with unrealized losses to determine if an other-than-temporary impairment has occurred. Refer to Note 6 and 9 for details.</w:t>
      </w:r>
    </w:p>
    <w:p>
      <w:pPr>
        <w:spacing w:after="0" w:line="74"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0000"/>
        </w:rPr>
        <w:t>—Crude oil is carried at the lower of cost or net realizable value on the Company’s balance sheet. Crude oil is removed from inventory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based on the average cost at the time of sale. At December 31, 2017 the Company had crude oil inventory of $8,877. The Company records its inventory as a component of other assets on the accompanying Consolidated Balance Sheets.</w:t>
      </w:r>
    </w:p>
    <w:p>
      <w:pPr>
        <w:spacing w:after="0" w:line="9"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estimated useful lives, to estimated residual values which are summarized as follows:</w:t>
      </w:r>
    </w:p>
    <w:p>
      <w:pPr>
        <w:spacing w:after="0" w:line="109"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84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4"/>
                <w:szCs w:val="14"/>
                <w:b w:val="1"/>
                <w:bCs w:val="1"/>
                <w:color w:val="auto"/>
              </w:rPr>
              <w:t>Asset</w:t>
            </w:r>
          </w:p>
        </w:tc>
        <w:tc>
          <w:tcPr>
            <w:tcW w:w="120" w:type="dxa"/>
            <w:vAlign w:val="bottom"/>
            <w:shd w:val="clear" w:color="auto" w:fill="CCEEFF"/>
          </w:tcPr>
          <w:p>
            <w:pPr>
              <w:spacing w:after="0"/>
              <w:rPr>
                <w:sz w:val="18"/>
                <w:szCs w:val="18"/>
                <w:color w:val="auto"/>
              </w:rPr>
            </w:pPr>
          </w:p>
        </w:tc>
        <w:tc>
          <w:tcPr>
            <w:tcW w:w="33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Range of Estimated Useful Lives</w:t>
            </w:r>
          </w:p>
        </w:tc>
        <w:tc>
          <w:tcPr>
            <w:tcW w:w="140" w:type="dxa"/>
            <w:vAlign w:val="bottom"/>
            <w:shd w:val="clear" w:color="auto" w:fill="CCEEFF"/>
          </w:tcPr>
          <w:p>
            <w:pPr>
              <w:spacing w:after="0"/>
              <w:rPr>
                <w:sz w:val="18"/>
                <w:szCs w:val="18"/>
                <w:color w:val="auto"/>
              </w:rPr>
            </w:pPr>
          </w:p>
        </w:tc>
        <w:tc>
          <w:tcPr>
            <w:tcW w:w="3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Residual Value Estimates</w:t>
            </w:r>
          </w:p>
        </w:tc>
      </w:tr>
      <w:tr>
        <w:trPr>
          <w:trHeight w:val="19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Aircraft</w:t>
            </w:r>
          </w:p>
        </w:tc>
        <w:tc>
          <w:tcPr>
            <w:tcW w:w="3460" w:type="dxa"/>
            <w:vAlign w:val="bottom"/>
            <w:gridSpan w:val="3"/>
          </w:tcPr>
          <w:p>
            <w:pPr>
              <w:jc w:val="center"/>
              <w:ind w:right="140"/>
              <w:spacing w:after="0"/>
              <w:rPr>
                <w:sz w:val="20"/>
                <w:szCs w:val="20"/>
                <w:color w:val="auto"/>
              </w:rPr>
            </w:pPr>
            <w:r>
              <w:rPr>
                <w:rFonts w:ascii="Arial" w:cs="Arial" w:eastAsia="Arial" w:hAnsi="Arial"/>
                <w:sz w:val="14"/>
                <w:szCs w:val="14"/>
                <w:color w:val="auto"/>
              </w:rPr>
              <w:t>25 years from date of manufacture</w:t>
            </w:r>
          </w:p>
        </w:tc>
        <w:tc>
          <w:tcPr>
            <w:tcW w:w="3340" w:type="dxa"/>
            <w:vAlign w:val="bottom"/>
          </w:tcPr>
          <w:p>
            <w:pPr>
              <w:jc w:val="center"/>
              <w:spacing w:after="0"/>
              <w:rPr>
                <w:sz w:val="20"/>
                <w:szCs w:val="20"/>
                <w:color w:val="auto"/>
              </w:rPr>
            </w:pPr>
            <w:r>
              <w:rPr>
                <w:rFonts w:ascii="Arial" w:cs="Arial" w:eastAsia="Arial" w:hAnsi="Arial"/>
                <w:sz w:val="14"/>
                <w:szCs w:val="14"/>
                <w:color w:val="auto"/>
              </w:rPr>
              <w:t>Generally not to exceed 15% of manufacturer’s list</w:t>
            </w:r>
          </w:p>
        </w:tc>
      </w:tr>
      <w:tr>
        <w:trPr>
          <w:trHeight w:val="178"/>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tcPr>
          <w:p>
            <w:pPr>
              <w:jc w:val="center"/>
              <w:spacing w:after="0"/>
              <w:rPr>
                <w:sz w:val="20"/>
                <w:szCs w:val="20"/>
                <w:color w:val="auto"/>
              </w:rPr>
            </w:pPr>
            <w:r>
              <w:rPr>
                <w:rFonts w:ascii="Arial" w:cs="Arial" w:eastAsia="Arial" w:hAnsi="Arial"/>
                <w:sz w:val="14"/>
                <w:szCs w:val="14"/>
                <w:color w:val="auto"/>
              </w:rPr>
              <w:t>price when new</w:t>
            </w:r>
          </w:p>
        </w:tc>
      </w:tr>
      <w:tr>
        <w:trPr>
          <w:trHeight w:val="20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Aircraft engines</w:t>
            </w:r>
          </w:p>
        </w:tc>
        <w:tc>
          <w:tcPr>
            <w:tcW w:w="346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rPr>
              <w:t>2 - 6 years, based on maintenance adjusted</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Sum of engine core salvage value plus the</w:t>
            </w:r>
          </w:p>
        </w:tc>
      </w:tr>
      <w:tr>
        <w:trPr>
          <w:trHeight w:val="184"/>
        </w:trPr>
        <w:tc>
          <w:tcPr>
            <w:tcW w:w="3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jc w:val="center"/>
              <w:ind w:right="740"/>
              <w:spacing w:after="0"/>
              <w:rPr>
                <w:sz w:val="20"/>
                <w:szCs w:val="20"/>
                <w:color w:val="auto"/>
              </w:rPr>
            </w:pPr>
            <w:r>
              <w:rPr>
                <w:rFonts w:ascii="Arial" w:cs="Arial" w:eastAsia="Arial" w:hAnsi="Arial"/>
                <w:sz w:val="14"/>
                <w:szCs w:val="14"/>
                <w:color w:val="auto"/>
              </w:rPr>
              <w:t>service life</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estimated fair value of life limited parts</w:t>
            </w:r>
          </w:p>
        </w:tc>
      </w:tr>
      <w:tr>
        <w:trPr>
          <w:trHeight w:val="21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Offshore energy vessels</w:t>
            </w:r>
          </w:p>
        </w:tc>
        <w:tc>
          <w:tcPr>
            <w:tcW w:w="3460" w:type="dxa"/>
            <w:vAlign w:val="bottom"/>
            <w:gridSpan w:val="3"/>
          </w:tcPr>
          <w:p>
            <w:pPr>
              <w:jc w:val="center"/>
              <w:ind w:right="140"/>
              <w:spacing w:after="0"/>
              <w:rPr>
                <w:sz w:val="20"/>
                <w:szCs w:val="20"/>
                <w:color w:val="auto"/>
              </w:rPr>
            </w:pPr>
            <w:r>
              <w:rPr>
                <w:rFonts w:ascii="Arial" w:cs="Arial" w:eastAsia="Arial" w:hAnsi="Arial"/>
                <w:sz w:val="14"/>
                <w:szCs w:val="14"/>
                <w:color w:val="auto"/>
              </w:rPr>
              <w:t>25 years from date of manufacture</w:t>
            </w:r>
          </w:p>
        </w:tc>
        <w:tc>
          <w:tcPr>
            <w:tcW w:w="3340" w:type="dxa"/>
            <w:vAlign w:val="bottom"/>
          </w:tcPr>
          <w:p>
            <w:pPr>
              <w:jc w:val="center"/>
              <w:spacing w:after="0"/>
              <w:rPr>
                <w:sz w:val="20"/>
                <w:szCs w:val="20"/>
                <w:color w:val="auto"/>
              </w:rPr>
            </w:pPr>
            <w:r>
              <w:rPr>
                <w:rFonts w:ascii="Arial" w:cs="Arial" w:eastAsia="Arial" w:hAnsi="Arial"/>
                <w:sz w:val="14"/>
                <w:szCs w:val="14"/>
                <w:color w:val="auto"/>
              </w:rPr>
              <w:t>20% of new build cost</w:t>
            </w:r>
          </w:p>
        </w:tc>
      </w:tr>
      <w:tr>
        <w:trPr>
          <w:trHeight w:val="22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Track and track related assets</w:t>
            </w: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- 50 years from date of manufacture</w:t>
            </w:r>
          </w:p>
        </w:tc>
        <w:tc>
          <w:tcPr>
            <w:tcW w:w="3340" w:type="dxa"/>
            <w:vAlign w:val="bottom"/>
          </w:tcPr>
          <w:p>
            <w:pPr>
              <w:jc w:val="center"/>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site improvements</w:t>
            </w:r>
          </w:p>
        </w:tc>
        <w:tc>
          <w:tcPr>
            <w:tcW w:w="60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center"/>
              <w:ind w:right="740"/>
              <w:spacing w:after="0"/>
              <w:rPr>
                <w:sz w:val="20"/>
                <w:szCs w:val="20"/>
                <w:color w:val="auto"/>
              </w:rPr>
            </w:pPr>
            <w:r>
              <w:rPr>
                <w:rFonts w:ascii="Arial" w:cs="Arial" w:eastAsia="Arial" w:hAnsi="Arial"/>
                <w:sz w:val="14"/>
                <w:szCs w:val="14"/>
                <w:color w:val="auto"/>
              </w:rPr>
              <w:t>20 - 30 years</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Railroad equipment</w:t>
            </w:r>
          </w:p>
        </w:tc>
        <w:tc>
          <w:tcPr>
            <w:tcW w:w="3460" w:type="dxa"/>
            <w:vAlign w:val="bottom"/>
            <w:gridSpan w:val="3"/>
          </w:tcPr>
          <w:p>
            <w:pPr>
              <w:jc w:val="center"/>
              <w:ind w:right="120"/>
              <w:spacing w:after="0"/>
              <w:rPr>
                <w:sz w:val="20"/>
                <w:szCs w:val="20"/>
                <w:color w:val="auto"/>
              </w:rPr>
            </w:pPr>
            <w:r>
              <w:rPr>
                <w:rFonts w:ascii="Arial" w:cs="Arial" w:eastAsia="Arial" w:hAnsi="Arial"/>
                <w:sz w:val="14"/>
                <w:szCs w:val="14"/>
                <w:color w:val="auto"/>
              </w:rPr>
              <w:t>3 - 15 years from date of manufacture</w:t>
            </w:r>
          </w:p>
        </w:tc>
        <w:tc>
          <w:tcPr>
            <w:tcW w:w="3340" w:type="dxa"/>
            <w:vAlign w:val="bottom"/>
          </w:tcPr>
          <w:p>
            <w:pPr>
              <w:jc w:val="center"/>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Terminal machinery and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- 25 years from date of manufacture</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Vehicles</w:t>
            </w: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- 7 years from date of manufacture</w:t>
            </w:r>
          </w:p>
        </w:tc>
        <w:tc>
          <w:tcPr>
            <w:tcW w:w="3340" w:type="dxa"/>
            <w:vAlign w:val="bottom"/>
          </w:tcPr>
          <w:p>
            <w:pPr>
              <w:jc w:val="center"/>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60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center"/>
              <w:ind w:right="740"/>
              <w:spacing w:after="0"/>
              <w:rPr>
                <w:sz w:val="20"/>
                <w:szCs w:val="20"/>
                <w:color w:val="auto"/>
              </w:rPr>
            </w:pPr>
            <w:r>
              <w:rPr>
                <w:rFonts w:ascii="Arial" w:cs="Arial" w:eastAsia="Arial" w:hAnsi="Arial"/>
                <w:sz w:val="14"/>
                <w:szCs w:val="14"/>
                <w:color w:val="auto"/>
              </w:rPr>
              <w:t>3 - 6 years from date of purchase</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None</w:t>
            </w:r>
          </w:p>
        </w:tc>
      </w:tr>
      <w:tr>
        <w:trPr>
          <w:trHeight w:val="204"/>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Computer hardware and software</w:t>
            </w:r>
          </w:p>
        </w:tc>
        <w:tc>
          <w:tcPr>
            <w:tcW w:w="600" w:type="dxa"/>
            <w:vAlign w:val="bottom"/>
          </w:tcPr>
          <w:p>
            <w:pPr>
              <w:spacing w:after="0"/>
              <w:rPr>
                <w:sz w:val="17"/>
                <w:szCs w:val="17"/>
                <w:color w:val="auto"/>
              </w:rPr>
            </w:pPr>
          </w:p>
        </w:tc>
        <w:tc>
          <w:tcPr>
            <w:tcW w:w="2860" w:type="dxa"/>
            <w:vAlign w:val="bottom"/>
            <w:gridSpan w:val="2"/>
          </w:tcPr>
          <w:p>
            <w:pPr>
              <w:jc w:val="center"/>
              <w:ind w:right="740"/>
              <w:spacing w:after="0"/>
              <w:rPr>
                <w:sz w:val="20"/>
                <w:szCs w:val="20"/>
                <w:color w:val="auto"/>
              </w:rPr>
            </w:pPr>
            <w:r>
              <w:rPr>
                <w:rFonts w:ascii="Arial" w:cs="Arial" w:eastAsia="Arial" w:hAnsi="Arial"/>
                <w:sz w:val="14"/>
                <w:szCs w:val="14"/>
                <w:color w:val="auto"/>
              </w:rPr>
              <w:t>3 - 5 years from date of purchase</w:t>
            </w:r>
          </w:p>
        </w:tc>
        <w:tc>
          <w:tcPr>
            <w:tcW w:w="3340" w:type="dxa"/>
            <w:vAlign w:val="bottom"/>
          </w:tcPr>
          <w:p>
            <w:pPr>
              <w:jc w:val="center"/>
              <w:spacing w:after="0"/>
              <w:rPr>
                <w:sz w:val="20"/>
                <w:szCs w:val="20"/>
                <w:color w:val="auto"/>
              </w:rPr>
            </w:pPr>
            <w:r>
              <w:rPr>
                <w:rFonts w:ascii="Arial" w:cs="Arial" w:eastAsia="Arial" w:hAnsi="Arial"/>
                <w:sz w:val="14"/>
                <w:szCs w:val="14"/>
                <w:color w:val="auto"/>
              </w:rPr>
              <w:t>None</w:t>
            </w:r>
          </w:p>
        </w:tc>
      </w:tr>
    </w:tbl>
    <w:p>
      <w:pPr>
        <w:spacing w:after="0" w:line="122"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Costs of major additions and betterments are capitalized and depreciation commences once it is placed into service. Interest costs directly related to and incurred during the construction period of property, plant and equipment are capitalized. Significant spare parts are depreciated in conjunction with the underlying property, plant and equipment asset when placed in service.</w:t>
      </w:r>
    </w:p>
    <w:p>
      <w:pPr>
        <w:spacing w:after="0" w:line="95"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The Company reviews its depreciation policies on a regular basis to determine whether changes have taken place that would suggest that a change in its depreciation policies, useful lives of its equipment or the assigned residual values is warranted.</w:t>
      </w:r>
    </w:p>
    <w:p>
      <w:pPr>
        <w:spacing w:after="0" w:line="88"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93"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Company’s offshore energy vessels are required to be drydocked periodically for recertifications or major repairs and maintenance that cannot be performed while the vessels are operating. Normal repairs and maintenance are expensed as incurred. The Company capitalizes the costs associated with the drydockings and amortizes them on a straight-line basis over the period between drydockings, usually between 30 and 60 months.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In accounting for leasing equipment, the Company makes estimates about the expected useful lives, residual values and the fair value of acquired in-place leases and acquired maintenance liabilities (for aviation equipment). In making these estimates, the Company relies upon observable market data for the same or similar types of equipment and, in the case of aviation equipment, its own estimates with respect to a lessee’s anticipated utilization of the aircraft or engine. When the Company acquires leasing equipment subject to an in-place lease, determining the fair value of the in-place lease requires the Company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81"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b w:val="1"/>
          <w:bCs w:val="1"/>
          <w:i w:val="1"/>
          <w:iCs w:val="1"/>
          <w:color w:val="00497F"/>
        </w:rPr>
        <w:t>Capitalized Interest</w:t>
      </w:r>
      <w:r>
        <w:rPr>
          <w:rFonts w:ascii="Arial" w:cs="Arial" w:eastAsia="Arial" w:hAnsi="Arial"/>
          <w:sz w:val="16"/>
          <w:szCs w:val="16"/>
          <w:color w:val="000000"/>
        </w:rPr>
        <w:t>—The interest cost associated with major development, construction projects and tax exempt bonds is capitalized and included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cost of the project. Interest capitalization ceases once a project is substantially complete or no longer undergoing construction activities to prepare it for its intended use. The Company capitalized interest of $2,618, $2,721 and $2,128 during the years ended December 31, 2017, 2016 and 2015, respectively.</w:t>
      </w:r>
    </w:p>
    <w:p>
      <w:pPr>
        <w:spacing w:after="0" w:line="70"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00497F"/>
        </w:rPr>
        <w:t>Repairs and Maintenance</w:t>
      </w:r>
      <w:r>
        <w:rPr>
          <w:rFonts w:ascii="Arial" w:cs="Arial" w:eastAsia="Arial" w:hAnsi="Arial"/>
          <w:sz w:val="16"/>
          <w:szCs w:val="16"/>
          <w:color w:val="000000"/>
        </w:rPr>
        <w:t>—Repair and maintenance costs that do not extend the lives of the assets are expensed as incurred. For the years ended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December 31, 2017, 2016 and 2015, $4,963, $3,659 and $3,643, of repairs and maintenance expense, respectively, were recorded in operating expenses in the accompanying Consolidated Statements of Operations.</w:t>
      </w:r>
    </w:p>
    <w:p>
      <w:pPr>
        <w:spacing w:after="0" w:line="64"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—The Company performs a recoverability assessment of each of its long-lived assets whenever events or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changes in 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the Company measures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95"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75"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b w:val="1"/>
          <w:bCs w:val="1"/>
          <w:i w:val="1"/>
          <w:iCs w:val="1"/>
          <w:color w:val="00497F"/>
        </w:rPr>
        <w:t>Security Deposits</w:t>
      </w:r>
      <w:r>
        <w:rPr>
          <w:rFonts w:ascii="Arial" w:cs="Arial" w:eastAsia="Arial" w:hAnsi="Arial"/>
          <w:sz w:val="16"/>
          <w:szCs w:val="16"/>
          <w:color w:val="000000"/>
        </w:rPr>
        <w:t>—The Company’s operating leases generally require the lessee to pay a security deposit or provide a letter of credit. Security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deposits are held until specified return dates stipulated in the lease or lease expiration.</w:t>
      </w:r>
    </w:p>
    <w:p>
      <w:pPr>
        <w:spacing w:after="0" w:line="48" w:lineRule="exact"/>
        <w:rPr>
          <w:sz w:val="20"/>
          <w:szCs w:val="20"/>
          <w:color w:val="auto"/>
        </w:rPr>
      </w:pPr>
    </w:p>
    <w:p>
      <w:pPr>
        <w:jc w:val="both"/>
        <w:ind w:left="660"/>
        <w:spacing w:after="0" w:line="254"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required to make maintenance payments to the Company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the Company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94"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 records the portion of maintenance payments paid by the lessee that are expected to be reimbursed as maintenance deposit liabilities on the Consolidated Balance Sheet. Reimbursements made to the lessee upon the receipt of evidence of qualifying maintenance work are recorded against the maintenance deposit liability.</w:t>
      </w:r>
    </w:p>
    <w:p>
      <w:pPr>
        <w:spacing w:after="0" w:line="93"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In certain leases, the lessee or the Company may be obligated to make a payment to the other party at lease termination based on redelivery conditions stipulated at the inception of the lease. When the lessee is required to return the aircraft in an improved maintenance condition, the Company records a maintenance right asset, as a component of other assets, for the estimated value of the end-of-life maintenance payment at acquisition. The Company recognizes payments received as end-of-lease compensation adjustments, within lease revenue or as a reduction to the maintenance right asset, when payment is received or collectability is assured. In the event the Company is required to make payments at the end of the lease for redelivery conditions, amounts are accrued as additional maintenance liability and expensed when the Company is obligated and can reasonably estimate such payment.</w:t>
      </w:r>
    </w:p>
    <w:p>
      <w:pPr>
        <w:spacing w:after="0" w:line="81"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00497F"/>
        </w:rPr>
        <w:t>Lease Incentives and Amortization</w:t>
      </w:r>
      <w:r>
        <w:rPr>
          <w:rFonts w:ascii="Arial" w:cs="Arial" w:eastAsia="Arial" w:hAnsi="Arial"/>
          <w:sz w:val="16"/>
          <w:szCs w:val="16"/>
          <w:color w:val="000000"/>
        </w:rPr>
        <w:t>—Lease incentives, which include lease acquisition costs related to reconfiguration of the aircraft cabin, other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lessee specific modifications and other direct costs, are capitalized and amortized as a reduction of lease income over the primary term of the lease, assuming no lease renewals.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00497F"/>
        </w:rPr>
        <w:t xml:space="preserve">Goodwill </w:t>
      </w:r>
      <w:r>
        <w:rPr>
          <w:rFonts w:ascii="Arial" w:cs="Arial" w:eastAsia="Arial" w:hAnsi="Arial"/>
          <w:sz w:val="16"/>
          <w:szCs w:val="16"/>
          <w:color w:val="000000"/>
        </w:rPr>
        <w:t>—Goodwill includes the excess of the purchase price over the fair value of the net tangible and intangible assets associated with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acquisitions of CMQR and Jefferson Terminal. The carrying amount of goodwill is approximately $116,584 as of December 31, 2017 and December 31, 2016.</w:t>
      </w:r>
    </w:p>
    <w:p>
      <w:pPr>
        <w:spacing w:after="0" w:line="84"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The Company reviews the carrying values of goodwill at least annually to assess impairment since these assets are not amortized. An 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w:t>
      </w:r>
    </w:p>
    <w:p>
      <w:pPr>
        <w:spacing w:after="0" w:line="95"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2017, December 31, 2016 and December 31, 2015.</w:t>
      </w:r>
    </w:p>
    <w:p>
      <w:pPr>
        <w:spacing w:after="0" w:line="95"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the Company’s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95"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For the purpose of performing the annual analysis, the Company’s two reporting units subject to the test are the Jefferson Terminal and Railroad reporting units. The Company estimates the fair value of the reporting units using an income approach, specifically a discounted cash flow analysis. This analysis requires the Company to make significant assumptions and estimates about the extent and timing of future cash flows, discount rates and growth rates. The estimates and assumptions used consider historical performance and are consistent with the assumptions used in determining future profit plans for the reporting units. The Company also utilizes market valuation models and other financial ratios, which require the Company to make certain assumptions and estimates regarding the applicability of those models to its assets and businesses.</w:t>
      </w:r>
    </w:p>
    <w:p>
      <w:pPr>
        <w:spacing w:after="0" w:line="97"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 xml:space="preserve">Although the Company believes the estimates of fair value are reasonable, the determination of certain valuation inputs is subject to management’s judgment. Changes in these inputs could materially affect the results of the impairment review. If the forecasts of cash flows generated by the Jefferson Terminal and Railroad reporting units or other key inputs are negatively revised in the future, the estimated fair value of the Jefferson Terminal and Railroad reporting units would be adversely impacted, potentially leading to an impairment in the future that could materially affect the Company’s operating results. </w:t>
      </w:r>
      <w:r>
        <w:rPr>
          <w:rFonts w:ascii="Arial" w:cs="Arial" w:eastAsia="Arial" w:hAnsi="Arial"/>
          <w:sz w:val="16"/>
          <w:szCs w:val="16"/>
          <w:color w:val="333333"/>
        </w:rPr>
        <w:t>S</w:t>
      </w:r>
      <w:r>
        <w:rPr>
          <w:rFonts w:ascii="Arial" w:cs="Arial" w:eastAsia="Arial" w:hAnsi="Arial"/>
          <w:sz w:val="16"/>
          <w:szCs w:val="16"/>
          <w:color w:val="auto"/>
        </w:rPr>
        <w:t>pecifically, as it relates to the Jefferson Terminal segment, forecasted revenue is dependent on the ramp up of volumes under current contracts and the acquisition of additional storage contracts for both the heavy and light crude and refined products during 2018. The expansion of refineries in the Beaumont/Port Arthur area, as well as growing crude oil production in the U.S. and Canada, are expected to result in increased demand for storage on the U.S. Gulf Coast.</w:t>
      </w:r>
    </w:p>
    <w:p>
      <w:pPr>
        <w:spacing w:after="0" w:line="100"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Furthermore, development of both inbound and outbound pipelines to/from the Jefferson Terminal over the next two years will affect our forecasted growth and therefore our estimated fair value. We expect the Jefferson Terminal segment to generate positive Adjusted EBITDA during 2018. The Company’s estimated fair value exceeded carrying value by greater than 15%.</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2017, 2016, and 2015 there was no impairment of goodwill.</w:t>
      </w:r>
    </w:p>
    <w:p>
      <w:pPr>
        <w:spacing w:after="0" w:line="93"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b w:val="1"/>
          <w:bCs w:val="1"/>
          <w:i w:val="1"/>
          <w:iCs w:val="1"/>
          <w:color w:val="00497F"/>
        </w:rPr>
        <w:t>Intangibles and amortization</w:t>
      </w:r>
      <w:r>
        <w:rPr>
          <w:rFonts w:ascii="Arial" w:cs="Arial" w:eastAsia="Arial" w:hAnsi="Arial"/>
          <w:sz w:val="16"/>
          <w:szCs w:val="16"/>
          <w:color w:val="000000"/>
        </w:rPr>
        <w:t>—Intangibles include the value of acquired favorable and unfavorable leases and existing customer relationships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acquired in connection with the acquisitions of CMQR and Jefferson Terminal.</w:t>
      </w:r>
    </w:p>
    <w:p>
      <w:pPr>
        <w:spacing w:after="0" w:line="68"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In accounting for acquired leasing equipment, the Company makes estimates about the fair value of the acquired leases. In determining the fair value of these leases, the Company makes assumptions regarding the current fair values of leases for identical or similar equipment in order to determine if the acquired lease is within a fair value range of current lease rates. If a lease is below or above the range of current lease rates, the resulting lease discount or premium is recognized as a lease intangible and amortized into rental income over the remaining term of the lease. Acquired lease intangibles are amortized on a straight-line basis over the remaining lease terms, which ranged from two to 54 months as of December 31, 2017, and are recorded as a component of equipment leasing revenues in the accompanying Consolidated Statements of Operations.</w:t>
      </w:r>
    </w:p>
    <w:p>
      <w:pPr>
        <w:spacing w:after="0" w:line="97"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Customer relationship intangible assets are amortized on a straight-line basis over their useful lives as the pattern in which the asset’s economic benefits are consumed cannot reliably be determined. Customer relationship intangible assets have useful lives ranging from 5 to 10 years, no estimated residual value, and amortization is recorded as a component of depreciation and amortization in the accompanying Consolidated Statements of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0000"/>
        </w:rPr>
        <w:t>—Costs incurred in connection with obtaining long term financing are capitalized and amortized to interest expense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term of the underlying loans. Unamortized deferred financing costs of $11,423 and $6,489 as of December 31, 2017 and December 31, 2016, respectively, are recorded as a component of debt in the accompanying Consolidated Balance Sheets. Amortization expense of $4,202, $2,576 and $1,469 for the years ended December 31, 2017, 2016 and 2015, respectively, are included as a component of interest expense in the accompanying Consolidated Statements of Operations.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—The Company leases equipment pursuant to net operating leases. Operating leases with fixed rentals and step rentals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36"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The Company also recognizes maintenance revenue related to the portion of maintenance payments received from lessees of aviation equipment that are not expected to be reimbursed in connection with major maintenance events.</w:t>
      </w:r>
    </w:p>
    <w:p>
      <w:pPr>
        <w:spacing w:after="0" w:line="14" w:lineRule="exact"/>
        <w:rPr>
          <w:sz w:val="20"/>
          <w:szCs w:val="20"/>
          <w:color w:val="auto"/>
        </w:rPr>
      </w:pPr>
    </w:p>
    <w:p>
      <w:pPr>
        <w:jc w:val="both"/>
        <w:ind w:left="660"/>
        <w:spacing w:after="0" w:line="254" w:lineRule="auto"/>
        <w:rPr>
          <w:sz w:val="20"/>
          <w:szCs w:val="20"/>
          <w:color w:val="auto"/>
        </w:rPr>
      </w:pPr>
      <w:r>
        <w:rPr>
          <w:rFonts w:ascii="Arial" w:cs="Arial" w:eastAsia="Arial" w:hAnsi="Arial"/>
          <w:sz w:val="16"/>
          <w:szCs w:val="16"/>
          <w:b w:val="1"/>
          <w:bCs w:val="1"/>
          <w:i w:val="1"/>
          <w:iCs w:val="1"/>
          <w:color w:val="00497F"/>
        </w:rPr>
        <w:t xml:space="preserve">Finance Lease </w:t>
      </w:r>
      <w:r>
        <w:rPr>
          <w:rFonts w:ascii="Arial" w:cs="Arial" w:eastAsia="Arial" w:hAnsi="Arial"/>
          <w:sz w:val="16"/>
          <w:szCs w:val="16"/>
          <w:color w:val="000000"/>
        </w:rPr>
        <w:t>—The Company owns one anchor handling tug supply vessel subject to a finance lease, as of December 31, 2017 and 2016. This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lease generally includes a lessee obligation to purchase the leased equipment at the end of the lease term,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497F"/>
        </w:rPr>
        <w:t>Infrastructure Revenues</w:t>
      </w:r>
    </w:p>
    <w:p>
      <w:pPr>
        <w:spacing w:after="0" w:line="221"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are recognized proportionally as freight moves from origin to destination. Other miscellaneous revenues, such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unloading and switching revenue, are recognized as the service is performed or contractual obligations are met.</w:t>
      </w:r>
    </w:p>
    <w:p>
      <w:pPr>
        <w:spacing w:after="0" w:line="156"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revenues are recognized when services have been provided to the customer, the product has been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delivered, the price is considered to be fixed or determinable and collectability is reasonably assured. Prepayments for services are deferred until the period in which the above criteria are met. Terminal services fees include services provided to third-party customers related to receipt and redelivery of crude oil products.</w:t>
      </w:r>
    </w:p>
    <w:p>
      <w:pPr>
        <w:spacing w:after="0" w:line="70"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b w:val="1"/>
          <w:bCs w:val="1"/>
          <w:i w:val="1"/>
          <w:iCs w:val="1"/>
          <w:color w:val="00497F"/>
        </w:rPr>
        <w:t>Lease Revenues</w:t>
      </w:r>
      <w:r>
        <w:rPr>
          <w:rFonts w:ascii="Arial" w:cs="Arial" w:eastAsia="Arial" w:hAnsi="Arial"/>
          <w:sz w:val="16"/>
          <w:szCs w:val="16"/>
          <w:color w:val="000000"/>
        </w:rPr>
        <w:t>—Ports and Terminals revenue are recognized as various tenants lease out storage space including equipment, piping and frac</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sand. Lease revenue is recognized based on the terms of the lease agreement.</w:t>
      </w:r>
    </w:p>
    <w:p>
      <w:pPr>
        <w:spacing w:after="0" w:line="48"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0000"/>
        </w:rPr>
        <w:t>—The Company is subject to concentrations of credit risk with respect to amounts due from customers on its finance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lease and operating leases. The Company attempts to limit its credit risk by performing ongoing credit evaluations. During the year ended December 31, 2016, the Company earned approximately 10% of its revenue from one customer in the Jefferson Terminal segment. During the year ended December 31, 2015, the Company earned approximately 21% of its revenue from one customer in the Offshore Energy segment and one in the Jefferson Terminal segment. During the year ended December 31, 2017, no customer accounted for 10% of the Company’s revenue.</w:t>
      </w:r>
    </w:p>
    <w:p>
      <w:pPr>
        <w:spacing w:after="0" w:line="92"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As of December 31, 2017, accounts receivable from two customers in the Offshore Energy segment each represented 17% and 10% of total accounts receivable, net. As of December 31, 2016, accounts receivable from two customers in the Offshore Segment each represented 22% and 18% of total accounts receivable, net.</w:t>
      </w:r>
    </w:p>
    <w:p>
      <w:pPr>
        <w:spacing w:after="0" w:line="93"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73"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0000"/>
        </w:rPr>
        <w:t>—The Company determines the provision for doubtful accounts based on its assessment of the collectability of its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receivables on a customer-by-customer basis. The provision for doubtful accounts at December 31, 2017 and December 31, 2016 was $983 and $418, respectively. Bad debt expense was $701, $158, and $676 for the years ended December 31, 2017, 2016 and 2015, respectively.</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00497F"/>
        </w:rPr>
        <w:t>Expense Recognition</w:t>
      </w:r>
      <w:r>
        <w:rPr>
          <w:rFonts w:ascii="Arial" w:cs="Arial" w:eastAsia="Arial" w:hAnsi="Arial"/>
          <w:sz w:val="16"/>
          <w:szCs w:val="16"/>
          <w:color w:val="000000"/>
        </w:rPr>
        <w:t>—Expenses are recognized on an accrual basis as incurred.</w:t>
      </w:r>
    </w:p>
    <w:p>
      <w:pPr>
        <w:spacing w:after="0" w:line="113"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b w:val="1"/>
          <w:bCs w:val="1"/>
          <w:i w:val="1"/>
          <w:iCs w:val="1"/>
          <w:color w:val="00497F"/>
        </w:rPr>
        <w:t>Acquisition and Transaction expenses</w:t>
      </w:r>
      <w:r>
        <w:rPr>
          <w:rFonts w:ascii="Arial" w:cs="Arial" w:eastAsia="Arial" w:hAnsi="Arial"/>
          <w:sz w:val="16"/>
          <w:szCs w:val="16"/>
          <w:color w:val="000000"/>
        </w:rPr>
        <w:t>—Acquisition and transaction expense is comprised of costs related to completed business combinations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terminated deal costs related to abandoned pursuits, including advisory, legal, accounting, valuation and other professional or consulting fees.</w:t>
      </w:r>
    </w:p>
    <w:p>
      <w:pPr>
        <w:spacing w:after="0" w:line="48"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The Company’s comprehensive income (loss) represents net income (loss), as presented in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Consolidated Statements of Operations, adjusted for fair value changes related to the available-for-sale securities and derivatives accounted for as cash flow hedges.</w:t>
      </w:r>
    </w:p>
    <w:p>
      <w:pPr>
        <w:spacing w:after="0" w:line="68"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b w:val="1"/>
          <w:bCs w:val="1"/>
          <w:i w:val="1"/>
          <w:iCs w:val="1"/>
          <w:color w:val="00497F"/>
        </w:rPr>
        <w:t>Derivative Financial Instruments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In the normal course of business the Company may utilize interest rate derivatives to manage its exposure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interest rate risks, principally related to the hedging of variable rate interest payments on various debt facilities. If certain conditions are met, an interest rate derivative may be specifically designated as a cash flow hedge. In connection with its debt obligations, the Company entered into one interest rate derivative designated as a cash flow hedge and one non-hedge derivative. The Company terminated both derivatives during the first quarter of 2016 when the related debt obligations were paid in full. For the interest rate derivative designated as a cash flow hedge, all remaining net gains or losses in accumulated other comprehensive income at the date of termination were reclassified into earnings during the year ended December 31, 2016. In 2017 the Company entered into short-term forward crude contracts. The fair value of the short-term derivative asset at December 31, 2017 and 2016 was $1,022 and $0, respectively, recorded in other assets.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enter into speculative derivative transactions.</w:t>
      </w:r>
    </w:p>
    <w:p>
      <w:pPr>
        <w:spacing w:after="0" w:line="93"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b w:val="1"/>
          <w:bCs w:val="1"/>
          <w:i w:val="1"/>
          <w:iCs w:val="1"/>
          <w:color w:val="00497F"/>
        </w:rPr>
        <w:t>Foreign Currency</w:t>
      </w:r>
      <w:r>
        <w:rPr>
          <w:rFonts w:ascii="Arial" w:cs="Arial" w:eastAsia="Arial" w:hAnsi="Arial"/>
          <w:sz w:val="16"/>
          <w:szCs w:val="16"/>
          <w:color w:val="000000"/>
        </w:rPr>
        <w:t>—The Company’s functional and reporting currency is the U.S. dollar. Purchases and sales of assets and income and expense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items 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reported as a component of operating expenses within the Consolidated Statement of Operations.</w:t>
      </w:r>
    </w:p>
    <w:p>
      <w:pPr>
        <w:spacing w:after="0" w:line="70"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color w:val="000000"/>
        </w:rPr>
        <w:t>—A portion of the Company’s income earned by its corporate subsidiaries is subject to U.S. federal and state income taxation, taxed 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prevailing rates. The remainder of the Company’s income is allocated directly to its partners and is not subject to a corporate level of taxation. Certain subsidiaries of the Company are subject to income tax in the foreign countries in which they conduct business.</w:t>
      </w:r>
    </w:p>
    <w:p>
      <w:pPr>
        <w:spacing w:after="0" w:line="84"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color w:val="auto"/>
        </w:rPr>
        <w:t>The Company accounts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285"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The Company files income tax returns in the U.S. federal jurisdiction, various state jurisdictions and in certain foreign jurisdictions. The income tax returns filed by the Company and its subsidiaries are subject to examination by the U.S. federal, state and foreign tax authorities. The Company recognizes tax benefits for uncertain tax positions only if it is more likely than not that the position is sustainable based on its technical merits. Interest and penalties on uncertain tax positions are included as a component of the provision for income taxes in the Consolidated Statements of Operations.</w:t>
      </w:r>
    </w:p>
    <w:p>
      <w:pPr>
        <w:spacing w:after="0" w:line="75"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Other assets is primarily comprised of inventory of crude oil of $8,877 and $0, notes receivables of $2,623 and $22,469, leasing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equipment purchase deposits of $12,299 and $13,701, lease incentives of $23,811 and $3,556, capitalized costs for potential acquisitions of $97 and $2,116, prepaid expenses of $4,149 and $3,440, and receivables of $1,760 and $21,501 as of December 31, 2017 and December 31, 2016, respectively.</w:t>
      </w:r>
    </w:p>
    <w:p>
      <w:pPr>
        <w:spacing w:after="0" w:line="70"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b w:val="1"/>
          <w:bCs w:val="1"/>
          <w:i w:val="1"/>
          <w:iCs w:val="1"/>
          <w:color w:val="000000"/>
        </w:rPr>
        <w:t>—</w:t>
      </w:r>
      <w:r>
        <w:rPr>
          <w:rFonts w:ascii="Arial" w:cs="Arial" w:eastAsia="Arial" w:hAnsi="Arial"/>
          <w:sz w:val="16"/>
          <w:szCs w:val="16"/>
          <w:color w:val="000000"/>
        </w:rPr>
        <w:t>Dividends are recorded if and when declared by the Board of Directors. In both the fourth quarters ended December 31, 2017 and 2016,</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Board of Directors declared a cash dividend of $0.33 per share, totaling $1.32 of dividends per share for each of the years ended December 31, 2017 and 2016.</w:t>
      </w:r>
    </w:p>
    <w:p>
      <w:pPr>
        <w:spacing w:after="0" w:line="64" w:lineRule="exact"/>
        <w:rPr>
          <w:sz w:val="20"/>
          <w:szCs w:val="20"/>
          <w:color w:val="auto"/>
        </w:rPr>
      </w:pPr>
    </w:p>
    <w:p>
      <w:pPr>
        <w:jc w:val="both"/>
        <w:ind w:left="660"/>
        <w:spacing w:after="0" w:line="254"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0000"/>
        </w:rPr>
        <w:t>—In July 2015, the Financial Accounting Standards Board (“FASB”) issued an Accounting Standards Update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 xml:space="preserve">(“ASU”) 2015-11, </w:t>
      </w:r>
      <w:r>
        <w:rPr>
          <w:rFonts w:ascii="Arial" w:cs="Arial" w:eastAsia="Arial" w:hAnsi="Arial"/>
          <w:sz w:val="16"/>
          <w:szCs w:val="16"/>
          <w:i w:val="1"/>
          <w:iCs w:val="1"/>
          <w:color w:val="000000"/>
        </w:rPr>
        <w:t>Simplifying the Measurement of Inventory (Topic 330)</w:t>
      </w:r>
      <w:r>
        <w:rPr>
          <w:rFonts w:ascii="Arial" w:cs="Arial" w:eastAsia="Arial" w:hAnsi="Arial"/>
          <w:sz w:val="16"/>
          <w:szCs w:val="16"/>
          <w:color w:val="000000"/>
        </w:rPr>
        <w:t xml:space="preserve"> (“ASU 2015-11”), which simplifies the measurement of inventory by requiring certain inventory to be measured at the “lower of cost and net realizable value” and the previous parameters for “market value” will be eliminated. ASU 2015-11 defines net realizable value as the “estimated selling prices in the ordinary course of business, less reasonably predictable costs of completion, disposal, and transportation.” The Company adopted ASU 2015-11 on January 1, 2017 and the adoption of this standard did not have a material impact on our financial statements.</w:t>
      </w:r>
    </w:p>
    <w:p>
      <w:pPr>
        <w:spacing w:after="0" w:line="132" w:lineRule="exact"/>
        <w:rPr>
          <w:sz w:val="20"/>
          <w:szCs w:val="20"/>
          <w:color w:val="auto"/>
        </w:rPr>
      </w:pPr>
    </w:p>
    <w:p>
      <w:pPr>
        <w:jc w:val="both"/>
        <w:ind w:left="660"/>
        <w:spacing w:after="0" w:line="258"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Contingent put and call options in debt instruments</w:t>
      </w:r>
      <w:r>
        <w:rPr>
          <w:rFonts w:ascii="Arial" w:cs="Arial" w:eastAsia="Arial" w:hAnsi="Arial"/>
          <w:sz w:val="16"/>
          <w:szCs w:val="16"/>
          <w:color w:val="auto"/>
        </w:rPr>
        <w:t xml:space="preserve"> (“ASU 2016-06”). ASU 2016-06 simplifies the embedded derivative analysis for debt instruments containing contingent call or put options. ASU 2016-06 is effective for fiscal years beginning after December 15, 2016, and interim periods within those fiscal years, with early adoption permitted. The Company adopted ASU 2016-06 as of January 1, 2017 and the adoption of this guidance did not have a material impact on the Company’s consolidated financial statements.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ASU 2016-09 requires the income tax effects of awards to be recognized in the income statement when the awards vest or are settled, increases the amount an employer can withhold to cover income taxes on awards and still qualify for the exception to liability classification, and allow recognizing forfeitures of awards as they occur. ASU 2016-09 is effective beginning in the first quarter of 2017, with early adoption permitted. The Company adopted ASU 2016-09 as of January 1, 2017 and the adoption of this guidance did not have a material impact on the Company’s consolidated financial statements.</w:t>
      </w:r>
    </w:p>
    <w:p>
      <w:pPr>
        <w:spacing w:after="0" w:line="238"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 xml:space="preserve">In October 2016, the FASB issued ASU 2016-17, </w:t>
      </w:r>
      <w:r>
        <w:rPr>
          <w:rFonts w:ascii="Arial" w:cs="Arial" w:eastAsia="Arial" w:hAnsi="Arial"/>
          <w:sz w:val="16"/>
          <w:szCs w:val="16"/>
          <w:i w:val="1"/>
          <w:iCs w:val="1"/>
          <w:color w:val="auto"/>
        </w:rPr>
        <w:t>Consolidation (Topic 810): Interests Held through Related Parties That Are under Common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(“ASU 2016-17”). ASU 2016-17 </w:t>
      </w:r>
      <w:r>
        <w:rPr>
          <w:rFonts w:ascii="Arial" w:cs="Arial" w:eastAsia="Arial" w:hAnsi="Arial"/>
          <w:sz w:val="16"/>
          <w:szCs w:val="16"/>
          <w:color w:val="auto"/>
        </w:rPr>
        <w:t>amends the consolidation guidance on how a reporting entity that is the single decision maker of a VIE should treat</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interests in the entity held through related parties that are under common control with the reporting entity when determining whether it is the primary beneficiary of that VIE. Under the amendments, a single decision maker is not required to consider indirect interests held through related parties that are under common control with the single decision maker to be the equivalent of direct interests in their entirety. Instead, a single decision maker is required to include those interests on a proportionate basis consistent with indirect interests held through other related parties. ASU 2016-17 is effective for fiscal years beginning after December 15, 2016, and interim periods within those fiscal years. Early adoption is permitted, including adoption in an interim period. The Company adopted ASU 2016-17 as of January 1, 2017 and the adoption of this guidance did not have a material impact on the Company’s consolidated financial statements.</w:t>
      </w:r>
    </w:p>
    <w:p>
      <w:pPr>
        <w:spacing w:after="0" w:line="247"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(“ASU 2017-01”)</w:t>
      </w:r>
      <w:r>
        <w:rPr>
          <w:rFonts w:ascii="Arial" w:cs="Arial" w:eastAsia="Arial" w:hAnsi="Arial"/>
          <w:sz w:val="16"/>
          <w:szCs w:val="16"/>
          <w:color w:val="auto"/>
        </w:rPr>
        <w:t>. ASU 2017-01 clarifying the definition of a business with the objective of adding guidance to assist entities with evaluating whether transactions should be accounted for as acquisitions (or disposals) of businesses or assets. ASU 2017-01 is effective for fiscal years beginning after December 15, 2017, and interim periods within those fiscal years. Early adoption is permitted. The Company adopted ASU 2017-01 as of January 1, 2017 and the adoption of this guidance did not have a material impact on the Company’s consolidated financial statements.</w:t>
      </w:r>
    </w:p>
    <w:p>
      <w:pPr>
        <w:spacing w:after="0" w:line="234"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May 2014, the FASB issued ASU 2014-09,</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Revenues from Contracts with Customers (Topic 606)</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(“ASU 2014-09”)</w:t>
      </w:r>
      <w:r>
        <w:rPr>
          <w:rFonts w:ascii="Arial" w:cs="Arial" w:eastAsia="Arial" w:hAnsi="Arial"/>
          <w:sz w:val="16"/>
          <w:szCs w:val="16"/>
          <w:i w:val="1"/>
          <w:iCs w:val="1"/>
          <w:color w:val="000000"/>
        </w:rPr>
        <w:t>.</w:t>
      </w:r>
      <w:r>
        <w:rPr>
          <w:rFonts w:ascii="Arial" w:cs="Arial" w:eastAsia="Arial" w:hAnsi="Arial"/>
          <w:sz w:val="16"/>
          <w:szCs w:val="16"/>
          <w:color w:val="000000"/>
        </w:rPr>
        <w:t xml:space="preserve"> ASU 2014-09 requires that a company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In August 2015, the FASB deferred the effective date of this standard by one year, which will be for fiscal years, and interim periods within those years, beginning after December 15, 2017. Additionally, the FASB issued ASU 2016-08, </w:t>
      </w:r>
      <w:r>
        <w:rPr>
          <w:rFonts w:ascii="Arial" w:cs="Arial" w:eastAsia="Arial" w:hAnsi="Arial"/>
          <w:sz w:val="16"/>
          <w:szCs w:val="16"/>
          <w:i w:val="1"/>
          <w:iCs w:val="1"/>
          <w:color w:val="000000"/>
        </w:rPr>
        <w:t>Revenue from Contracts with Customers, Principal</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versus Agent Considerations, </w:t>
      </w:r>
      <w:r>
        <w:rPr>
          <w:rFonts w:ascii="Arial" w:cs="Arial" w:eastAsia="Arial" w:hAnsi="Arial"/>
          <w:sz w:val="16"/>
          <w:szCs w:val="16"/>
          <w:color w:val="000000"/>
        </w:rPr>
        <w:t>ASU 2016-10,</w:t>
      </w:r>
      <w:r>
        <w:rPr>
          <w:rFonts w:ascii="Arial" w:cs="Arial" w:eastAsia="Arial" w:hAnsi="Arial"/>
          <w:sz w:val="16"/>
          <w:szCs w:val="16"/>
          <w:i w:val="1"/>
          <w:iCs w:val="1"/>
          <w:color w:val="000000"/>
        </w:rPr>
        <w:t xml:space="preserve"> Revenue from Contracts with Customers, Identifying Performance Obligations and Licensing </w:t>
      </w:r>
      <w:r>
        <w:rPr>
          <w:rFonts w:ascii="Arial" w:cs="Arial" w:eastAsia="Arial" w:hAnsi="Arial"/>
          <w:sz w:val="16"/>
          <w:szCs w:val="16"/>
          <w:color w:val="000000"/>
        </w:rPr>
        <w:t>and ASU</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2016-12, </w:t>
      </w:r>
      <w:r>
        <w:rPr>
          <w:rFonts w:ascii="Arial" w:cs="Arial" w:eastAsia="Arial" w:hAnsi="Arial"/>
          <w:sz w:val="16"/>
          <w:szCs w:val="16"/>
          <w:i w:val="1"/>
          <w:iCs w:val="1"/>
          <w:color w:val="000000"/>
        </w:rPr>
        <w:t>Revenue from Contracts with Customers, Narrow-Scope Improvements and Practical Expedients</w:t>
      </w:r>
      <w:r>
        <w:rPr>
          <w:rFonts w:ascii="Arial" w:cs="Arial" w:eastAsia="Arial" w:hAnsi="Arial"/>
          <w:sz w:val="16"/>
          <w:szCs w:val="16"/>
          <w:color w:val="000000"/>
        </w:rPr>
        <w:t xml:space="preserve">, ASU 2016-20, </w:t>
      </w:r>
      <w:r>
        <w:rPr>
          <w:rFonts w:ascii="Arial" w:cs="Arial" w:eastAsia="Arial" w:hAnsi="Arial"/>
          <w:sz w:val="16"/>
          <w:szCs w:val="16"/>
          <w:i w:val="1"/>
          <w:iCs w:val="1"/>
          <w:color w:val="000000"/>
        </w:rPr>
        <w:t>Technical Corrections and</w:t>
      </w:r>
      <w:r>
        <w:rPr>
          <w:rFonts w:ascii="Arial" w:cs="Arial" w:eastAsia="Arial" w:hAnsi="Arial"/>
          <w:sz w:val="16"/>
          <w:szCs w:val="16"/>
          <w:color w:val="000000"/>
        </w:rPr>
        <w:t xml:space="preserve"> </w:t>
      </w:r>
      <w:r>
        <w:rPr>
          <w:rFonts w:ascii="Arial" w:cs="Arial" w:eastAsia="Arial" w:hAnsi="Arial"/>
          <w:sz w:val="16"/>
          <w:szCs w:val="16"/>
          <w:i w:val="1"/>
          <w:iCs w:val="1"/>
          <w:color w:val="000000"/>
        </w:rPr>
        <w:t>Improvements to Topic 606, Revenue from Contracts with Customers</w:t>
      </w:r>
      <w:r>
        <w:rPr>
          <w:rFonts w:ascii="Arial" w:cs="Arial" w:eastAsia="Arial" w:hAnsi="Arial"/>
          <w:sz w:val="16"/>
          <w:szCs w:val="16"/>
          <w:color w:val="000000"/>
        </w:rPr>
        <w:t>, ASU 2017-14,</w:t>
      </w:r>
      <w:r>
        <w:rPr>
          <w:rFonts w:ascii="Arial" w:cs="Arial" w:eastAsia="Arial" w:hAnsi="Arial"/>
          <w:sz w:val="16"/>
          <w:szCs w:val="16"/>
          <w:i w:val="1"/>
          <w:iCs w:val="1"/>
          <w:color w:val="000000"/>
        </w:rPr>
        <w:t xml:space="preserve"> Income Statement-Reporting Comprehensive Income (Topic 220), Revenue Recognition (Topic 605), and Revenue from Contracts with Customers (Topic 606) </w:t>
      </w:r>
      <w:r>
        <w:rPr>
          <w:rFonts w:ascii="Arial" w:cs="Arial" w:eastAsia="Arial" w:hAnsi="Arial"/>
          <w:sz w:val="16"/>
          <w:szCs w:val="16"/>
          <w:color w:val="000000"/>
        </w:rPr>
        <w:t>which clarify the guidance on reporting revenue as</w:t>
      </w:r>
      <w:r>
        <w:rPr>
          <w:rFonts w:ascii="Arial" w:cs="Arial" w:eastAsia="Arial" w:hAnsi="Arial"/>
          <w:sz w:val="16"/>
          <w:szCs w:val="16"/>
          <w:i w:val="1"/>
          <w:iCs w:val="1"/>
          <w:color w:val="000000"/>
        </w:rPr>
        <w:t xml:space="preserve"> </w:t>
      </w:r>
      <w:r>
        <w:rPr>
          <w:rFonts w:ascii="Arial" w:cs="Arial" w:eastAsia="Arial" w:hAnsi="Arial"/>
          <w:sz w:val="16"/>
          <w:szCs w:val="16"/>
          <w:color w:val="000000"/>
        </w:rPr>
        <w:t>a principal versus agent, identifying and disclosing performance obligations, accounting for intellectual property licenses, and assessing collectibility, present sales tax, treating noncash consideration. The Company has identified and evaluated relevant revenue contracts within the scope of the guidance. As the Company’s primary source of revenues is from its leasing contracts, subject to ASU 2016-02, Leases, management has concluded that the adoption of this ASU will not result in a material impact on its consolidated financial statements.</w:t>
      </w:r>
    </w:p>
    <w:p>
      <w:pPr>
        <w:spacing w:after="0" w:line="247"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Company’s evaluation of the impact of the new guidance on its consolidated financial statements is ongoing. The Company is currently identifying the lease arrangements within the scope of the new guidance, and evaluating the impact of the lease arrangements. In September 2017, the FASB issued ASU 2017-13, </w:t>
      </w:r>
      <w:r>
        <w:rPr>
          <w:rFonts w:ascii="Arial" w:cs="Arial" w:eastAsia="Arial" w:hAnsi="Arial"/>
          <w:sz w:val="16"/>
          <w:szCs w:val="16"/>
          <w:i w:val="1"/>
          <w:iCs w:val="1"/>
          <w:color w:val="auto"/>
        </w:rPr>
        <w:t>Revenue Recognition (Topic 605), Revenue from contracts from customers (Topic 606), Leases (Topic 840) and Leases (Topic 842)</w:t>
      </w:r>
      <w:r>
        <w:rPr>
          <w:rFonts w:ascii="Arial" w:cs="Arial" w:eastAsia="Arial" w:hAnsi="Arial"/>
          <w:sz w:val="16"/>
          <w:szCs w:val="16"/>
          <w:color w:val="auto"/>
        </w:rPr>
        <w:t>, (“ASU 2017-13”) which adds SEC paragraphs to the new revenue and lease sections of the codification on the announcement of the SEC observer made at the July 2017 EITF meeting</w:t>
      </w:r>
      <w:r>
        <w:rPr>
          <w:rFonts w:ascii="Arial" w:cs="Arial" w:eastAsia="Arial" w:hAnsi="Arial"/>
          <w:sz w:val="16"/>
          <w:szCs w:val="16"/>
          <w:i w:val="1"/>
          <w:iCs w:val="1"/>
          <w:color w:val="auto"/>
        </w:rPr>
        <w:t>.</w:t>
      </w:r>
    </w:p>
    <w:p>
      <w:pPr>
        <w:spacing w:after="0" w:line="247"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(“ASU 2016-01”). ASU 2016-01 requires (i) equity investments, except those accounted for under the equity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or those that result in consolidation of the investee, to be measured at fair value with changes in fair value recognized in net income, (ii) public business entities to use the exit price notion when measuring the fair value of financial instruments for disclosure purposes, and (iii) separate presentation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does not expect that the adoption of this ASU will have a material impact on its consolidated financial statements.</w:t>
      </w:r>
    </w:p>
    <w:p>
      <w:pPr>
        <w:spacing w:after="0" w:line="241" w:lineRule="exact"/>
        <w:rPr>
          <w:sz w:val="20"/>
          <w:szCs w:val="20"/>
          <w:color w:val="auto"/>
        </w:rPr>
      </w:pPr>
    </w:p>
    <w:p>
      <w:pPr>
        <w:jc w:val="both"/>
        <w:ind w:left="660"/>
        <w:spacing w:after="0" w:line="264" w:lineRule="auto"/>
        <w:rPr>
          <w:sz w:val="20"/>
          <w:szCs w:val="20"/>
          <w:color w:val="auto"/>
        </w:rPr>
      </w:pPr>
      <w:r>
        <w:rPr>
          <w:rFonts w:ascii="Arial" w:cs="Arial" w:eastAsia="Arial" w:hAnsi="Arial"/>
          <w:sz w:val="16"/>
          <w:szCs w:val="16"/>
          <w:color w:val="auto"/>
        </w:rPr>
        <w:t xml:space="preserve">In May 2016, the FASB issued ASU 2016-11, </w:t>
      </w:r>
      <w:r>
        <w:rPr>
          <w:rFonts w:ascii="Arial" w:cs="Arial" w:eastAsia="Arial" w:hAnsi="Arial"/>
          <w:sz w:val="16"/>
          <w:szCs w:val="16"/>
          <w:i w:val="1"/>
          <w:iCs w:val="1"/>
          <w:color w:val="auto"/>
        </w:rPr>
        <w:t>Revenue Recognition (Topic 605) and Derivatives and Hedging (Topic 815): Rescission of SEC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Guidance Because of Accounting Standards Updates 2014-09 and 2014-16 Pursuant to Staff Announcements at the March 3, 2016 EITF Meeting. </w:t>
      </w:r>
      <w:r>
        <w:rPr>
          <w:rFonts w:ascii="Arial" w:cs="Arial" w:eastAsia="Arial" w:hAnsi="Arial"/>
          <w:sz w:val="16"/>
          <w:szCs w:val="16"/>
          <w:color w:val="auto"/>
        </w:rPr>
        <w:t>The Company is currently evaluating the impact of adopting this new guidance on its consolidated financial statements.</w:t>
      </w:r>
    </w:p>
    <w:p>
      <w:pPr>
        <w:spacing w:after="0" w:line="230"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w:t>
      </w:r>
      <w:r>
        <w:rPr>
          <w:rFonts w:ascii="Arial" w:cs="Arial" w:eastAsia="Arial" w:hAnsi="Arial"/>
          <w:sz w:val="16"/>
          <w:szCs w:val="16"/>
          <w:i w:val="1"/>
          <w:iCs w:val="1"/>
          <w:color w:val="auto"/>
        </w:rPr>
        <w:t xml:space="preserve">. </w:t>
      </w:r>
      <w:r>
        <w:rPr>
          <w:rFonts w:ascii="Arial" w:cs="Arial" w:eastAsia="Arial" w:hAnsi="Arial"/>
          <w:sz w:val="16"/>
          <w:szCs w:val="16"/>
          <w:color w:val="auto"/>
        </w:rPr>
        <w:t>For assets held at amortized cost basis, ASU 2016-13 eliminates the probable initial recognition threshold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The Company is currently evaluating the impact of adopting this new guidance on its consolidated financial statements.</w:t>
      </w:r>
    </w:p>
    <w:p>
      <w:pPr>
        <w:spacing w:after="0" w:line="244"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w:t>
      </w:r>
      <w:r>
        <w:rPr>
          <w:rFonts w:ascii="Arial" w:cs="Arial" w:eastAsia="Arial" w:hAnsi="Arial"/>
          <w:sz w:val="16"/>
          <w:szCs w:val="16"/>
          <w:i w:val="1"/>
          <w:iCs w:val="1"/>
          <w:color w:val="auto"/>
        </w:rPr>
        <w:t>.</w:t>
      </w:r>
      <w:r>
        <w:rPr>
          <w:rFonts w:ascii="Arial" w:cs="Arial" w:eastAsia="Arial" w:hAnsi="Arial"/>
          <w:sz w:val="16"/>
          <w:szCs w:val="16"/>
          <w:color w:val="auto"/>
        </w:rPr>
        <w:t xml:space="preserve"> ASU 2016-15 addresses the following eight specific cash flow issues: (i) debt prepayment or debt extinguishment costs; (ii) settlement of zero-coupon debt instruments or other debt instruments with coupon interest rates that are insignificant in relation to the effective interest rate of the borrowing; (iii) contingent consideration payments made after a business combination; (iv) proceeds from the settlement of insurance claims; (v) proceeds from the settlement of corporate-owned life insurance policies (COLIs); (vi) distributions received from equity method investees; (vii) beneficial interests in securitization transactions; (viii) and separately identifiable cash flows and application of the predominance principle. ASU 2016-15 will be effective for fiscal years beginning after December 15, 2017, and interim periods within those fiscal years. Early adoption is permitted, including adoption in an interim period. The Company does not expect that the adoption of this ASU will have a material impact on its consolidated financial statements.</w:t>
      </w:r>
    </w:p>
    <w:p>
      <w:pPr>
        <w:spacing w:after="0" w:line="247"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 (“ASU 2016-16”).</w:t>
      </w:r>
      <w:r>
        <w:rPr>
          <w:rFonts w:ascii="Arial" w:cs="Arial" w:eastAsia="Arial" w:hAnsi="Arial"/>
          <w:sz w:val="16"/>
          <w:szCs w:val="16"/>
          <w:color w:val="auto"/>
        </w:rPr>
        <w:t xml:space="preserve"> ASU 2016-16 prohibits the recognition of current and deferred income taxes for an intra-entity asset transfer until the asset has been sold to an outside party. In addition, interpretations of this guidance have developed in practice for transfers of certain intangible and tangible assets. This prohibition on recognition is an exception to the principle of comprehensive recognition of current and deferred income taxes in GAAP. To more faithfully represent the economics of intra-entity asset transfers, the amendments ASU 2016-16 require that entities recognize the income tax consequences of an intra-entity transfer of an asset other than inventory when the transfer occurs. The amendments in ASU 2016-16 do not change GAAP for the pre-tax effects of an intra-entity asset transfer under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or for an intra-entity transfer of inventory. ASU 2016-16 will be effective for annual reporting periods beginning after December 15, 2017, and interim periods within those annual reporting periods. Early adoption is permitted, including adoption in an interim period. The Company does not expect that the adoption of this ASU will have a material impact on its consolidated financial statements.</w:t>
      </w:r>
    </w:p>
    <w:p>
      <w:pPr>
        <w:spacing w:after="0" w:line="200" w:lineRule="exact"/>
        <w:rPr>
          <w:sz w:val="20"/>
          <w:szCs w:val="20"/>
          <w:color w:val="auto"/>
        </w:rPr>
      </w:pPr>
    </w:p>
    <w:p>
      <w:pPr>
        <w:spacing w:after="0" w:line="236"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(“ASU 2016-18”)</w:t>
      </w:r>
      <w:r>
        <w:rPr>
          <w:rFonts w:ascii="Arial" w:cs="Arial" w:eastAsia="Arial" w:hAnsi="Arial"/>
          <w:sz w:val="16"/>
          <w:szCs w:val="16"/>
          <w:color w:val="auto"/>
        </w:rPr>
        <w:t>. ASU 2016-18 addresses the diversity in the classification and presentation of changes in restricted cash on the statement of cash flows under Topic 230, Statement of Cash Flows. The amendments in ASU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apply to all entities that have restricted cash or restricted cash equivalents and are required to present a statement of cash flows under Topic 230. ASU 2016-18 will be effective for fiscal years beginning after December 15, 2017, and interim periods within those fiscal years. Early adoption is permitted, including adoption in an interim period. The Company does not expect that the adoption of this ASU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 (“ASU</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2017-04”). </w:t>
      </w:r>
      <w:r>
        <w:rPr>
          <w:rFonts w:ascii="Arial" w:cs="Arial" w:eastAsia="Arial" w:hAnsi="Arial"/>
          <w:sz w:val="16"/>
          <w:szCs w:val="16"/>
          <w:color w:val="auto"/>
        </w:rPr>
        <w:t>ASU 2017-04 addresses concerns over the cost and complexity of the two-step goodwill impairment test by removing the second step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The Company is currently evaluating the impact of adopting this new guidance on its consolidated financial statements.</w:t>
      </w:r>
    </w:p>
    <w:p>
      <w:pPr>
        <w:spacing w:after="0" w:line="133"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 xml:space="preserve">Other Income—Gains and Losses from the Derecognition of Nonfinancial Assets (Subtopic 610-20): Clarifying the Scope of Asset Derecognition Guidance and Accounting for Partial Sales of Nonfinancial Assets (“ASU 2017-05”). </w:t>
      </w:r>
      <w:r>
        <w:rPr>
          <w:rFonts w:ascii="Arial" w:cs="Arial" w:eastAsia="Arial" w:hAnsi="Arial"/>
          <w:sz w:val="16"/>
          <w:szCs w:val="16"/>
          <w:color w:val="auto"/>
        </w:rPr>
        <w:t>ASU 2017-05</w:t>
      </w:r>
      <w:r>
        <w:rPr>
          <w:rFonts w:ascii="Arial" w:cs="Arial" w:eastAsia="Arial" w:hAnsi="Arial"/>
          <w:sz w:val="16"/>
          <w:szCs w:val="16"/>
          <w:i w:val="1"/>
          <w:iCs w:val="1"/>
          <w:color w:val="auto"/>
        </w:rPr>
        <w:t xml:space="preserve"> </w:t>
      </w:r>
      <w:r>
        <w:rPr>
          <w:rFonts w:ascii="Arial" w:cs="Arial" w:eastAsia="Arial" w:hAnsi="Arial"/>
          <w:sz w:val="16"/>
          <w:szCs w:val="16"/>
          <w:color w:val="auto"/>
        </w:rPr>
        <w:t>amends the scope of the nonfinancial asset guidance in Subtopic 610-20. The amendments also clarify that the derecognition of all businesses and nonprofit activities (except those related to conveyances of oil and gas mineral rights or contracts with customers) should be accounted for in accordance with the derecognition and deconsolidation guidance in Subtopic 810-10. In addition, the amendments eliminate the exception in the financial asset guidance for transfers of investments (including equity method investments) in real estate entities and supersede the guidance in the Exchanges of a Nonfinancial Asset for a Noncontrolling Ownership Interest Subsection within Topic 845. The amendments in ASU 2017-05 also provide guidance on the accounting for what often are referred to as partial sales of nonfinancial assets within the scope of Subtopic 610-20 and contributions of nonfinancial assets to a joint venture or other noncontrolled investee. ASU 2017-05 will be effective for annual reporting periods beginning after December 15, 2017, and interim periods within those fiscal years. The Company does not expect that the adoption of this ASU will have a material impact on its consolidated financial statements.</w:t>
      </w:r>
    </w:p>
    <w:p>
      <w:pPr>
        <w:spacing w:after="0" w:line="134"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 xml:space="preserve">In May 2017, the FASB issued Accounting Standards Update No. 2017-09, </w:t>
      </w:r>
      <w:r>
        <w:rPr>
          <w:rFonts w:ascii="Arial" w:cs="Arial" w:eastAsia="Arial" w:hAnsi="Arial"/>
          <w:sz w:val="16"/>
          <w:szCs w:val="16"/>
          <w:i w:val="1"/>
          <w:iCs w:val="1"/>
          <w:color w:val="auto"/>
        </w:rPr>
        <w:t>Compensation - Stock Compensation (Topic 718): Scope of Modification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("ASU 2017-09")</w:t>
      </w:r>
      <w:r>
        <w:rPr>
          <w:rFonts w:ascii="Arial" w:cs="Arial" w:eastAsia="Arial" w:hAnsi="Arial"/>
          <w:sz w:val="16"/>
          <w:szCs w:val="16"/>
          <w:color w:val="auto"/>
        </w:rPr>
        <w:t>, which provides guidance about which changes to the terms or conditions of a share-based payment award require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to apply modification accounting in Topic 718. ASU 2017-09 is effective for fiscal years beginning after December 15, 2017 and interim periods within those fiscal years, and early adoption is permitted, including in an interim period. ASU 2017-09 is to be applied on a prospective basis to an award modified on or after the adoption date. We do not expect the adoption of ASU 2017-09 to have a material impact on our consolidated financial statements.</w:t>
      </w:r>
    </w:p>
    <w:p>
      <w:pPr>
        <w:spacing w:after="0" w:line="7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6"/>
          <w:szCs w:val="16"/>
          <w:b w:val="1"/>
          <w:bCs w:val="1"/>
          <w:color w:val="00497F"/>
        </w:rPr>
      </w:pPr>
      <w:r>
        <w:rPr>
          <w:rFonts w:ascii="Arial" w:cs="Arial" w:eastAsia="Arial" w:hAnsi="Arial"/>
          <w:sz w:val="16"/>
          <w:szCs w:val="16"/>
          <w:b w:val="1"/>
          <w:bCs w:val="1"/>
          <w:color w:val="00497F"/>
        </w:rPr>
        <w:t>LEASING EQUIPMENT, NET</w:t>
      </w:r>
    </w:p>
    <w:p>
      <w:pPr>
        <w:spacing w:after="0" w:line="133"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Leasing equipment, net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1400" w:type="dxa"/>
            <w:vAlign w:val="bottom"/>
            <w:tcBorders>
              <w:bottom w:val="single" w:sz="8" w:color="auto"/>
            </w:tcBorders>
          </w:tcPr>
          <w:p>
            <w:pPr>
              <w:spacing w:after="0"/>
              <w:rPr>
                <w:sz w:val="17"/>
                <w:szCs w:val="17"/>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2016</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Leasing equipment</w:t>
            </w:r>
          </w:p>
        </w:tc>
        <w:tc>
          <w:tcPr>
            <w:tcW w:w="126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1,217,862</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849,565</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1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(143,732)</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(84,110)</w:t>
            </w: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Leasing equipment, net</w:t>
            </w:r>
          </w:p>
        </w:tc>
        <w:tc>
          <w:tcPr>
            <w:tcW w:w="126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1,074,130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765,455</w:t>
            </w:r>
          </w:p>
        </w:tc>
      </w:tr>
      <w:tr>
        <w:trPr>
          <w:trHeight w:val="20"/>
        </w:trPr>
        <w:tc>
          <w:tcPr>
            <w:tcW w:w="7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During the year ended December 31, 2017, the Company acquired 25 aircraft and 58 commercial jet engines, and sold 3 aircraft and 14 commercial jet engines. During the year ended December 31, 2016, the Company acquired 9 aircraft and 28 commercial jet engines, and sold 1 aircraft and 4 commercial jet engines. The Company recognized gains of $7,188 and $5,214 related to the sale of these assets in the years ended December 31, 2017 and 2016, respectively, which were recorded in Gains on Sale of Assets in the Company’s Consolidated Statement of Operations.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2015</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Depreciation expense for leasing equipment</w:t>
            </w:r>
          </w:p>
        </w:tc>
        <w:tc>
          <w:tcPr>
            <w:tcW w:w="136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69,331</w:t>
            </w: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43,886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30,624</w:t>
            </w:r>
          </w:p>
        </w:tc>
      </w:tr>
      <w:tr>
        <w:trPr>
          <w:trHeight w:val="420"/>
        </w:trPr>
        <w:tc>
          <w:tcPr>
            <w:tcW w:w="4920" w:type="dxa"/>
            <w:vAlign w:val="bottom"/>
          </w:tcPr>
          <w:p>
            <w:pPr>
              <w:spacing w:after="0"/>
              <w:rPr>
                <w:sz w:val="24"/>
                <w:szCs w:val="24"/>
                <w:color w:val="auto"/>
              </w:rPr>
            </w:pP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107</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6"/>
          <w:szCs w:val="16"/>
          <w:b w:val="1"/>
          <w:bCs w:val="1"/>
          <w:color w:val="00497F"/>
        </w:rPr>
      </w:pPr>
      <w:r>
        <w:rPr>
          <w:rFonts w:ascii="Arial" w:cs="Arial" w:eastAsia="Arial" w:hAnsi="Arial"/>
          <w:sz w:val="16"/>
          <w:szCs w:val="16"/>
          <w:b w:val="1"/>
          <w:bCs w:val="1"/>
          <w:color w:val="00497F"/>
        </w:rPr>
        <w:t>FINANCE LEASES, NET</w:t>
      </w:r>
    </w:p>
    <w:p>
      <w:pPr>
        <w:spacing w:after="0" w:line="133"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Finance leases, net are summarized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0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Pr>
          <w:p>
            <w:pPr>
              <w:spacing w:after="0"/>
              <w:rPr>
                <w:sz w:val="16"/>
                <w:szCs w:val="16"/>
                <w:color w:val="auto"/>
              </w:rPr>
            </w:pPr>
          </w:p>
        </w:tc>
      </w:tr>
      <w:tr>
        <w:trPr>
          <w:trHeight w:val="39"/>
        </w:trPr>
        <w:tc>
          <w:tcPr>
            <w:tcW w:w="73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5"/>
        </w:trPr>
        <w:tc>
          <w:tcPr>
            <w:tcW w:w="7320" w:type="dxa"/>
            <w:vAlign w:val="bottom"/>
          </w:tcPr>
          <w:p>
            <w:pPr>
              <w:spacing w:after="0"/>
              <w:rPr>
                <w:sz w:val="19"/>
                <w:szCs w:val="19"/>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ind w:right="728"/>
              <w:spacing w:after="0"/>
              <w:rPr>
                <w:sz w:val="20"/>
                <w:szCs w:val="20"/>
                <w:color w:val="auto"/>
              </w:rPr>
            </w:pPr>
            <w:r>
              <w:rPr>
                <w:rFonts w:ascii="Arial" w:cs="Arial" w:eastAsia="Arial" w:hAnsi="Arial"/>
                <w:sz w:val="14"/>
                <w:szCs w:val="14"/>
                <w:b w:val="1"/>
                <w:bCs w:val="1"/>
                <w:color w:val="auto"/>
              </w:rPr>
              <w:t>2016</w:t>
            </w:r>
          </w:p>
        </w:tc>
      </w:tr>
      <w:tr>
        <w:trPr>
          <w:trHeight w:val="39"/>
        </w:trPr>
        <w:tc>
          <w:tcPr>
            <w:tcW w:w="73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64"/>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leases</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16,015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18,022</w:t>
            </w: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Unearned revenue</w:t>
            </w:r>
          </w:p>
        </w:tc>
        <w:tc>
          <w:tcPr>
            <w:tcW w:w="1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(6,771)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(8,305)</w:t>
            </w: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Finance leases, net</w:t>
            </w:r>
          </w:p>
        </w:tc>
        <w:tc>
          <w:tcPr>
            <w:tcW w:w="126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9,717</w:t>
            </w:r>
          </w:p>
        </w:tc>
      </w:tr>
      <w:tr>
        <w:trPr>
          <w:trHeight w:val="20"/>
        </w:trPr>
        <w:tc>
          <w:tcPr>
            <w:tcW w:w="7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660" w:right="20"/>
        <w:spacing w:after="0" w:line="260" w:lineRule="auto"/>
        <w:rPr>
          <w:sz w:val="20"/>
          <w:szCs w:val="20"/>
          <w:color w:val="auto"/>
        </w:rPr>
      </w:pPr>
      <w:r>
        <w:rPr>
          <w:rFonts w:ascii="Arial" w:cs="Arial" w:eastAsia="Arial" w:hAnsi="Arial"/>
          <w:sz w:val="16"/>
          <w:szCs w:val="16"/>
          <w:color w:val="auto"/>
        </w:rPr>
        <w:t>During the first quarter of 2016, the Company completed the sale of approximately 42,000 shipping containers that were subject to direct finance leases for a modest gain.</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future minimum lease payments to be received under finance leases for the remainder of the lease terms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Total</w:t>
            </w:r>
          </w:p>
        </w:tc>
      </w:tr>
      <w:tr>
        <w:trPr>
          <w:trHeight w:val="21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10"/>
        </w:trPr>
        <w:tc>
          <w:tcPr>
            <w:tcW w:w="9360" w:type="dxa"/>
            <w:vAlign w:val="bottom"/>
          </w:tcPr>
          <w:p>
            <w:pPr>
              <w:ind w:left="40"/>
              <w:spacing w:after="0"/>
              <w:rPr>
                <w:sz w:val="20"/>
                <w:szCs w:val="20"/>
                <w:color w:val="auto"/>
              </w:rPr>
            </w:pPr>
            <w:r>
              <w:rPr>
                <w:rFonts w:ascii="Arial" w:cs="Arial" w:eastAsia="Arial" w:hAnsi="Arial"/>
                <w:sz w:val="14"/>
                <w:szCs w:val="14"/>
                <w:color w:val="auto"/>
              </w:rPr>
              <w:t>2019</w:t>
            </w:r>
          </w:p>
        </w:tc>
        <w:tc>
          <w:tcPr>
            <w:tcW w:w="50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2,008</w:t>
            </w:r>
          </w:p>
        </w:tc>
      </w:tr>
      <w:tr>
        <w:trPr>
          <w:trHeight w:val="222"/>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2,013</w:t>
            </w:r>
          </w:p>
        </w:tc>
      </w:tr>
      <w:tr>
        <w:trPr>
          <w:trHeight w:val="210"/>
        </w:trPr>
        <w:tc>
          <w:tcPr>
            <w:tcW w:w="9360" w:type="dxa"/>
            <w:vAlign w:val="bottom"/>
          </w:tcPr>
          <w:p>
            <w:pPr>
              <w:ind w:left="40"/>
              <w:spacing w:after="0"/>
              <w:rPr>
                <w:sz w:val="20"/>
                <w:szCs w:val="20"/>
                <w:color w:val="auto"/>
              </w:rPr>
            </w:pPr>
            <w:r>
              <w:rPr>
                <w:rFonts w:ascii="Arial" w:cs="Arial" w:eastAsia="Arial" w:hAnsi="Arial"/>
                <w:sz w:val="14"/>
                <w:szCs w:val="14"/>
                <w:color w:val="auto"/>
              </w:rPr>
              <w:t>2021</w:t>
            </w:r>
          </w:p>
        </w:tc>
        <w:tc>
          <w:tcPr>
            <w:tcW w:w="50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2,008</w:t>
            </w:r>
          </w:p>
        </w:tc>
      </w:tr>
      <w:tr>
        <w:trPr>
          <w:trHeight w:val="222"/>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1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5,970</w:t>
            </w:r>
          </w:p>
        </w:tc>
      </w:tr>
      <w:tr>
        <w:trPr>
          <w:trHeight w:val="21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16,015</w:t>
            </w:r>
          </w:p>
        </w:tc>
      </w:tr>
      <w:tr>
        <w:trPr>
          <w:trHeight w:val="20"/>
        </w:trPr>
        <w:tc>
          <w:tcPr>
            <w:tcW w:w="9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6"/>
          <w:szCs w:val="16"/>
          <w:b w:val="1"/>
          <w:bCs w:val="1"/>
          <w:color w:val="00497F"/>
        </w:rPr>
      </w:pPr>
      <w:r>
        <w:rPr>
          <w:rFonts w:ascii="Arial" w:cs="Arial" w:eastAsia="Arial" w:hAnsi="Arial"/>
          <w:sz w:val="16"/>
          <w:szCs w:val="16"/>
          <w:b w:val="1"/>
          <w:bCs w:val="1"/>
          <w:color w:val="00497F"/>
        </w:rPr>
        <w:t>PROPERTY, PLANT AND EQUIPMENT, NET</w:t>
      </w:r>
    </w:p>
    <w:p>
      <w:pPr>
        <w:spacing w:after="0" w:line="133"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Property, plant and equipment, net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1400" w:type="dxa"/>
            <w:vAlign w:val="bottom"/>
            <w:tcBorders>
              <w:bottom w:val="single" w:sz="8" w:color="auto"/>
            </w:tcBorders>
          </w:tcPr>
          <w:p>
            <w:pPr>
              <w:spacing w:after="0"/>
              <w:rPr>
                <w:sz w:val="17"/>
                <w:szCs w:val="17"/>
                <w:color w:val="auto"/>
              </w:rPr>
            </w:pPr>
          </w:p>
        </w:tc>
      </w:tr>
      <w:tr>
        <w:trPr>
          <w:trHeight w:val="264"/>
        </w:trPr>
        <w:tc>
          <w:tcPr>
            <w:tcW w:w="70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2016</w:t>
            </w:r>
          </w:p>
        </w:tc>
      </w:tr>
      <w:tr>
        <w:trPr>
          <w:trHeight w:val="264"/>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Land, site improvements and rights</w:t>
            </w:r>
          </w:p>
        </w:tc>
        <w:tc>
          <w:tcPr>
            <w:tcW w:w="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74,268</w:t>
            </w:r>
          </w:p>
        </w:tc>
        <w:tc>
          <w:tcPr>
            <w:tcW w:w="100" w:type="dxa"/>
            <w:vAlign w:val="bottom"/>
          </w:tcPr>
          <w:p>
            <w:pPr>
              <w:spacing w:after="0"/>
              <w:rPr>
                <w:sz w:val="22"/>
                <w:szCs w:val="22"/>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57,617</w:t>
            </w:r>
          </w:p>
        </w:tc>
      </w:tr>
      <w:tr>
        <w:trPr>
          <w:trHeight w:val="27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Construction in progress</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100,420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49,605</w:t>
            </w:r>
          </w:p>
        </w:tc>
      </w:tr>
      <w:tr>
        <w:trPr>
          <w:trHeight w:val="264"/>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Buildings and improvements</w:t>
            </w:r>
          </w:p>
        </w:tc>
        <w:tc>
          <w:tcPr>
            <w:tcW w:w="50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9,807</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2,750</w:t>
            </w:r>
          </w:p>
        </w:tc>
      </w:tr>
      <w:tr>
        <w:trPr>
          <w:trHeight w:val="27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Terminal machinery and equipment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299,444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236,652</w:t>
            </w:r>
          </w:p>
        </w:tc>
      </w:tr>
      <w:tr>
        <w:trPr>
          <w:trHeight w:val="264"/>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Track and track related assets</w:t>
            </w:r>
          </w:p>
        </w:tc>
        <w:tc>
          <w:tcPr>
            <w:tcW w:w="50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35,371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22,948</w:t>
            </w:r>
          </w:p>
        </w:tc>
      </w:tr>
      <w:tr>
        <w:trPr>
          <w:trHeight w:val="27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Railroad equipment</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1,091</w:t>
            </w:r>
          </w:p>
        </w:tc>
      </w:tr>
      <w:tr>
        <w:trPr>
          <w:trHeight w:val="264"/>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Railcars and locomotives</w:t>
            </w:r>
          </w:p>
        </w:tc>
        <w:tc>
          <w:tcPr>
            <w:tcW w:w="50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3,429</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2,909</w:t>
            </w:r>
          </w:p>
        </w:tc>
      </w:tr>
      <w:tr>
        <w:trPr>
          <w:trHeight w:val="27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Computer hardware and software</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3,105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w:t>
            </w:r>
          </w:p>
        </w:tc>
      </w:tr>
      <w:tr>
        <w:trPr>
          <w:trHeight w:val="264"/>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Furniture and fixtures</w:t>
            </w:r>
          </w:p>
        </w:tc>
        <w:tc>
          <w:tcPr>
            <w:tcW w:w="50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544</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405</w:t>
            </w:r>
          </w:p>
        </w:tc>
      </w:tr>
      <w:tr>
        <w:trPr>
          <w:trHeight w:val="270"/>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Vehicles</w:t>
            </w:r>
          </w:p>
        </w:tc>
        <w:tc>
          <w:tcPr>
            <w:tcW w:w="5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1,480</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985</w:t>
            </w:r>
          </w:p>
        </w:tc>
      </w:tr>
      <w:tr>
        <w:trPr>
          <w:trHeight w:val="250"/>
        </w:trPr>
        <w:tc>
          <w:tcPr>
            <w:tcW w:w="7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528,925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375,350</w:t>
            </w:r>
          </w:p>
        </w:tc>
      </w:tr>
      <w:tr>
        <w:trPr>
          <w:trHeight w:val="27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Accumulated depreciation</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(40,605)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(26,002)</w:t>
            </w:r>
          </w:p>
        </w:tc>
      </w:tr>
      <w:tr>
        <w:trPr>
          <w:trHeight w:val="264"/>
        </w:trPr>
        <w:tc>
          <w:tcPr>
            <w:tcW w:w="72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Spare parts</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1,629</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2,833</w:t>
            </w:r>
          </w:p>
        </w:tc>
      </w:tr>
      <w:tr>
        <w:trPr>
          <w:trHeight w:val="243"/>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net</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489,949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352,181</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16"/>
          <w:szCs w:val="16"/>
          <w:color w:val="auto"/>
        </w:rPr>
        <w:t>During the years ended December 31, 2017 and 2016, additional property, plant and equipment of $152,263 and $65,780 was acquired, respectively, primarily consisting of the purchase of land, construction in progress, terminal machinery and equipment, and railcars and locomotives.</w:t>
      </w:r>
    </w:p>
    <w:p>
      <w:pPr>
        <w:spacing w:after="0" w:line="88"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On July 1, 2016, the Company, through one of its consolidated subsidiaries, purchased the assets of Repauno for a cash purchase price of approximately $24,000. These amounts consist primarily of land, a storage cavern, riparian rights for the acquired land, site improvements and rights. As part of the transaction, additional amounts of $13,991 were capitalized for costs directly related to the purchase, including costs for legal advice, exploratory diligence, and regulatory permitting costs in an effort to close the transaction and pre-acquisition services provided by our third party shareholder in exchange for a minority interest. As of December 31, 2017 and 2016, Repauno is part of the Ports and Terminals segment.</w:t>
      </w:r>
    </w:p>
    <w:p>
      <w:pPr>
        <w:sectPr>
          <w:pgSz w:w="11900" w:h="16838" w:orient="portrait"/>
          <w:cols w:equalWidth="0" w:num="1">
            <w:col w:w="11420"/>
          </w:cols>
          <w:pgMar w:left="240" w:top="121"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On June 16, 2017, the Company, through one of its consolidated subsidiaries, purchased the assets of Long Ridge for $30,000. The assets acquired consisted primarily of land, buildings, railroad track, docks, water rights, site improvements and other rights. As part of the transaction, additional amounts of $2,335 were capitalized for costs directly related to the purchase, including costs for legal advice, exploratory diligence, and regulatory permitting. Long Ridge is part of the Ports and Terminals segment as of December 31, 2017.</w:t>
      </w:r>
    </w:p>
    <w:p>
      <w:pPr>
        <w:spacing w:after="0" w:line="95"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16"/>
          <w:szCs w:val="16"/>
          <w:color w:val="auto"/>
        </w:rPr>
        <w:t>During the year ended December 31, 2017, disposals of property, plant and equipment totaled $108. During the year ended December 31, 2016, disposals of property, plant and equipment totaled $490, mainly related to railroad equipment, vehicles, and furniture and fixtures.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76"/>
        </w:trPr>
        <w:tc>
          <w:tcPr>
            <w:tcW w:w="61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Depreciation expense for property, plant and equipment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15,181</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12,726</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11,099</w:t>
            </w:r>
          </w:p>
        </w:tc>
      </w:tr>
    </w:tbl>
    <w:p>
      <w:pPr>
        <w:spacing w:after="0" w:line="90"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6"/>
          <w:szCs w:val="16"/>
          <w:b w:val="1"/>
          <w:bCs w:val="1"/>
          <w:color w:val="00497F"/>
        </w:rPr>
      </w:pPr>
      <w:r>
        <w:rPr>
          <w:rFonts w:ascii="Arial" w:cs="Arial" w:eastAsia="Arial" w:hAnsi="Arial"/>
          <w:sz w:val="16"/>
          <w:szCs w:val="16"/>
          <w:b w:val="1"/>
          <w:bCs w:val="1"/>
          <w:color w:val="00497F"/>
        </w:rPr>
        <w:t>INVESTMENTS</w:t>
      </w:r>
    </w:p>
    <w:p>
      <w:pPr>
        <w:spacing w:after="0" w:line="133"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The following table presents the ownership interests and carrying values of the Company’s investments: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jc w:val="right"/>
              <w:ind w:right="1508"/>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Listed securities</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Available-for-sale</w:t>
            </w: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17,630</w:t>
            </w: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Advanced Engine Repair JV</w:t>
            </w: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color w:val="auto"/>
              </w:rPr>
              <w:t>Equity method</w:t>
            </w:r>
          </w:p>
        </w:tc>
        <w:tc>
          <w:tcPr>
            <w:tcW w:w="2180" w:type="dxa"/>
            <w:vAlign w:val="bottom"/>
          </w:tcPr>
          <w:p>
            <w:pPr>
              <w:jc w:val="center"/>
              <w:spacing w:after="0"/>
              <w:rPr>
                <w:sz w:val="20"/>
                <w:szCs w:val="20"/>
                <w:color w:val="auto"/>
              </w:rPr>
            </w:pPr>
            <w:r>
              <w:rPr>
                <w:rFonts w:ascii="Arial" w:cs="Arial" w:eastAsia="Arial" w:hAnsi="Arial"/>
                <w:sz w:val="14"/>
                <w:szCs w:val="14"/>
                <w:color w:val="auto"/>
                <w:w w:val="99"/>
              </w:rPr>
              <w:t>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13,724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JGP Energy Partners LLC</w:t>
            </w: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Equity method</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Intermodal Finance I, Ltd.</w:t>
            </w:r>
          </w:p>
        </w:tc>
        <w:tc>
          <w:tcPr>
            <w:tcW w:w="23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4"/>
                <w:szCs w:val="14"/>
                <w:color w:val="auto"/>
              </w:rPr>
              <w:t>Equity method</w:t>
            </w:r>
          </w:p>
        </w:tc>
        <w:tc>
          <w:tcPr>
            <w:tcW w:w="21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9"/>
              </w:rPr>
              <w:t>51%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3,894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4,082</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39,978</w:t>
            </w:r>
          </w:p>
        </w:tc>
        <w:tc>
          <w:tcPr>
            <w:tcW w:w="0" w:type="dxa"/>
            <w:vAlign w:val="bottom"/>
          </w:tcPr>
          <w:p>
            <w:pPr>
              <w:spacing w:after="0"/>
              <w:rPr>
                <w:sz w:val="1"/>
                <w:szCs w:val="1"/>
                <w:color w:val="auto"/>
              </w:rPr>
            </w:pPr>
          </w:p>
        </w:tc>
      </w:tr>
      <w:tr>
        <w:trPr>
          <w:trHeight w:val="20"/>
        </w:trPr>
        <w:tc>
          <w:tcPr>
            <w:tcW w:w="7240" w:type="dxa"/>
            <w:vAlign w:val="bottom"/>
            <w:gridSpan w:val="5"/>
            <w:vMerge w:val="restart"/>
          </w:tcPr>
          <w:p>
            <w:pPr>
              <w:ind w:left="660"/>
              <w:spacing w:after="0"/>
              <w:rPr>
                <w:sz w:val="20"/>
                <w:szCs w:val="20"/>
                <w:color w:val="auto"/>
              </w:rPr>
            </w:pPr>
            <w:r>
              <w:rPr>
                <w:rFonts w:ascii="Arial" w:cs="Arial" w:eastAsia="Arial" w:hAnsi="Arial"/>
                <w:sz w:val="16"/>
                <w:szCs w:val="16"/>
                <w:color w:val="auto"/>
              </w:rPr>
              <w:t>The following table presents a rollforward of the Company’s available-for-sale securities:</w:t>
            </w: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4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Available-for-Sale Securities</w:t>
            </w:r>
          </w:p>
        </w:tc>
      </w:tr>
      <w:tr>
        <w:trPr>
          <w:trHeight w:val="21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780" w:type="dxa"/>
            <w:vAlign w:val="bottom"/>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10"/>
        </w:trPr>
        <w:tc>
          <w:tcPr>
            <w:tcW w:w="9360" w:type="dxa"/>
            <w:vAlign w:val="bottom"/>
          </w:tcPr>
          <w:p>
            <w:pPr>
              <w:ind w:left="160"/>
              <w:spacing w:after="0"/>
              <w:rPr>
                <w:sz w:val="20"/>
                <w:szCs w:val="20"/>
                <w:color w:val="auto"/>
              </w:rPr>
            </w:pPr>
            <w:r>
              <w:rPr>
                <w:rFonts w:ascii="Arial" w:cs="Arial" w:eastAsia="Arial" w:hAnsi="Arial"/>
                <w:sz w:val="14"/>
                <w:szCs w:val="14"/>
                <w:color w:val="auto"/>
              </w:rPr>
              <w:t>Purchases</w:t>
            </w:r>
          </w:p>
        </w:tc>
        <w:tc>
          <w:tcPr>
            <w:tcW w:w="7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10,500</w:t>
            </w:r>
          </w:p>
        </w:tc>
      </w:tr>
      <w:tr>
        <w:trPr>
          <w:trHeight w:val="216"/>
        </w:trPr>
        <w:tc>
          <w:tcPr>
            <w:tcW w:w="9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w:t>
            </w:r>
          </w:p>
        </w:tc>
        <w:tc>
          <w:tcPr>
            <w:tcW w:w="7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7,130</w:t>
            </w:r>
          </w:p>
        </w:tc>
      </w:tr>
      <w:tr>
        <w:trPr>
          <w:trHeight w:val="21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December 31, 2016</w:t>
            </w: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17,630</w:t>
            </w:r>
          </w:p>
        </w:tc>
      </w:tr>
      <w:tr>
        <w:trPr>
          <w:trHeight w:val="216"/>
        </w:trPr>
        <w:tc>
          <w:tcPr>
            <w:tcW w:w="9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w:t>
            </w: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8,332</w:t>
            </w:r>
          </w:p>
        </w:tc>
      </w:tr>
      <w:tr>
        <w:trPr>
          <w:trHeight w:val="210"/>
        </w:trPr>
        <w:tc>
          <w:tcPr>
            <w:tcW w:w="9360" w:type="dxa"/>
            <w:vAlign w:val="bottom"/>
          </w:tcPr>
          <w:p>
            <w:pPr>
              <w:ind w:left="180"/>
              <w:spacing w:after="0"/>
              <w:rPr>
                <w:sz w:val="20"/>
                <w:szCs w:val="20"/>
                <w:color w:val="auto"/>
              </w:rPr>
            </w:pPr>
            <w:r>
              <w:rPr>
                <w:rFonts w:ascii="Arial" w:cs="Arial" w:eastAsia="Arial" w:hAnsi="Arial"/>
                <w:sz w:val="14"/>
                <w:szCs w:val="14"/>
                <w:color w:val="auto"/>
              </w:rPr>
              <w:t>Unrealized gain</w:t>
            </w:r>
          </w:p>
        </w:tc>
        <w:tc>
          <w:tcPr>
            <w:tcW w:w="7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4,276</w:t>
            </w:r>
          </w:p>
        </w:tc>
      </w:tr>
      <w:tr>
        <w:trPr>
          <w:trHeight w:val="216"/>
        </w:trPr>
        <w:tc>
          <w:tcPr>
            <w:tcW w:w="9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w:t>
            </w:r>
          </w:p>
        </w:tc>
        <w:tc>
          <w:tcPr>
            <w:tcW w:w="7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(30,238)</w:t>
            </w:r>
          </w:p>
        </w:tc>
      </w:tr>
      <w:tr>
        <w:trPr>
          <w:trHeight w:val="256"/>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December 31, 2017</w:t>
            </w:r>
          </w:p>
        </w:tc>
        <w:tc>
          <w:tcPr>
            <w:tcW w:w="7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305"/>
        </w:trPr>
        <w:tc>
          <w:tcPr>
            <w:tcW w:w="9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04"/>
        </w:trPr>
        <w:tc>
          <w:tcPr>
            <w:tcW w:w="9360" w:type="dxa"/>
            <w:vAlign w:val="bottom"/>
          </w:tcPr>
          <w:p>
            <w:pPr>
              <w:ind w:left="40"/>
              <w:spacing w:after="0"/>
              <w:rPr>
                <w:sz w:val="20"/>
                <w:szCs w:val="20"/>
                <w:color w:val="auto"/>
              </w:rPr>
            </w:pPr>
            <w:r>
              <w:rPr>
                <w:rFonts w:ascii="Arial" w:cs="Arial" w:eastAsia="Arial" w:hAnsi="Arial"/>
                <w:sz w:val="14"/>
                <w:szCs w:val="14"/>
                <w:color w:val="auto"/>
              </w:rPr>
              <w:t>Cost</w:t>
            </w:r>
          </w:p>
        </w:tc>
        <w:tc>
          <w:tcPr>
            <w:tcW w:w="78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122"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16"/>
          <w:szCs w:val="16"/>
          <w:color w:val="auto"/>
        </w:rPr>
        <w:t>The Company realized a gain of $11,406 on the sale of the available-for-sale securities during the year ended December 31, 2017, recorded in Gain on Sale of Assets in the Company’s Consolidated Statement of Operations.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recognize any other-than-temporary impairments for the year ended December 31, 2017.</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497F"/>
        </w:rPr>
        <w:t>Equity Method Investments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00497F"/>
        </w:rPr>
        <w:t>Advanced Engine Repair JV</w:t>
      </w:r>
    </w:p>
    <w:p>
      <w:pPr>
        <w:spacing w:after="0" w:line="133"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In December 2016, the Company invested $15,000 for 25% interest in an advanced engine repair joint venture. The Company will focus on developing new costs savings programs for engine repairs. The Company exercises significant influence over this investment and accounts for this investment as an equity method investment. The Company’s proportionate share of equity in losses was $1,276 and $0 for the years ended December 31, 2017 and 2016, respectively.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00497F"/>
        </w:rPr>
        <w:t>JGP</w:t>
      </w:r>
    </w:p>
    <w:p>
      <w:pPr>
        <w:spacing w:after="0" w:line="147"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In 2016, the Company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The Company concluded it is not the primary beneficiary of JGP as the members share equally in the risks and rewards and decision making authority of the entity; therefore, the Company does not consolidate JGP and instead accounts for this investment in accordance with the equity method. The Company’s proportionate share of equity in losses was $322 and $18 for the years ended December 31, 2017 and 2016, respectively.</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summarized financial information for the Company’s equity method investments, excluding Intermodal Finance I, Ltd: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w:t>
            </w:r>
          </w:p>
        </w:tc>
        <w:tc>
          <w:tcPr>
            <w:tcW w:w="26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December 31, 2016</w:t>
            </w:r>
          </w:p>
        </w:tc>
      </w:tr>
      <w:tr>
        <w:trPr>
          <w:trHeight w:val="258"/>
        </w:trPr>
        <w:tc>
          <w:tcPr>
            <w:tcW w:w="70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r>
      <w:tr>
        <w:trPr>
          <w:trHeight w:val="276"/>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9,904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14,806</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Prepaid expenses</w:t>
            </w:r>
          </w:p>
        </w:tc>
        <w:tc>
          <w:tcPr>
            <w:tcW w:w="26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1,181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3,080</w:t>
            </w:r>
          </w:p>
        </w:tc>
      </w:tr>
      <w:tr>
        <w:trPr>
          <w:trHeight w:val="276"/>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1,282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7,844</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Intangible asset</w:t>
            </w:r>
          </w:p>
        </w:tc>
        <w:tc>
          <w:tcPr>
            <w:tcW w:w="26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45,000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45,000</w:t>
            </w:r>
          </w:p>
        </w:tc>
      </w:tr>
      <w:tr>
        <w:trPr>
          <w:trHeight w:val="270"/>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Property, plants and equipment</w:t>
            </w:r>
          </w:p>
        </w:tc>
        <w:tc>
          <w:tcPr>
            <w:tcW w:w="2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50,042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6,924</w:t>
            </w:r>
          </w:p>
        </w:tc>
      </w:tr>
      <w:tr>
        <w:trPr>
          <w:trHeight w:val="283"/>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107,409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77,654</w:t>
            </w:r>
          </w:p>
        </w:tc>
      </w:tr>
      <w:tr>
        <w:trPr>
          <w:trHeight w:val="305"/>
        </w:trPr>
        <w:tc>
          <w:tcPr>
            <w:tcW w:w="7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70"/>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accrued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3,277</w:t>
            </w:r>
          </w:p>
        </w:tc>
      </w:tr>
      <w:tr>
        <w:trPr>
          <w:trHeight w:val="250"/>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2,736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3,277</w:t>
            </w:r>
          </w:p>
        </w:tc>
      </w:tr>
      <w:tr>
        <w:trPr>
          <w:trHeight w:val="324"/>
        </w:trPr>
        <w:tc>
          <w:tcPr>
            <w:tcW w:w="7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76"/>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Shareholders’ equity</w:t>
            </w: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110,520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74,414</w:t>
            </w:r>
          </w:p>
        </w:tc>
      </w:tr>
      <w:tr>
        <w:trPr>
          <w:trHeight w:val="264"/>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(5,847)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50"/>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104,673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74,377</w:t>
            </w:r>
          </w:p>
        </w:tc>
      </w:tr>
      <w:tr>
        <w:trPr>
          <w:trHeight w:val="324"/>
        </w:trPr>
        <w:tc>
          <w:tcPr>
            <w:tcW w:w="70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3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107,409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77,654</w:t>
            </w:r>
          </w:p>
        </w:tc>
      </w:tr>
      <w:tr>
        <w:trPr>
          <w:trHeight w:val="20"/>
        </w:trPr>
        <w:tc>
          <w:tcPr>
            <w:tcW w:w="7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5"/>
        </w:trPr>
        <w:tc>
          <w:tcPr>
            <w:tcW w:w="7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r>
      <w:tr>
        <w:trPr>
          <w:trHeight w:val="264"/>
        </w:trPr>
        <w:tc>
          <w:tcPr>
            <w:tcW w:w="70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w:t>
            </w:r>
          </w:p>
        </w:tc>
        <w:tc>
          <w:tcPr>
            <w:tcW w:w="1760" w:type="dxa"/>
            <w:vAlign w:val="bottom"/>
            <w:tcBorders>
              <w:bottom w:val="single" w:sz="8" w:color="auto"/>
            </w:tcBorders>
            <w:shd w:val="clear" w:color="auto" w:fill="CCEEFF"/>
          </w:tcPr>
          <w:p>
            <w:pPr>
              <w:spacing w:after="0"/>
              <w:rPr>
                <w:sz w:val="22"/>
                <w:szCs w:val="22"/>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4"/>
                <w:szCs w:val="14"/>
                <w:b w:val="1"/>
                <w:bCs w:val="1"/>
                <w:color w:val="auto"/>
              </w:rPr>
              <w:t>Income Statement</w:t>
            </w:r>
          </w:p>
        </w:tc>
        <w:tc>
          <w:tcPr>
            <w:tcW w:w="260" w:type="dxa"/>
            <w:vAlign w:val="bottom"/>
          </w:tcPr>
          <w:p>
            <w:pPr>
              <w:spacing w:after="0"/>
              <w:rPr>
                <w:sz w:val="22"/>
                <w:szCs w:val="22"/>
                <w:color w:val="auto"/>
              </w:rPr>
            </w:pPr>
          </w:p>
        </w:tc>
        <w:tc>
          <w:tcPr>
            <w:tcW w:w="20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Pr>
          <w:p>
            <w:pPr>
              <w:spacing w:after="0"/>
              <w:rPr>
                <w:sz w:val="22"/>
                <w:szCs w:val="22"/>
                <w:color w:val="auto"/>
              </w:rPr>
            </w:pPr>
          </w:p>
        </w:tc>
        <w:tc>
          <w:tcPr>
            <w:tcW w:w="176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1,220</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0"/>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1,220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Research and development cost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4,073</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expense</w:t>
            </w: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1,328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0"/>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7,028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w:t>
            </w:r>
          </w:p>
        </w:tc>
      </w:tr>
      <w:tr>
        <w:trPr>
          <w:trHeight w:val="324"/>
        </w:trPr>
        <w:tc>
          <w:tcPr>
            <w:tcW w:w="7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(5,808)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70"/>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83"/>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(5,808)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r>
      <w:tr>
        <w:trPr>
          <w:trHeight w:val="224"/>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Company’s share of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00497F"/>
        </w:rPr>
        <w:t>Intermodal Finance I, Ltd.</w:t>
      </w:r>
    </w:p>
    <w:p>
      <w:pPr>
        <w:spacing w:after="0" w:line="133"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In 2012, the Company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the Company does not have unilateral rights over this investment; therefore, the Company does not consolidate Intermodal but accounts for this investment in accordance with the equity method. The Company does not have a variable interest in this investment as none of the criteria of ASC 810-10-15-14 were met.</w:t>
      </w:r>
    </w:p>
    <w:p>
      <w:pPr>
        <w:spacing w:after="0" w:line="101"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As of December 31, 2017, Intermodal owns a portfolio of multiple finance leases, representing five customers and comprising approximately 24,000 shipping containers, as well as a portfolio of approximately 10,000 shipping containers subject to multiple operating leases. During the years ended December 31, 2017, 2016 and 2015, Intermodal Finance I, Ltd. recorded an asset impairment charge of $0, $6,016 and $20,604, respectively, which resulted from certain operating leases not being renewed and containers being returned at a faster pace than expected. The Company's proportionate share of the impairment charge was $0, $3,068 and $10,508 based on its 51% ownership percentage for the years ended December 31, 2017, 2016 and 2015, respectively. The Company’s proportionate share of equity in (losses) earnings was $(189), $(5,974), $(6,956) for the years ended December 31, 2017, 2016, and 2015, respectively.</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audited consolidated financial statements of Intermodal as of and for the years ended December 31, 2017, 2016, and 2015, are presented herein.</w:t>
      </w:r>
    </w:p>
    <w:p>
      <w:pPr>
        <w:spacing w:after="0" w:line="93"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6"/>
          <w:szCs w:val="16"/>
          <w:b w:val="1"/>
          <w:bCs w:val="1"/>
          <w:color w:val="00497F"/>
        </w:rPr>
      </w:pPr>
      <w:r>
        <w:rPr>
          <w:rFonts w:ascii="Arial" w:cs="Arial" w:eastAsia="Arial" w:hAnsi="Arial"/>
          <w:sz w:val="16"/>
          <w:szCs w:val="16"/>
          <w:b w:val="1"/>
          <w:bCs w:val="1"/>
          <w:color w:val="00497F"/>
        </w:rPr>
        <w:t>INTANGIBLE ASSETS AND LIABILITIES, NET</w:t>
      </w:r>
    </w:p>
    <w:p>
      <w:pPr>
        <w:spacing w:after="0" w:line="133"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The Company’s intangible assets and liabilities, net are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31"/>
        </w:trPr>
        <w:tc>
          <w:tcPr>
            <w:tcW w:w="4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Railroad</w:t>
            </w:r>
          </w:p>
        </w:tc>
        <w:tc>
          <w:tcPr>
            <w:tcW w:w="320" w:type="dxa"/>
            <w:vAlign w:val="bottom"/>
          </w:tcPr>
          <w:p>
            <w:pPr>
              <w:spacing w:after="0"/>
              <w:rPr>
                <w:sz w:val="20"/>
                <w:szCs w:val="20"/>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39"/>
        </w:trPr>
        <w:tc>
          <w:tcPr>
            <w:tcW w:w="430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4"/>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Intangible assets</w:t>
            </w: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4300" w:type="dxa"/>
            <w:vAlign w:val="bottom"/>
          </w:tcPr>
          <w:p>
            <w:pPr>
              <w:ind w:left="40"/>
              <w:spacing w:after="0"/>
              <w:rPr>
                <w:sz w:val="20"/>
                <w:szCs w:val="20"/>
                <w:color w:val="auto"/>
              </w:rPr>
            </w:pPr>
            <w:r>
              <w:rPr>
                <w:rFonts w:ascii="Arial" w:cs="Arial" w:eastAsia="Arial" w:hAnsi="Arial"/>
                <w:sz w:val="14"/>
                <w:szCs w:val="14"/>
                <w:color w:val="auto"/>
              </w:rPr>
              <w:t>Acquired favorable lease intangibles</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36,747</w:t>
            </w:r>
          </w:p>
        </w:tc>
        <w:tc>
          <w:tcPr>
            <w:tcW w:w="12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36,747</w:t>
            </w:r>
          </w:p>
        </w:tc>
      </w:tr>
      <w:tr>
        <w:trPr>
          <w:trHeight w:val="276"/>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13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(20,452)</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(20,452)</w:t>
            </w:r>
          </w:p>
        </w:tc>
      </w:tr>
      <w:tr>
        <w:trPr>
          <w:trHeight w:val="244"/>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Acquired favorable lease intangibles, net</w:t>
            </w: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16,295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16,295</w:t>
            </w:r>
          </w:p>
        </w:tc>
      </w:tr>
      <w:tr>
        <w:trPr>
          <w:trHeight w:val="256"/>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35,513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35,738</w:t>
            </w:r>
          </w:p>
        </w:tc>
      </w:tr>
      <w:tr>
        <w:trPr>
          <w:trHeight w:val="264"/>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(11,990)</w:t>
            </w:r>
          </w:p>
        </w:tc>
      </w:tr>
      <w:tr>
        <w:trPr>
          <w:trHeight w:val="256"/>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customer relationships, net</w:t>
            </w:r>
          </w:p>
        </w:tc>
        <w:tc>
          <w:tcPr>
            <w:tcW w:w="13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23,688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23,748</w:t>
            </w:r>
          </w:p>
        </w:tc>
      </w:tr>
      <w:tr>
        <w:trPr>
          <w:trHeight w:val="277"/>
        </w:trPr>
        <w:tc>
          <w:tcPr>
            <w:tcW w:w="4300" w:type="dxa"/>
            <w:vAlign w:val="bottom"/>
          </w:tcPr>
          <w:p>
            <w:pPr>
              <w:ind w:left="40"/>
              <w:spacing w:after="0"/>
              <w:rPr>
                <w:sz w:val="20"/>
                <w:szCs w:val="20"/>
                <w:color w:val="auto"/>
              </w:rPr>
            </w:pPr>
            <w:r>
              <w:rPr>
                <w:rFonts w:ascii="Arial" w:cs="Arial" w:eastAsia="Arial" w:hAnsi="Arial"/>
                <w:sz w:val="14"/>
                <w:szCs w:val="14"/>
                <w:b w:val="1"/>
                <w:bCs w:val="1"/>
                <w:color w:val="auto"/>
              </w:rPr>
              <w:t>Total intangible assets, net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16,295</w:t>
            </w:r>
          </w:p>
        </w:tc>
        <w:tc>
          <w:tcPr>
            <w:tcW w:w="12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23,688</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40,043</w:t>
            </w:r>
          </w:p>
        </w:tc>
      </w:tr>
      <w:tr>
        <w:trPr>
          <w:trHeight w:val="278"/>
        </w:trPr>
        <w:tc>
          <w:tcPr>
            <w:tcW w:w="4300" w:type="dxa"/>
            <w:vAlign w:val="bottom"/>
            <w:tcBorders>
              <w:top w:val="single" w:sz="8" w:color="CCEEFF"/>
            </w:tcBorders>
            <w:shd w:val="clear" w:color="auto" w:fill="CCEEFF"/>
          </w:tcPr>
          <w:p>
            <w:pPr>
              <w:spacing w:after="0"/>
              <w:rPr>
                <w:sz w:val="24"/>
                <w:szCs w:val="24"/>
                <w:color w:val="auto"/>
              </w:rPr>
            </w:pPr>
          </w:p>
        </w:tc>
        <w:tc>
          <w:tcPr>
            <w:tcW w:w="13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64"/>
        </w:trPr>
        <w:tc>
          <w:tcPr>
            <w:tcW w:w="4300" w:type="dxa"/>
            <w:vAlign w:val="bottom"/>
          </w:tcPr>
          <w:p>
            <w:pPr>
              <w:ind w:left="40"/>
              <w:spacing w:after="0"/>
              <w:rPr>
                <w:sz w:val="20"/>
                <w:szCs w:val="20"/>
                <w:color w:val="auto"/>
              </w:rPr>
            </w:pPr>
            <w:r>
              <w:rPr>
                <w:rFonts w:ascii="Arial" w:cs="Arial" w:eastAsia="Arial" w:hAnsi="Arial"/>
                <w:sz w:val="14"/>
                <w:szCs w:val="14"/>
                <w:b w:val="1"/>
                <w:bCs w:val="1"/>
                <w:color w:val="auto"/>
              </w:rPr>
              <w:t>Intangible liabilities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unfavorable lease intangibles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2,732</w:t>
            </w:r>
          </w:p>
        </w:tc>
      </w:tr>
      <w:tr>
        <w:trPr>
          <w:trHeight w:val="264"/>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r>
      <w:tr>
        <w:trPr>
          <w:trHeight w:val="243"/>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unfavorable lease intangibles, net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01"/>
        </w:trPr>
        <w:tc>
          <w:tcPr>
            <w:tcW w:w="4300" w:type="dxa"/>
            <w:vAlign w:val="bottom"/>
          </w:tcPr>
          <w:p>
            <w:pPr>
              <w:spacing w:after="0"/>
              <w:rPr>
                <w:sz w:val="24"/>
                <w:szCs w:val="24"/>
                <w:color w:val="auto"/>
              </w:rPr>
            </w:pPr>
          </w:p>
        </w:tc>
        <w:tc>
          <w:tcPr>
            <w:tcW w:w="2700" w:type="dxa"/>
            <w:vAlign w:val="bottom"/>
            <w:gridSpan w:val="3"/>
          </w:tcPr>
          <w:p>
            <w:pPr>
              <w:jc w:val="right"/>
              <w:ind w:right="108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31"/>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Railroad</w:t>
            </w:r>
          </w:p>
        </w:tc>
        <w:tc>
          <w:tcPr>
            <w:tcW w:w="320" w:type="dxa"/>
            <w:vAlign w:val="bottom"/>
          </w:tcPr>
          <w:p>
            <w:pPr>
              <w:spacing w:after="0"/>
              <w:rPr>
                <w:sz w:val="20"/>
                <w:szCs w:val="20"/>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39"/>
        </w:trPr>
        <w:tc>
          <w:tcPr>
            <w:tcW w:w="56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26,605</w:t>
            </w:r>
          </w:p>
        </w:tc>
        <w:tc>
          <w:tcPr>
            <w:tcW w:w="12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26,605</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(14,998)</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(14,998)</w:t>
            </w:r>
          </w:p>
        </w:tc>
      </w:tr>
      <w:tr>
        <w:trPr>
          <w:trHeight w:val="24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Acquired favorable lease intangibles, net</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11,607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11,607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35,513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35,738</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(8,391)</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customer relationships, net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27,242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27,347</w:t>
            </w: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11,607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27,242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38,954</w:t>
            </w:r>
          </w:p>
        </w:tc>
      </w:tr>
      <w:tr>
        <w:trPr>
          <w:trHeight w:val="278"/>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Intangible liabilities</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unfavorable lease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1,506</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660" w:right="420"/>
        <w:spacing w:after="0" w:line="260"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of intangible assets and liabilities is recorded in the Consolidated Statements of Operations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Classification in Consolidated Statements</w:t>
            </w: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6"/>
        </w:trPr>
        <w:tc>
          <w:tcPr>
            <w:tcW w:w="2620" w:type="dxa"/>
            <w:vAlign w:val="bottom"/>
          </w:tcPr>
          <w:p>
            <w:pPr>
              <w:spacing w:after="0"/>
              <w:rPr>
                <w:sz w:val="17"/>
                <w:szCs w:val="17"/>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Operations</w:t>
            </w: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4"/>
        </w:trPr>
        <w:tc>
          <w:tcPr>
            <w:tcW w:w="2620" w:type="dxa"/>
            <w:vAlign w:val="bottom"/>
            <w:tcBorders>
              <w:bottom w:val="single" w:sz="8" w:color="CCEEFF"/>
            </w:tcBorders>
          </w:tcPr>
          <w:p>
            <w:pPr>
              <w:spacing w:after="0"/>
              <w:rPr>
                <w:sz w:val="22"/>
                <w:szCs w:val="22"/>
                <w:color w:val="auto"/>
              </w:rPr>
            </w:pPr>
          </w:p>
        </w:tc>
        <w:tc>
          <w:tcPr>
            <w:tcW w:w="29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2015</w:t>
            </w:r>
          </w:p>
        </w:tc>
      </w:tr>
      <w:tr>
        <w:trPr>
          <w:trHeight w:val="256"/>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intangibles</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leasing revenues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6,774</w:t>
            </w:r>
          </w:p>
        </w:tc>
      </w:tr>
      <w:tr>
        <w:trPr>
          <w:trHeight w:val="264"/>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Customer relationships</w:t>
            </w:r>
          </w:p>
        </w:tc>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Depreciation and amortization</w:t>
            </w: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3,585</w:t>
            </w:r>
          </w:p>
        </w:tc>
      </w:tr>
      <w:tr>
        <w:trPr>
          <w:trHeight w:val="243"/>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10,359</w:t>
            </w:r>
          </w:p>
        </w:tc>
      </w:tr>
      <w:tr>
        <w:trPr>
          <w:trHeight w:val="20"/>
        </w:trPr>
        <w:tc>
          <w:tcPr>
            <w:tcW w:w="2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estimated net annual amortization of intangibles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40" w:type="dxa"/>
            <w:vAlign w:val="bottom"/>
            <w:tcBorders>
              <w:bottom w:val="single" w:sz="8" w:color="CCEEFF"/>
            </w:tcBorders>
          </w:tcPr>
          <w:p>
            <w:pPr>
              <w:spacing w:after="0"/>
              <w:rPr>
                <w:sz w:val="17"/>
                <w:szCs w:val="17"/>
                <w:color w:val="auto"/>
              </w:rPr>
            </w:pPr>
          </w:p>
        </w:tc>
        <w:tc>
          <w:tcPr>
            <w:tcW w:w="64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68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210"/>
        </w:trPr>
        <w:tc>
          <w:tcPr>
            <w:tcW w:w="3140" w:type="dxa"/>
            <w:vAlign w:val="bottom"/>
          </w:tcPr>
          <w:p>
            <w:pPr>
              <w:ind w:left="40"/>
              <w:spacing w:after="0"/>
              <w:rPr>
                <w:sz w:val="20"/>
                <w:szCs w:val="20"/>
                <w:color w:val="auto"/>
              </w:rPr>
            </w:pPr>
            <w:r>
              <w:rPr>
                <w:rFonts w:ascii="Arial" w:cs="Arial" w:eastAsia="Arial" w:hAnsi="Arial"/>
                <w:sz w:val="14"/>
                <w:szCs w:val="14"/>
                <w:color w:val="auto"/>
              </w:rPr>
              <w:t>2019</w:t>
            </w:r>
          </w:p>
        </w:tc>
        <w:tc>
          <w:tcPr>
            <w:tcW w:w="6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7,771</w:t>
            </w: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6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6,388</w:t>
            </w:r>
          </w:p>
        </w:tc>
        <w:tc>
          <w:tcPr>
            <w:tcW w:w="0" w:type="dxa"/>
            <w:vAlign w:val="bottom"/>
          </w:tcPr>
          <w:p>
            <w:pPr>
              <w:spacing w:after="0"/>
              <w:rPr>
                <w:sz w:val="1"/>
                <w:szCs w:val="1"/>
                <w:color w:val="auto"/>
              </w:rPr>
            </w:pPr>
          </w:p>
        </w:tc>
      </w:tr>
      <w:tr>
        <w:trPr>
          <w:trHeight w:val="210"/>
        </w:trPr>
        <w:tc>
          <w:tcPr>
            <w:tcW w:w="3140" w:type="dxa"/>
            <w:vAlign w:val="bottom"/>
          </w:tcPr>
          <w:p>
            <w:pPr>
              <w:ind w:left="40"/>
              <w:spacing w:after="0"/>
              <w:rPr>
                <w:sz w:val="20"/>
                <w:szCs w:val="20"/>
                <w:color w:val="auto"/>
              </w:rPr>
            </w:pPr>
            <w:r>
              <w:rPr>
                <w:rFonts w:ascii="Arial" w:cs="Arial" w:eastAsia="Arial" w:hAnsi="Arial"/>
                <w:sz w:val="14"/>
                <w:szCs w:val="14"/>
                <w:color w:val="auto"/>
              </w:rPr>
              <w:t>2021</w:t>
            </w:r>
          </w:p>
        </w:tc>
        <w:tc>
          <w:tcPr>
            <w:tcW w:w="6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5,001</w:t>
            </w: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6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64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68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38,685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bottom w:val="single" w:sz="8" w:color="CCEEFF"/>
            </w:tcBorders>
            <w:vMerge w:val="restart"/>
          </w:tcPr>
          <w:p>
            <w:pPr>
              <w:jc w:val="right"/>
              <w:ind w:right="3688"/>
              <w:spacing w:after="0"/>
              <w:rPr>
                <w:sz w:val="20"/>
                <w:szCs w:val="20"/>
                <w:color w:val="auto"/>
              </w:rPr>
            </w:pPr>
            <w:r>
              <w:rPr>
                <w:rFonts w:ascii="Arial" w:cs="Arial" w:eastAsia="Arial" w:hAnsi="Arial"/>
                <w:sz w:val="14"/>
                <w:szCs w:val="14"/>
                <w:color w:val="auto"/>
              </w:rPr>
              <w:t>112</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14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Pr>
          <w:p>
            <w:pPr>
              <w:spacing w:after="0"/>
              <w:rPr>
                <w:sz w:val="20"/>
                <w:szCs w:val="20"/>
                <w:color w:val="auto"/>
              </w:rPr>
            </w:pPr>
            <w:r>
              <w:rPr>
                <w:rFonts w:ascii="Arial" w:cs="Arial" w:eastAsia="Arial" w:hAnsi="Arial"/>
                <w:sz w:val="16"/>
                <w:szCs w:val="16"/>
                <w:b w:val="1"/>
                <w:bCs w:val="1"/>
                <w:color w:val="00497F"/>
              </w:rPr>
              <w:t>8.</w:t>
            </w:r>
          </w:p>
        </w:tc>
        <w:tc>
          <w:tcPr>
            <w:tcW w:w="7020" w:type="dxa"/>
            <w:vAlign w:val="bottom"/>
          </w:tcPr>
          <w:p>
            <w:pPr>
              <w:ind w:left="240"/>
              <w:spacing w:after="0"/>
              <w:rPr>
                <w:sz w:val="20"/>
                <w:szCs w:val="20"/>
                <w:color w:val="auto"/>
              </w:rPr>
            </w:pPr>
            <w:r>
              <w:rPr>
                <w:rFonts w:ascii="Arial" w:cs="Arial" w:eastAsia="Arial" w:hAnsi="Arial"/>
                <w:sz w:val="16"/>
                <w:szCs w:val="16"/>
                <w:b w:val="1"/>
                <w:bCs w:val="1"/>
                <w:color w:val="00497F"/>
              </w:rPr>
              <w:t>DEBT, NET</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The Company’s debt, net is summarized as follows:</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24"/>
                <w:szCs w:val="24"/>
                <w:color w:val="auto"/>
              </w:rPr>
            </w:pPr>
          </w:p>
        </w:tc>
        <w:tc>
          <w:tcPr>
            <w:tcW w:w="170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 payable</w:t>
            </w:r>
          </w:p>
        </w:tc>
        <w:tc>
          <w:tcPr>
            <w:tcW w:w="22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0" w:type="dxa"/>
            <w:vAlign w:val="bottom"/>
            <w:shd w:val="clear" w:color="auto" w:fill="CCEEFF"/>
          </w:tcPr>
          <w:p>
            <w:pPr>
              <w:spacing w:after="0"/>
              <w:rPr>
                <w:sz w:val="24"/>
                <w:szCs w:val="24"/>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FTAI Pride Credit Agreement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53,993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60,937</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7020" w:type="dxa"/>
            <w:vAlign w:val="bottom"/>
          </w:tcPr>
          <w:p>
            <w:pPr>
              <w:ind w:left="80"/>
              <w:spacing w:after="0"/>
              <w:rPr>
                <w:sz w:val="20"/>
                <w:szCs w:val="20"/>
                <w:color w:val="auto"/>
              </w:rPr>
            </w:pPr>
            <w:r>
              <w:rPr>
                <w:rFonts w:ascii="Arial" w:cs="Arial" w:eastAsia="Arial" w:hAnsi="Arial"/>
                <w:sz w:val="14"/>
                <w:szCs w:val="14"/>
                <w:color w:val="auto"/>
              </w:rPr>
              <w:t>CMQR Credit Agreement</w:t>
            </w:r>
          </w:p>
        </w:tc>
        <w:tc>
          <w:tcPr>
            <w:tcW w:w="22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22,800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276"/>
        </w:trPr>
        <w:tc>
          <w:tcPr>
            <w:tcW w:w="420" w:type="dxa"/>
            <w:vAlign w:val="bottom"/>
            <w:shd w:val="clear" w:color="auto" w:fill="CCEEFF"/>
          </w:tcPr>
          <w:p>
            <w:pPr>
              <w:spacing w:after="0"/>
              <w:rPr>
                <w:sz w:val="24"/>
                <w:szCs w:val="24"/>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Jefferson Terminal Credit Agreement</w:t>
            </w:r>
          </w:p>
        </w:tc>
        <w:tc>
          <w:tcPr>
            <w:tcW w:w="22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7020" w:type="dxa"/>
            <w:vAlign w:val="bottom"/>
          </w:tcPr>
          <w:p>
            <w:pPr>
              <w:ind w:left="80"/>
              <w:spacing w:after="0"/>
              <w:rPr>
                <w:sz w:val="20"/>
                <w:szCs w:val="20"/>
                <w:color w:val="auto"/>
              </w:rPr>
            </w:pPr>
            <w:r>
              <w:rPr>
                <w:rFonts w:ascii="Arial" w:cs="Arial" w:eastAsia="Arial" w:hAnsi="Arial"/>
                <w:sz w:val="14"/>
                <w:szCs w:val="14"/>
                <w:color w:val="auto"/>
              </w:rPr>
              <w:t>Revolving Credit Facility</w:t>
            </w:r>
          </w:p>
        </w:tc>
        <w:tc>
          <w:tcPr>
            <w:tcW w:w="220" w:type="dxa"/>
            <w:vAlign w:val="bottom"/>
          </w:tcPr>
          <w:p>
            <w:pPr>
              <w:spacing w:after="0"/>
              <w:rPr>
                <w:sz w:val="22"/>
                <w:szCs w:val="2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20" w:type="dxa"/>
            <w:vAlign w:val="bottom"/>
            <w:tcBorders>
              <w:top w:val="single" w:sz="8" w:color="CCEEFF"/>
            </w:tcBorders>
            <w:shd w:val="clear" w:color="auto" w:fill="CCEEFF"/>
          </w:tcPr>
          <w:p>
            <w:pPr>
              <w:spacing w:after="0"/>
              <w:rPr>
                <w:sz w:val="22"/>
                <w:szCs w:val="22"/>
                <w:color w:val="auto"/>
              </w:rPr>
            </w:pPr>
          </w:p>
        </w:tc>
        <w:tc>
          <w:tcPr>
            <w:tcW w:w="70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loans payable</w:t>
            </w:r>
          </w:p>
        </w:tc>
        <w:tc>
          <w:tcPr>
            <w:tcW w:w="220" w:type="dxa"/>
            <w:vAlign w:val="bottom"/>
            <w:tcBorders>
              <w:top w:val="single" w:sz="8" w:color="auto"/>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76,793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73,562</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b w:val="1"/>
                <w:bCs w:val="1"/>
                <w:color w:val="auto"/>
              </w:rPr>
              <w:t>Bonds payable</w:t>
            </w: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20" w:type="dxa"/>
            <w:vAlign w:val="bottom"/>
            <w:shd w:val="clear" w:color="auto" w:fill="CCEEFF"/>
          </w:tcPr>
          <w:p>
            <w:pPr>
              <w:spacing w:after="0"/>
              <w:rPr>
                <w:sz w:val="17"/>
                <w:szCs w:val="17"/>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Series 2012 Bonds (including unamortized premium of $1,639 and $1,697 at December 31, 2017 and</w:t>
            </w:r>
          </w:p>
        </w:tc>
        <w:tc>
          <w:tcPr>
            <w:tcW w:w="220" w:type="dxa"/>
            <w:vAlign w:val="bottom"/>
            <w:shd w:val="clear" w:color="auto" w:fill="CCEEFF"/>
          </w:tcPr>
          <w:p>
            <w:pPr>
              <w:spacing w:after="0"/>
              <w:rPr>
                <w:sz w:val="17"/>
                <w:szCs w:val="17"/>
                <w:color w:val="auto"/>
              </w:rPr>
            </w:pPr>
          </w:p>
        </w:tc>
        <w:tc>
          <w:tcPr>
            <w:tcW w:w="1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44,404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shd w:val="clear" w:color="auto" w:fill="CCEEFF"/>
          </w:tcPr>
          <w:p>
            <w:pPr>
              <w:spacing w:after="0"/>
              <w:rPr>
                <w:sz w:val="16"/>
                <w:szCs w:val="16"/>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December 31, 2016, respectively)</w:t>
            </w:r>
          </w:p>
        </w:tc>
        <w:tc>
          <w:tcPr>
            <w:tcW w:w="220" w:type="dxa"/>
            <w:vAlign w:val="bottom"/>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45,887</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7020" w:type="dxa"/>
            <w:vAlign w:val="bottom"/>
          </w:tcPr>
          <w:p>
            <w:pPr>
              <w:ind w:left="80"/>
              <w:spacing w:after="0"/>
              <w:rPr>
                <w:sz w:val="20"/>
                <w:szCs w:val="20"/>
                <w:color w:val="auto"/>
              </w:rPr>
            </w:pPr>
            <w:r>
              <w:rPr>
                <w:rFonts w:ascii="Arial" w:cs="Arial" w:eastAsia="Arial" w:hAnsi="Arial"/>
                <w:sz w:val="14"/>
                <w:szCs w:val="14"/>
                <w:color w:val="auto"/>
              </w:rPr>
              <w:t>Series 2016 Bonds</w:t>
            </w:r>
          </w:p>
        </w:tc>
        <w:tc>
          <w:tcPr>
            <w:tcW w:w="22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144,200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200"/>
        </w:trPr>
        <w:tc>
          <w:tcPr>
            <w:tcW w:w="420" w:type="dxa"/>
            <w:vAlign w:val="bottom"/>
            <w:shd w:val="clear" w:color="auto" w:fill="CCEEFF"/>
          </w:tcPr>
          <w:p>
            <w:pPr>
              <w:spacing w:after="0"/>
              <w:rPr>
                <w:sz w:val="17"/>
                <w:szCs w:val="17"/>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Senior Notes (including unamortized discount of $6,506 and unamortized premium of $5,796 at December</w:t>
            </w:r>
          </w:p>
        </w:tc>
        <w:tc>
          <w:tcPr>
            <w:tcW w:w="220" w:type="dxa"/>
            <w:vAlign w:val="bottom"/>
            <w:shd w:val="clear" w:color="auto" w:fill="CCEEFF"/>
          </w:tcPr>
          <w:p>
            <w:pPr>
              <w:spacing w:after="0"/>
              <w:rPr>
                <w:sz w:val="17"/>
                <w:szCs w:val="17"/>
                <w:color w:val="auto"/>
              </w:rPr>
            </w:pPr>
          </w:p>
        </w:tc>
        <w:tc>
          <w:tcPr>
            <w:tcW w:w="1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449,290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20" w:type="dxa"/>
            <w:vAlign w:val="bottom"/>
            <w:shd w:val="clear" w:color="auto" w:fill="CCEEFF"/>
          </w:tcPr>
          <w:p>
            <w:pPr>
              <w:spacing w:after="0"/>
              <w:rPr>
                <w:sz w:val="15"/>
                <w:szCs w:val="15"/>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31, 2017)</w:t>
            </w:r>
          </w:p>
        </w:tc>
        <w:tc>
          <w:tcPr>
            <w:tcW w:w="22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Arial" w:cs="Arial" w:eastAsia="Arial" w:hAnsi="Arial"/>
                <w:sz w:val="14"/>
                <w:szCs w:val="14"/>
                <w:color w:val="auto"/>
              </w:rPr>
              <w:t>Total bonds payable</w:t>
            </w:r>
          </w:p>
        </w:tc>
        <w:tc>
          <w:tcPr>
            <w:tcW w:w="220" w:type="dxa"/>
            <w:vAlign w:val="bottom"/>
          </w:tcPr>
          <w:p>
            <w:pPr>
              <w:spacing w:after="0"/>
              <w:rPr>
                <w:sz w:val="21"/>
                <w:szCs w:val="21"/>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637,894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190,087</w:t>
            </w:r>
          </w:p>
        </w:tc>
        <w:tc>
          <w:tcPr>
            <w:tcW w:w="0" w:type="dxa"/>
            <w:vAlign w:val="bottom"/>
          </w:tcPr>
          <w:p>
            <w:pPr>
              <w:spacing w:after="0"/>
              <w:rPr>
                <w:sz w:val="1"/>
                <w:szCs w:val="1"/>
                <w:color w:val="auto"/>
              </w:rPr>
            </w:pPr>
          </w:p>
        </w:tc>
      </w:tr>
      <w:tr>
        <w:trPr>
          <w:trHeight w:val="27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Note payable to non-controlling interest</w:t>
            </w: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 w:type="dxa"/>
            <w:vAlign w:val="bottom"/>
            <w:tcBorders>
              <w:bottom w:val="single" w:sz="8" w:color="CCEEFF"/>
            </w:tcBorders>
          </w:tcPr>
          <w:p>
            <w:pPr>
              <w:spacing w:after="0"/>
              <w:rPr>
                <w:sz w:val="22"/>
                <w:szCs w:val="22"/>
                <w:color w:val="auto"/>
              </w:rPr>
            </w:pPr>
          </w:p>
        </w:tc>
        <w:tc>
          <w:tcPr>
            <w:tcW w:w="70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Note payable to non-controlling interest</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256"/>
        </w:trPr>
        <w:tc>
          <w:tcPr>
            <w:tcW w:w="420" w:type="dxa"/>
            <w:vAlign w:val="bottom"/>
            <w:shd w:val="clear" w:color="auto" w:fill="CCEEFF"/>
          </w:tcPr>
          <w:p>
            <w:pPr>
              <w:spacing w:after="0"/>
              <w:rPr>
                <w:sz w:val="22"/>
                <w:szCs w:val="22"/>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note payable to non-controlling interest</w:t>
            </w:r>
          </w:p>
        </w:tc>
        <w:tc>
          <w:tcPr>
            <w:tcW w:w="22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270"/>
        </w:trPr>
        <w:tc>
          <w:tcPr>
            <w:tcW w:w="420" w:type="dxa"/>
            <w:vAlign w:val="bottom"/>
            <w:tcBorders>
              <w:bottom w:val="single" w:sz="8" w:color="CCEEFF"/>
            </w:tcBorders>
          </w:tcPr>
          <w:p>
            <w:pPr>
              <w:spacing w:after="0"/>
              <w:rPr>
                <w:sz w:val="23"/>
                <w:szCs w:val="23"/>
                <w:color w:val="auto"/>
              </w:rPr>
            </w:pPr>
          </w:p>
        </w:tc>
        <w:tc>
          <w:tcPr>
            <w:tcW w:w="70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Debt</w:t>
            </w:r>
          </w:p>
        </w:tc>
        <w:tc>
          <w:tcPr>
            <w:tcW w:w="7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714,687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266,001</w:t>
            </w:r>
          </w:p>
        </w:tc>
        <w:tc>
          <w:tcPr>
            <w:tcW w:w="0" w:type="dxa"/>
            <w:vAlign w:val="bottom"/>
          </w:tcPr>
          <w:p>
            <w:pPr>
              <w:spacing w:after="0"/>
              <w:rPr>
                <w:sz w:val="1"/>
                <w:szCs w:val="1"/>
                <w:color w:val="auto"/>
              </w:rPr>
            </w:pPr>
          </w:p>
        </w:tc>
      </w:tr>
      <w:tr>
        <w:trPr>
          <w:trHeight w:val="264"/>
        </w:trPr>
        <w:tc>
          <w:tcPr>
            <w:tcW w:w="420" w:type="dxa"/>
            <w:vAlign w:val="bottom"/>
            <w:tcBorders>
              <w:bottom w:val="single" w:sz="8" w:color="CCEEFF"/>
            </w:tcBorders>
          </w:tcPr>
          <w:p>
            <w:pPr>
              <w:spacing w:after="0"/>
              <w:rPr>
                <w:sz w:val="22"/>
                <w:szCs w:val="22"/>
                <w:color w:val="auto"/>
              </w:rPr>
            </w:pPr>
          </w:p>
        </w:tc>
        <w:tc>
          <w:tcPr>
            <w:tcW w:w="70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Less: Debt issuance costs</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(11,423)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(6,489)</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debt,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703,264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debt due within one year</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8,078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60"/>
        <w:spacing w:after="0" w:line="254" w:lineRule="auto"/>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0000"/>
        </w:rPr>
        <w:t>—On September 15, 2014, FTAI Pride, LLC, (“FTAI Pride”) a subsidiary of the Company entered into a credit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agreement (the “FTAI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in 2019 and can be prepaid without penalty at any time. The FTAI Pride Credit Agreement is secured on a first priority basis by the offshore construction vessel and charter. Borrowings under the FTAI Pride Credit Agreement bear interest at the LIBOR rate plus a spread of 4.50%.</w:t>
      </w:r>
    </w:p>
    <w:p>
      <w:pPr>
        <w:spacing w:after="0" w:line="94"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73"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0000"/>
        </w:rPr>
        <w:t>—On June 30, 2017, CMQR amended its credit agreement (the “CMQR Credit Agreement”) with a financial institution for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line of credit increase the aggregate amount from $20,000 to $25,000 and to extend the maturity date to September 18, 2019. Borrowings under the CMQR Credit Agreement bear interest at either (i) Adjusted LIBOR plus a spread of 2.50% or 4.50%, (ii) the U.S. or Canadian Base Rate plus a spread of 1.50% or 3.50%, or (iii) the Canadian Fixed Rate plus a spread of 2.50% or 4.50%, as defined by the CMQR Credit Agreement. The weighted-average effective interest rate as of December 31, 2017 and 2016, was 3.95% and 3.21%, respectively.</w:t>
      </w:r>
    </w:p>
    <w:p>
      <w:pPr>
        <w:spacing w:after="0" w:line="92"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The CMQR Credit Agreement is also indirectly supported by Fortress Transportation and Infrastructure Investors LLC (the “Sponsor”). In the event of a default under the credit agreement, CMQR’s lenders can cause CMQR to call up to a total of $29 million in capital from the Sponsor, and in the event of CMQR’s bankruptcy, the lenders can put the debt back to the Sponsor. The CMQR Credit Agreement contains affirmative and negative covenants which limit certain actions of CMQR.</w:t>
      </w:r>
    </w:p>
    <w:p>
      <w:pPr>
        <w:spacing w:after="0" w:line="75" w:lineRule="exact"/>
        <w:rPr>
          <w:sz w:val="20"/>
          <w:szCs w:val="20"/>
          <w:color w:val="auto"/>
        </w:rPr>
      </w:pPr>
    </w:p>
    <w:p>
      <w:pPr>
        <w:jc w:val="both"/>
        <w:ind w:left="660"/>
        <w:spacing w:after="0" w:line="254" w:lineRule="auto"/>
        <w:rPr>
          <w:sz w:val="20"/>
          <w:szCs w:val="20"/>
          <w:color w:val="auto"/>
        </w:rPr>
      </w:pPr>
      <w:r>
        <w:rPr>
          <w:rFonts w:ascii="Arial" w:cs="Arial" w:eastAsia="Arial" w:hAnsi="Arial"/>
          <w:sz w:val="16"/>
          <w:szCs w:val="16"/>
          <w:b w:val="1"/>
          <w:bCs w:val="1"/>
          <w:i w:val="1"/>
          <w:iCs w:val="1"/>
          <w:color w:val="00497F"/>
        </w:rPr>
        <w:t>Jefferson Terminal Credit Agreement</w:t>
      </w:r>
      <w:r>
        <w:rPr>
          <w:rFonts w:ascii="Arial" w:cs="Arial" w:eastAsia="Arial" w:hAnsi="Arial"/>
          <w:sz w:val="16"/>
          <w:szCs w:val="16"/>
          <w:color w:val="000000"/>
        </w:rPr>
        <w:t>—On August 27, 2014, a subsidiary of the Company entered into a credit agreement (the “Jefferson Terminal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Credit Agreement”) with a financial institution for an aggregate amount of $100,000. 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first quarter of 2016, the Company recorded a loss on extinguishment of debt of $1,579.</w:t>
      </w:r>
    </w:p>
    <w:p>
      <w:pPr>
        <w:sectPr>
          <w:pgSz w:w="11900" w:h="16838" w:orient="portrait"/>
          <w:cols w:equalWidth="0" w:num="1">
            <w:col w:w="11420"/>
          </w:cols>
          <w:pgMar w:left="240" w:top="121" w:right="239"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420"/>
          </w:cols>
          <w:pgMar w:left="240" w:top="121"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b w:val="1"/>
          <w:bCs w:val="1"/>
          <w:i w:val="1"/>
          <w:iCs w:val="1"/>
          <w:color w:val="00497F"/>
        </w:rPr>
        <w:t>Series 2012 Bonds</w:t>
      </w:r>
      <w:r>
        <w:rPr>
          <w:rFonts w:ascii="Arial" w:cs="Arial" w:eastAsia="Arial" w:hAnsi="Arial"/>
          <w:sz w:val="16"/>
          <w:szCs w:val="16"/>
          <w:color w:val="000000"/>
        </w:rPr>
        <w:t>—On August 1, 2012, Jefferson County Development Corporation issued $46,875 of tax-exempt industrial bonds (“Series 2012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288"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93"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The Series 2012 Bond agreement contains a financial covenant requiring a subsidiary of the Company to maintain a long-term debt service coverage ratio, as defined in the agreement, of 1.25 to 1, in each fiscal year, beginning with December 31, 2014.</w:t>
      </w:r>
    </w:p>
    <w:p>
      <w:pPr>
        <w:spacing w:after="0" w:line="68"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b w:val="1"/>
          <w:bCs w:val="1"/>
          <w:i w:val="1"/>
          <w:iCs w:val="1"/>
          <w:color w:val="00497F"/>
        </w:rPr>
        <w:t>Series 2016 Bonds</w:t>
      </w:r>
      <w:r>
        <w:rPr>
          <w:rFonts w:ascii="Arial" w:cs="Arial" w:eastAsia="Arial" w:hAnsi="Arial"/>
          <w:sz w:val="16"/>
          <w:szCs w:val="16"/>
          <w:color w:val="000000"/>
        </w:rPr>
        <w:t>—On March 7, 2016, the Port of Beaumont Navigation District of Jefferson County, Texas (the “District”) issued $144,200 of Dock</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95"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97"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therein, as well as maintenance of a minimum total asset value of Aviation Assets and minimum total equity of the Company. In connection with the above, and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affiliate of the Manager will effectively guarantee a pro rata portion of the obligations under the Standby Bond Purchase Agreement in return for a guarantee fee of $6,873 (shared on the same pro rata basis). This fee will be amortized as interest expense to the earlier of the redemption date or February 13, 2020.</w:t>
      </w:r>
    </w:p>
    <w:p>
      <w:pPr>
        <w:spacing w:after="0" w:line="100"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b w:val="1"/>
          <w:bCs w:val="1"/>
          <w:i w:val="1"/>
          <w:iCs w:val="1"/>
          <w:color w:val="00497F"/>
        </w:rPr>
        <w:t>Term Loan</w:t>
      </w:r>
      <w:r>
        <w:rPr>
          <w:rFonts w:ascii="Arial" w:cs="Arial" w:eastAsia="Arial" w:hAnsi="Arial"/>
          <w:sz w:val="16"/>
          <w:szCs w:val="16"/>
          <w:color w:val="00497F"/>
        </w:rPr>
        <w:t>—</w:t>
      </w:r>
      <w:r>
        <w:rPr>
          <w:rFonts w:ascii="Arial" w:cs="Arial" w:eastAsia="Arial" w:hAnsi="Arial"/>
          <w:sz w:val="16"/>
          <w:szCs w:val="16"/>
          <w:color w:val="000000"/>
        </w:rPr>
        <w:t>On January 23, 2017, the Company entered into an unsecured credit agreement under which the Company, through its wholly owned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subsidiaries, including the Partnership and WWTAI Finance Ltd., an exempted company incorporated with limited liability under the laws of Bermuda, borrowed $100,000 in term loans denominated in U.S. dollars (the “Term Loans”). The proceeds of the Term Loan are to be used for general corporate purposes, including future acquisitions by the Company and its subsidiaries of certain aviation and infrastructure assets. The Term Loans bear interest at the Base Rate (determined in accordance with the agreement) plus 2.75% per annum, or at the Adjusted Eurodollar Rate (determined in accordance with the agreement) plus 3.75% per annum, if the Company chooses to make Eurodollar Rate borrowings. The Term Loans mature on January 22, 2018 subject to the Company’s right to elect a one-year extension, and require amortization payments in the amount of $250 on the last day of each fiscal quarter beginning on March 31, 2017. On March 15, 2017, all amounts outstanding under the Term Loan were repaid in full and the agreement was terminated. Accordingly, during the year ended December 31, 2017, the Company recorded a loss on extinguishment of debt of $2,456.</w:t>
      </w:r>
    </w:p>
    <w:p>
      <w:pPr>
        <w:spacing w:after="0" w:line="321" w:lineRule="exact"/>
        <w:rPr>
          <w:sz w:val="20"/>
          <w:szCs w:val="20"/>
          <w:color w:val="auto"/>
        </w:rPr>
      </w:pPr>
    </w:p>
    <w:p>
      <w:pPr>
        <w:jc w:val="both"/>
        <w:ind w:left="660"/>
        <w:spacing w:after="0" w:line="254" w:lineRule="auto"/>
        <w:rPr>
          <w:sz w:val="20"/>
          <w:szCs w:val="20"/>
          <w:color w:val="auto"/>
        </w:rPr>
      </w:pPr>
      <w:r>
        <w:rPr>
          <w:rFonts w:ascii="Arial" w:cs="Arial" w:eastAsia="Arial" w:hAnsi="Arial"/>
          <w:sz w:val="16"/>
          <w:szCs w:val="16"/>
          <w:b w:val="1"/>
          <w:bCs w:val="1"/>
          <w:i w:val="1"/>
          <w:iCs w:val="1"/>
          <w:color w:val="00497F"/>
        </w:rPr>
        <w:t>Senior Notes</w:t>
      </w:r>
      <w:r>
        <w:rPr>
          <w:rFonts w:ascii="Arial" w:cs="Arial" w:eastAsia="Arial" w:hAnsi="Arial"/>
          <w:sz w:val="16"/>
          <w:szCs w:val="16"/>
          <w:color w:val="00497F"/>
        </w:rPr>
        <w:t>—</w:t>
      </w:r>
      <w:r>
        <w:rPr>
          <w:rFonts w:ascii="Arial" w:cs="Arial" w:eastAsia="Arial" w:hAnsi="Arial"/>
          <w:sz w:val="16"/>
          <w:szCs w:val="16"/>
          <w:color w:val="000000"/>
        </w:rPr>
        <w:t>On March 15, 2017, the Company issued $250,000 aggregate principal amount of 6.75% senior unsecured notes due 2022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“Senior Notes”). The Senior Notes were issued pursuant to an indenture, dated as of March 15, 2017, between the Company and U.S. Bank National Association, as trustee. On August 23, 2017, the Company issued an additional $100,000 of Senior Notes. The additional notes issued on August 23, 2017 were issued at an offering price of 102.75% of the principal amount plus accrued interest from March 15, 2017 to the date of issuance. On December 20, 2017, the Company issued an additional $100,000 of Senior Notes. The additional notes issued on December 20, 2017 were issued at an offering price of 103.25% of the principal amount plus accrued interest from September 15, 2017.</w:t>
      </w:r>
    </w:p>
    <w:p>
      <w:pPr>
        <w:spacing w:after="0" w:line="148"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Senior Notes bear interest at a rate of 6.75% per annum, payable semi-annually in arrears on March 15 and September 15 of each year, commencing on September 15, 2017, to persons who are registered holders of the Senior Notes on the immediately preceding March 1 and September 1, respectively.</w:t>
      </w:r>
    </w:p>
    <w:p>
      <w:pPr>
        <w:spacing w:after="0" w:line="147"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The Senior Notes mature on March 15, 2022. Prior to March 15, 2020, the Company may redeem some or all of the Senior Notes at a redemption price equal to 100.00% of the principal amount of the Senior Notes redeemed, plus accrued and unpaid interest, if any, to, but not including, the applicable redemption date, plus a “make-whole” premium. On or after March 15, 2020, the Company may redeem some or all of the Senior Notes at any time at declining redemption prices equal to (i) 105.063% beginning on March 15, 2020, and (ii) 100.00% beginning on March 15, 2021 and thereafter, plus, in each case, accrued and unpaid interest, if any, to, but not including, the applicable redemption date. In addition, at any time on or prior to March 15, 2020, the Company may at any time redeem up to 40% of the aggregate principal amount of the Senior Notes using net proceeds from certain equity offerings at a redemption price equal to 106.75% of the principal amount of the Senior Notes redeemed, plus accrued and unpaid interest, if any, to, but not including, the applicable redemption date.</w:t>
      </w:r>
    </w:p>
    <w:p>
      <w:pPr>
        <w:spacing w:after="0" w:line="154"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 used a portion of the proceeds to fully repay all outstanding indebtedness under the Company’s Term Loan in the amount of $100,000, payment of fees related to the issuance of Senior Notes, and to fund the purchase of additional investments. The Company intends to use the remainder of the proceeds for general corporate purposes, including the funding of future investments.</w:t>
      </w:r>
    </w:p>
    <w:p>
      <w:pPr>
        <w:spacing w:after="0" w:line="73"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0000"/>
        </w:rPr>
        <w:t>—On June 16, 2017, the Company entered into a revolving credit facility (the “Revolving Credit Facility”) with certain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lenders and issuing banks and JPMorgan Chase Bank, N.A., as administrative agent. The Revolving Credit Facility provides for revolving loans in the aggregate principal amount of up to $75,000, of which $25,000 may be utilized for the issuance of letters of credit. The proceeds drawn on this facility will be used for working capital and general corporate purposes, including, without limitation, permitted acquisitions and other investments. The Revolving Credit Facility is secured by the capital stock of certain direct subsidiaries of the Company as defined in the related credit agreement.</w:t>
      </w:r>
    </w:p>
    <w:p>
      <w:pPr>
        <w:spacing w:after="0" w:line="92"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Borrowings outstanding under the Revolving Credit Facility bear interest at the Adjusted Eurodollar Rate (determined in accordance with the credit agreement) plus 3.00% per annum, if the Company chooses to make Eurodollar Rate borrowings, or at the Base Rate (determined in accordance with the credit agreement) plus 2.00% per annum. The Company will also be required to pay a quarterly commitment fee at a rate per annum equal to 0.50% on the average daily unused portion of the Revolving Credit Facility, as well as customary letter of credit fees and agency fees.</w:t>
      </w:r>
    </w:p>
    <w:p>
      <w:pPr>
        <w:spacing w:after="0" w:line="95"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Revolving Credit Facility will mature, and commitments in respect of the Revolving Credit Facility will terminate, on June 16, 2020. Any amount borrowed under the Revolving Credit Facility may be voluntarily prepaid without penalty or premium, other than customary breakage costs related to prepayments of Eurodollar Rate borrowings.</w:t>
      </w:r>
    </w:p>
    <w:p>
      <w:pPr>
        <w:spacing w:after="0" w:line="93"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Revolving Credit Facility includes financial covenants requiring the maintenance of (1) a minimum ratio of the appraised value of certain aviation assets to the aggregate commitments under the revolving credit facility of 3.00 to 1.00 and (2) a maximum ratio of debt to total equity (before reduction for minority interests) for the Company and its subsidiaries of 1.65 to 1.00 per the terms of the credit agreement.</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2017, the Company had no borrowings outstanding under the Revolving Credit Facility.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6"/>
          <w:szCs w:val="16"/>
          <w:b w:val="1"/>
          <w:bCs w:val="1"/>
          <w:i w:val="1"/>
          <w:iCs w:val="1"/>
          <w:color w:val="00497F"/>
        </w:rPr>
        <w:t>Note Payable to Non-Controlling Interest</w:t>
      </w:r>
      <w:r>
        <w:rPr>
          <w:rFonts w:ascii="Arial" w:cs="Arial" w:eastAsia="Arial" w:hAnsi="Arial"/>
          <w:sz w:val="16"/>
          <w:szCs w:val="16"/>
          <w:color w:val="000000"/>
        </w:rPr>
        <w:t>—In May 2013, in connection with the capitalization of a consolidated subsidiary, the Company and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owner of the non-controlling interest loaned approximately $18,275 and $3,225, respectively, to the entity in proportion to their respective ownership percentages of 85% and 15%. The loans bear interest at an annual rate of 5% and require monthly payments of principal and interest through their final maturity in May 2021. The loan amount funded by the Company and related interest have been eliminated in consolidation.</w:t>
      </w:r>
    </w:p>
    <w:p>
      <w:pPr>
        <w:spacing w:after="0" w:line="90"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During the third quarter of 2017, the Company entered into a settlement arrangement whereby the holder of the non-controlling interest settled its $3,725 loan due to the Company in conjunction with the MT6015 venture by transferring its 15% interest in a consolidated subsidiary of the Company, and the note payable due to the holder of the non-controlling interest was extinguished. The settlement resulted in a net gain of $1,093 recorded in other income. Refer to Note 2 for further detail.</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was in compliance with all debt covenants as of December 31, 2017.</w:t>
      </w:r>
    </w:p>
    <w:p>
      <w:pPr>
        <w:spacing w:after="0" w:line="113"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As of December 31, 2017, scheduled principal repayments under the Company’s debt agreements for the next five years and thereafter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Thereafter</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FTAI Pride Credit Agreement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47,743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53,993</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CMQR Credit Agreement</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22,800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22,800</w:t>
            </w: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Series 2012 Bonds (excluding</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unamortized premium of $1,639)</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33,660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42,765</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Series 2016 Bonds</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144,200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144,200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450,000</w:t>
            </w:r>
          </w:p>
        </w:tc>
      </w:tr>
      <w:tr>
        <w:trPr>
          <w:trHeight w:val="156"/>
        </w:trPr>
        <w:tc>
          <w:tcPr>
            <w:tcW w:w="274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Total principal payments on loans and</w:t>
            </w: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189"/>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bonds payable</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7,795</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72,213</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146,010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452,120</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33,660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713,758</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6"/>
          <w:szCs w:val="16"/>
          <w:b w:val="1"/>
          <w:bCs w:val="1"/>
          <w:color w:val="00497F"/>
        </w:rPr>
      </w:pPr>
      <w:r>
        <w:rPr>
          <w:rFonts w:ascii="Arial" w:cs="Arial" w:eastAsia="Arial" w:hAnsi="Arial"/>
          <w:sz w:val="16"/>
          <w:szCs w:val="16"/>
          <w:b w:val="1"/>
          <w:bCs w:val="1"/>
          <w:color w:val="00497F"/>
        </w:rPr>
        <w:t>FAIR VALUE MEASUREMENTS</w:t>
      </w:r>
    </w:p>
    <w:p>
      <w:pPr>
        <w:spacing w:after="0" w:line="133" w:lineRule="exact"/>
        <w:rPr>
          <w:rFonts w:ascii="Arial" w:cs="Arial" w:eastAsia="Arial" w:hAnsi="Arial"/>
          <w:sz w:val="16"/>
          <w:szCs w:val="16"/>
          <w:b w:val="1"/>
          <w:bCs w:val="1"/>
          <w:color w:val="00497F"/>
        </w:rPr>
      </w:pPr>
    </w:p>
    <w:p>
      <w:pPr>
        <w:ind w:left="660"/>
        <w:spacing w:after="0" w:line="260" w:lineRule="auto"/>
        <w:rPr>
          <w:rFonts w:ascii="Arial" w:cs="Arial" w:eastAsia="Arial" w:hAnsi="Arial"/>
          <w:sz w:val="16"/>
          <w:szCs w:val="16"/>
          <w:b w:val="1"/>
          <w:bCs w:val="1"/>
          <w:color w:val="00497F"/>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14" w:lineRule="exact"/>
        <w:rPr>
          <w:rFonts w:ascii="Arial" w:cs="Arial" w:eastAsia="Arial" w:hAnsi="Arial"/>
          <w:sz w:val="16"/>
          <w:szCs w:val="16"/>
          <w:b w:val="1"/>
          <w:bCs w:val="1"/>
          <w:color w:val="00497F"/>
        </w:rPr>
      </w:pPr>
    </w:p>
    <w:p>
      <w:pPr>
        <w:ind w:left="1360" w:hanging="704"/>
        <w:spacing w:after="0"/>
        <w:tabs>
          <w:tab w:leader="none" w:pos="13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53" w:lineRule="exact"/>
        <w:rPr>
          <w:rFonts w:ascii="Arial" w:cs="Arial" w:eastAsia="Arial" w:hAnsi="Arial"/>
          <w:sz w:val="16"/>
          <w:szCs w:val="16"/>
          <w:color w:val="auto"/>
        </w:rPr>
      </w:pPr>
    </w:p>
    <w:p>
      <w:pPr>
        <w:ind w:left="1300" w:hanging="644"/>
        <w:spacing w:after="0" w:line="260"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1300" w:right="20" w:hanging="644"/>
        <w:spacing w:after="0" w:line="260"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the Company to develop its own assumptions about how market participants price the asset or liability.</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1300" w:hanging="644"/>
        <w:spacing w:after="0" w:line="260"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87" w:lineRule="exact"/>
        <w:rPr>
          <w:rFonts w:ascii="Arial" w:cs="Arial" w:eastAsia="Arial" w:hAnsi="Arial"/>
          <w:sz w:val="16"/>
          <w:szCs w:val="16"/>
          <w:color w:val="auto"/>
        </w:rPr>
      </w:pPr>
    </w:p>
    <w:p>
      <w:pPr>
        <w:ind w:left="1300" w:right="20" w:hanging="644"/>
        <w:spacing w:after="0" w:line="260"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1300" w:hanging="644"/>
        <w:spacing w:after="0"/>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16"/>
          <w:szCs w:val="16"/>
          <w:color w:val="auto"/>
        </w:rPr>
        <w:t>The following tables set forth the Company’s financial assets measured at fair value on a recurring basis as of December 31, 2017 and December 31, 2016, by level within the fair value hierarchy. Assets measured at fair value are classified in their entirety based on the lowest level of input that is significant to their fair value measurement.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 Value as of</w:t>
            </w:r>
          </w:p>
        </w:tc>
        <w:tc>
          <w:tcPr>
            <w:tcW w:w="320" w:type="dxa"/>
            <w:vAlign w:val="bottom"/>
          </w:tcPr>
          <w:p>
            <w:pPr>
              <w:spacing w:after="0"/>
              <w:rPr>
                <w:sz w:val="16"/>
                <w:szCs w:val="16"/>
                <w:color w:val="auto"/>
              </w:rPr>
            </w:pPr>
          </w:p>
        </w:tc>
        <w:tc>
          <w:tcPr>
            <w:tcW w:w="4300" w:type="dxa"/>
            <w:vAlign w:val="bottom"/>
            <w:gridSpan w:val="6"/>
          </w:tcPr>
          <w:p>
            <w:pPr>
              <w:jc w:val="center"/>
              <w:ind w:left="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76"/>
        </w:trPr>
        <w:tc>
          <w:tcPr>
            <w:tcW w:w="2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 2017</w:t>
            </w: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62"/>
        </w:trPr>
        <w:tc>
          <w:tcPr>
            <w:tcW w:w="29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Valuation</w:t>
            </w:r>
          </w:p>
        </w:tc>
      </w:tr>
      <w:tr>
        <w:trPr>
          <w:trHeight w:val="196"/>
        </w:trPr>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Technique</w:t>
            </w:r>
          </w:p>
        </w:tc>
      </w:tr>
      <w:tr>
        <w:trPr>
          <w:trHeight w:val="270"/>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4"/>
        </w:trPr>
        <w:tc>
          <w:tcPr>
            <w:tcW w:w="2980" w:type="dxa"/>
            <w:vAlign w:val="bottom"/>
          </w:tcPr>
          <w:p>
            <w:pPr>
              <w:ind w:left="38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59,400</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59,400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6"/>
        </w:trPr>
        <w:tc>
          <w:tcPr>
            <w:tcW w:w="2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33,406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33,406</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37"/>
        </w:trPr>
        <w:tc>
          <w:tcPr>
            <w:tcW w:w="298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92,806</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92,806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98"/>
        </w:trPr>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 Value as of</w:t>
            </w:r>
          </w:p>
        </w:tc>
        <w:tc>
          <w:tcPr>
            <w:tcW w:w="320" w:type="dxa"/>
            <w:vAlign w:val="bottom"/>
          </w:tcPr>
          <w:p>
            <w:pPr>
              <w:spacing w:after="0"/>
              <w:rPr>
                <w:sz w:val="24"/>
                <w:szCs w:val="24"/>
                <w:color w:val="auto"/>
              </w:rPr>
            </w:pPr>
          </w:p>
        </w:tc>
        <w:tc>
          <w:tcPr>
            <w:tcW w:w="4300" w:type="dxa"/>
            <w:vAlign w:val="bottom"/>
            <w:gridSpan w:val="6"/>
          </w:tcPr>
          <w:p>
            <w:pPr>
              <w:jc w:val="center"/>
              <w:ind w:left="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6"/>
        </w:trPr>
        <w:tc>
          <w:tcPr>
            <w:tcW w:w="2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 2016</w:t>
            </w: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62"/>
        </w:trPr>
        <w:tc>
          <w:tcPr>
            <w:tcW w:w="29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Valuation</w:t>
            </w:r>
          </w:p>
        </w:tc>
      </w:tr>
      <w:tr>
        <w:trPr>
          <w:trHeight w:val="196"/>
        </w:trPr>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Technique</w:t>
            </w: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76"/>
        </w:trPr>
        <w:tc>
          <w:tcPr>
            <w:tcW w:w="2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4"/>
        </w:trPr>
        <w:tc>
          <w:tcPr>
            <w:tcW w:w="2980" w:type="dxa"/>
            <w:vAlign w:val="bottom"/>
          </w:tcPr>
          <w:p>
            <w:pPr>
              <w:ind w:left="38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65,441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65,441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6"/>
        </w:trPr>
        <w:tc>
          <w:tcPr>
            <w:tcW w:w="2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Available-for-sale securities</w:t>
            </w:r>
          </w:p>
        </w:tc>
        <w:tc>
          <w:tcPr>
            <w:tcW w:w="22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17,630</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17,630</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37"/>
        </w:trPr>
        <w:tc>
          <w:tcPr>
            <w:tcW w:w="298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151,126</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151,126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2017 and December 31, 2016, the Company had no liabilities that were measured at fair value on a recurring basis.</w:t>
      </w:r>
    </w:p>
    <w:p>
      <w:pPr>
        <w:spacing w:after="0" w:line="113"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The Company’s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 Publicly traded securities with sufficient trading volume are fair valued by management using quoted prices for identical instruments in active markets and are therefore classified as Level 1 within the fair value hierarchy.</w:t>
      </w:r>
    </w:p>
    <w:p>
      <w:pPr>
        <w:spacing w:after="0" w:line="95"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Except as discussed below, the Company’s financial instruments other than cash and cash equivalents, restricted cash and available-for-sale securities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95"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At December 31, 2017 and December 31, 2016, the Company’s notes receivable included a $0 and $17,935, respectively, loan bearing interest at 10% related to a terminal site under development, collateralized by property at that site, which was settled in the acquisition of Long Ridge. At December 31, 2016, the Company’s notes receivable included, as a component of other assets on the accompanying Consolidated Balance Sheets, a $3,725 loan bearing interest at 12.0% made to the Company’s joint venture partner in MT 6015 (Note 2) which was collateralized by other property owned by the joint venture partner. During the third quarter of 2017, the Company entered into a settlement agreement for this loan more fully discussed in Note 2. The fair value of these notes receivable approximate carrying value and are classified as Level 2, which is within the fair value hierarchy.</w:t>
      </w:r>
    </w:p>
    <w:p>
      <w:pPr>
        <w:spacing w:after="0" w:line="286"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At December 31, 2017, the Company recorded a derivative asset related to short-term forward crude contracts. The fair value of the short-term derivative asset of $1,022, recorded in other assets, is classified as Level 3 within the fair value hierarchy.</w:t>
      </w:r>
    </w:p>
    <w:p>
      <w:pPr>
        <w:spacing w:after="0" w:line="88"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The fair value of Series 2012 bonds, reported in debt, net on the Consolidated Balance Sheets, was approximately $45,691 and $46,488, respectively, at December 31, 2017 and December 31, 2016, based upon market prices for similar municipal securities. The fair value of Series 2016 bonds, reported in debt, net on the Consolidated Balance Sheets, was approximately $150,329 and $149,575 at December 31, 2017 and December 31, 2016, respectively, based upon market prices for similar municipal securities. The fair value of the Senior Notes, reported in debt, net on the Consolidated Balance Sheets, was approximately $449,290 as of December 31, 2017 as the carrying value approximates the market prices. The fair values of all other items reported as debt, net in the Consolidated Balance Sheet approximate their carrying values due to their bearing market rates of interest, and are classified as Level 2 within the fair value hierarchy.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77"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6"/>
          <w:szCs w:val="16"/>
          <w:b w:val="1"/>
          <w:bCs w:val="1"/>
          <w:color w:val="00497F"/>
        </w:rPr>
      </w:pPr>
      <w:r>
        <w:rPr>
          <w:rFonts w:ascii="Arial" w:cs="Arial" w:eastAsia="Arial" w:hAnsi="Arial"/>
          <w:sz w:val="16"/>
          <w:szCs w:val="16"/>
          <w:b w:val="1"/>
          <w:bCs w:val="1"/>
          <w:color w:val="00497F"/>
        </w:rPr>
        <w:t>REVENUES</w:t>
      </w:r>
    </w:p>
    <w:p>
      <w:pPr>
        <w:spacing w:after="0" w:line="133"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Components of revenue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13"/>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64"/>
        </w:trPr>
        <w:tc>
          <w:tcPr>
            <w:tcW w:w="22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Infrastructure</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75"/>
        </w:trPr>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Aviation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Shipping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Ports and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28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Leasing</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Containers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Railroad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Terminals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70"/>
        </w:trPr>
        <w:tc>
          <w:tcPr>
            <w:tcW w:w="2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Pr>
          <w:p>
            <w:pPr>
              <w:spacing w:after="0"/>
              <w:rPr>
                <w:sz w:val="23"/>
                <w:szCs w:val="23"/>
                <w:color w:val="auto"/>
              </w:rPr>
            </w:pPr>
          </w:p>
        </w:tc>
      </w:tr>
      <w:tr>
        <w:trPr>
          <w:trHeight w:val="264"/>
        </w:trPr>
        <w:tc>
          <w:tcPr>
            <w:tcW w:w="2280" w:type="dxa"/>
            <w:vAlign w:val="bottom"/>
          </w:tcPr>
          <w:p>
            <w:pPr>
              <w:ind w:left="500"/>
              <w:spacing w:after="0"/>
              <w:rPr>
                <w:sz w:val="20"/>
                <w:szCs w:val="20"/>
                <w:color w:val="auto"/>
              </w:rPr>
            </w:pPr>
            <w:r>
              <w:rPr>
                <w:rFonts w:ascii="Arial" w:cs="Arial" w:eastAsia="Arial" w:hAnsi="Arial"/>
                <w:sz w:val="14"/>
                <w:szCs w:val="14"/>
                <w:color w:val="auto"/>
              </w:rPr>
              <w:t>Lease income</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91,103</w:t>
            </w:r>
          </w:p>
        </w:tc>
        <w:tc>
          <w:tcPr>
            <w:tcW w:w="30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8,433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99,536</w:t>
            </w:r>
          </w:p>
        </w:tc>
        <w:tc>
          <w:tcPr>
            <w:tcW w:w="120" w:type="dxa"/>
            <w:vAlign w:val="bottom"/>
          </w:tcPr>
          <w:p>
            <w:pPr>
              <w:spacing w:after="0"/>
              <w:rPr>
                <w:sz w:val="22"/>
                <w:szCs w:val="22"/>
                <w:color w:val="auto"/>
              </w:rPr>
            </w:pPr>
          </w:p>
        </w:tc>
      </w:tr>
      <w:tr>
        <w:trPr>
          <w:trHeight w:val="276"/>
        </w:trPr>
        <w:tc>
          <w:tcPr>
            <w:tcW w:w="2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Maintenance revenue</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65,651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65,651</w:t>
            </w:r>
          </w:p>
        </w:tc>
        <w:tc>
          <w:tcPr>
            <w:tcW w:w="120" w:type="dxa"/>
            <w:vAlign w:val="bottom"/>
          </w:tcPr>
          <w:p>
            <w:pPr>
              <w:spacing w:after="0"/>
              <w:rPr>
                <w:sz w:val="24"/>
                <w:szCs w:val="24"/>
                <w:color w:val="auto"/>
              </w:rPr>
            </w:pPr>
          </w:p>
        </w:tc>
      </w:tr>
      <w:tr>
        <w:trPr>
          <w:trHeight w:val="264"/>
        </w:trPr>
        <w:tc>
          <w:tcPr>
            <w:tcW w:w="2280" w:type="dxa"/>
            <w:vAlign w:val="bottom"/>
          </w:tcPr>
          <w:p>
            <w:pPr>
              <w:ind w:left="500"/>
              <w:spacing w:after="0"/>
              <w:rPr>
                <w:sz w:val="20"/>
                <w:szCs w:val="20"/>
                <w:color w:val="auto"/>
              </w:rPr>
            </w:pPr>
            <w:r>
              <w:rPr>
                <w:rFonts w:ascii="Arial" w:cs="Arial" w:eastAsia="Arial" w:hAnsi="Arial"/>
                <w:sz w:val="14"/>
                <w:szCs w:val="14"/>
                <w:color w:val="auto"/>
              </w:rPr>
              <w:t>Finance lease income</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1,536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22"/>
                <w:szCs w:val="22"/>
                <w:color w:val="auto"/>
              </w:rPr>
            </w:pPr>
          </w:p>
        </w:tc>
      </w:tr>
      <w:tr>
        <w:trPr>
          <w:trHeight w:val="276"/>
        </w:trPr>
        <w:tc>
          <w:tcPr>
            <w:tcW w:w="2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revenue</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3,138</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3,277</w:t>
            </w:r>
          </w:p>
        </w:tc>
        <w:tc>
          <w:tcPr>
            <w:tcW w:w="120" w:type="dxa"/>
            <w:vAlign w:val="bottom"/>
          </w:tcPr>
          <w:p>
            <w:pPr>
              <w:spacing w:after="0"/>
              <w:rPr>
                <w:sz w:val="24"/>
                <w:szCs w:val="24"/>
                <w:color w:val="auto"/>
              </w:rPr>
            </w:pPr>
          </w:p>
        </w:tc>
      </w:tr>
      <w:tr>
        <w:trPr>
          <w:trHeight w:val="156"/>
        </w:trPr>
        <w:tc>
          <w:tcPr>
            <w:tcW w:w="2280" w:type="dxa"/>
            <w:vAlign w:val="bottom"/>
          </w:tcPr>
          <w:p>
            <w:pPr>
              <w:ind w:left="50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2280" w:type="dxa"/>
            <w:vAlign w:val="bottom"/>
          </w:tcPr>
          <w:p>
            <w:pPr>
              <w:ind w:left="500"/>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156,793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13,107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170,000</w:t>
            </w:r>
          </w:p>
        </w:tc>
        <w:tc>
          <w:tcPr>
            <w:tcW w:w="120" w:type="dxa"/>
            <w:vAlign w:val="bottom"/>
          </w:tcPr>
          <w:p>
            <w:pPr>
              <w:spacing w:after="0"/>
              <w:rPr>
                <w:sz w:val="17"/>
                <w:szCs w:val="17"/>
                <w:color w:val="auto"/>
              </w:rPr>
            </w:pPr>
          </w:p>
        </w:tc>
      </w:tr>
      <w:tr>
        <w:trPr>
          <w:trHeight w:val="270"/>
        </w:trPr>
        <w:tc>
          <w:tcPr>
            <w:tcW w:w="2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Pr>
          <w:p>
            <w:pPr>
              <w:spacing w:after="0"/>
              <w:rPr>
                <w:sz w:val="23"/>
                <w:szCs w:val="23"/>
                <w:color w:val="auto"/>
              </w:rPr>
            </w:pPr>
          </w:p>
        </w:tc>
      </w:tr>
      <w:tr>
        <w:trPr>
          <w:trHeight w:val="264"/>
        </w:trPr>
        <w:tc>
          <w:tcPr>
            <w:tcW w:w="2280" w:type="dxa"/>
            <w:vAlign w:val="bottom"/>
          </w:tcPr>
          <w:p>
            <w:pPr>
              <w:ind w:left="500"/>
              <w:spacing w:after="0"/>
              <w:rPr>
                <w:sz w:val="20"/>
                <w:szCs w:val="20"/>
                <w:color w:val="auto"/>
              </w:rPr>
            </w:pPr>
            <w:r>
              <w:rPr>
                <w:rFonts w:ascii="Arial" w:cs="Arial" w:eastAsia="Arial" w:hAnsi="Arial"/>
                <w:sz w:val="14"/>
                <w:szCs w:val="14"/>
                <w:color w:val="auto"/>
              </w:rPr>
              <w:t>Lease income</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22"/>
                <w:szCs w:val="22"/>
                <w:color w:val="auto"/>
              </w:rPr>
            </w:pPr>
          </w:p>
        </w:tc>
      </w:tr>
      <w:tr>
        <w:trPr>
          <w:trHeight w:val="276"/>
        </w:trPr>
        <w:tc>
          <w:tcPr>
            <w:tcW w:w="2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Rail revenues</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32,607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32,607</w:t>
            </w:r>
          </w:p>
        </w:tc>
        <w:tc>
          <w:tcPr>
            <w:tcW w:w="120" w:type="dxa"/>
            <w:vAlign w:val="bottom"/>
          </w:tcPr>
          <w:p>
            <w:pPr>
              <w:spacing w:after="0"/>
              <w:rPr>
                <w:sz w:val="24"/>
                <w:szCs w:val="24"/>
                <w:color w:val="auto"/>
              </w:rPr>
            </w:pPr>
          </w:p>
        </w:tc>
      </w:tr>
      <w:tr>
        <w:trPr>
          <w:trHeight w:val="264"/>
        </w:trPr>
        <w:tc>
          <w:tcPr>
            <w:tcW w:w="2280" w:type="dxa"/>
            <w:vAlign w:val="bottom"/>
          </w:tcPr>
          <w:p>
            <w:pPr>
              <w:ind w:left="500"/>
              <w:spacing w:after="0"/>
              <w:rPr>
                <w:sz w:val="20"/>
                <w:szCs w:val="20"/>
                <w:color w:val="auto"/>
              </w:rPr>
            </w:pPr>
            <w:r>
              <w:rPr>
                <w:rFonts w:ascii="Arial" w:cs="Arial" w:eastAsia="Arial" w:hAnsi="Arial"/>
                <w:sz w:val="14"/>
                <w:szCs w:val="14"/>
                <w:color w:val="auto"/>
              </w:rPr>
              <w:t>Terminal services revenues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10,229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10,229</w:t>
            </w:r>
          </w:p>
        </w:tc>
        <w:tc>
          <w:tcPr>
            <w:tcW w:w="120" w:type="dxa"/>
            <w:vAlign w:val="bottom"/>
          </w:tcPr>
          <w:p>
            <w:pPr>
              <w:spacing w:after="0"/>
              <w:rPr>
                <w:sz w:val="22"/>
                <w:szCs w:val="22"/>
                <w:color w:val="auto"/>
              </w:rPr>
            </w:pPr>
          </w:p>
        </w:tc>
      </w:tr>
      <w:tr>
        <w:trPr>
          <w:trHeight w:val="276"/>
        </w:trPr>
        <w:tc>
          <w:tcPr>
            <w:tcW w:w="2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revenue</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3,712</w:t>
            </w:r>
          </w:p>
        </w:tc>
        <w:tc>
          <w:tcPr>
            <w:tcW w:w="120" w:type="dxa"/>
            <w:vAlign w:val="bottom"/>
          </w:tcPr>
          <w:p>
            <w:pPr>
              <w:spacing w:after="0"/>
              <w:rPr>
                <w:sz w:val="24"/>
                <w:szCs w:val="24"/>
                <w:color w:val="auto"/>
              </w:rPr>
            </w:pPr>
          </w:p>
        </w:tc>
      </w:tr>
      <w:tr>
        <w:trPr>
          <w:trHeight w:val="156"/>
        </w:trPr>
        <w:tc>
          <w:tcPr>
            <w:tcW w:w="2280" w:type="dxa"/>
            <w:vAlign w:val="bottom"/>
          </w:tcPr>
          <w:p>
            <w:pPr>
              <w:ind w:left="500"/>
              <w:spacing w:after="0" w:line="156" w:lineRule="exact"/>
              <w:rPr>
                <w:sz w:val="20"/>
                <w:szCs w:val="20"/>
                <w:color w:val="auto"/>
              </w:rPr>
            </w:pPr>
            <w:r>
              <w:rPr>
                <w:rFonts w:ascii="Arial" w:cs="Arial" w:eastAsia="Arial" w:hAnsi="Arial"/>
                <w:sz w:val="14"/>
                <w:szCs w:val="14"/>
                <w:b w:val="1"/>
                <w:bCs w:val="1"/>
                <w:color w:val="auto"/>
              </w:rPr>
              <w:t>Total infrastructure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2280" w:type="dxa"/>
            <w:vAlign w:val="bottom"/>
            <w:tcBorders>
              <w:bottom w:val="single" w:sz="8" w:color="CCEEFF"/>
            </w:tcBorders>
          </w:tcPr>
          <w:p>
            <w:pPr>
              <w:ind w:left="500"/>
              <w:spacing w:after="0"/>
              <w:rPr>
                <w:sz w:val="20"/>
                <w:szCs w:val="20"/>
                <w:color w:val="auto"/>
              </w:rPr>
            </w:pPr>
            <w:r>
              <w:rPr>
                <w:rFonts w:ascii="Arial" w:cs="Arial" w:eastAsia="Arial" w:hAnsi="Arial"/>
                <w:sz w:val="14"/>
                <w:szCs w:val="14"/>
                <w:b w:val="1"/>
                <w:bCs w:val="1"/>
                <w:color w:val="auto"/>
              </w:rPr>
              <w:t>revenues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10,229</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32,607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47,659</w:t>
            </w:r>
          </w:p>
        </w:tc>
        <w:tc>
          <w:tcPr>
            <w:tcW w:w="120" w:type="dxa"/>
            <w:vAlign w:val="bottom"/>
          </w:tcPr>
          <w:p>
            <w:pPr>
              <w:spacing w:after="0"/>
              <w:rPr>
                <w:sz w:val="17"/>
                <w:szCs w:val="17"/>
                <w:color w:val="auto"/>
              </w:rPr>
            </w:pPr>
          </w:p>
        </w:tc>
      </w:tr>
      <w:tr>
        <w:trPr>
          <w:trHeight w:val="27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156,793</w:t>
            </w:r>
          </w:p>
        </w:tc>
        <w:tc>
          <w:tcPr>
            <w:tcW w:w="12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13,107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10,229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32,607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4,823</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217,659</w:t>
            </w:r>
          </w:p>
        </w:tc>
        <w:tc>
          <w:tcPr>
            <w:tcW w:w="120" w:type="dxa"/>
            <w:vAlign w:val="bottom"/>
          </w:tcPr>
          <w:p>
            <w:pPr>
              <w:spacing w:after="0"/>
              <w:rPr>
                <w:sz w:val="23"/>
                <w:szCs w:val="23"/>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8"/>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Year Ended December 31, 2016</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264"/>
        </w:trPr>
        <w:tc>
          <w:tcPr>
            <w:tcW w:w="2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Infrastructure</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75"/>
        </w:trPr>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Offshore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Shipping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Ports and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28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Energy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Containers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9"/>
              </w:rPr>
              <w:t>Terminal</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Railroad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Terminals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70"/>
        </w:trPr>
        <w:tc>
          <w:tcPr>
            <w:tcW w:w="2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r>
      <w:tr>
        <w:trPr>
          <w:trHeight w:val="264"/>
        </w:trPr>
        <w:tc>
          <w:tcPr>
            <w:tcW w:w="2280" w:type="dxa"/>
            <w:vAlign w:val="bottom"/>
          </w:tcPr>
          <w:p>
            <w:pPr>
              <w:ind w:left="500"/>
              <w:spacing w:after="0"/>
              <w:rPr>
                <w:sz w:val="20"/>
                <w:szCs w:val="20"/>
                <w:color w:val="auto"/>
              </w:rPr>
            </w:pPr>
            <w:r>
              <w:rPr>
                <w:rFonts w:ascii="Arial" w:cs="Arial" w:eastAsia="Arial" w:hAnsi="Arial"/>
                <w:sz w:val="14"/>
                <w:szCs w:val="14"/>
                <w:color w:val="auto"/>
              </w:rPr>
              <w:t>Lease income</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66,024</w:t>
            </w:r>
          </w:p>
        </w:tc>
        <w:tc>
          <w:tcPr>
            <w:tcW w:w="30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3,712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69,736</w:t>
            </w:r>
          </w:p>
        </w:tc>
      </w:tr>
      <w:tr>
        <w:trPr>
          <w:trHeight w:val="276"/>
        </w:trPr>
        <w:tc>
          <w:tcPr>
            <w:tcW w:w="2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Maintenance revenue</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28,697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28,697</w:t>
            </w:r>
          </w:p>
        </w:tc>
      </w:tr>
      <w:tr>
        <w:trPr>
          <w:trHeight w:val="264"/>
        </w:trPr>
        <w:tc>
          <w:tcPr>
            <w:tcW w:w="2280" w:type="dxa"/>
            <w:vAlign w:val="bottom"/>
          </w:tcPr>
          <w:p>
            <w:pPr>
              <w:ind w:left="500"/>
              <w:spacing w:after="0"/>
              <w:rPr>
                <w:sz w:val="20"/>
                <w:szCs w:val="20"/>
                <w:color w:val="auto"/>
              </w:rPr>
            </w:pPr>
            <w:r>
              <w:rPr>
                <w:rFonts w:ascii="Arial" w:cs="Arial" w:eastAsia="Arial" w:hAnsi="Arial"/>
                <w:sz w:val="14"/>
                <w:szCs w:val="14"/>
                <w:color w:val="auto"/>
              </w:rPr>
              <w:t>Finance lease income</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2,723</w:t>
            </w:r>
          </w:p>
        </w:tc>
      </w:tr>
      <w:tr>
        <w:trPr>
          <w:trHeight w:val="276"/>
        </w:trPr>
        <w:tc>
          <w:tcPr>
            <w:tcW w:w="2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revenue</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793</w:t>
            </w:r>
          </w:p>
        </w:tc>
      </w:tr>
      <w:tr>
        <w:trPr>
          <w:trHeight w:val="156"/>
        </w:trPr>
        <w:tc>
          <w:tcPr>
            <w:tcW w:w="2280" w:type="dxa"/>
            <w:vAlign w:val="bottom"/>
          </w:tcPr>
          <w:p>
            <w:pPr>
              <w:ind w:left="50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r>
      <w:tr>
        <w:trPr>
          <w:trHeight w:val="196"/>
        </w:trPr>
        <w:tc>
          <w:tcPr>
            <w:tcW w:w="2280" w:type="dxa"/>
            <w:vAlign w:val="bottom"/>
          </w:tcPr>
          <w:p>
            <w:pPr>
              <w:ind w:left="500"/>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95,408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5,328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101,949</w:t>
            </w:r>
          </w:p>
        </w:tc>
      </w:tr>
      <w:tr>
        <w:trPr>
          <w:trHeight w:val="270"/>
        </w:trPr>
        <w:tc>
          <w:tcPr>
            <w:tcW w:w="2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r>
      <w:tr>
        <w:trPr>
          <w:trHeight w:val="264"/>
        </w:trPr>
        <w:tc>
          <w:tcPr>
            <w:tcW w:w="2280" w:type="dxa"/>
            <w:vAlign w:val="bottom"/>
          </w:tcPr>
          <w:p>
            <w:pPr>
              <w:ind w:left="500"/>
              <w:spacing w:after="0"/>
              <w:rPr>
                <w:sz w:val="20"/>
                <w:szCs w:val="20"/>
                <w:color w:val="auto"/>
              </w:rPr>
            </w:pPr>
            <w:r>
              <w:rPr>
                <w:rFonts w:ascii="Arial" w:cs="Arial" w:eastAsia="Arial" w:hAnsi="Arial"/>
                <w:sz w:val="14"/>
                <w:szCs w:val="14"/>
                <w:color w:val="auto"/>
              </w:rPr>
              <w:t>Lease income</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32</w:t>
            </w:r>
          </w:p>
        </w:tc>
      </w:tr>
      <w:tr>
        <w:trPr>
          <w:trHeight w:val="276"/>
        </w:trPr>
        <w:tc>
          <w:tcPr>
            <w:tcW w:w="2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Rail revenues</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30,837</w:t>
            </w:r>
          </w:p>
        </w:tc>
      </w:tr>
      <w:tr>
        <w:trPr>
          <w:trHeight w:val="264"/>
        </w:trPr>
        <w:tc>
          <w:tcPr>
            <w:tcW w:w="2280" w:type="dxa"/>
            <w:vAlign w:val="bottom"/>
          </w:tcPr>
          <w:p>
            <w:pPr>
              <w:ind w:left="500"/>
              <w:spacing w:after="0"/>
              <w:rPr>
                <w:sz w:val="20"/>
                <w:szCs w:val="20"/>
                <w:color w:val="auto"/>
              </w:rPr>
            </w:pPr>
            <w:r>
              <w:rPr>
                <w:rFonts w:ascii="Arial" w:cs="Arial" w:eastAsia="Arial" w:hAnsi="Arial"/>
                <w:sz w:val="14"/>
                <w:szCs w:val="14"/>
                <w:color w:val="auto"/>
              </w:rPr>
              <w:t>Terminal services revenues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15,902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15,902</w:t>
            </w:r>
          </w:p>
        </w:tc>
      </w:tr>
      <w:tr>
        <w:trPr>
          <w:trHeight w:val="162"/>
        </w:trPr>
        <w:tc>
          <w:tcPr>
            <w:tcW w:w="22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b w:val="1"/>
                <w:bCs w:val="1"/>
                <w:color w:val="auto"/>
              </w:rPr>
              <w:t>Total infrastructure</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r>
      <w:tr>
        <w:trPr>
          <w:trHeight w:val="202"/>
        </w:trPr>
        <w:tc>
          <w:tcPr>
            <w:tcW w:w="228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revenues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15,902</w:t>
            </w: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30,837</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46,771</w:t>
            </w:r>
          </w:p>
        </w:tc>
      </w:tr>
      <w:tr>
        <w:trPr>
          <w:trHeight w:val="264"/>
        </w:trPr>
        <w:tc>
          <w:tcPr>
            <w:tcW w:w="228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95,408</w:t>
            </w:r>
          </w:p>
        </w:tc>
        <w:tc>
          <w:tcPr>
            <w:tcW w:w="30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5,328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1,213</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15,902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30,837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148,720</w:t>
            </w: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r>
        <w:trPr>
          <w:trHeight w:val="401"/>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color w:val="auto"/>
              </w:rPr>
              <w:t>118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Year Ended December 31, 2015</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64"/>
        </w:trPr>
        <w:tc>
          <w:tcPr>
            <w:tcW w:w="2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75"/>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200" w:type="dxa"/>
            <w:vAlign w:val="bottom"/>
          </w:tcPr>
          <w:p>
            <w:pPr>
              <w:spacing w:after="0"/>
              <w:rPr>
                <w:sz w:val="15"/>
                <w:szCs w:val="15"/>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Ports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20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Terminals</w:t>
            </w:r>
          </w:p>
        </w:tc>
        <w:tc>
          <w:tcPr>
            <w:tcW w:w="28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270"/>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r>
      <w:tr>
        <w:trPr>
          <w:trHeight w:val="264"/>
        </w:trPr>
        <w:tc>
          <w:tcPr>
            <w:tcW w:w="2620" w:type="dxa"/>
            <w:vAlign w:val="bottom"/>
          </w:tcPr>
          <w:p>
            <w:pPr>
              <w:ind w:left="50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42,924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21,959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64,883</w:t>
            </w:r>
          </w:p>
        </w:tc>
      </w:tr>
      <w:tr>
        <w:trPr>
          <w:trHeight w:val="276"/>
        </w:trPr>
        <w:tc>
          <w:tcPr>
            <w:tcW w:w="2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17,286</w:t>
            </w:r>
          </w:p>
        </w:tc>
      </w:tr>
      <w:tr>
        <w:trPr>
          <w:trHeight w:val="264"/>
        </w:trPr>
        <w:tc>
          <w:tcPr>
            <w:tcW w:w="2620" w:type="dxa"/>
            <w:vAlign w:val="bottom"/>
          </w:tcPr>
          <w:p>
            <w:pPr>
              <w:ind w:left="50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7,082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8,747</w:t>
            </w:r>
          </w:p>
        </w:tc>
      </w:tr>
      <w:tr>
        <w:trPr>
          <w:trHeight w:val="276"/>
        </w:trPr>
        <w:tc>
          <w:tcPr>
            <w:tcW w:w="2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revenue</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1,827</w:t>
            </w:r>
          </w:p>
        </w:tc>
      </w:tr>
      <w:tr>
        <w:trPr>
          <w:trHeight w:val="156"/>
        </w:trPr>
        <w:tc>
          <w:tcPr>
            <w:tcW w:w="2620" w:type="dxa"/>
            <w:vAlign w:val="bottom"/>
          </w:tcPr>
          <w:p>
            <w:pPr>
              <w:ind w:left="50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r>
      <w:tr>
        <w:trPr>
          <w:trHeight w:val="196"/>
        </w:trPr>
        <w:tc>
          <w:tcPr>
            <w:tcW w:w="2620" w:type="dxa"/>
            <w:vAlign w:val="bottom"/>
          </w:tcPr>
          <w:p>
            <w:pPr>
              <w:ind w:left="500"/>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61,330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24,231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7,182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92,743</w:t>
            </w:r>
          </w:p>
        </w:tc>
      </w:tr>
      <w:tr>
        <w:trPr>
          <w:trHeight w:val="270"/>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r>
      <w:tr>
        <w:trPr>
          <w:trHeight w:val="264"/>
        </w:trPr>
        <w:tc>
          <w:tcPr>
            <w:tcW w:w="2620" w:type="dxa"/>
            <w:vAlign w:val="bottom"/>
          </w:tcPr>
          <w:p>
            <w:pPr>
              <w:ind w:left="5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4,620</w:t>
            </w:r>
          </w:p>
        </w:tc>
      </w:tr>
      <w:tr>
        <w:trPr>
          <w:trHeight w:val="276"/>
        </w:trPr>
        <w:tc>
          <w:tcPr>
            <w:tcW w:w="26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Rail revenues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25,550</w:t>
            </w:r>
          </w:p>
        </w:tc>
      </w:tr>
      <w:tr>
        <w:trPr>
          <w:trHeight w:val="264"/>
        </w:trPr>
        <w:tc>
          <w:tcPr>
            <w:tcW w:w="26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Terminal services revenues</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13,655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13,655</w:t>
            </w:r>
          </w:p>
        </w:tc>
      </w:tr>
      <w:tr>
        <w:trPr>
          <w:trHeight w:val="270"/>
        </w:trPr>
        <w:tc>
          <w:tcPr>
            <w:tcW w:w="262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18,275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43,825</w:t>
            </w: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61,330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24,231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7,182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18,275</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25,550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136,568</w:t>
            </w:r>
          </w:p>
        </w:tc>
      </w:tr>
      <w:tr>
        <w:trPr>
          <w:trHeight w:val="20"/>
        </w:trPr>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660" w:right="40"/>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across several market sectors as of December 31,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Total</w:t>
            </w:r>
          </w:p>
        </w:tc>
      </w:tr>
      <w:tr>
        <w:trPr>
          <w:trHeight w:val="216"/>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118,784</w:t>
            </w:r>
          </w:p>
        </w:tc>
      </w:tr>
      <w:tr>
        <w:trPr>
          <w:trHeight w:val="210"/>
        </w:trPr>
        <w:tc>
          <w:tcPr>
            <w:tcW w:w="9480" w:type="dxa"/>
            <w:vAlign w:val="bottom"/>
          </w:tcPr>
          <w:p>
            <w:pPr>
              <w:ind w:left="40"/>
              <w:spacing w:after="0"/>
              <w:rPr>
                <w:sz w:val="20"/>
                <w:szCs w:val="20"/>
                <w:color w:val="auto"/>
              </w:rPr>
            </w:pPr>
            <w:r>
              <w:rPr>
                <w:rFonts w:ascii="Arial" w:cs="Arial" w:eastAsia="Arial" w:hAnsi="Arial"/>
                <w:sz w:val="14"/>
                <w:szCs w:val="14"/>
                <w:color w:val="auto"/>
              </w:rPr>
              <w:t>2019</w:t>
            </w:r>
          </w:p>
        </w:tc>
        <w:tc>
          <w:tcPr>
            <w:tcW w:w="46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77,243</w:t>
            </w:r>
          </w:p>
        </w:tc>
      </w:tr>
      <w:tr>
        <w:trPr>
          <w:trHeight w:val="222"/>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55,474</w:t>
            </w:r>
          </w:p>
        </w:tc>
      </w:tr>
      <w:tr>
        <w:trPr>
          <w:trHeight w:val="210"/>
        </w:trPr>
        <w:tc>
          <w:tcPr>
            <w:tcW w:w="9480" w:type="dxa"/>
            <w:vAlign w:val="bottom"/>
          </w:tcPr>
          <w:p>
            <w:pPr>
              <w:ind w:left="40"/>
              <w:spacing w:after="0"/>
              <w:rPr>
                <w:sz w:val="20"/>
                <w:szCs w:val="20"/>
                <w:color w:val="auto"/>
              </w:rPr>
            </w:pPr>
            <w:r>
              <w:rPr>
                <w:rFonts w:ascii="Arial" w:cs="Arial" w:eastAsia="Arial" w:hAnsi="Arial"/>
                <w:sz w:val="14"/>
                <w:szCs w:val="14"/>
                <w:color w:val="auto"/>
              </w:rPr>
              <w:t>2021</w:t>
            </w:r>
          </w:p>
        </w:tc>
        <w:tc>
          <w:tcPr>
            <w:tcW w:w="46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37,306</w:t>
            </w:r>
          </w:p>
        </w:tc>
      </w:tr>
      <w:tr>
        <w:trPr>
          <w:trHeight w:val="222"/>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19,431</w:t>
            </w:r>
          </w:p>
        </w:tc>
      </w:tr>
      <w:tr>
        <w:trPr>
          <w:trHeight w:val="210"/>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8,535</w:t>
            </w:r>
          </w:p>
        </w:tc>
      </w:tr>
      <w:tr>
        <w:trPr>
          <w:trHeight w:val="21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316,773</w:t>
            </w:r>
          </w:p>
        </w:tc>
      </w:tr>
      <w:tr>
        <w:trPr>
          <w:trHeight w:val="20"/>
        </w:trPr>
        <w:tc>
          <w:tcPr>
            <w:tcW w:w="9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6"/>
          <w:szCs w:val="16"/>
          <w:b w:val="1"/>
          <w:bCs w:val="1"/>
          <w:color w:val="00497F"/>
        </w:rPr>
      </w:pPr>
      <w:r>
        <w:rPr>
          <w:rFonts w:ascii="Arial" w:cs="Arial" w:eastAsia="Arial" w:hAnsi="Arial"/>
          <w:sz w:val="16"/>
          <w:szCs w:val="16"/>
          <w:b w:val="1"/>
          <w:bCs w:val="1"/>
          <w:color w:val="00497F"/>
        </w:rPr>
        <w:t>EQUITY-BASED COMPENSATION</w:t>
      </w:r>
    </w:p>
    <w:p>
      <w:pPr>
        <w:spacing w:after="0" w:line="133" w:lineRule="exact"/>
        <w:rPr>
          <w:rFonts w:ascii="Arial" w:cs="Arial" w:eastAsia="Arial" w:hAnsi="Arial"/>
          <w:sz w:val="16"/>
          <w:szCs w:val="16"/>
          <w:b w:val="1"/>
          <w:bCs w:val="1"/>
          <w:color w:val="00497F"/>
        </w:rPr>
      </w:pPr>
    </w:p>
    <w:p>
      <w:pPr>
        <w:jc w:val="both"/>
        <w:ind w:left="660"/>
        <w:spacing w:after="0" w:line="251" w:lineRule="auto"/>
        <w:rPr>
          <w:rFonts w:ascii="Arial" w:cs="Arial" w:eastAsia="Arial" w:hAnsi="Arial"/>
          <w:sz w:val="16"/>
          <w:szCs w:val="16"/>
          <w:b w:val="1"/>
          <w:bCs w:val="1"/>
          <w:color w:val="00497F"/>
        </w:rPr>
      </w:pPr>
      <w:r>
        <w:rPr>
          <w:rFonts w:ascii="Arial" w:cs="Arial" w:eastAsia="Arial" w:hAnsi="Arial"/>
          <w:sz w:val="16"/>
          <w:szCs w:val="16"/>
          <w:color w:val="auto"/>
        </w:rPr>
        <w:t>In 2015,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w:t>
      </w:r>
    </w:p>
    <w:p>
      <w:pPr>
        <w:spacing w:after="0" w:line="94" w:lineRule="exact"/>
        <w:rPr>
          <w:rFonts w:ascii="Arial" w:cs="Arial" w:eastAsia="Arial" w:hAnsi="Arial"/>
          <w:sz w:val="16"/>
          <w:szCs w:val="16"/>
          <w:b w:val="1"/>
          <w:bCs w:val="1"/>
          <w:color w:val="00497F"/>
        </w:rPr>
      </w:pPr>
    </w:p>
    <w:p>
      <w:pPr>
        <w:jc w:val="both"/>
        <w:ind w:left="660"/>
        <w:spacing w:after="0" w:line="253" w:lineRule="auto"/>
        <w:rPr>
          <w:rFonts w:ascii="Arial" w:cs="Arial" w:eastAsia="Arial" w:hAnsi="Arial"/>
          <w:sz w:val="16"/>
          <w:szCs w:val="16"/>
          <w:b w:val="1"/>
          <w:bCs w:val="1"/>
          <w:color w:val="00497F"/>
        </w:rPr>
      </w:pPr>
      <w:r>
        <w:rPr>
          <w:rFonts w:ascii="Arial" w:cs="Arial" w:eastAsia="Arial" w:hAnsi="Arial"/>
          <w:sz w:val="16"/>
          <w:szCs w:val="16"/>
          <w:color w:val="auto"/>
        </w:rPr>
        <w:t xml:space="preserve">As of December 31, 2017, the Incentive Plan provides for the issuance of up to 30 million shares. The Company accounts for equity-based compensation expense in accordance with Accounting Standards Codification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and is reported within operating expenses and general and administrative in the Consolidated Statements of Operations.</w:t>
      </w:r>
    </w:p>
    <w:p>
      <w:pPr>
        <w:spacing w:after="0" w:line="93"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The Consolidated Statements of Operations includes the following expense (income) related to its stock-based compensation arrangements: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60" w:type="dxa"/>
            <w:vAlign w:val="bottom"/>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 Expense To Be</w:t>
            </w: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Conditions Are Met</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color w:val="auto"/>
              </w:rPr>
              <w:t>Stock Options</w:t>
            </w:r>
          </w:p>
        </w:tc>
        <w:tc>
          <w:tcPr>
            <w:tcW w:w="8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Shares</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Common Units</w:t>
            </w: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1,025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380" w:type="dxa"/>
            <w:vAlign w:val="bottom"/>
          </w:tcPr>
          <w:p>
            <w:pPr>
              <w:spacing w:after="0"/>
              <w:rPr>
                <w:sz w:val="24"/>
                <w:szCs w:val="2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119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Stock Options</w:t>
      </w:r>
    </w:p>
    <w:p>
      <w:pPr>
        <w:spacing w:after="0" w:line="129"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In June 2015, the Company issued an aggregate of 15,000 stock options (5,000 options each) to its three independent directors pursuant to the Incentive Plan with a grant date fair value of $24 which immediately vested upon grant and expire after 10 years. The fair value of each stock option was estimated on the date of grant using a Black-Scholes option valuation model using the following assumptions: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7980" w:type="dxa"/>
            <w:vAlign w:val="bottom"/>
            <w:gridSpan w:val="9"/>
          </w:tcPr>
          <w:p>
            <w:pPr>
              <w:ind w:left="140"/>
              <w:spacing w:after="0"/>
              <w:rPr>
                <w:sz w:val="20"/>
                <w:szCs w:val="20"/>
                <w:color w:val="auto"/>
              </w:rPr>
            </w:pPr>
            <w:r>
              <w:rPr>
                <w:rFonts w:ascii="Arial" w:cs="Arial" w:eastAsia="Arial" w:hAnsi="Arial"/>
                <w:sz w:val="14"/>
                <w:szCs w:val="14"/>
                <w:color w:val="auto"/>
              </w:rPr>
              <w:t>Due to the lack of historical data for the Company’s own stock, the Company has based its expected volatility on a</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w w:val="99"/>
              </w:rPr>
              <w:t>28%</w:t>
            </w:r>
          </w:p>
        </w:tc>
        <w:tc>
          <w:tcPr>
            <w:tcW w:w="0" w:type="dxa"/>
            <w:vAlign w:val="bottom"/>
          </w:tcPr>
          <w:p>
            <w:pPr>
              <w:spacing w:after="0"/>
              <w:rPr>
                <w:sz w:val="1"/>
                <w:szCs w:val="1"/>
                <w:color w:val="auto"/>
              </w:rPr>
            </w:pPr>
          </w:p>
        </w:tc>
      </w:tr>
      <w:tr>
        <w:trPr>
          <w:trHeight w:val="178"/>
        </w:trPr>
        <w:tc>
          <w:tcPr>
            <w:tcW w:w="2200" w:type="dxa"/>
            <w:vAlign w:val="bottom"/>
          </w:tcPr>
          <w:p>
            <w:pPr>
              <w:spacing w:after="0"/>
              <w:rPr>
                <w:sz w:val="15"/>
                <w:szCs w:val="15"/>
                <w:color w:val="auto"/>
              </w:rPr>
            </w:pPr>
          </w:p>
        </w:tc>
        <w:tc>
          <w:tcPr>
            <w:tcW w:w="5020" w:type="dxa"/>
            <w:vAlign w:val="bottom"/>
            <w:gridSpan w:val="2"/>
          </w:tcPr>
          <w:p>
            <w:pPr>
              <w:ind w:left="140"/>
              <w:spacing w:after="0"/>
              <w:rPr>
                <w:sz w:val="20"/>
                <w:szCs w:val="20"/>
                <w:color w:val="auto"/>
              </w:rPr>
            </w:pPr>
            <w:r>
              <w:rPr>
                <w:rFonts w:ascii="Arial" w:cs="Arial" w:eastAsia="Arial" w:hAnsi="Arial"/>
                <w:sz w:val="14"/>
                <w:szCs w:val="14"/>
                <w:color w:val="auto"/>
              </w:rPr>
              <w:t>representative peer group with similar business characteristics.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 free interest rate</w:t>
            </w:r>
          </w:p>
        </w:tc>
        <w:tc>
          <w:tcPr>
            <w:tcW w:w="7980" w:type="dxa"/>
            <w:vAlign w:val="bottom"/>
            <w:gridSpan w:val="9"/>
            <w:shd w:val="clear" w:color="auto" w:fill="CCEEFF"/>
          </w:tcPr>
          <w:p>
            <w:pPr>
              <w:ind w:left="140"/>
              <w:spacing w:after="0"/>
              <w:rPr>
                <w:sz w:val="20"/>
                <w:szCs w:val="20"/>
                <w:color w:val="auto"/>
              </w:rPr>
            </w:pPr>
            <w:r>
              <w:rPr>
                <w:rFonts w:ascii="Arial" w:cs="Arial" w:eastAsia="Arial" w:hAnsi="Arial"/>
                <w:sz w:val="14"/>
                <w:szCs w:val="14"/>
                <w:color w:val="auto"/>
              </w:rPr>
              <w:t>The risk-free rate is determined using the implied yield currently available on U.S. government bonds with a term</w:t>
            </w:r>
          </w:p>
        </w:tc>
        <w:tc>
          <w:tcPr>
            <w:tcW w:w="124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spacing w:after="0"/>
              <w:rPr>
                <w:sz w:val="16"/>
                <w:szCs w:val="16"/>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consistent with the expected term on the date of grant.</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0" w:type="dxa"/>
            <w:vAlign w:val="bottom"/>
          </w:tcPr>
          <w:p>
            <w:pPr>
              <w:ind w:left="40"/>
              <w:spacing w:after="0"/>
              <w:rPr>
                <w:sz w:val="20"/>
                <w:szCs w:val="20"/>
                <w:color w:val="auto"/>
              </w:rPr>
            </w:pPr>
            <w:r>
              <w:rPr>
                <w:rFonts w:ascii="Arial" w:cs="Arial" w:eastAsia="Arial" w:hAnsi="Arial"/>
                <w:sz w:val="14"/>
                <w:szCs w:val="14"/>
                <w:color w:val="auto"/>
              </w:rPr>
              <w:t>Expected dividend yield</w:t>
            </w:r>
          </w:p>
        </w:tc>
        <w:tc>
          <w:tcPr>
            <w:tcW w:w="6520" w:type="dxa"/>
            <w:vAlign w:val="bottom"/>
            <w:gridSpan w:val="6"/>
          </w:tcPr>
          <w:p>
            <w:pPr>
              <w:ind w:left="140"/>
              <w:spacing w:after="0"/>
              <w:rPr>
                <w:sz w:val="20"/>
                <w:szCs w:val="20"/>
                <w:color w:val="auto"/>
              </w:rPr>
            </w:pPr>
            <w:r>
              <w:rPr>
                <w:rFonts w:ascii="Arial" w:cs="Arial" w:eastAsia="Arial" w:hAnsi="Arial"/>
                <w:sz w:val="14"/>
                <w:szCs w:val="14"/>
                <w:color w:val="auto"/>
              </w:rPr>
              <w:t>The expected dividend yield is based on management’s current expected dividend rate.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66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Expected term used represents the period of time the options granted are expected to be outstanding.</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419"/>
        </w:trPr>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Exercise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Intrinsic Value</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5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 options outstanding at January 1, 2017</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64"/>
        </w:trPr>
        <w:tc>
          <w:tcPr>
            <w:tcW w:w="2200" w:type="dxa"/>
            <w:vAlign w:val="bottom"/>
          </w:tcPr>
          <w:p>
            <w:pPr>
              <w:ind w:left="280"/>
              <w:spacing w:after="0"/>
              <w:rPr>
                <w:sz w:val="20"/>
                <w:szCs w:val="20"/>
                <w:color w:val="auto"/>
              </w:rPr>
            </w:pPr>
            <w:r>
              <w:rPr>
                <w:rFonts w:ascii="Arial" w:cs="Arial" w:eastAsia="Arial" w:hAnsi="Arial"/>
                <w:sz w:val="14"/>
                <w:szCs w:val="14"/>
                <w:color w:val="auto"/>
              </w:rPr>
              <w:t>Granted</w:t>
            </w:r>
          </w:p>
        </w:tc>
        <w:tc>
          <w:tcPr>
            <w:tcW w:w="37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Exercised</w:t>
            </w:r>
          </w:p>
        </w:tc>
        <w:tc>
          <w:tcPr>
            <w:tcW w:w="37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 and canceled</w:t>
            </w:r>
          </w:p>
        </w:tc>
        <w:tc>
          <w:tcPr>
            <w:tcW w:w="37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Stock options outstanding and exercisable as of December 31, 2017</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15,000</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6"/>
                <w:szCs w:val="16"/>
                <w:i w:val="1"/>
                <w:iCs w:val="1"/>
                <w:color w:val="auto"/>
              </w:rPr>
              <w:t>Restricted Shares</w:t>
            </w:r>
          </w:p>
        </w:tc>
        <w:tc>
          <w:tcPr>
            <w:tcW w:w="3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200" w:type="dxa"/>
            <w:vAlign w:val="bottom"/>
            <w:vMerge w:val="continue"/>
          </w:tcPr>
          <w:p>
            <w:pPr>
              <w:spacing w:after="0"/>
              <w:rPr>
                <w:sz w:val="24"/>
                <w:szCs w:val="24"/>
                <w:color w:val="auto"/>
              </w:rPr>
            </w:pPr>
          </w:p>
        </w:tc>
        <w:tc>
          <w:tcPr>
            <w:tcW w:w="3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Exercise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 Value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5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shares outstanding at January 1, 2017</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1,302,388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24,817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64"/>
        </w:trPr>
        <w:tc>
          <w:tcPr>
            <w:tcW w:w="2200" w:type="dxa"/>
            <w:vAlign w:val="bottom"/>
          </w:tcPr>
          <w:p>
            <w:pPr>
              <w:ind w:left="280"/>
              <w:spacing w:after="0"/>
              <w:rPr>
                <w:sz w:val="20"/>
                <w:szCs w:val="20"/>
                <w:color w:val="auto"/>
              </w:rPr>
            </w:pPr>
            <w:r>
              <w:rPr>
                <w:rFonts w:ascii="Arial" w:cs="Arial" w:eastAsia="Arial" w:hAnsi="Arial"/>
                <w:sz w:val="14"/>
                <w:szCs w:val="14"/>
                <w:color w:val="auto"/>
              </w:rPr>
              <w:t>Granted</w:t>
            </w:r>
          </w:p>
        </w:tc>
        <w:tc>
          <w:tcPr>
            <w:tcW w:w="37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31,430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76"/>
        </w:trPr>
        <w:tc>
          <w:tcPr>
            <w:tcW w:w="2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vested</w:t>
            </w:r>
          </w:p>
        </w:tc>
        <w:tc>
          <w:tcPr>
            <w:tcW w:w="37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4"/>
        </w:trPr>
        <w:tc>
          <w:tcPr>
            <w:tcW w:w="22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Less: forfeited and canceled</w:t>
            </w:r>
          </w:p>
        </w:tc>
        <w:tc>
          <w:tcPr>
            <w:tcW w:w="37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1,250,000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19.10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23,875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Restricted shares outstanding and exercisable as of December 31, 2017</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70,721</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The Company granted equity based compensation awards in a subsidiary consisting of 1.3 million restricted shares in exchange for services. The first award for 1.25 million restricted shares had a grant date fair value of $23,879. The fair value was determined on the grant date, August 27, 2014, using the market approach assuming no forfeitures. The shares vest in three tranches over three years, subject to continued employment and achievement of three separate performance conditions based on EBITDA for that subsidiary. The compensation expense will be recognized ratably over the remaining service period when it is probable that the performance conditions will be achieved and expires in August 2017. During the year ended December 31, 2016, the achievement of all performance conditions was deemed not probable and, accordingly, the $4,402 expense previously recognized was reversed in operating expenses in the Consolidated Statement of Operations. During the year ended December 31, 2017, 1.25 million restricted shares became ineligible for vesting due to i) the expiration of the award agreement and ii) certain performance conditions that were not reached. These shares had a grant date fair value of $23,879. This expiration had no impact on the Company’s financial statements for the year ended December 31, 2017.</w:t>
      </w:r>
    </w:p>
    <w:p>
      <w:pPr>
        <w:spacing w:after="0" w:line="288"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The second award of 42,000 restricted shares had a grant day fair value of $800 using the market approach and assuming no forfeited awards. The award vests over four years, provided the employee remains employed by the Company. During the first quarter of 2016, the employee terminated his employment, at which time 50% of the award was vested and 50% was forfeited per the terms of the agreement with the employee. In lieu of delivering the vested shares, the Company paid $200 in cash to the former employee in accordance with the amended terms of the agreement during the second quarter of 2016, effectively terminating and canceling the awards.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third award of 52,388 restricted shares had a grant date fair value of $942. The fair value was determined on the grant date, November 9, 2016, using the discounted cash flows model. The shares vest over four years, subject to continued employment through June 2020. The compensation expense will be recognized ratably through the fourth anniversary of the employee’s start date.</w:t>
      </w:r>
    </w:p>
    <w:p>
      <w:pPr>
        <w:spacing w:after="0" w:line="93"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fourth award of 31,340 restricted shares had a grant date fair value of $495. The fair value was determined on the grant date using the discounted cash flows model. The shares vest ratably through the fourth anniversary of the grant date, subject to continued employment through May 2021. The compensation expense will be recognized ratably through the fourth anniversary of the grant date.</w:t>
      </w:r>
    </w:p>
    <w:p>
      <w:pPr>
        <w:spacing w:after="0" w:line="93"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fair value of the third and fourth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Common Units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 Exercise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Aggregate Value</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Contractual Term</w:t>
            </w:r>
          </w:p>
        </w:tc>
      </w:tr>
      <w:tr>
        <w:trPr>
          <w:trHeight w:val="196"/>
        </w:trPr>
        <w:tc>
          <w:tcPr>
            <w:tcW w:w="59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Common Units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56"/>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units outstanding at January 1, 2017</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83,333</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0.77</w:t>
            </w:r>
          </w:p>
        </w:tc>
      </w:tr>
      <w:tr>
        <w:trPr>
          <w:trHeight w:val="264"/>
        </w:trPr>
        <w:tc>
          <w:tcPr>
            <w:tcW w:w="5960" w:type="dxa"/>
            <w:vAlign w:val="bottom"/>
          </w:tcPr>
          <w:p>
            <w:pPr>
              <w:ind w:left="380"/>
              <w:spacing w:after="0"/>
              <w:rPr>
                <w:sz w:val="20"/>
                <w:szCs w:val="20"/>
                <w:color w:val="auto"/>
              </w:rPr>
            </w:pPr>
            <w:r>
              <w:rPr>
                <w:rFonts w:ascii="Arial" w:cs="Arial" w:eastAsia="Arial" w:hAnsi="Arial"/>
                <w:sz w:val="14"/>
                <w:szCs w:val="14"/>
                <w:color w:val="auto"/>
              </w:rPr>
              <w:t>Granted</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1,025,050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1,025</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1.24</w:t>
            </w:r>
          </w:p>
        </w:tc>
      </w:tr>
      <w:tr>
        <w:trPr>
          <w:trHeight w:val="276"/>
        </w:trPr>
        <w:tc>
          <w:tcPr>
            <w:tcW w:w="5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Less: vested</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535,858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264"/>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Less: forfeited and canceled</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N/A</w:t>
            </w: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Common units outstanding and exercisable as of December 31, 2017</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572,525</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In 2014 and 2015, the Company granted equity based compensation in a subsidiary consisting of common units in exchange for services assuming no forfeited amounts. The awards have varying terms, ranging between 16 and 36 months, and vest subject to continued employment through each respective vesting date. The awards are equity based with compensation expense recognized ratably over the vesting periods.</w:t>
      </w:r>
    </w:p>
    <w:p>
      <w:pPr>
        <w:spacing w:after="0" w:line="93"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fair value of the 2014 and 2015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dates.</w:t>
      </w:r>
    </w:p>
    <w:p>
      <w:pPr>
        <w:spacing w:after="0" w:line="93"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In 2017, the Company granted equity based compensation in a subsidiary consisting of 520,000 common units that had a grant date fair value of $894 using a discounted cash flow model, which is determined based on the fair value of the operating segment on the grant date, estimated using a discounted cash flow analysis that requires the application of discount factors and terminal multiples to projected cash flows. Discount factors and terminal multiples were based on market-based inputs and transactions, as available at the measurement date. The awards vest over a range of six to 48 months, provided the employee remains with the Company.</w:t>
      </w:r>
    </w:p>
    <w:p>
      <w:pPr>
        <w:spacing w:after="0" w:line="95"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In 2017, the Company granted equity based compensation in a subsidiary consisting of 505,050 common units that had a grant date fair value of $505 in exchange for services assuming no forfeited amounts. The award vests in the following schedule: 50% on the grant date of the award, 25% in May of 2018 and the remaining 25% in May of 2019. The awards are equity based with compensation expense recognized ratably over the vesting periods. The fair value of the 2017 award was based on the fair value of the underlying entity as determined on the acquisition date.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6"/>
          <w:szCs w:val="16"/>
          <w:b w:val="1"/>
          <w:bCs w:val="1"/>
          <w:color w:val="00497F"/>
        </w:rPr>
      </w:pPr>
      <w:r>
        <w:rPr>
          <w:rFonts w:ascii="Arial" w:cs="Arial" w:eastAsia="Arial" w:hAnsi="Arial"/>
          <w:sz w:val="16"/>
          <w:szCs w:val="16"/>
          <w:b w:val="1"/>
          <w:bCs w:val="1"/>
          <w:color w:val="00497F"/>
        </w:rPr>
        <w:t>INCOME TAXES</w:t>
      </w:r>
    </w:p>
    <w:p>
      <w:pPr>
        <w:spacing w:after="0" w:line="133"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The current and deferred components of the income tax provision (benefit) included in the Consolidated Statements of Operations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2015</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w:t>
            </w:r>
          </w:p>
        </w:tc>
        <w:tc>
          <w:tcPr>
            <w:tcW w:w="1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Federal</w:t>
            </w:r>
          </w:p>
        </w:tc>
        <w:tc>
          <w:tcPr>
            <w:tcW w:w="132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22"/>
                <w:szCs w:val="22"/>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86</w:t>
            </w: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 and local</w:t>
            </w:r>
          </w:p>
        </w:tc>
        <w:tc>
          <w:tcPr>
            <w:tcW w:w="13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r>
      <w:tr>
        <w:trPr>
          <w:trHeight w:val="264"/>
        </w:trPr>
        <w:tc>
          <w:tcPr>
            <w:tcW w:w="5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w:t>
            </w:r>
          </w:p>
        </w:tc>
        <w:tc>
          <w:tcPr>
            <w:tcW w:w="1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w:t>
            </w: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provision</w:t>
            </w:r>
          </w:p>
        </w:tc>
        <w:tc>
          <w:tcPr>
            <w:tcW w:w="1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1,772</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353</w:t>
            </w:r>
          </w:p>
        </w:tc>
      </w:tr>
      <w:tr>
        <w:trPr>
          <w:trHeight w:val="324"/>
        </w:trPr>
        <w:tc>
          <w:tcPr>
            <w:tcW w:w="5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w:t>
            </w:r>
          </w:p>
        </w:tc>
        <w:tc>
          <w:tcPr>
            <w:tcW w:w="1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Federal</w:t>
            </w:r>
          </w:p>
        </w:tc>
        <w:tc>
          <w:tcPr>
            <w:tcW w:w="132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 and local</w:t>
            </w:r>
          </w:p>
        </w:tc>
        <w:tc>
          <w:tcPr>
            <w:tcW w:w="13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5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w:t>
            </w:r>
          </w:p>
        </w:tc>
        <w:tc>
          <w:tcPr>
            <w:tcW w:w="1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deferred provision</w:t>
            </w:r>
          </w:p>
        </w:tc>
        <w:tc>
          <w:tcPr>
            <w:tcW w:w="1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r>
      <w:tr>
        <w:trPr>
          <w:trHeight w:val="324"/>
        </w:trPr>
        <w:tc>
          <w:tcPr>
            <w:tcW w:w="5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provision for income taxes</w:t>
            </w:r>
          </w:p>
        </w:tc>
        <w:tc>
          <w:tcPr>
            <w:tcW w:w="1320" w:type="dxa"/>
            <w:vAlign w:val="bottom"/>
            <w:tcBorders>
              <w:bottom w:val="single" w:sz="8" w:color="auto"/>
            </w:tcBorders>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586</w:t>
            </w:r>
          </w:p>
        </w:tc>
      </w:tr>
      <w:tr>
        <w:trPr>
          <w:trHeight w:val="20"/>
        </w:trPr>
        <w:tc>
          <w:tcPr>
            <w:tcW w:w="5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difference between the Company’s reported provision for income taxes and the U.S. federal statutory rate of 35% is as follows:</w:t>
      </w:r>
    </w:p>
    <w:p>
      <w:pPr>
        <w:spacing w:after="0" w:line="31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26035</wp:posOffset>
            </wp:positionV>
            <wp:extent cx="3944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2015</w:t>
            </w:r>
          </w:p>
        </w:tc>
      </w:tr>
      <w:tr>
        <w:trPr>
          <w:trHeight w:val="256"/>
        </w:trPr>
        <w:tc>
          <w:tcPr>
            <w:tcW w:w="6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federal tax at statutory rate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r>
      <w:tr>
        <w:trPr>
          <w:trHeight w:val="264"/>
        </w:trPr>
        <w:tc>
          <w:tcPr>
            <w:tcW w:w="6480" w:type="dxa"/>
            <w:vAlign w:val="bottom"/>
            <w:gridSpan w:val="2"/>
          </w:tcPr>
          <w:p>
            <w:pPr>
              <w:ind w:left="40"/>
              <w:spacing w:after="0"/>
              <w:rPr>
                <w:sz w:val="20"/>
                <w:szCs w:val="20"/>
                <w:color w:val="auto"/>
              </w:rPr>
            </w:pPr>
            <w:r>
              <w:rPr>
                <w:rFonts w:ascii="Arial" w:cs="Arial" w:eastAsia="Arial" w:hAnsi="Arial"/>
                <w:sz w:val="14"/>
                <w:szCs w:val="14"/>
                <w:color w:val="auto"/>
              </w:rPr>
              <w:t>Income not subject to tax</w:t>
            </w:r>
          </w:p>
        </w:tc>
        <w:tc>
          <w:tcPr>
            <w:tcW w:w="720" w:type="dxa"/>
            <w:vAlign w:val="bottom"/>
          </w:tcPr>
          <w:p>
            <w:pPr>
              <w:jc w:val="right"/>
              <w:spacing w:after="0"/>
              <w:rPr>
                <w:sz w:val="20"/>
                <w:szCs w:val="20"/>
                <w:color w:val="auto"/>
              </w:rPr>
            </w:pPr>
            <w:r>
              <w:rPr>
                <w:rFonts w:ascii="Arial" w:cs="Arial" w:eastAsia="Arial" w:hAnsi="Arial"/>
                <w:sz w:val="14"/>
                <w:szCs w:val="14"/>
                <w:color w:val="auto"/>
              </w:rPr>
              <w:t>98.2 %</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7.9 %</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25.2 %</w:t>
            </w:r>
          </w:p>
        </w:tc>
      </w:tr>
      <w:tr>
        <w:trPr>
          <w:trHeight w:val="276"/>
        </w:trPr>
        <w:tc>
          <w:tcPr>
            <w:tcW w:w="6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State and local taxes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6480" w:type="dxa"/>
            <w:vAlign w:val="bottom"/>
            <w:gridSpan w:val="2"/>
          </w:tcPr>
          <w:p>
            <w:pPr>
              <w:ind w:left="40"/>
              <w:spacing w:after="0"/>
              <w:rPr>
                <w:sz w:val="20"/>
                <w:szCs w:val="20"/>
                <w:color w:val="auto"/>
              </w:rPr>
            </w:pPr>
            <w:r>
              <w:rPr>
                <w:rFonts w:ascii="Arial" w:cs="Arial" w:eastAsia="Arial" w:hAnsi="Arial"/>
                <w:sz w:val="14"/>
                <w:szCs w:val="14"/>
                <w:color w:val="auto"/>
              </w:rPr>
              <w:t>Foreign taxes</w:t>
            </w: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76"/>
        </w:trPr>
        <w:tc>
          <w:tcPr>
            <w:tcW w:w="6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Branch Profit Tax</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6480" w:type="dxa"/>
            <w:vAlign w:val="bottom"/>
            <w:gridSpan w:val="2"/>
          </w:tcPr>
          <w:p>
            <w:pPr>
              <w:ind w:left="40"/>
              <w:spacing w:after="0"/>
              <w:rPr>
                <w:sz w:val="20"/>
                <w:szCs w:val="20"/>
                <w:color w:val="auto"/>
              </w:rPr>
            </w:pPr>
            <w:r>
              <w:rPr>
                <w:rFonts w:ascii="Arial" w:cs="Arial" w:eastAsia="Arial" w:hAnsi="Arial"/>
                <w:sz w:val="14"/>
                <w:szCs w:val="14"/>
                <w:color w:val="auto"/>
              </w:rPr>
              <w:t>Change in Tax Rates</w:t>
            </w:r>
          </w:p>
        </w:tc>
        <w:tc>
          <w:tcPr>
            <w:tcW w:w="72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0" w:type="dxa"/>
            <w:vAlign w:val="bottom"/>
            <w:gridSpan w:val="2"/>
          </w:tcPr>
          <w:p>
            <w:pPr>
              <w:ind w:left="340"/>
              <w:spacing w:after="0"/>
              <w:rPr>
                <w:sz w:val="20"/>
                <w:szCs w:val="20"/>
                <w:color w:val="auto"/>
              </w:rPr>
            </w:pPr>
            <w:r>
              <w:rPr>
                <w:rFonts w:ascii="Arial" w:cs="Arial" w:eastAsia="Arial" w:hAnsi="Arial"/>
                <w:sz w:val="14"/>
                <w:szCs w:val="14"/>
                <w:color w:val="auto"/>
              </w:rPr>
              <w:t>— %</w:t>
            </w:r>
          </w:p>
        </w:tc>
        <w:tc>
          <w:tcPr>
            <w:tcW w:w="20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6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Change in valuation allowance</w:t>
            </w:r>
          </w:p>
        </w:tc>
        <w:tc>
          <w:tcPr>
            <w:tcW w:w="1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w:t>
            </w:r>
          </w:p>
        </w:tc>
      </w:tr>
      <w:tr>
        <w:trPr>
          <w:trHeight w:val="243"/>
        </w:trPr>
        <w:tc>
          <w:tcPr>
            <w:tcW w:w="6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Significant components of our deferred tax assets and liabilities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w:t>
            </w:r>
          </w:p>
        </w:tc>
        <w:tc>
          <w:tcPr>
            <w:tcW w:w="1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Net operating loss carryforwards</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46,564</w:t>
            </w:r>
          </w:p>
        </w:tc>
        <w:tc>
          <w:tcPr>
            <w:tcW w:w="100" w:type="dxa"/>
            <w:vAlign w:val="bottom"/>
          </w:tcPr>
          <w:p>
            <w:pPr>
              <w:spacing w:after="0"/>
              <w:rPr>
                <w:sz w:val="22"/>
                <w:szCs w:val="22"/>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42,337</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1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1,642</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12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9,727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8,334</w:t>
            </w: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1,404</w:t>
            </w:r>
          </w:p>
        </w:tc>
      </w:tr>
      <w:tr>
        <w:trPr>
          <w:trHeight w:val="250"/>
        </w:trPr>
        <w:tc>
          <w:tcPr>
            <w:tcW w:w="7440" w:type="dxa"/>
            <w:vAlign w:val="bottom"/>
          </w:tcPr>
          <w:p>
            <w:pPr>
              <w:ind w:left="500"/>
              <w:spacing w:after="0"/>
              <w:rPr>
                <w:sz w:val="20"/>
                <w:szCs w:val="20"/>
                <w:color w:val="auto"/>
              </w:rPr>
            </w:pPr>
            <w:r>
              <w:rPr>
                <w:rFonts w:ascii="Arial" w:cs="Arial" w:eastAsia="Arial" w:hAnsi="Arial"/>
                <w:sz w:val="14"/>
                <w:szCs w:val="14"/>
                <w:color w:val="auto"/>
              </w:rPr>
              <w:t>Total deferred tax assets</w:t>
            </w:r>
          </w:p>
        </w:tc>
        <w:tc>
          <w:tcPr>
            <w:tcW w:w="124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58,177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53,717</w:t>
            </w: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valuation allowance</w:t>
            </w:r>
          </w:p>
        </w:tc>
        <w:tc>
          <w:tcPr>
            <w:tcW w:w="1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(45,624)</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(42,270)</w:t>
            </w:r>
          </w:p>
        </w:tc>
      </w:tr>
      <w:tr>
        <w:trPr>
          <w:trHeight w:val="250"/>
        </w:trPr>
        <w:tc>
          <w:tcPr>
            <w:tcW w:w="7440" w:type="dxa"/>
            <w:vAlign w:val="bottom"/>
          </w:tcPr>
          <w:p>
            <w:pPr>
              <w:ind w:left="500"/>
              <w:spacing w:after="0"/>
              <w:rPr>
                <w:sz w:val="20"/>
                <w:szCs w:val="20"/>
                <w:color w:val="auto"/>
              </w:rPr>
            </w:pPr>
            <w:r>
              <w:rPr>
                <w:rFonts w:ascii="Arial" w:cs="Arial" w:eastAsia="Arial" w:hAnsi="Arial"/>
                <w:sz w:val="14"/>
                <w:szCs w:val="14"/>
                <w:color w:val="auto"/>
              </w:rPr>
              <w:t>Net deferred tax assets</w:t>
            </w:r>
          </w:p>
        </w:tc>
        <w:tc>
          <w:tcPr>
            <w:tcW w:w="124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12,553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11,447</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liabilities:</w:t>
            </w:r>
          </w:p>
        </w:tc>
        <w:tc>
          <w:tcPr>
            <w:tcW w:w="1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Fixed assets</w:t>
            </w:r>
          </w:p>
        </w:tc>
        <w:tc>
          <w:tcPr>
            <w:tcW w:w="1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13,104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11,816</w:t>
            </w: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deferred tax liabilities</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964"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420"/>
          </w:cols>
          <w:pgMar w:left="240" w:top="121" w:right="239" w:bottom="964" w:gutter="0" w:footer="0" w:header="0"/>
          <w:type w:val="continuous"/>
        </w:sectPr>
      </w:pPr>
    </w:p>
    <w:bookmarkStart w:id="122" w:name="page123"/>
    <w:bookmarkEnd w:id="122"/>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Current and deferred tax assets and liabilities are reported net in other assets or other liabilities in the Consolidated Balance Sheet.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The Company has analyzed its deferred tax assets and has determined, based on the weight of available evidence, that it is more likely than not that a significant portion will not be realized. Accordingly, valuation allowances have been recognized as of December 31, 2017 and December 31, 2016 of $45,624 and $42,270, respectively, related to certain deductible temporary differences and net operating loss carryforwards.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changes in the valuation allowance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2016</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Valuation allowance at beginning of period</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42,270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24,786</w:t>
            </w:r>
          </w:p>
        </w:tc>
      </w:tr>
      <w:tr>
        <w:trPr>
          <w:trHeight w:val="264"/>
        </w:trPr>
        <w:tc>
          <w:tcPr>
            <w:tcW w:w="7440" w:type="dxa"/>
            <w:vAlign w:val="bottom"/>
          </w:tcPr>
          <w:p>
            <w:pPr>
              <w:ind w:left="240"/>
              <w:spacing w:after="0"/>
              <w:rPr>
                <w:sz w:val="20"/>
                <w:szCs w:val="20"/>
                <w:color w:val="auto"/>
              </w:rPr>
            </w:pPr>
            <w:r>
              <w:rPr>
                <w:rFonts w:ascii="Arial" w:cs="Arial" w:eastAsia="Arial" w:hAnsi="Arial"/>
                <w:sz w:val="14"/>
                <w:szCs w:val="14"/>
                <w:color w:val="auto"/>
              </w:rPr>
              <w:t>Increase due to current year losses</w:t>
            </w:r>
          </w:p>
        </w:tc>
        <w:tc>
          <w:tcPr>
            <w:tcW w:w="12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27,549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17,484</w:t>
            </w:r>
          </w:p>
        </w:tc>
      </w:tr>
      <w:tr>
        <w:trPr>
          <w:trHeight w:val="270"/>
        </w:trPr>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Decrease due to change in tax rates</w:t>
            </w:r>
          </w:p>
        </w:tc>
        <w:tc>
          <w:tcPr>
            <w:tcW w:w="1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(24,195)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Valuation allowance at end of period</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45,624</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42,270</w:t>
            </w: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As of December 31, 2017 and 2016, certain corporate subsidiaries of the Company had U.S. federal net operating loss carryforwards of approximately $184,177 and $106,838, respectively, and $121,574 and $104,263, respectively, of various state and local net operating loss carryforwards that are available to offset future taxable income, if and when it arises. These net operating loss carryforwards begin to expire in the year 2034. As of December 31, 2017 and 2016, the Company also had net operating loss carryforwards for Canadian federal and provincial income taxes of $6,875 and $7,893, respectively, which will begin to expire in the year 2034. As of December 31, 2017 and 2016, the Company also had net operating loss carryforwards for Irish income tax purposes of $33,209 and $18,453, which can be carried forward indefinitely against future business income. The Company also has net operating losses for Malaysian income tax purposes of $968 as of December 31, 2017 which can be carried forward indefinitely. The utilization of the net operating loss carryforwards to reduce future income taxes will depend on the corporate subsidiaries’ ability to generate sufficient taxable income prior to the expiration of the carryforward period. In addition, the maximum annual use of net operating loss carryforwards may be limited in certain situations after changes in stock ownership occur.</w:t>
      </w:r>
    </w:p>
    <w:p>
      <w:pPr>
        <w:spacing w:after="0" w:line="98"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The TCJA significantly revises the U.S. corporate income tax regime by, among other things, lowering corporate income tax rates. The Company has accounted for the effects of the TCJA for the year ended December 31, 2017 which relates to the re-measurement of deferred tax assets and liabilities due to the reduction in the corporate income tax rate. Due to the significant portion of the Company’s income that is not subject to entity level tax and the presence of a significant valuation allowance, the effects of the TCJA have had a minimal impact on the income tax provision for the year ended December 31, 2017.</w:t>
      </w:r>
    </w:p>
    <w:p>
      <w:pPr>
        <w:spacing w:after="0" w:line="95"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As of and for the period ended December 31, 2017,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2014. The Company does not believe that it is reasonably possible that the total amount of unrecognized tax benefits will significantly change within 12 months of the reporting date.</w:t>
      </w:r>
    </w:p>
    <w:p>
      <w:pPr>
        <w:spacing w:after="0" w:line="75"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6"/>
          <w:szCs w:val="16"/>
          <w:b w:val="1"/>
          <w:bCs w:val="1"/>
          <w:color w:val="00497F"/>
        </w:rPr>
      </w:pPr>
      <w:r>
        <w:rPr>
          <w:rFonts w:ascii="Arial" w:cs="Arial" w:eastAsia="Arial" w:hAnsi="Arial"/>
          <w:sz w:val="16"/>
          <w:szCs w:val="16"/>
          <w:b w:val="1"/>
          <w:bCs w:val="1"/>
          <w:color w:val="00497F"/>
        </w:rPr>
        <w:t>MANAGEMENT AGREEMENT AND AFFILIATE TRANSACTIONS</w:t>
      </w:r>
    </w:p>
    <w:p>
      <w:pPr>
        <w:spacing w:after="0" w:line="133" w:lineRule="exact"/>
        <w:rPr>
          <w:rFonts w:ascii="Arial" w:cs="Arial" w:eastAsia="Arial" w:hAnsi="Arial"/>
          <w:sz w:val="16"/>
          <w:szCs w:val="16"/>
          <w:b w:val="1"/>
          <w:bCs w:val="1"/>
          <w:color w:val="00497F"/>
        </w:rPr>
      </w:pPr>
    </w:p>
    <w:p>
      <w:pPr>
        <w:jc w:val="both"/>
        <w:ind w:left="660"/>
        <w:spacing w:after="0" w:line="248" w:lineRule="auto"/>
        <w:rPr>
          <w:rFonts w:ascii="Arial" w:cs="Arial" w:eastAsia="Arial" w:hAnsi="Arial"/>
          <w:sz w:val="16"/>
          <w:szCs w:val="16"/>
          <w:b w:val="1"/>
          <w:bCs w:val="1"/>
          <w:color w:val="00497F"/>
        </w:rPr>
      </w:pPr>
      <w:r>
        <w:rPr>
          <w:rFonts w:ascii="Arial" w:cs="Arial" w:eastAsia="Arial" w:hAnsi="Arial"/>
          <w:sz w:val="16"/>
          <w:szCs w:val="16"/>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Company’s IPO, the Company entered into the Management Agreement which replaced its then-existing management agreement as a private fund. Additionally, the Company has entered into certain incentive allocation arrangements with Master GP, which owns 0.05% of the Partnership and is the general partner of the Partnership.</w:t>
      </w:r>
    </w:p>
    <w:p>
      <w:pPr>
        <w:spacing w:after="0" w:line="84"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i w:val="1"/>
          <w:iCs w:val="1"/>
          <w:color w:val="auto"/>
        </w:rPr>
        <w:t>Pre-IPO Management Agreement</w:t>
      </w:r>
    </w:p>
    <w:p>
      <w:pPr>
        <w:spacing w:after="0" w:line="129" w:lineRule="exact"/>
        <w:rPr>
          <w:rFonts w:ascii="Arial" w:cs="Arial" w:eastAsia="Arial" w:hAnsi="Arial"/>
          <w:sz w:val="16"/>
          <w:szCs w:val="16"/>
          <w:b w:val="1"/>
          <w:bCs w:val="1"/>
          <w:color w:val="00497F"/>
        </w:rPr>
      </w:pPr>
    </w:p>
    <w:p>
      <w:pPr>
        <w:jc w:val="both"/>
        <w:ind w:left="660"/>
        <w:spacing w:after="0" w:line="249" w:lineRule="auto"/>
        <w:rPr>
          <w:rFonts w:ascii="Arial" w:cs="Arial" w:eastAsia="Arial" w:hAnsi="Arial"/>
          <w:sz w:val="16"/>
          <w:szCs w:val="16"/>
          <w:b w:val="1"/>
          <w:bCs w:val="1"/>
          <w:color w:val="00497F"/>
        </w:rPr>
      </w:pPr>
      <w:r>
        <w:rPr>
          <w:rFonts w:ascii="Arial" w:cs="Arial" w:eastAsia="Arial" w:hAnsi="Arial"/>
          <w:sz w:val="16"/>
          <w:szCs w:val="16"/>
          <w:color w:val="auto"/>
        </w:rPr>
        <w:t>The pre-IPO management fee was calculated at an annual rate of 1.25% for any Onshore Fund or Offshore Fund investor (collectively, the “Fund Investors”) with a capital commitment of at least $100 million and 1.50% for any capital commitment of less than $100 million, payable semi-annually in arrears. Commencing with the date of the initial closing of the Onshore Fund and the Offshore Fund and continuing through the third anniversary of their final closing (the “Fund Commitment Period”), this percentage was applied to the weighted average of all capital called, reduced for any return of capital resulting from the partial or complete disposition of any Portfolio Investment, as defined therein. During the year ended December 31, 2015, pre-IPO management fees were $3,873.</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In addition, affiliates of the Manager were entitled to receive an amount not to exceed $1 million per annum to cover legal, compliance, operational, tax, accounting, insurance, transfer agent and informational technology services (“Specified General and Administrative Expenses”) performed by employees of such affiliates on behalf of the Company or the Onshore Fund and the Offshore Fund. No expenses were reimbursed to the Manager or its affiliates for any period prior to the IPO.</w:t>
      </w:r>
    </w:p>
    <w:p>
      <w:pPr>
        <w:spacing w:after="0" w:line="95"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Prior to the IPO, the Master GP was entitled to an incentive return (the “Incentive Return”) generally equal to 10% of the Partnership’s profits (before certain taxes), as defined, subject to: i) an 8% cumulative preferred return payable to the Onshore Fund and Offshore Fund investors and ii) a clawback provision which requires amounts previously distributed as Incentive Return to be returned to the Company for the benefit of the Onshore Fund and Offshore Fund investors (after adjusting for tax in accordance with the partnership agreement) if, upon the termination of the Company, the amounts ultimately distributed to the Master GP exceed its allocable amount.</w:t>
      </w:r>
    </w:p>
    <w:p>
      <w:pPr>
        <w:spacing w:after="0" w:line="95"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The Incentive Return was distributable to the Master GP from Distributable Proceeds of the Partnership (as defined) as they were distributed. Accordingly, an Incentive Return would have been paid to the Master GP in connection with a particular investment if and when such investment generated proceeds in excess of the capital called with respect to such investment, plus an 8% cumulative preferred return on such investment and on all previously liquidated investments. If, upon the termination of the Partnership, the aggregate amount paid to the Master GP as Incentive Return exceeded the amount actually due after taking into account the aggregate return to the Onshore Fund and the Offshore Fund investors, the excess was required to be returned by the Master GP (“clawed back”, after adjusting for tax in accordance with the Company agreements) to the Company for benefit of the Fund Investors.</w:t>
      </w:r>
    </w:p>
    <w:p>
      <w:pPr>
        <w:spacing w:after="0" w:line="101"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Immediately prior to the consummation of the IPO, the Master GP contributed its rights to previously undistributed incentive return pursuant to the Partnership Agreement in exchange for limited partnership interests in each of the Onshore Fund and Offshore Fund equal to the amount of any such undistributed incentive returns.</w:t>
      </w:r>
    </w:p>
    <w:p>
      <w:pPr>
        <w:spacing w:after="0" w:line="93"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Certain employees of an affiliate of the Manager are or may become entitled to receive profit sharing arrangements from the Master GP, pursuant to which they receive a portion of the Master GP’s Incentive Return. The Company is not required to reimburse the Master GP for such amounts. During the year ended December 31, 2015 the Master GP did not incur any amounts payable to these employees under such profit sharing arrangements attributable to the operations of the Company.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Post-IPO Management Agreement and Other Incentive Allocation</w:t>
      </w:r>
    </w:p>
    <w:p>
      <w:pPr>
        <w:spacing w:after="0" w:line="129"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post-IPO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post-IPO management fees for the years ended December 31, 2017, 2016, and 2015 were $15,218, $16,742, and $11,145 respectively.</w:t>
      </w:r>
    </w:p>
    <w:p>
      <w:pPr>
        <w:spacing w:after="0" w:line="95"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 (1) realized or unrealized gains and losses, and (2) certain non-cash or one-time items, and (3) any other adjustments as may be approved by the Company’s independent directors. Pre-incentive allocation net income does not include any Income Incentive Allocation or Capital Gains Incentive Allocation (described below) paid to the Master GP during the relevant quarter.</w:t>
      </w:r>
    </w:p>
    <w:p>
      <w:pPr>
        <w:spacing w:after="0" w:line="97"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 No Income Incentive Allocation was due to the Master GP for the years ended December 31, 2017, 2016, and 2015.</w:t>
      </w:r>
    </w:p>
    <w:p>
      <w:pPr>
        <w:spacing w:after="0" w:line="100"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 Capital Gains Incentive Allocation of $514, $0, and $0 was due to the Master GP for the years ended December 31, 2017, 2016, and 2015.</w:t>
      </w:r>
    </w:p>
    <w:p>
      <w:pPr>
        <w:spacing w:after="0" w:line="95"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 will pay all of its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the company’s assets, legal and auditing fees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and expenses, the compensation and expenses of the Company’s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Manager), the costs of printing and mailing proxies and reports to the Company’s shareholders, costs incurred by the Manager or its affiliates for travel on the Company’s behalf, costs associated with any computer software or hardware that is used for the Company, costs to obtain liability insurance to indemnify the Company’s directors and officers and the compensation and expenses of the Company’s transfer agent.</w:t>
      </w:r>
    </w:p>
    <w:p>
      <w:pPr>
        <w:spacing w:after="0" w:line="97"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 During the years ended December 31, 2017, 2016, and 2015, expense reimbursement of $8,064, $7,301 and $4,119 was recorded in general and administrative expenses, respectively, and $6,295, $4,783 and $2,181 was recorded in acquisition and transaction expenses, respectively, in the Consolidated Statements of Operations.</w:t>
      </w:r>
    </w:p>
    <w:p>
      <w:pPr>
        <w:spacing w:after="0" w:line="101"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If the Company terminates the Management Agreement, it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the Company’s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Upon the successful completion of a post-IPO offering of the Company’s common shares or other equity securities (including securities issued as consideration in an acquisition), the Company will grant the Manager options to purchase common shares in an amount equal to 10% of the number of common shares being sold in the offering (or if the issuance relates to equity securities other than the Company’s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290"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As of December 31, 2017 and 2016, no amounts were recorded as a receivable from the Manager. As of December 31, 2017 and 2016, amounts due to the Manager or its affiliates of $2,073 and $1,697, excluding accrued management fees, respectively, are included within accounts payable and accrued liabilities on the Consolidated Balance Sheets. As of December 31, 2017 and 2016, amounts due to the Manager or its affiliates of $1,228 and $1,347, respectively, related to accrued management fees, are included within accounts payable and accrued liabilities on the Consolidated Balance Sheets.</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Affiliate Transactions</w:t>
      </w:r>
    </w:p>
    <w:p>
      <w:pPr>
        <w:spacing w:after="0" w:line="129"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As of December 31, 2017 and 2016, an affiliate of the Company’s Manager owns an approximately 20% interest in Jefferson Terminal which has been accounted for as a component of non-controlling interest in consolidated subsidiaries in the accompanying consolidated financial statements. The carrying amount of this non-controlling interest at December 31, 2017 and 2016 was $66,242 and $74,904, respectively. For the years ended December 31, 2017, 2016, and 2015, the amount of this non-controlling interest share of net loss was $8,662, $7,647, and $7,950, respectively.</w:t>
      </w:r>
    </w:p>
    <w:p>
      <w:pPr>
        <w:spacing w:after="0" w:line="95"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discussed in Note 8, the Company and an affiliate of its Manager entered into a Fee and Support Agreement. The Fee and Support Agreement provides that the affiliate of the Manager is compensated for its guarantee of a portion of the obligations under the Standby Bond Purchase Agreement. This affiliate of the Manager received fees of $1,740, which will be amortized as interest expense to the earlier of the redemption date or February 13, 2020.</w:t>
      </w:r>
    </w:p>
    <w:p>
      <w:pPr>
        <w:spacing w:after="0" w:line="75"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6"/>
          <w:szCs w:val="16"/>
          <w:b w:val="1"/>
          <w:bCs w:val="1"/>
          <w:color w:val="00497F"/>
        </w:rPr>
      </w:pPr>
      <w:r>
        <w:rPr>
          <w:rFonts w:ascii="Arial" w:cs="Arial" w:eastAsia="Arial" w:hAnsi="Arial"/>
          <w:sz w:val="16"/>
          <w:szCs w:val="16"/>
          <w:b w:val="1"/>
          <w:bCs w:val="1"/>
          <w:color w:val="00497F"/>
        </w:rPr>
        <w:t>SEGMENT INFORMATION</w:t>
      </w:r>
    </w:p>
    <w:p>
      <w:pPr>
        <w:spacing w:after="0" w:line="133" w:lineRule="exact"/>
        <w:rPr>
          <w:rFonts w:ascii="Arial" w:cs="Arial" w:eastAsia="Arial" w:hAnsi="Arial"/>
          <w:sz w:val="16"/>
          <w:szCs w:val="16"/>
          <w:b w:val="1"/>
          <w:bCs w:val="1"/>
          <w:color w:val="00497F"/>
        </w:rPr>
      </w:pPr>
    </w:p>
    <w:p>
      <w:pPr>
        <w:jc w:val="both"/>
        <w:ind w:left="660"/>
        <w:spacing w:after="0" w:line="249" w:lineRule="auto"/>
        <w:rPr>
          <w:rFonts w:ascii="Arial" w:cs="Arial" w:eastAsia="Arial" w:hAnsi="Arial"/>
          <w:sz w:val="16"/>
          <w:szCs w:val="16"/>
          <w:b w:val="1"/>
          <w:bCs w:val="1"/>
          <w:color w:val="00497F"/>
        </w:rPr>
      </w:pPr>
      <w:r>
        <w:rPr>
          <w:rFonts w:ascii="Arial" w:cs="Arial" w:eastAsia="Arial" w:hAnsi="Arial"/>
          <w:sz w:val="16"/>
          <w:szCs w:val="16"/>
          <w:color w:val="auto"/>
        </w:rPr>
        <w:t>The Company’s reportable segments represent strategic business units comprised of investments in different types of transportation and infrastructure assets. The Company has 6 reportable segments which operate in the Equipment Leasing and Infrastructure businesses across several market sectors. The Company’s reportable segments are (i) Aviation Leasing, (ii) Offshore Energy, (iii) Shipping Containers, (iv) Jefferson Terminal, (v) Railroad and (vi) Ports and Terminals. Aviation Leasing consists of aircraft and aircraft engines held for lease and are typically held long-term. Offshore Energy consists of vessels and equipment that support offshore oil and gas drilling and production which are typically subject to operating leases. Shipping Containers consists of an investment in an unconsolidated entity engaged in the leasing of shipping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containers (on both an operating lease and finance lease basis). Jefferson Terminal consists of a multi-modal crude oil and refined products terminal and other related assets. Railroad consists of our CMQR railroad operations. Ports and Terminals consists of Repauno, a 1,630 acre deep-water port located along the Delaware River with an underground storage cavern and multiple industrial development opportunities, and Long Ridge, a 1,660 acre multi-modal port located along the Ohio River with rail, dock and multiple industrial development opportunities. During the year ended December 31, 2017, the Company created the aforementioned Ports and Terminals segment. This updated segment has been reflected in the results for the year ended December 31, 2017 and accordingly, the segment results for the years ended December 31, 2016 and 2015 have been reclassified to conform to the new presentation.</w:t>
      </w:r>
    </w:p>
    <w:p>
      <w:pPr>
        <w:spacing w:after="0" w:line="101"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includes the impact of intercompany eliminations. The Company evaluates investment performance for each reportable segment primarily based on net income attributable to shareholders and Adjusted Net Income.</w:t>
      </w:r>
    </w:p>
    <w:p>
      <w:pPr>
        <w:spacing w:after="0" w:line="95"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95"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certain information for each reportable segment of the Company:</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497F"/>
        </w:rPr>
        <w:t>I. For the Year Ended December 31, 2017</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Year ended December 31, 2017</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5"/>
                <w:szCs w:val="15"/>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156,793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13,107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170,000</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32,607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47,659</w:t>
            </w:r>
          </w:p>
        </w:tc>
        <w:tc>
          <w:tcPr>
            <w:tcW w:w="0" w:type="dxa"/>
            <w:vAlign w:val="bottom"/>
          </w:tcPr>
          <w:p>
            <w:pPr>
              <w:spacing w:after="0"/>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156,793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13,107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217,659</w:t>
            </w:r>
          </w:p>
        </w:tc>
        <w:tc>
          <w:tcPr>
            <w:tcW w:w="0" w:type="dxa"/>
            <w:vAlign w:val="bottom"/>
          </w:tcPr>
          <w:p>
            <w:pPr>
              <w:spacing w:after="0"/>
              <w:rPr>
                <w:sz w:val="1"/>
                <w:szCs w:val="1"/>
                <w:color w:val="auto"/>
              </w:rPr>
            </w:pPr>
          </w:p>
        </w:tc>
      </w:tr>
      <w:tr>
        <w:trPr>
          <w:trHeight w:val="324"/>
        </w:trPr>
        <w:tc>
          <w:tcPr>
            <w:tcW w:w="23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92,385</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14,570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14,570</w:t>
            </w: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7,306</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Management fees and incentive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allocation to affiliate</w:t>
            </w:r>
          </w:p>
        </w:tc>
        <w:tc>
          <w:tcPr>
            <w:tcW w:w="1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15,732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15,732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88,110</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3,670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13,568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19,472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38,827</w:t>
            </w: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68,483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25,930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60,974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33,032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11,863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56,639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256,930</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Equity in losses of unconsolidated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(loss) on sale of assets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18,281</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3,073</w:t>
            </w: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income (expense)</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17,985</w:t>
            </w:r>
          </w:p>
        </w:tc>
        <w:tc>
          <w:tcPr>
            <w:tcW w:w="0" w:type="dxa"/>
            <w:vAlign w:val="bottom"/>
          </w:tcPr>
          <w:p>
            <w:pPr>
              <w:spacing w:after="0"/>
              <w:rPr>
                <w:sz w:val="1"/>
                <w:szCs w:val="1"/>
                <w:color w:val="auto"/>
              </w:rPr>
            </w:pPr>
          </w:p>
        </w:tc>
      </w:tr>
      <w:tr>
        <w:trPr>
          <w:trHeight w:val="156"/>
        </w:trPr>
        <w:tc>
          <w:tcPr>
            <w:tcW w:w="23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Income (loss) before income</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taxes</w:t>
            </w:r>
          </w:p>
        </w:tc>
        <w:tc>
          <w:tcPr>
            <w:tcW w:w="18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94,519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(48,710)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(59,095)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(21,286)</w:t>
            </w: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92,553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(48,752)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(7,040)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(59,095)</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(23,240)</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(loss)</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attributable to non-controlling</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interests in consolidated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0" w:type="dxa"/>
            <w:vAlign w:val="bottom"/>
          </w:tcPr>
          <w:p>
            <w:pPr>
              <w:spacing w:after="0"/>
              <w:rPr>
                <w:sz w:val="1"/>
                <w:szCs w:val="1"/>
                <w:color w:val="auto"/>
              </w:rPr>
            </w:pPr>
          </w:p>
        </w:tc>
      </w:tr>
      <w:tr>
        <w:trPr>
          <w:trHeight w:val="156"/>
        </w:trPr>
        <w:tc>
          <w:tcPr>
            <w:tcW w:w="23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91,856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(59,095)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Year ended December 31, 2017</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5"/>
                <w:szCs w:val="15"/>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Energy</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92,637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10,401</w:t>
            </w:r>
          </w:p>
        </w:tc>
        <w:tc>
          <w:tcPr>
            <w:tcW w:w="0" w:type="dxa"/>
            <w:vAlign w:val="bottom"/>
          </w:tcPr>
          <w:p>
            <w:pPr>
              <w:spacing w:after="0"/>
              <w:rPr>
                <w:sz w:val="1"/>
                <w:szCs w:val="1"/>
                <w:color w:val="auto"/>
              </w:rPr>
            </w:pPr>
          </w:p>
        </w:tc>
      </w:tr>
      <w:tr>
        <w:trPr>
          <w:trHeight w:val="174"/>
        </w:trPr>
        <w:tc>
          <w:tcPr>
            <w:tcW w:w="2300" w:type="dxa"/>
            <w:vAlign w:val="bottom"/>
          </w:tcPr>
          <w:p>
            <w:pPr>
              <w:ind w:left="40"/>
              <w:spacing w:after="0"/>
              <w:rPr>
                <w:sz w:val="20"/>
                <w:szCs w:val="20"/>
                <w:color w:val="auto"/>
              </w:rPr>
            </w:pPr>
            <w:r>
              <w:rPr>
                <w:rFonts w:ascii="Arial" w:cs="Arial" w:eastAsia="Arial" w:hAnsi="Arial"/>
                <w:sz w:val="14"/>
                <w:szCs w:val="14"/>
                <w:color w:val="auto"/>
              </w:rPr>
              <w:t>Add: Non-controlling share of</w:t>
            </w: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rPr>
                <w:sz w:val="20"/>
                <w:szCs w:val="20"/>
                <w:color w:val="auto"/>
              </w:rPr>
            </w:pPr>
            <w:r>
              <w:rPr>
                <w:rFonts w:ascii="Arial" w:cs="Arial" w:eastAsia="Arial" w:hAnsi="Arial"/>
                <w:sz w:val="14"/>
                <w:szCs w:val="14"/>
                <w:color w:val="auto"/>
              </w:rPr>
              <w:t>adjustments to Adjusted Net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Add: Cash payments for income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rPr>
                <w:sz w:val="20"/>
                <w:szCs w:val="20"/>
                <w:color w:val="auto"/>
              </w:rPr>
            </w:pPr>
            <w:r>
              <w:rPr>
                <w:rFonts w:ascii="Arial" w:cs="Arial" w:eastAsia="Arial" w:hAnsi="Arial"/>
                <w:sz w:val="14"/>
                <w:szCs w:val="14"/>
                <w:color w:val="auto"/>
              </w:rPr>
              <w:t>Net Income from investments 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Less: Changes in fair value of non-</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hedge derivative instruments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Losses on the modification</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 extinguishment of debt and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Less: Acquisition and transaction</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(7,306)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Equity-based compensation</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Provision for income taxes</w:t>
            </w: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5"/>
                <w:szCs w:val="15"/>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Energy</w:t>
            </w:r>
          </w:p>
        </w:tc>
        <w:tc>
          <w:tcPr>
            <w:tcW w:w="160" w:type="dxa"/>
            <w:vAlign w:val="bottom"/>
          </w:tcPr>
          <w:p>
            <w:pPr>
              <w:spacing w:after="0"/>
              <w:rPr>
                <w:sz w:val="9"/>
                <w:szCs w:val="9"/>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9"/>
                <w:szCs w:val="9"/>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Africa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9,993</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9,993</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51,868</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Europe</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84,023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5,597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89,620</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65,473</w:t>
            </w: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South America</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156,793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217,659</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497F"/>
        </w:rPr>
        <w:t>II. For the Year Ended December 31, 2016</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Year Ended December 31, 2016</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5"/>
                <w:szCs w:val="15"/>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95,408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5,328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1,213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101,949</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30,837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46,771</w:t>
            </w:r>
          </w:p>
        </w:tc>
        <w:tc>
          <w:tcPr>
            <w:tcW w:w="0" w:type="dxa"/>
            <w:vAlign w:val="bottom"/>
          </w:tcPr>
          <w:p>
            <w:pPr>
              <w:spacing w:after="0"/>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95,408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15,902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30,837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148,720</w:t>
            </w:r>
          </w:p>
        </w:tc>
        <w:tc>
          <w:tcPr>
            <w:tcW w:w="0" w:type="dxa"/>
            <w:vAlign w:val="bottom"/>
          </w:tcPr>
          <w:p>
            <w:pPr>
              <w:spacing w:after="0"/>
              <w:rPr>
                <w:sz w:val="1"/>
                <w:szCs w:val="1"/>
                <w:color w:val="auto"/>
              </w:rPr>
            </w:pPr>
          </w:p>
        </w:tc>
      </w:tr>
      <w:tr>
        <w:trPr>
          <w:trHeight w:val="324"/>
        </w:trPr>
        <w:tc>
          <w:tcPr>
            <w:tcW w:w="23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66,169</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12,314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12,314</w:t>
            </w: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Management fees and incentive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allocation to affiliate</w:t>
            </w:r>
          </w:p>
        </w:tc>
        <w:tc>
          <w:tcPr>
            <w:tcW w:w="1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16,742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16,742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60,210</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13,501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18,957</w:t>
            </w: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41,058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21,172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51,287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30,655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34,906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180,708</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Equity in losses of unconsolidated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(5,974)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(5,992)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assets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impairment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Interest income (expense)</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4"/>
                <w:szCs w:val="14"/>
                <w:color w:val="auto"/>
              </w:rPr>
              <w:t>Total other income (expense)</w:t>
            </w:r>
          </w:p>
        </w:tc>
        <w:tc>
          <w:tcPr>
            <w:tcW w:w="1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5,356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(7,437)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(8,342)</w:t>
            </w:r>
          </w:p>
        </w:tc>
        <w:tc>
          <w:tcPr>
            <w:tcW w:w="0" w:type="dxa"/>
            <w:vAlign w:val="bottom"/>
          </w:tcPr>
          <w:p>
            <w:pPr>
              <w:spacing w:after="0"/>
              <w:rPr>
                <w:sz w:val="1"/>
                <w:szCs w:val="1"/>
                <w:color w:val="auto"/>
              </w:rPr>
            </w:pPr>
          </w:p>
        </w:tc>
      </w:tr>
      <w:tr>
        <w:trPr>
          <w:trHeight w:val="162"/>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w:t>
            </w: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taxes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(23,281)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(40,330)</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Provision (benefit) for income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5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59,439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(23,281)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(4,824)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(36,473)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(34,906)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(40,598)</w:t>
            </w:r>
          </w:p>
        </w:tc>
        <w:tc>
          <w:tcPr>
            <w:tcW w:w="0" w:type="dxa"/>
            <w:vAlign w:val="bottom"/>
          </w:tcPr>
          <w:p>
            <w:pPr>
              <w:spacing w:after="0"/>
              <w:rPr>
                <w:sz w:val="1"/>
                <w:szCs w:val="1"/>
                <w:color w:val="auto"/>
              </w:rPr>
            </w:pPr>
          </w:p>
        </w:tc>
      </w:tr>
      <w:tr>
        <w:trPr>
          <w:trHeight w:val="174"/>
        </w:trPr>
        <w:tc>
          <w:tcPr>
            <w:tcW w:w="2300" w:type="dxa"/>
            <w:vAlign w:val="bottom"/>
          </w:tcPr>
          <w:p>
            <w:pPr>
              <w:ind w:left="40"/>
              <w:spacing w:after="0"/>
              <w:rPr>
                <w:sz w:val="20"/>
                <w:szCs w:val="20"/>
                <w:color w:val="auto"/>
              </w:rPr>
            </w:pPr>
            <w:r>
              <w:rPr>
                <w:rFonts w:ascii="Arial" w:cs="Arial" w:eastAsia="Arial" w:hAnsi="Arial"/>
                <w:sz w:val="14"/>
                <w:szCs w:val="14"/>
                <w:color w:val="auto"/>
              </w:rPr>
              <w:t>Less: Net income (loss)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rPr>
                <w:sz w:val="20"/>
                <w:szCs w:val="20"/>
                <w:color w:val="auto"/>
              </w:rPr>
            </w:pPr>
            <w:r>
              <w:rPr>
                <w:rFonts w:ascii="Arial" w:cs="Arial" w:eastAsia="Arial" w:hAnsi="Arial"/>
                <w:sz w:val="14"/>
                <w:szCs w:val="14"/>
                <w:color w:val="auto"/>
              </w:rPr>
              <w:t>attributable to non-controlling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rPr>
                <w:sz w:val="20"/>
                <w:szCs w:val="20"/>
                <w:color w:val="auto"/>
              </w:rPr>
            </w:pPr>
            <w:r>
              <w:rPr>
                <w:rFonts w:ascii="Arial" w:cs="Arial" w:eastAsia="Arial" w:hAnsi="Arial"/>
                <w:sz w:val="14"/>
                <w:szCs w:val="14"/>
                <w:color w:val="auto"/>
              </w:rPr>
              <w:t>interests in consolidated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(4,368)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(20,534)</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59,004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(18,913)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(4,824)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(20,017)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(34,895)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Year Ended December 31, 2016</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5"/>
                <w:szCs w:val="15"/>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5"/>
                <w:szCs w:val="15"/>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Energy</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Terminals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58,768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(8,632)</w:t>
            </w:r>
          </w:p>
        </w:tc>
        <w:tc>
          <w:tcPr>
            <w:tcW w:w="0" w:type="dxa"/>
            <w:vAlign w:val="bottom"/>
          </w:tcPr>
          <w:p>
            <w:pPr>
              <w:spacing w:after="0"/>
              <w:rPr>
                <w:sz w:val="1"/>
                <w:szCs w:val="1"/>
                <w:color w:val="auto"/>
              </w:rPr>
            </w:pPr>
          </w:p>
        </w:tc>
      </w:tr>
      <w:tr>
        <w:trPr>
          <w:trHeight w:val="174"/>
        </w:trPr>
        <w:tc>
          <w:tcPr>
            <w:tcW w:w="2180" w:type="dxa"/>
            <w:vAlign w:val="bottom"/>
          </w:tcPr>
          <w:p>
            <w:pPr>
              <w:ind w:left="40"/>
              <w:spacing w:after="0"/>
              <w:rPr>
                <w:sz w:val="20"/>
                <w:szCs w:val="20"/>
                <w:color w:val="auto"/>
              </w:rPr>
            </w:pPr>
            <w:r>
              <w:rPr>
                <w:rFonts w:ascii="Arial" w:cs="Arial" w:eastAsia="Arial" w:hAnsi="Arial"/>
                <w:sz w:val="14"/>
                <w:szCs w:val="14"/>
                <w:color w:val="auto"/>
              </w:rPr>
              <w:t>Add: Non-controlling share of</w:t>
            </w: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40"/>
              <w:spacing w:after="0"/>
              <w:rPr>
                <w:sz w:val="20"/>
                <w:szCs w:val="20"/>
                <w:color w:val="auto"/>
              </w:rPr>
            </w:pPr>
            <w:r>
              <w:rPr>
                <w:rFonts w:ascii="Arial" w:cs="Arial" w:eastAsia="Arial" w:hAnsi="Arial"/>
                <w:sz w:val="14"/>
                <w:szCs w:val="14"/>
                <w:color w:val="auto"/>
              </w:rPr>
              <w:t>adjustments to Adjusted Net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80" w:type="dxa"/>
            <w:vAlign w:val="bottom"/>
          </w:tcPr>
          <w:p>
            <w:pPr>
              <w:ind w:left="4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2,945</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0" w:type="dxa"/>
            <w:vAlign w:val="bottom"/>
          </w:tcPr>
          <w:p>
            <w:pPr>
              <w:spacing w:after="0"/>
              <w:rPr>
                <w:sz w:val="1"/>
                <w:szCs w:val="1"/>
                <w:color w:val="auto"/>
              </w:rPr>
            </w:pPr>
          </w:p>
        </w:tc>
      </w:tr>
      <w:tr>
        <w:trPr>
          <w:trHeight w:val="194"/>
        </w:trPr>
        <w:tc>
          <w:tcPr>
            <w:tcW w:w="2180" w:type="dxa"/>
            <w:vAlign w:val="bottom"/>
          </w:tcPr>
          <w:p>
            <w:pPr>
              <w:ind w:left="40"/>
              <w:spacing w:after="0"/>
              <w:rPr>
                <w:sz w:val="20"/>
                <w:szCs w:val="20"/>
                <w:color w:val="auto"/>
              </w:rPr>
            </w:pPr>
            <w:r>
              <w:rPr>
                <w:rFonts w:ascii="Arial" w:cs="Arial" w:eastAsia="Arial" w:hAnsi="Arial"/>
                <w:sz w:val="14"/>
                <w:szCs w:val="14"/>
                <w:color w:val="auto"/>
              </w:rPr>
              <w:t>Add: Cash payments for income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80" w:type="dxa"/>
            <w:vAlign w:val="bottom"/>
          </w:tcPr>
          <w:p>
            <w:pPr>
              <w:ind w:left="4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80" w:type="dxa"/>
            <w:vAlign w:val="bottom"/>
          </w:tcPr>
          <w:p>
            <w:pPr>
              <w:ind w:left="40"/>
              <w:spacing w:after="0"/>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40"/>
              <w:spacing w:after="0"/>
              <w:rPr>
                <w:sz w:val="20"/>
                <w:szCs w:val="20"/>
                <w:color w:val="auto"/>
              </w:rPr>
            </w:pPr>
            <w:r>
              <w:rPr>
                <w:rFonts w:ascii="Arial" w:cs="Arial" w:eastAsia="Arial" w:hAnsi="Arial"/>
                <w:sz w:val="14"/>
                <w:szCs w:val="14"/>
                <w:color w:val="auto"/>
              </w:rPr>
              <w:t>Net Income from investments 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8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2,905</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194"/>
        </w:trPr>
        <w:tc>
          <w:tcPr>
            <w:tcW w:w="2180" w:type="dxa"/>
            <w:vAlign w:val="bottom"/>
          </w:tcPr>
          <w:p>
            <w:pPr>
              <w:ind w:left="40"/>
              <w:spacing w:after="0"/>
              <w:rPr>
                <w:sz w:val="20"/>
                <w:szCs w:val="20"/>
                <w:color w:val="auto"/>
              </w:rPr>
            </w:pPr>
            <w:r>
              <w:rPr>
                <w:rFonts w:ascii="Arial" w:cs="Arial" w:eastAsia="Arial" w:hAnsi="Arial"/>
                <w:sz w:val="14"/>
                <w:szCs w:val="14"/>
                <w:color w:val="auto"/>
              </w:rPr>
              <w:t>Less: Changes in fair value of</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40"/>
              <w:spacing w:after="0"/>
              <w:rPr>
                <w:sz w:val="20"/>
                <w:szCs w:val="20"/>
                <w:color w:val="auto"/>
              </w:rPr>
            </w:pPr>
            <w:r>
              <w:rPr>
                <w:rFonts w:ascii="Arial" w:cs="Arial" w:eastAsia="Arial" w:hAnsi="Arial"/>
                <w:sz w:val="14"/>
                <w:szCs w:val="14"/>
                <w:color w:val="auto"/>
              </w:rPr>
              <w:t>non-hedge derivative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80" w:type="dxa"/>
            <w:vAlign w:val="bottom"/>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Losses on the modification</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 extinguishment of debt and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94"/>
        </w:trPr>
        <w:tc>
          <w:tcPr>
            <w:tcW w:w="2180" w:type="dxa"/>
            <w:vAlign w:val="bottom"/>
          </w:tcPr>
          <w:p>
            <w:pPr>
              <w:ind w:left="40"/>
              <w:spacing w:after="0"/>
              <w:rPr>
                <w:sz w:val="20"/>
                <w:szCs w:val="20"/>
                <w:color w:val="auto"/>
              </w:rPr>
            </w:pPr>
            <w:r>
              <w:rPr>
                <w:rFonts w:ascii="Arial" w:cs="Arial" w:eastAsia="Arial" w:hAnsi="Arial"/>
                <w:sz w:val="14"/>
                <w:szCs w:val="14"/>
                <w:color w:val="auto"/>
              </w:rPr>
              <w:t>Less: Acquisition and transaction</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80" w:type="dxa"/>
            <w:vAlign w:val="bottom"/>
          </w:tcPr>
          <w:p>
            <w:pPr>
              <w:ind w:left="4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Equity-based</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income</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3,672</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Provision for income taxes</w:t>
            </w: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December 31, 2016</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5"/>
                <w:szCs w:val="15"/>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Energy</w:t>
            </w:r>
          </w:p>
        </w:tc>
        <w:tc>
          <w:tcPr>
            <w:tcW w:w="160" w:type="dxa"/>
            <w:vAlign w:val="bottom"/>
          </w:tcPr>
          <w:p>
            <w:pPr>
              <w:spacing w:after="0"/>
              <w:rPr>
                <w:sz w:val="9"/>
                <w:szCs w:val="9"/>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9"/>
                <w:szCs w:val="9"/>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Terminal</w:t>
            </w:r>
          </w:p>
        </w:tc>
        <w:tc>
          <w:tcPr>
            <w:tcW w:w="1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Africa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12,344</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12,344</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47,354</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Europe</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30,508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30,756</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56,893</w:t>
            </w: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South America</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95,408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148,720</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497F"/>
        </w:rPr>
        <w:t>III. For the Year Ended December 31, 2015</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Year Ended December 31, 2015</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5"/>
                <w:szCs w:val="15"/>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61,330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24,231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7,182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92,743</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43,825</w:t>
            </w:r>
          </w:p>
        </w:tc>
        <w:tc>
          <w:tcPr>
            <w:tcW w:w="0" w:type="dxa"/>
            <w:vAlign w:val="bottom"/>
          </w:tcPr>
          <w:p>
            <w:pPr>
              <w:spacing w:after="0"/>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24,231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136,568</w:t>
            </w:r>
          </w:p>
        </w:tc>
        <w:tc>
          <w:tcPr>
            <w:tcW w:w="0" w:type="dxa"/>
            <w:vAlign w:val="bottom"/>
          </w:tcPr>
          <w:p>
            <w:pPr>
              <w:spacing w:after="0"/>
              <w:rPr>
                <w:sz w:val="1"/>
                <w:szCs w:val="1"/>
                <w:color w:val="auto"/>
              </w:rPr>
            </w:pPr>
          </w:p>
        </w:tc>
      </w:tr>
      <w:tr>
        <w:trPr>
          <w:trHeight w:val="324"/>
        </w:trPr>
        <w:tc>
          <w:tcPr>
            <w:tcW w:w="23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68,793</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7,568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7,568</w:t>
            </w: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5,683</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Management fees and incentive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allocation to affiliate</w:t>
            </w:r>
          </w:p>
        </w:tc>
        <w:tc>
          <w:tcPr>
            <w:tcW w:w="1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15,018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15,018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45,308</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3,794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12,546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19,311</w:t>
            </w: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161,681</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Equity in losses of unconsolidated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(6,956)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(loss) on sale of assets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impairment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4"/>
                <w:szCs w:val="14"/>
                <w:color w:val="auto"/>
              </w:rPr>
              <w:t>Total other income (expense)</w:t>
            </w:r>
          </w:p>
        </w:tc>
        <w:tc>
          <w:tcPr>
            <w:tcW w:w="1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162"/>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w:t>
            </w: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taxes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(28,045)</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Provision (benefit) for income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taxes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(28,631)</w:t>
            </w:r>
          </w:p>
        </w:tc>
        <w:tc>
          <w:tcPr>
            <w:tcW w:w="0" w:type="dxa"/>
            <w:vAlign w:val="bottom"/>
          </w:tcPr>
          <w:p>
            <w:pPr>
              <w:spacing w:after="0"/>
              <w:rPr>
                <w:sz w:val="1"/>
                <w:szCs w:val="1"/>
                <w:color w:val="auto"/>
              </w:rPr>
            </w:pPr>
          </w:p>
        </w:tc>
      </w:tr>
      <w:tr>
        <w:trPr>
          <w:trHeight w:val="174"/>
        </w:trPr>
        <w:tc>
          <w:tcPr>
            <w:tcW w:w="2300" w:type="dxa"/>
            <w:vAlign w:val="bottom"/>
          </w:tcPr>
          <w:p>
            <w:pPr>
              <w:ind w:left="40"/>
              <w:spacing w:after="0"/>
              <w:rPr>
                <w:sz w:val="20"/>
                <w:szCs w:val="20"/>
                <w:color w:val="auto"/>
              </w:rPr>
            </w:pPr>
            <w:r>
              <w:rPr>
                <w:rFonts w:ascii="Arial" w:cs="Arial" w:eastAsia="Arial" w:hAnsi="Arial"/>
                <w:sz w:val="14"/>
                <w:szCs w:val="14"/>
                <w:color w:val="auto"/>
              </w:rPr>
              <w:t>Less: Net income (loss)</w:t>
            </w: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rPr>
                <w:sz w:val="20"/>
                <w:szCs w:val="20"/>
                <w:color w:val="auto"/>
              </w:rPr>
            </w:pPr>
            <w:r>
              <w:rPr>
                <w:rFonts w:ascii="Arial" w:cs="Arial" w:eastAsia="Arial" w:hAnsi="Arial"/>
                <w:sz w:val="14"/>
                <w:szCs w:val="14"/>
                <w:color w:val="auto"/>
              </w:rPr>
              <w:t>attributable to non-controlling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rPr>
                <w:sz w:val="20"/>
                <w:szCs w:val="20"/>
                <w:color w:val="auto"/>
              </w:rPr>
            </w:pPr>
            <w:r>
              <w:rPr>
                <w:rFonts w:ascii="Arial" w:cs="Arial" w:eastAsia="Arial" w:hAnsi="Arial"/>
                <w:sz w:val="14"/>
                <w:szCs w:val="14"/>
                <w:color w:val="auto"/>
              </w:rPr>
              <w:t>interests in consolidated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subsidiaries</w:t>
            </w:r>
          </w:p>
        </w:tc>
        <w:tc>
          <w:tcPr>
            <w:tcW w:w="1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(16,805)</w:t>
            </w:r>
          </w:p>
        </w:tc>
        <w:tc>
          <w:tcPr>
            <w:tcW w:w="0" w:type="dxa"/>
            <w:vAlign w:val="bottom"/>
          </w:tcPr>
          <w:p>
            <w:pPr>
              <w:spacing w:after="0"/>
              <w:rPr>
                <w:sz w:val="1"/>
                <w:szCs w:val="1"/>
                <w:color w:val="auto"/>
              </w:rPr>
            </w:pPr>
          </w:p>
        </w:tc>
      </w:tr>
      <w:tr>
        <w:trPr>
          <w:trHeight w:val="162"/>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37,336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9,627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(28,268)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131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Year Ended December 31, 2015</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5"/>
                <w:szCs w:val="15"/>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Energy</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37,777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9,627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7,787</w:t>
            </w:r>
          </w:p>
        </w:tc>
        <w:tc>
          <w:tcPr>
            <w:tcW w:w="0" w:type="dxa"/>
            <w:vAlign w:val="bottom"/>
          </w:tcPr>
          <w:p>
            <w:pPr>
              <w:spacing w:after="0"/>
              <w:rPr>
                <w:sz w:val="1"/>
                <w:szCs w:val="1"/>
                <w:color w:val="auto"/>
              </w:rPr>
            </w:pPr>
          </w:p>
        </w:tc>
      </w:tr>
      <w:tr>
        <w:trPr>
          <w:trHeight w:val="174"/>
        </w:trPr>
        <w:tc>
          <w:tcPr>
            <w:tcW w:w="2300" w:type="dxa"/>
            <w:vAlign w:val="bottom"/>
          </w:tcPr>
          <w:p>
            <w:pPr>
              <w:ind w:left="40"/>
              <w:spacing w:after="0"/>
              <w:rPr>
                <w:sz w:val="20"/>
                <w:szCs w:val="20"/>
                <w:color w:val="auto"/>
              </w:rPr>
            </w:pPr>
            <w:r>
              <w:rPr>
                <w:rFonts w:ascii="Arial" w:cs="Arial" w:eastAsia="Arial" w:hAnsi="Arial"/>
                <w:sz w:val="14"/>
                <w:szCs w:val="14"/>
                <w:color w:val="auto"/>
              </w:rPr>
              <w:t>Add: Non-controlling share of</w:t>
            </w: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rPr>
                <w:sz w:val="20"/>
                <w:szCs w:val="20"/>
                <w:color w:val="auto"/>
              </w:rPr>
            </w:pPr>
            <w:r>
              <w:rPr>
                <w:rFonts w:ascii="Arial" w:cs="Arial" w:eastAsia="Arial" w:hAnsi="Arial"/>
                <w:sz w:val="14"/>
                <w:szCs w:val="14"/>
                <w:color w:val="auto"/>
              </w:rPr>
              <w:t>adjustments to Adjusted Net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earnings of</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Add: Cash payments for income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rPr>
                <w:sz w:val="20"/>
                <w:szCs w:val="20"/>
                <w:color w:val="auto"/>
              </w:rPr>
            </w:pPr>
            <w:r>
              <w:rPr>
                <w:rFonts w:ascii="Arial" w:cs="Arial" w:eastAsia="Arial" w:hAnsi="Arial"/>
                <w:sz w:val="14"/>
                <w:szCs w:val="14"/>
                <w:color w:val="auto"/>
              </w:rPr>
              <w:t>Net Income from investments 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Less: Changes in fair value of non-</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hedge derivative instruments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Losses on the modification</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 extinguishment of debt and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300" w:type="dxa"/>
            <w:vAlign w:val="bottom"/>
          </w:tcPr>
          <w:p>
            <w:pPr>
              <w:ind w:left="40"/>
              <w:spacing w:after="0"/>
              <w:rPr>
                <w:sz w:val="20"/>
                <w:szCs w:val="20"/>
                <w:color w:val="auto"/>
              </w:rPr>
            </w:pPr>
            <w:r>
              <w:rPr>
                <w:rFonts w:ascii="Arial" w:cs="Arial" w:eastAsia="Arial" w:hAnsi="Arial"/>
                <w:sz w:val="14"/>
                <w:szCs w:val="14"/>
                <w:color w:val="auto"/>
              </w:rPr>
              <w:t>Less: Acquisition and transaction</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(5,683)</w:t>
            </w: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Equity-based compensation</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Provision for income taxes</w:t>
            </w: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(11,826)</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Year Ended December 31, 2015</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5"/>
                <w:szCs w:val="15"/>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10,969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10,969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39,960</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20,008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15,071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35,079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49,679</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243"/>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136,568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497F"/>
        </w:rPr>
        <w:t>IV. Balance Sheet and location of long-lived assets</w:t>
      </w:r>
    </w:p>
    <w:p>
      <w:pPr>
        <w:spacing w:after="0" w:line="147" w:lineRule="exact"/>
        <w:rPr>
          <w:sz w:val="20"/>
          <w:szCs w:val="20"/>
          <w:color w:val="auto"/>
        </w:rPr>
      </w:pPr>
    </w:p>
    <w:p>
      <w:pPr>
        <w:ind w:left="660" w:right="520"/>
        <w:spacing w:after="0" w:line="295"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 as of December 31, 2017 and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Energy</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Containers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Terminals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952,543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195,101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579,329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184,942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442,219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703,264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145,882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56,853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210,159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36,560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14,229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456,948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920,731</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 in equity</w:t>
            </w: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81,414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88,007</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consolidated subsidiaries</w:t>
            </w: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806,661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138,248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4,329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369,170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15,429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109,464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(408,226)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1,035,075</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952,543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195,101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579,329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51,989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123,693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9"/>
                <w:szCs w:val="9"/>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Terminals</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w:t>
            </w: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and leasing equipment, net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36,648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36,648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210,152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373,224</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527,166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527,166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371,687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627,041</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property, plant and</w:t>
            </w: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and leasing equipment,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870,491</w:t>
            </w:r>
          </w:p>
        </w:tc>
        <w:tc>
          <w:tcPr>
            <w:tcW w:w="120" w:type="dxa"/>
            <w:vAlign w:val="bottom"/>
            <w:vMerge w:val="restart"/>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163,072</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371,687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40,512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118,317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4"/>
                <w:szCs w:val="14"/>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1,564,079</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w:t>
            </w: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Energy</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Containers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Terminal</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625,680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220,544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534,638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184,702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74,989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205,536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381,632</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 in equity</w:t>
            </w: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1,334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104,087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111,868</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consolidated subsidiaries</w:t>
            </w: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550,691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154,542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329,102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15,457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57,044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54,511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1,165,680</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625,680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220,544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534,638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9"/>
                <w:szCs w:val="9"/>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w:t>
            </w: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and leasing equipment, net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51,136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51,136</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212,635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169,499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382,134</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225,934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225,934</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319,503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450,311</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8,121</w:t>
            </w:r>
          </w:p>
        </w:tc>
        <w:tc>
          <w:tcPr>
            <w:tcW w:w="0" w:type="dxa"/>
            <w:vAlign w:val="bottom"/>
          </w:tcPr>
          <w:p>
            <w:pPr>
              <w:spacing w:after="0"/>
              <w:rPr>
                <w:sz w:val="1"/>
                <w:szCs w:val="1"/>
                <w:color w:val="auto"/>
              </w:rPr>
            </w:pPr>
          </w:p>
        </w:tc>
      </w:tr>
      <w:tr>
        <w:trPr>
          <w:trHeight w:val="18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property, plant and</w:t>
            </w: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and leasing</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554,282</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169,499</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319,503</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29,866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44,486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1,117,636</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net</w:t>
            </w:r>
          </w:p>
        </w:tc>
        <w:tc>
          <w:tcPr>
            <w:tcW w:w="18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6"/>
          <w:szCs w:val="16"/>
          <w:b w:val="1"/>
          <w:bCs w:val="1"/>
          <w:color w:val="00497F"/>
        </w:rPr>
      </w:pPr>
      <w:r>
        <w:rPr>
          <w:rFonts w:ascii="Arial" w:cs="Arial" w:eastAsia="Arial" w:hAnsi="Arial"/>
          <w:sz w:val="16"/>
          <w:szCs w:val="16"/>
          <w:b w:val="1"/>
          <w:bCs w:val="1"/>
          <w:color w:val="00497F"/>
        </w:rPr>
        <w:t>EARNINGS PER SHARE</w:t>
      </w:r>
    </w:p>
    <w:p>
      <w:pPr>
        <w:spacing w:after="0" w:line="133" w:lineRule="exact"/>
        <w:rPr>
          <w:rFonts w:ascii="Arial" w:cs="Arial" w:eastAsia="Arial" w:hAnsi="Arial"/>
          <w:sz w:val="16"/>
          <w:szCs w:val="16"/>
          <w:b w:val="1"/>
          <w:bCs w:val="1"/>
          <w:color w:val="00497F"/>
        </w:rPr>
      </w:pPr>
    </w:p>
    <w:p>
      <w:pPr>
        <w:jc w:val="both"/>
        <w:ind w:left="660"/>
        <w:spacing w:after="0" w:line="251" w:lineRule="auto"/>
        <w:rPr>
          <w:rFonts w:ascii="Arial" w:cs="Arial" w:eastAsia="Arial" w:hAnsi="Arial"/>
          <w:sz w:val="16"/>
          <w:szCs w:val="16"/>
          <w:b w:val="1"/>
          <w:bCs w:val="1"/>
          <w:color w:val="00497F"/>
        </w:rPr>
      </w:pPr>
      <w:r>
        <w:rPr>
          <w:rFonts w:ascii="Arial" w:cs="Arial" w:eastAsia="Arial" w:hAnsi="Arial"/>
          <w:sz w:val="16"/>
          <w:szCs w:val="16"/>
          <w:color w:val="auto"/>
        </w:rPr>
        <w:t>Basic earnings (loss) per share (“EPS”) is calculated by dividing net income (loss) attributable to the Company by the weighted average number of shares of common stock outstanding. Diluted EPS is calculated by dividing net income (loss) attributable to the Company by the weighted average number of shares of common stock outstanding, plus potentially dilutive securities. Potentially dilutive securities are calculated using the treasury stock method.</w:t>
      </w:r>
    </w:p>
    <w:p>
      <w:pPr>
        <w:spacing w:after="0" w:line="94" w:lineRule="exact"/>
        <w:rPr>
          <w:rFonts w:ascii="Arial" w:cs="Arial" w:eastAsia="Arial" w:hAnsi="Arial"/>
          <w:sz w:val="16"/>
          <w:szCs w:val="16"/>
          <w:b w:val="1"/>
          <w:bCs w:val="1"/>
          <w:color w:val="00497F"/>
        </w:rPr>
      </w:pPr>
    </w:p>
    <w:p>
      <w:pPr>
        <w:jc w:val="both"/>
        <w:ind w:left="660" w:right="20"/>
        <w:spacing w:after="0" w:line="253" w:lineRule="auto"/>
        <w:rPr>
          <w:rFonts w:ascii="Arial" w:cs="Arial" w:eastAsia="Arial" w:hAnsi="Arial"/>
          <w:sz w:val="16"/>
          <w:szCs w:val="16"/>
          <w:b w:val="1"/>
          <w:bCs w:val="1"/>
          <w:color w:val="00497F"/>
        </w:rPr>
      </w:pPr>
      <w:r>
        <w:rPr>
          <w:rFonts w:ascii="Arial" w:cs="Arial" w:eastAsia="Arial" w:hAnsi="Arial"/>
          <w:sz w:val="16"/>
          <w:szCs w:val="16"/>
          <w:color w:val="auto"/>
        </w:rPr>
        <w:t>The Company completed its IPO on May 20, 2015 in which its previous beneficial owners, the Onshore Fund and the Offshore Fund, immediately prior to the consummation of the IPO, received shares in proportion to their respective ownership percentages. As a result, the Company has retrospectively presented the shares outstanding for all prior periods presented.</w:t>
      </w:r>
    </w:p>
    <w:p>
      <w:pPr>
        <w:spacing w:after="0" w:line="93"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The calculation of basic and diluted EPS is presented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9"/>
        </w:trPr>
        <w:tc>
          <w:tcPr>
            <w:tcW w:w="53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2015</w:t>
            </w:r>
          </w:p>
        </w:tc>
      </w:tr>
      <w:tr>
        <w:trPr>
          <w:trHeight w:val="25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shareholders</w:t>
            </w: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(11,826)</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Weighted Average Shares Outstanding - Basic</w:t>
            </w:r>
          </w:p>
        </w:tc>
        <w:tc>
          <w:tcPr>
            <w:tcW w:w="4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75,766,811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75,738,698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67,039,439</w:t>
            </w: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 Diluted</w:t>
            </w:r>
          </w:p>
        </w:tc>
        <w:tc>
          <w:tcPr>
            <w:tcW w:w="4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75,766,811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75,738,698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67,039,439</w:t>
            </w:r>
          </w:p>
        </w:tc>
      </w:tr>
      <w:tr>
        <w:trPr>
          <w:trHeight w:val="324"/>
        </w:trPr>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and Diluted EPS</w:t>
            </w: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420"/>
          </w:cols>
          <w:pgMar w:left="240" w:top="121" w:right="2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For the years ended December 31, 2017, 2016 and 2015, 438, 8,082 and 0 shares have been excluded from the calculation of Diluted EPS, respectively, because the impact would be anti-dilutive.</w:t>
      </w:r>
    </w:p>
    <w:p>
      <w:pPr>
        <w:spacing w:after="0" w:line="68"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6"/>
          <w:szCs w:val="16"/>
          <w:b w:val="1"/>
          <w:bCs w:val="1"/>
          <w:color w:val="00497F"/>
        </w:rPr>
      </w:pPr>
      <w:r>
        <w:rPr>
          <w:rFonts w:ascii="Arial" w:cs="Arial" w:eastAsia="Arial" w:hAnsi="Arial"/>
          <w:sz w:val="16"/>
          <w:szCs w:val="16"/>
          <w:b w:val="1"/>
          <w:bCs w:val="1"/>
          <w:color w:val="00497F"/>
        </w:rPr>
        <w:t>COMMITMENTS AND CONTINGENCIES</w:t>
      </w:r>
    </w:p>
    <w:p>
      <w:pPr>
        <w:spacing w:after="0" w:line="133" w:lineRule="exact"/>
        <w:rPr>
          <w:rFonts w:ascii="Arial" w:cs="Arial" w:eastAsia="Arial" w:hAnsi="Arial"/>
          <w:sz w:val="16"/>
          <w:szCs w:val="16"/>
          <w:b w:val="1"/>
          <w:bCs w:val="1"/>
          <w:color w:val="00497F"/>
        </w:rPr>
      </w:pPr>
    </w:p>
    <w:p>
      <w:pPr>
        <w:jc w:val="both"/>
        <w:ind w:left="660"/>
        <w:spacing w:after="0" w:line="248" w:lineRule="auto"/>
        <w:rPr>
          <w:rFonts w:ascii="Arial" w:cs="Arial" w:eastAsia="Arial" w:hAnsi="Arial"/>
          <w:sz w:val="16"/>
          <w:szCs w:val="16"/>
          <w:b w:val="1"/>
          <w:bCs w:val="1"/>
          <w:color w:val="00497F"/>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lessees have asserted that they are entitled to certain reimbursable expenses or adjustments per the terms of the related charter agreement. Although the Company believes it has strong defenses against these claims, the range of potential damages is $0 to $6,580. No amount has been recorded for this matter in the Company’s consolidated financial statements as of December 31, 2017, and the Company will continue to vigorously defend against these claims. The Company’s maximum exposure under other arrangements is unknown as no additional claims have been made. The Company believes the risk of loss in connection with such arrangements is remote.</w:t>
      </w:r>
    </w:p>
    <w:p>
      <w:pPr>
        <w:spacing w:after="0" w:line="100" w:lineRule="exact"/>
        <w:rPr>
          <w:rFonts w:ascii="Arial" w:cs="Arial" w:eastAsia="Arial" w:hAnsi="Arial"/>
          <w:sz w:val="16"/>
          <w:szCs w:val="16"/>
          <w:b w:val="1"/>
          <w:bCs w:val="1"/>
          <w:color w:val="00497F"/>
        </w:rPr>
      </w:pPr>
    </w:p>
    <w:p>
      <w:pPr>
        <w:jc w:val="both"/>
        <w:ind w:left="660"/>
        <w:spacing w:after="0" w:line="253" w:lineRule="auto"/>
        <w:rPr>
          <w:rFonts w:ascii="Arial" w:cs="Arial" w:eastAsia="Arial" w:hAnsi="Arial"/>
          <w:sz w:val="16"/>
          <w:szCs w:val="16"/>
          <w:b w:val="1"/>
          <w:bCs w:val="1"/>
          <w:color w:val="00497F"/>
        </w:rPr>
      </w:pPr>
      <w:r>
        <w:rPr>
          <w:rFonts w:ascii="Arial" w:cs="Arial" w:eastAsia="Arial" w:hAnsi="Arial"/>
          <w:sz w:val="16"/>
          <w:szCs w:val="16"/>
          <w:color w:val="auto"/>
        </w:rPr>
        <w:t>The Company has also entered into an arrangement with its non-controlling interest holder of Repauno, whereby the non-controlling interest holder may receive additional payments contingent upon the achievement of certain service conditions, not to exceed $15,000 (Note 5). The Company will account for such amounts when and if such service conditions are achieved.</w:t>
      </w:r>
    </w:p>
    <w:p>
      <w:pPr>
        <w:spacing w:after="0" w:line="93"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Several of the Company’s subsidiaries are lessees under various operating and capital leases. Total rent expense for operating leases was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2015</w:t>
            </w:r>
          </w:p>
        </w:tc>
      </w:tr>
      <w:tr>
        <w:trPr>
          <w:trHeight w:val="256"/>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Rent expense</w:t>
            </w:r>
          </w:p>
        </w:tc>
        <w:tc>
          <w:tcPr>
            <w:tcW w:w="132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4,979</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3,717</w:t>
            </w: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minimum future rental payments under operating and capital leases are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40" w:type="dxa"/>
            <w:vAlign w:val="bottom"/>
          </w:tcPr>
          <w:p>
            <w:pPr>
              <w:ind w:left="40"/>
              <w:spacing w:after="0"/>
              <w:rPr>
                <w:sz w:val="20"/>
                <w:szCs w:val="20"/>
                <w:color w:val="auto"/>
              </w:rPr>
            </w:pPr>
            <w:r>
              <w:rPr>
                <w:rFonts w:ascii="Arial" w:cs="Arial" w:eastAsia="Arial" w:hAnsi="Arial"/>
                <w:sz w:val="14"/>
                <w:szCs w:val="14"/>
                <w:color w:val="auto"/>
              </w:rPr>
              <w:t>2018</w:t>
            </w:r>
          </w:p>
        </w:tc>
        <w:tc>
          <w:tcPr>
            <w:tcW w:w="710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7,135</w:t>
            </w: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6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6,968</w:t>
            </w:r>
          </w:p>
        </w:tc>
        <w:tc>
          <w:tcPr>
            <w:tcW w:w="0" w:type="dxa"/>
            <w:vAlign w:val="bottom"/>
          </w:tcPr>
          <w:p>
            <w:pPr>
              <w:spacing w:after="0"/>
              <w:rPr>
                <w:sz w:val="1"/>
                <w:szCs w:val="1"/>
                <w:color w:val="auto"/>
              </w:rPr>
            </w:pPr>
          </w:p>
        </w:tc>
      </w:tr>
      <w:tr>
        <w:trPr>
          <w:trHeight w:val="210"/>
        </w:trPr>
        <w:tc>
          <w:tcPr>
            <w:tcW w:w="3140" w:type="dxa"/>
            <w:vAlign w:val="bottom"/>
          </w:tcPr>
          <w:p>
            <w:pPr>
              <w:ind w:left="40"/>
              <w:spacing w:after="0"/>
              <w:rPr>
                <w:sz w:val="20"/>
                <w:szCs w:val="20"/>
                <w:color w:val="auto"/>
              </w:rPr>
            </w:pPr>
            <w:r>
              <w:rPr>
                <w:rFonts w:ascii="Arial" w:cs="Arial" w:eastAsia="Arial" w:hAnsi="Arial"/>
                <w:sz w:val="14"/>
                <w:szCs w:val="14"/>
                <w:color w:val="auto"/>
              </w:rPr>
              <w:t>2020</w:t>
            </w:r>
          </w:p>
        </w:tc>
        <w:tc>
          <w:tcPr>
            <w:tcW w:w="6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6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4,475</w:t>
            </w:r>
          </w:p>
        </w:tc>
        <w:tc>
          <w:tcPr>
            <w:tcW w:w="0" w:type="dxa"/>
            <w:vAlign w:val="bottom"/>
          </w:tcPr>
          <w:p>
            <w:pPr>
              <w:spacing w:after="0"/>
              <w:rPr>
                <w:sz w:val="1"/>
                <w:szCs w:val="1"/>
                <w:color w:val="auto"/>
              </w:rPr>
            </w:pPr>
          </w:p>
        </w:tc>
      </w:tr>
      <w:tr>
        <w:trPr>
          <w:trHeight w:val="210"/>
        </w:trPr>
        <w:tc>
          <w:tcPr>
            <w:tcW w:w="3140" w:type="dxa"/>
            <w:vAlign w:val="bottom"/>
          </w:tcPr>
          <w:p>
            <w:pPr>
              <w:ind w:left="40"/>
              <w:spacing w:after="0"/>
              <w:rPr>
                <w:sz w:val="20"/>
                <w:szCs w:val="20"/>
                <w:color w:val="auto"/>
              </w:rPr>
            </w:pPr>
            <w:r>
              <w:rPr>
                <w:rFonts w:ascii="Arial" w:cs="Arial" w:eastAsia="Arial" w:hAnsi="Arial"/>
                <w:sz w:val="14"/>
                <w:szCs w:val="14"/>
                <w:color w:val="auto"/>
              </w:rPr>
              <w:t>2022</w:t>
            </w:r>
          </w:p>
        </w:tc>
        <w:tc>
          <w:tcPr>
            <w:tcW w:w="6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Thereafter</w:t>
            </w:r>
          </w:p>
        </w:tc>
        <w:tc>
          <w:tcPr>
            <w:tcW w:w="63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70,713</w:t>
            </w:r>
          </w:p>
        </w:tc>
        <w:tc>
          <w:tcPr>
            <w:tcW w:w="0" w:type="dxa"/>
            <w:vAlign w:val="bottom"/>
          </w:tcPr>
          <w:p>
            <w:pPr>
              <w:spacing w:after="0"/>
              <w:rPr>
                <w:sz w:val="1"/>
                <w:szCs w:val="1"/>
                <w:color w:val="auto"/>
              </w:rPr>
            </w:pPr>
          </w:p>
        </w:tc>
      </w:tr>
      <w:tr>
        <w:trPr>
          <w:trHeight w:val="216"/>
        </w:trPr>
        <w:tc>
          <w:tcPr>
            <w:tcW w:w="31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7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98,193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340" w:type="dxa"/>
            <w:vAlign w:val="bottom"/>
            <w:vMerge w:val="restart"/>
          </w:tcPr>
          <w:p>
            <w:pPr>
              <w:jc w:val="right"/>
              <w:ind w:right="3568"/>
              <w:spacing w:after="0"/>
              <w:rPr>
                <w:sz w:val="20"/>
                <w:szCs w:val="20"/>
                <w:color w:val="auto"/>
              </w:rPr>
            </w:pPr>
            <w:r>
              <w:rPr>
                <w:rFonts w:ascii="Arial" w:cs="Arial" w:eastAsia="Arial" w:hAnsi="Arial"/>
                <w:sz w:val="14"/>
                <w:szCs w:val="14"/>
                <w:color w:val="auto"/>
              </w:rPr>
              <w:t>135</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14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6"/>
          <w:szCs w:val="16"/>
          <w:b w:val="1"/>
          <w:bCs w:val="1"/>
          <w:color w:val="00497F"/>
        </w:rPr>
      </w:pPr>
      <w:r>
        <w:rPr>
          <w:rFonts w:ascii="Arial" w:cs="Arial" w:eastAsia="Arial" w:hAnsi="Arial"/>
          <w:sz w:val="16"/>
          <w:szCs w:val="16"/>
          <w:b w:val="1"/>
          <w:bCs w:val="1"/>
          <w:color w:val="00497F"/>
        </w:rPr>
        <w:t>QUARTERLY FINANCIAL INFORMATION (UNAUDITED)</w:t>
      </w:r>
    </w:p>
    <w:p>
      <w:pPr>
        <w:spacing w:after="0" w:line="214" w:lineRule="exact"/>
        <w:rPr>
          <w:rFonts w:ascii="Arial" w:cs="Arial" w:eastAsia="Arial" w:hAnsi="Arial"/>
          <w:sz w:val="16"/>
          <w:szCs w:val="16"/>
          <w:b w:val="1"/>
          <w:bCs w:val="1"/>
          <w:color w:val="00497F"/>
        </w:rPr>
      </w:pPr>
    </w:p>
    <w:p>
      <w:pPr>
        <w:ind w:left="660"/>
        <w:spacing w:after="0"/>
        <w:rPr>
          <w:rFonts w:ascii="Arial" w:cs="Arial" w:eastAsia="Arial" w:hAnsi="Arial"/>
          <w:sz w:val="16"/>
          <w:szCs w:val="16"/>
          <w:b w:val="1"/>
          <w:bCs w:val="1"/>
          <w:color w:val="00497F"/>
        </w:rPr>
      </w:pPr>
      <w:r>
        <w:rPr>
          <w:rFonts w:ascii="Arial" w:cs="Arial" w:eastAsia="Arial" w:hAnsi="Arial"/>
          <w:sz w:val="16"/>
          <w:szCs w:val="16"/>
          <w:color w:val="auto"/>
        </w:rPr>
        <w:t>The following table unaudited summary information of the Company's quarterly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9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5"/>
          </w:tcPr>
          <w:p>
            <w:pPr>
              <w:ind w:left="7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39"/>
        </w:trPr>
        <w:tc>
          <w:tcPr>
            <w:tcW w:w="390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9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r>
              <w:rPr>
                <w:rFonts w:ascii="Arial" w:cs="Arial" w:eastAsia="Arial" w:hAnsi="Arial"/>
                <w:sz w:val="17"/>
                <w:szCs w:val="17"/>
                <w:b w:val="1"/>
                <w:bCs w:val="1"/>
                <w:color w:val="auto"/>
                <w:vertAlign w:val="superscript"/>
              </w:rPr>
              <w:t>(1)</w:t>
            </w:r>
          </w:p>
        </w:tc>
        <w:tc>
          <w:tcPr>
            <w:tcW w:w="180" w:type="dxa"/>
            <w:vAlign w:val="bottom"/>
          </w:tcPr>
          <w:p>
            <w:pPr>
              <w:spacing w:after="0"/>
              <w:rPr>
                <w:sz w:val="24"/>
                <w:szCs w:val="24"/>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41"/>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900" w:type="dxa"/>
            <w:vAlign w:val="bottom"/>
            <w:vMerge w:val="continue"/>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44,673</w:t>
            </w:r>
          </w:p>
        </w:tc>
        <w:tc>
          <w:tcPr>
            <w:tcW w:w="14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51,194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60,362</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61,430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217,659</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52,264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256,930</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(expense) income</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17,985</w:t>
            </w: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(21,286)</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(9,212)</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(23,240)</w:t>
            </w:r>
          </w:p>
        </w:tc>
        <w:tc>
          <w:tcPr>
            <w:tcW w:w="0" w:type="dxa"/>
            <w:vAlign w:val="bottom"/>
          </w:tcPr>
          <w:p>
            <w:pPr>
              <w:spacing w:after="0"/>
              <w:rPr>
                <w:sz w:val="1"/>
                <w:szCs w:val="1"/>
                <w:color w:val="auto"/>
              </w:rPr>
            </w:pPr>
          </w:p>
        </w:tc>
      </w:tr>
      <w:tr>
        <w:trPr>
          <w:trHeight w:val="194"/>
        </w:trPr>
        <w:tc>
          <w:tcPr>
            <w:tcW w:w="3900" w:type="dxa"/>
            <w:vAlign w:val="bottom"/>
          </w:tcPr>
          <w:p>
            <w:pPr>
              <w:ind w:left="40"/>
              <w:spacing w:after="0"/>
              <w:rPr>
                <w:sz w:val="20"/>
                <w:szCs w:val="20"/>
                <w:color w:val="auto"/>
              </w:rPr>
            </w:pPr>
            <w:r>
              <w:rPr>
                <w:rFonts w:ascii="Arial" w:cs="Arial" w:eastAsia="Arial" w:hAnsi="Arial"/>
                <w:sz w:val="14"/>
                <w:szCs w:val="14"/>
                <w:color w:val="auto"/>
              </w:rPr>
              <w:t>Net loss attributable to non-controlling interests in</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consolidated subsidiaries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(4,798)</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(23,374)</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earnings per share:</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50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75,762,283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75,762,674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75,770,529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75,771,738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75,766,811</w:t>
            </w:r>
          </w:p>
        </w:tc>
        <w:tc>
          <w:tcPr>
            <w:tcW w:w="0" w:type="dxa"/>
            <w:vAlign w:val="bottom"/>
          </w:tcPr>
          <w:p>
            <w:pPr>
              <w:spacing w:after="0"/>
              <w:rPr>
                <w:sz w:val="1"/>
                <w:szCs w:val="1"/>
                <w:color w:val="auto"/>
              </w:rPr>
            </w:pPr>
          </w:p>
        </w:tc>
      </w:tr>
      <w:tr>
        <w:trPr>
          <w:trHeight w:val="258"/>
        </w:trPr>
        <w:tc>
          <w:tcPr>
            <w:tcW w:w="3900" w:type="dxa"/>
            <w:vAlign w:val="bottom"/>
          </w:tcPr>
          <w:p>
            <w:pPr>
              <w:ind w:left="50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75,762,283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75,762,674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75,770,665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75,772,867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75,766,811</w:t>
            </w: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w:t>
      </w:r>
    </w:p>
    <w:p>
      <w:pPr>
        <w:jc w:val="both"/>
        <w:spacing w:after="0" w:line="273" w:lineRule="auto"/>
        <w:rPr>
          <w:sz w:val="20"/>
          <w:szCs w:val="20"/>
          <w:color w:val="auto"/>
        </w:rPr>
      </w:pPr>
      <w:r>
        <w:rPr>
          <w:rFonts w:ascii="Arial" w:cs="Arial" w:eastAsia="Arial" w:hAnsi="Arial"/>
          <w:sz w:val="25"/>
          <w:szCs w:val="25"/>
          <w:b w:val="1"/>
          <w:bCs w:val="1"/>
          <w:color w:val="auto"/>
          <w:vertAlign w:val="superscript"/>
        </w:rPr>
        <w:t>(1)</w:t>
      </w:r>
      <w:r>
        <w:rPr>
          <w:rFonts w:ascii="Arial" w:cs="Arial" w:eastAsia="Arial" w:hAnsi="Arial"/>
          <w:sz w:val="14"/>
          <w:szCs w:val="14"/>
          <w:color w:val="auto"/>
        </w:rPr>
        <w:t>Results of operations for the three months ended December 31, 2017 include a $5.9 million out of period adjustment to interest expense, which relates to interest previously capitalized that should have been expensed ratably during the first nine months of 2017. The impact of the out of period adjustment for the three months ended December 31, 2017, was a decrease of $3.6 million to net (loss) income attributed to shareholders. The Company does not believe this out of period adjustment is material to its financial position, or results of operations for any prior periods.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gridSpan w:val="5"/>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0"/>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7"/>
        </w:trPr>
        <w:tc>
          <w:tcPr>
            <w:tcW w:w="40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31,453</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33,195</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41,726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42,346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148,720</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40,873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180,708</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(8,342)</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(40,330)</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provision for income taxes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(9,077)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(40,598)</w:t>
            </w: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interests in</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subsidiaries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(3,295)</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(4,370)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(20,534)</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(20,064)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per Share:</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8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64"/>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75,727,369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75,730,165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75,746,200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75,750,943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75,738,698</w:t>
            </w:r>
          </w:p>
        </w:tc>
        <w:tc>
          <w:tcPr>
            <w:tcW w:w="0" w:type="dxa"/>
            <w:vAlign w:val="bottom"/>
          </w:tcPr>
          <w:p>
            <w:pPr>
              <w:spacing w:after="0"/>
              <w:rPr>
                <w:sz w:val="1"/>
                <w:szCs w:val="1"/>
                <w:color w:val="auto"/>
              </w:rPr>
            </w:pPr>
          </w:p>
        </w:tc>
      </w:tr>
      <w:tr>
        <w:trPr>
          <w:trHeight w:val="258"/>
        </w:trPr>
        <w:tc>
          <w:tcPr>
            <w:tcW w:w="4000" w:type="dxa"/>
            <w:vAlign w:val="bottom"/>
          </w:tcPr>
          <w:p>
            <w:pPr>
              <w:ind w:left="48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75,727,369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75,730,165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75,746,200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75,750,943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75,738,698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20"/>
          </w:cols>
          <w:pgMar w:left="240" w:top="121" w:right="2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6"/>
          <w:szCs w:val="16"/>
          <w:b w:val="1"/>
          <w:bCs w:val="1"/>
          <w:color w:val="00497F"/>
        </w:rPr>
      </w:pPr>
      <w:r>
        <w:rPr>
          <w:rFonts w:ascii="Arial" w:cs="Arial" w:eastAsia="Arial" w:hAnsi="Arial"/>
          <w:sz w:val="16"/>
          <w:szCs w:val="16"/>
          <w:b w:val="1"/>
          <w:bCs w:val="1"/>
          <w:color w:val="00497F"/>
        </w:rPr>
        <w:t>SUBSEQUENT EVENTS</w:t>
      </w:r>
    </w:p>
    <w:p>
      <w:pPr>
        <w:spacing w:after="0" w:line="133" w:lineRule="exact"/>
        <w:rPr>
          <w:rFonts w:ascii="Arial" w:cs="Arial" w:eastAsia="Arial" w:hAnsi="Arial"/>
          <w:sz w:val="16"/>
          <w:szCs w:val="16"/>
          <w:b w:val="1"/>
          <w:bCs w:val="1"/>
          <w:color w:val="00497F"/>
        </w:rPr>
      </w:pPr>
    </w:p>
    <w:p>
      <w:pPr>
        <w:jc w:val="both"/>
        <w:ind w:left="660"/>
        <w:spacing w:after="0" w:line="248" w:lineRule="auto"/>
        <w:rPr>
          <w:rFonts w:ascii="Arial" w:cs="Arial" w:eastAsia="Arial" w:hAnsi="Arial"/>
          <w:sz w:val="16"/>
          <w:szCs w:val="16"/>
          <w:b w:val="1"/>
          <w:bCs w:val="1"/>
          <w:color w:val="00497F"/>
        </w:rPr>
      </w:pPr>
      <w:r>
        <w:rPr>
          <w:rFonts w:ascii="Arial" w:cs="Arial" w:eastAsia="Arial" w:hAnsi="Arial"/>
          <w:sz w:val="16"/>
          <w:szCs w:val="16"/>
          <w:color w:val="auto"/>
        </w:rPr>
        <w:t>On January 10, 2018, the Company agreed to sell 7,000,000 common shares, par value $0.01 per share, representing limited liability interest in the Company, in connection with a public offering, at a price of $18.65 per share. The offering closed on January 16, 2018. Net proceeds received by the Company from the offering were approximately $128 million, after deducting underwriting discounts and commissions and estimated offering expenses payable by the Company. To compensate the Manager for its successful efforts in raising capital for the Company, in connection with the offering, the Company granted options to the Manager related to 700,000 shares of the Company’s common stock at the public offering price which had a fair value of approximately $1.9 million as of the grant date. The assumptions used in valuing the options were: a 2.52% risk-free rate, a 5.45% dividend yield, a 27.73% volatility and a ten-year term. The Company intends to use the net proceeds from the offering for general corporate purposes, including the funding of future investments.</w:t>
      </w:r>
    </w:p>
    <w:p>
      <w:pPr>
        <w:spacing w:after="0" w:line="99" w:lineRule="exact"/>
        <w:rPr>
          <w:rFonts w:ascii="Arial" w:cs="Arial" w:eastAsia="Arial" w:hAnsi="Arial"/>
          <w:sz w:val="16"/>
          <w:szCs w:val="16"/>
          <w:b w:val="1"/>
          <w:bCs w:val="1"/>
          <w:color w:val="00497F"/>
        </w:rPr>
      </w:pPr>
    </w:p>
    <w:p>
      <w:pPr>
        <w:ind w:left="660"/>
        <w:spacing w:after="0" w:line="260" w:lineRule="auto"/>
        <w:rPr>
          <w:rFonts w:ascii="Arial" w:cs="Arial" w:eastAsia="Arial" w:hAnsi="Arial"/>
          <w:sz w:val="16"/>
          <w:szCs w:val="16"/>
          <w:b w:val="1"/>
          <w:bCs w:val="1"/>
          <w:color w:val="00497F"/>
        </w:rPr>
      </w:pPr>
      <w:r>
        <w:rPr>
          <w:rFonts w:ascii="Arial" w:cs="Arial" w:eastAsia="Arial" w:hAnsi="Arial"/>
          <w:sz w:val="16"/>
          <w:szCs w:val="16"/>
          <w:color w:val="auto"/>
        </w:rPr>
        <w:t>On February 27, 2018, the Company’s Board of Directors declared a cash dividend on its common shares of $0.33 per share for the quarter ended December 31, 2017, payable on March 27, 2018 to the holders of record on March 16,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20"/>
          </w:cols>
          <w:pgMar w:left="240" w:top="121" w:right="2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6"/>
          <w:szCs w:val="16"/>
          <w:b w:val="1"/>
          <w:bCs w:val="1"/>
          <w:color w:val="auto"/>
        </w:rPr>
        <w:t>Report of Independent Auditors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Management of Intermodal Finance I Ltd.</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 xml:space="preserve">We have audited the accompanying consolidated financial statements of </w:t>
      </w:r>
      <w:r>
        <w:rPr>
          <w:rFonts w:ascii="Arial" w:cs="Arial" w:eastAsia="Arial" w:hAnsi="Arial"/>
          <w:sz w:val="16"/>
          <w:szCs w:val="16"/>
          <w:color w:val="000000"/>
        </w:rPr>
        <w:t>Intermodal Finance I Ltd.</w:t>
      </w:r>
      <w:r>
        <w:rPr>
          <w:rFonts w:ascii="Arial" w:cs="Arial" w:eastAsia="Arial" w:hAnsi="Arial"/>
          <w:sz w:val="16"/>
          <w:szCs w:val="16"/>
          <w:color w:val="333333"/>
        </w:rPr>
        <w:t xml:space="preserve"> , which comprise the consolidated balance sheets as of December 31, 2017 and 2016, and the related consolidated statements of operations, comprehensive loss, changes in members’ (deficit) equity and cash flows for the years then ended, and the related notes to the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Responsibility for the Financial Statements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Auditor’s Responsibility</w:t>
      </w:r>
    </w:p>
    <w:p>
      <w:pPr>
        <w:spacing w:after="0" w:line="160"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333333"/>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7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333333"/>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333333"/>
        </w:rPr>
        <w:t>We believe that the audit evidence we have obtained is sufficient and appropriate to provide a basis for our audit opinion.</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w:t>
      </w:r>
    </w:p>
    <w:p>
      <w:pPr>
        <w:spacing w:after="0" w:line="160"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333333"/>
        </w:rPr>
        <w:t>In our opinion, the financial statements referred to above present fairly, in all material respects, the consolidated financial position of Intermodal Finance I Ltd. at December 31, 2017 and 2016, and the consolidated results of its operations and its cash flows for the years then ended in conformity with U.S. generally accepted accounting principles.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Supplementary Information</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Our audits were conducted for the purpose of forming an opinion on the consolidated financial statements as a whole. The accompanying Other Financial Information is presented for purposes of additional analysis and is not a required part of the financial statements. Such information is the responsibility of management and was derived from and relates directly to the underlying accounting and other records used to prepare the financial statements. The consolidating information has been subjected to the auditing procedures applied in the audit of the consolidated financial statements and certain additional procedures, including comparing and reconciling such information directly to the underlying accounting and other records used to prepare the financial statements or to the financial statements themselves, and other additional procedures in accordance with auditing standards generally accepted in the United States. In our opinion, the information is fairly stated, in all material respects, in relation to the financial statements as a whole.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/s/Ernst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 2018</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20"/>
          </w:cols>
          <w:pgMar w:left="240" w:top="580" w:right="2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6"/>
          <w:szCs w:val="16"/>
          <w:b w:val="1"/>
          <w:bCs w:val="1"/>
          <w:color w:val="auto"/>
        </w:rPr>
        <w:t>Report of Independent Auditors</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To the Management of Intermodal Finance I Ltd:</w:t>
      </w:r>
    </w:p>
    <w:p>
      <w:pPr>
        <w:spacing w:after="0" w:line="19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We have audited the consolidated financial statements of Intermodal Finance I Ltd. and its subsidiaries, which comprise the consolidated statements of operations, comprehensive (loss) income, members’ equity and cash flows for the year ended December 31, 2015.</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Responsibility for the Consolidated Financial Statements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Auditor's Responsibility</w:t>
      </w:r>
    </w:p>
    <w:p>
      <w:pPr>
        <w:spacing w:after="0" w:line="25" w:lineRule="exact"/>
        <w:rPr>
          <w:sz w:val="20"/>
          <w:szCs w:val="20"/>
          <w:color w:val="auto"/>
        </w:rPr>
      </w:pPr>
    </w:p>
    <w:p>
      <w:pPr>
        <w:jc w:val="both"/>
        <w:ind w:right="300"/>
        <w:spacing w:after="0" w:line="246" w:lineRule="auto"/>
        <w:rPr>
          <w:sz w:val="20"/>
          <w:szCs w:val="20"/>
          <w:color w:val="auto"/>
        </w:rPr>
      </w:pPr>
      <w:r>
        <w:rPr>
          <w:rFonts w:ascii="Arial" w:cs="Arial" w:eastAsia="Arial" w:hAnsi="Arial"/>
          <w:sz w:val="16"/>
          <w:szCs w:val="16"/>
          <w:color w:val="auto"/>
        </w:rPr>
        <w:t>Our responsibility is to express an opinion on the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results of their operations and their cash flows for the year ended December 31, 2015, in accordance with accounting principles generally accepted in the United States of America.</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Our audit was conducted for the purpose of forming an opinion on the consolidated financial statements taken as a whole. The consolidating information contained in the Other Financial Information section is the responsibility of management and was derived from and relates directly to the underlying accounting and other records used to prepare the consolidated financial statements. The consolidating information has been subjected to the auditing procedures applied in the audit of the consolidated financial statements and certain additional procedures, including comparing and reconciling such information directly to the underlying accounting and other records used to prepare the consolidated financial statements or to the consolidated financial statements themselves and other additional procedures, in accordance with auditing standards generally accepted in the United States of America. In our opinion, the consolidating information is fairly stated, in all material respects, in relation to the consolidated financial statements taken as a whole. The consolidating information is presented for purposes of additional analysis of the consolidated financial statements rather than to present the financial position or results of operations of the individual companies and is not a required part of the consolidated financial statements. Accordingly, we do not express an opinion on the results of operations of the individual companies.</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March 8, 2016, except for the change in presentation of debt issuance costs as discussed in Note 2 to the consolidated financial statements, as to which the date is February 24, 2017</w:t>
      </w:r>
    </w:p>
    <w:p>
      <w:pPr>
        <w:sectPr>
          <w:pgSz w:w="11900" w:h="16838" w:orient="portrait"/>
          <w:cols w:equalWidth="0" w:num="1">
            <w:col w:w="11420"/>
          </w:cols>
          <w:pgMar w:left="240" w:top="364" w:right="2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color w:val="00497F"/>
        </w:rPr>
        <w:t>INTERMODAL FINANCE I LTD.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BALANCE SHEETS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1,648</w:t>
            </w:r>
          </w:p>
        </w:tc>
        <w:tc>
          <w:tcPr>
            <w:tcW w:w="100" w:type="dxa"/>
            <w:vAlign w:val="bottom"/>
          </w:tcPr>
          <w:p>
            <w:pPr>
              <w:spacing w:after="0"/>
              <w:rPr>
                <w:sz w:val="22"/>
                <w:szCs w:val="22"/>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4,249</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1,121</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1,123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1,814</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Leasing assets, net of accumulated depreciation of $4,085 and $8,398, respectively</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6,037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19,007</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Finance Leases, net</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7,115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17,270</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16,696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43,470</w:t>
            </w:r>
          </w:p>
        </w:tc>
      </w:tr>
      <w:tr>
        <w:trPr>
          <w:trHeight w:val="270"/>
        </w:trPr>
        <w:tc>
          <w:tcPr>
            <w:tcW w:w="8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Liabilities and Deficit</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Management fees payable</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interest payable</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Accrued interest payable to affiliates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310</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 payable, net</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32,485</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Loans payable to affiliates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18,080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18,080</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Syndication liabilities</w:t>
            </w:r>
          </w:p>
        </w:tc>
        <w:tc>
          <w:tcPr>
            <w:tcW w:w="10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1,207</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liabilities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26,298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52,702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Members’ deficit</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(9,602)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(9,232)</w:t>
            </w: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members’ deficit</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16,696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43,470</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420"/>
          </w:cols>
          <w:pgMar w:left="240" w:top="364" w:right="2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00497F"/>
        </w:rPr>
        <w:t>INTERMODAL FINANCE I LTD.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63"/>
        </w:trPr>
        <w:tc>
          <w:tcPr>
            <w:tcW w:w="6060" w:type="dxa"/>
            <w:vAlign w:val="bottom"/>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leasing revenue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2,291</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11,877</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Finance revenue</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4,145</w:t>
            </w: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3,349</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9,716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16,022</w:t>
            </w:r>
          </w:p>
        </w:tc>
      </w:tr>
      <w:tr>
        <w:trPr>
          <w:trHeight w:val="270"/>
        </w:trPr>
        <w:tc>
          <w:tcPr>
            <w:tcW w:w="6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Direct operating expenses</w:t>
            </w:r>
          </w:p>
        </w:tc>
        <w:tc>
          <w:tcPr>
            <w:tcW w:w="11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3,080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1,780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301</w:t>
            </w: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Management fee</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w:t>
            </w: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1,763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5,815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3,659</w:t>
            </w: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3,077</w:t>
            </w: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Interest expense-affiliates</w:t>
            </w:r>
          </w:p>
        </w:tc>
        <w:tc>
          <w:tcPr>
            <w:tcW w:w="11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411</w:t>
            </w: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20,604</w:t>
            </w: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General and administrative expense</w:t>
            </w:r>
          </w:p>
        </w:tc>
        <w:tc>
          <w:tcPr>
            <w:tcW w:w="11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509</w:t>
            </w: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1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expenses</w:t>
            </w:r>
          </w:p>
        </w:tc>
        <w:tc>
          <w:tcPr>
            <w:tcW w:w="1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7,386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17,769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29,553</w:t>
            </w:r>
          </w:p>
        </w:tc>
      </w:tr>
      <w:tr>
        <w:trPr>
          <w:trHeight w:val="270"/>
        </w:trPr>
        <w:tc>
          <w:tcPr>
            <w:tcW w:w="60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Other income (loss)</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
        </w:trPr>
        <w:tc>
          <w:tcPr>
            <w:tcW w:w="6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w:t>
            </w: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Gain (Loss) on disposal of equipment</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2,742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income (loss)</w:t>
            </w:r>
          </w:p>
        </w:tc>
        <w:tc>
          <w:tcPr>
            <w:tcW w:w="1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3,667</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(4,028)</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r>
      <w:tr>
        <w:trPr>
          <w:trHeight w:val="270"/>
        </w:trPr>
        <w:tc>
          <w:tcPr>
            <w:tcW w:w="606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(12,081)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(14,050)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420"/>
          </w:cols>
          <w:pgMar w:left="240" w:top="364" w:right="2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6"/>
          <w:szCs w:val="16"/>
          <w:b w:val="1"/>
          <w:bCs w:val="1"/>
          <w:color w:val="00497F"/>
        </w:rPr>
        <w:t>INTERMODAL FINANCE I LTD.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COMPREHENSIVE LOSS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10"/>
        </w:trPr>
        <w:tc>
          <w:tcPr>
            <w:tcW w:w="60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16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(12,081)</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(14,050)</w:t>
            </w:r>
          </w:p>
        </w:tc>
      </w:tr>
      <w:tr>
        <w:trPr>
          <w:trHeight w:val="250"/>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comprehensive income</w:t>
            </w:r>
          </w:p>
        </w:tc>
        <w:tc>
          <w:tcPr>
            <w:tcW w:w="1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w:t>
            </w:r>
          </w:p>
        </w:tc>
        <w:tc>
          <w:tcPr>
            <w:tcW w:w="5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(12,081)</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(14,050)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420"/>
          </w:cols>
          <w:pgMar w:left="240" w:top="365" w:right="2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b w:val="1"/>
          <w:bCs w:val="1"/>
          <w:color w:val="00497F"/>
        </w:rPr>
        <w:t>INTERMODAL FINANCE I LTD.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from operating activities: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(370)</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(12,081)</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(14,050)</w:t>
            </w:r>
          </w:p>
        </w:tc>
      </w:tr>
      <w:tr>
        <w:trPr>
          <w:trHeight w:val="276"/>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1,763</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6,093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3,936</w:t>
            </w:r>
          </w:p>
        </w:tc>
      </w:tr>
      <w:tr>
        <w:trPr>
          <w:trHeight w:val="276"/>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Loss on disposal of equipment</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w:t>
            </w: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Impairment of equipment held for lease</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6,016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20,604</w:t>
            </w:r>
          </w:p>
        </w:tc>
      </w:tr>
      <w:tr>
        <w:trPr>
          <w:trHeight w:val="276"/>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Change in:</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64"/>
        </w:trPr>
        <w:tc>
          <w:tcPr>
            <w:tcW w:w="640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538</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6400" w:type="dxa"/>
            <w:vAlign w:val="bottom"/>
          </w:tcPr>
          <w:p>
            <w:pPr>
              <w:ind w:left="280"/>
              <w:spacing w:after="0"/>
              <w:rPr>
                <w:sz w:val="20"/>
                <w:szCs w:val="20"/>
                <w:color w:val="auto"/>
              </w:rPr>
            </w:pPr>
            <w:r>
              <w:rPr>
                <w:rFonts w:ascii="Arial" w:cs="Arial" w:eastAsia="Arial" w:hAnsi="Arial"/>
                <w:sz w:val="14"/>
                <w:szCs w:val="14"/>
                <w:color w:val="auto"/>
              </w:rPr>
              <w:t>Accrued interest payable</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Management fees payable</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liabilities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11,203</w:t>
            </w:r>
          </w:p>
        </w:tc>
      </w:tr>
      <w:tr>
        <w:trPr>
          <w:trHeight w:val="270"/>
        </w:trPr>
        <w:tc>
          <w:tcPr>
            <w:tcW w:w="6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Principal collections on direct finance leases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10,155</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16,886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28,132</w:t>
            </w:r>
          </w:p>
        </w:tc>
      </w:tr>
      <w:tr>
        <w:trPr>
          <w:trHeight w:val="276"/>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disposal of equipment</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14,047</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w:t>
            </w:r>
          </w:p>
        </w:tc>
      </w:tr>
      <w:tr>
        <w:trPr>
          <w:trHeight w:val="264"/>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Restricted cash</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investing activities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24,558</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28,933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29,834</w:t>
            </w:r>
          </w:p>
        </w:tc>
      </w:tr>
      <w:tr>
        <w:trPr>
          <w:trHeight w:val="270"/>
        </w:trPr>
        <w:tc>
          <w:tcPr>
            <w:tcW w:w="6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used in financing activities: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Principal repayments on term loan</w:t>
            </w: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(25,655)</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(32,360)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(32,163)</w:t>
            </w:r>
          </w:p>
        </w:tc>
      </w:tr>
      <w:tr>
        <w:trPr>
          <w:trHeight w:val="276"/>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repayments on loans payable to affiliates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(4,089)</w:t>
            </w: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Principal repayments on syndication liabilities</w:t>
            </w: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(1,207)</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(1,951)</w:t>
            </w:r>
          </w:p>
        </w:tc>
      </w:tr>
      <w:tr>
        <w:trPr>
          <w:trHeight w:val="276"/>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financing fee</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64"/>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Capital distributions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(3,221)</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(26,877)</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(41,455)</w:t>
            </w:r>
          </w:p>
        </w:tc>
      </w:tr>
      <w:tr>
        <w:trPr>
          <w:trHeight w:val="270"/>
        </w:trPr>
        <w:tc>
          <w:tcPr>
            <w:tcW w:w="6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 cash and cash equivalents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4,249</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4,796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5,214</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end of year</w:t>
            </w:r>
          </w:p>
        </w:tc>
        <w:tc>
          <w:tcPr>
            <w:tcW w:w="100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4,796</w:t>
            </w:r>
          </w:p>
        </w:tc>
      </w:tr>
      <w:tr>
        <w:trPr>
          <w:trHeight w:val="270"/>
        </w:trPr>
        <w:tc>
          <w:tcPr>
            <w:tcW w:w="6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58"/>
        </w:trPr>
        <w:tc>
          <w:tcPr>
            <w:tcW w:w="640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100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627</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3,217</w:t>
            </w: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420"/>
          </w:cols>
          <w:pgMar w:left="240" w:top="364" w:right="2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color w:val="00497F"/>
        </w:rPr>
        <w:t>INTERMODAL FINANCE I LTD.</w:t>
      </w:r>
    </w:p>
    <w:p>
      <w:pPr>
        <w:spacing w:after="0" w:line="113" w:lineRule="exact"/>
        <w:rPr>
          <w:sz w:val="20"/>
          <w:szCs w:val="20"/>
          <w:color w:val="auto"/>
        </w:rPr>
      </w:pPr>
    </w:p>
    <w:p>
      <w:pPr>
        <w:ind w:right="5320"/>
        <w:spacing w:after="0" w:line="286" w:lineRule="auto"/>
        <w:rPr>
          <w:sz w:val="20"/>
          <w:szCs w:val="20"/>
          <w:color w:val="auto"/>
        </w:rPr>
      </w:pPr>
      <w:r>
        <w:rPr>
          <w:rFonts w:ascii="Arial" w:cs="Arial" w:eastAsia="Arial" w:hAnsi="Arial"/>
          <w:sz w:val="16"/>
          <w:szCs w:val="16"/>
          <w:b w:val="1"/>
          <w:bCs w:val="1"/>
          <w:color w:val="00497F"/>
        </w:rPr>
        <w:t xml:space="preserve">CONSOLIDATED STATEMENTS OF CHANGES IN MEMBERS’ (DEFICIT) EQUITY </w:t>
      </w:r>
      <w:r>
        <w:rPr>
          <w:rFonts w:ascii="Arial" w:cs="Arial" w:eastAsia="Arial" w:hAnsi="Arial"/>
          <w:sz w:val="16"/>
          <w:szCs w:val="16"/>
          <w:color w:val="00497F"/>
        </w:rPr>
        <w:t>(dollar amounts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WWTAI</w:t>
            </w:r>
          </w:p>
        </w:tc>
        <w:tc>
          <w:tcPr>
            <w:tcW w:w="32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Deutsche</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6"/>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 HoldCo Ltd</w:t>
            </w:r>
          </w:p>
        </w:tc>
        <w:tc>
          <w:tcPr>
            <w:tcW w:w="320" w:type="dxa"/>
            <w:vAlign w:val="bottom"/>
          </w:tcPr>
          <w:p>
            <w:pPr>
              <w:spacing w:after="0"/>
              <w:rPr>
                <w:sz w:val="17"/>
                <w:szCs w:val="17"/>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Bank AG</w:t>
            </w:r>
          </w:p>
        </w:tc>
        <w:tc>
          <w:tcPr>
            <w:tcW w:w="380" w:type="dxa"/>
            <w:vAlign w:val="bottom"/>
          </w:tcPr>
          <w:p>
            <w:pPr>
              <w:spacing w:after="0"/>
              <w:rPr>
                <w:sz w:val="17"/>
                <w:szCs w:val="17"/>
                <w:color w:val="auto"/>
              </w:rPr>
            </w:pPr>
          </w:p>
        </w:tc>
        <w:tc>
          <w:tcPr>
            <w:tcW w:w="1300" w:type="dxa"/>
            <w:vAlign w:val="bottom"/>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243"/>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Members’ Equity at December 31, 2015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3,289</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8"/>
        </w:trPr>
        <w:tc>
          <w:tcPr>
            <w:tcW w:w="6060" w:type="dxa"/>
            <w:vAlign w:val="bottom"/>
          </w:tcPr>
          <w:p>
            <w:pPr>
              <w:ind w:left="40"/>
              <w:spacing w:after="0"/>
              <w:rPr>
                <w:sz w:val="20"/>
                <w:szCs w:val="20"/>
                <w:color w:val="auto"/>
              </w:rPr>
            </w:pPr>
            <w:r>
              <w:rPr>
                <w:rFonts w:ascii="Arial" w:cs="Arial" w:eastAsia="Arial" w:hAnsi="Arial"/>
                <w:sz w:val="14"/>
                <w:szCs w:val="14"/>
                <w:color w:val="auto"/>
              </w:rPr>
              <w:t>Capital distributions</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(440)</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Net loss for the period</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(6,161)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(12,081)</w:t>
            </w: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(6,161)</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(5,920)</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(12,081)</w:t>
            </w: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Members’ Deficit at December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(9,232)</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8"/>
        </w:trPr>
        <w:tc>
          <w:tcPr>
            <w:tcW w:w="6060" w:type="dxa"/>
            <w:vAlign w:val="bottom"/>
          </w:tcPr>
          <w:p>
            <w:pPr>
              <w:ind w:left="40"/>
              <w:spacing w:after="0"/>
              <w:rPr>
                <w:sz w:val="20"/>
                <w:szCs w:val="20"/>
                <w:color w:val="auto"/>
              </w:rPr>
            </w:pPr>
            <w:r>
              <w:rPr>
                <w:rFonts w:ascii="Arial" w:cs="Arial" w:eastAsia="Arial" w:hAnsi="Arial"/>
                <w:sz w:val="14"/>
                <w:szCs w:val="14"/>
                <w:color w:val="auto"/>
              </w:rPr>
              <w:t>Capital distributions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Net loss for the period</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(370)</w:t>
            </w: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w:t>
            </w: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Members’ Deficit at December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(9,602)</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20"/>
          </w:cols>
          <w:pgMar w:left="240" w:top="365" w:right="239" w:bottom="1440" w:gutter="0" w:footer="0" w:header="0"/>
        </w:sectPr>
      </w:pPr>
    </w:p>
    <w:bookmarkStart w:id="144" w:name="page145"/>
    <w:bookmarkEnd w:id="144"/>
    <w:p>
      <w:pPr>
        <w:ind w:left="660" w:hanging="652"/>
        <w:spacing w:after="0"/>
        <w:tabs>
          <w:tab w:leader="none" w:pos="6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133" w:lineRule="exact"/>
        <w:rPr>
          <w:rFonts w:ascii="Arial" w:cs="Arial" w:eastAsia="Arial" w:hAnsi="Arial"/>
          <w:sz w:val="16"/>
          <w:szCs w:val="16"/>
          <w:b w:val="1"/>
          <w:bCs w:val="1"/>
          <w:color w:val="auto"/>
        </w:rPr>
      </w:pPr>
    </w:p>
    <w:p>
      <w:pPr>
        <w:jc w:val="both"/>
        <w:ind w:left="66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Intermodal Finance I Ltd. (“Intermodal Finance”) is a Cayman Islands limited liability company which was formed on August 21, 2012 for the object and purpose of, directly or indirectly, investing in portfolios of shipping containers subject to operating leases or direct financing leases, and engaging in all activities incidental hereto.</w:t>
      </w:r>
    </w:p>
    <w:p>
      <w:pPr>
        <w:spacing w:after="0" w:line="93" w:lineRule="exact"/>
        <w:rPr>
          <w:rFonts w:ascii="Arial" w:cs="Arial" w:eastAsia="Arial" w:hAnsi="Arial"/>
          <w:sz w:val="16"/>
          <w:szCs w:val="16"/>
          <w:b w:val="1"/>
          <w:bCs w:val="1"/>
          <w:color w:val="auto"/>
        </w:rPr>
      </w:pPr>
    </w:p>
    <w:p>
      <w:pPr>
        <w:jc w:val="both"/>
        <w:ind w:left="66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The members of Intermodal Finance are WWTAI Container HoldCo Ltd., with a 51% interest, and Deutsche Bank AG, Cayman Islands Branch, with a 49% interest. Intermodal Finance shall continue in existence until such time as its members determine upon its winding up and dissolution. Intermodal Finance commenced operations on September 5, 2012.</w:t>
      </w:r>
    </w:p>
    <w:p>
      <w:pPr>
        <w:spacing w:after="0" w:line="73" w:lineRule="exact"/>
        <w:rPr>
          <w:rFonts w:ascii="Arial" w:cs="Arial" w:eastAsia="Arial" w:hAnsi="Arial"/>
          <w:sz w:val="16"/>
          <w:szCs w:val="16"/>
          <w:b w:val="1"/>
          <w:bCs w:val="1"/>
          <w:color w:val="auto"/>
        </w:rPr>
      </w:pPr>
    </w:p>
    <w:p>
      <w:pPr>
        <w:ind w:left="660" w:hanging="652"/>
        <w:spacing w:after="0"/>
        <w:tabs>
          <w:tab w:leader="none" w:pos="6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13" w:lineRule="exact"/>
        <w:rPr>
          <w:rFonts w:ascii="Arial" w:cs="Arial" w:eastAsia="Arial" w:hAnsi="Arial"/>
          <w:sz w:val="16"/>
          <w:szCs w:val="16"/>
          <w:b w:val="1"/>
          <w:bCs w:val="1"/>
          <w:color w:val="auto"/>
        </w:rPr>
      </w:pPr>
    </w:p>
    <w:p>
      <w:pPr>
        <w:jc w:val="both"/>
        <w:ind w:left="660"/>
        <w:spacing w:after="0" w:line="259" w:lineRule="auto"/>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Basis of Accounting</w:t>
      </w:r>
      <w:r>
        <w:rPr>
          <w:rFonts w:ascii="Arial" w:cs="Arial" w:eastAsia="Arial" w:hAnsi="Arial"/>
          <w:sz w:val="16"/>
          <w:szCs w:val="16"/>
          <w:color w:val="auto"/>
        </w:rPr>
        <w:t>—The accompanying consolidated financial statements are prepared in accordance with U.S. generally accepted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principles (“GAAP”) and include the accounts of Intermodal Finance and its subsidiaries. Intermodal Finance consolidates those entities which it has an investment of 50% or more and in which it has control over significant operating decisions, as well as variable interest entities in which Intermodal Finance is the primary beneficiary. All significant intercompany transactions and balances have been eliminated.</w:t>
      </w:r>
    </w:p>
    <w:p>
      <w:pPr>
        <w:spacing w:after="0" w:line="90" w:lineRule="exact"/>
        <w:rPr>
          <w:rFonts w:ascii="Arial" w:cs="Arial" w:eastAsia="Arial" w:hAnsi="Arial"/>
          <w:sz w:val="16"/>
          <w:szCs w:val="16"/>
          <w:b w:val="1"/>
          <w:bCs w:val="1"/>
          <w:color w:val="auto"/>
        </w:rPr>
      </w:pPr>
    </w:p>
    <w:p>
      <w:pPr>
        <w:jc w:val="both"/>
        <w:ind w:left="66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Intermodal Finance holds a variable interest in WWTAI Container 1 Ltd (“Container 1”), an entity which holds an investment in four direct finance leases, and has determined that it is the primary beneficiary of Container 1. Accordingly, Intermodal Finance consolidates Container 1 (collectively, the “Company”).</w:t>
      </w:r>
    </w:p>
    <w:p>
      <w:pPr>
        <w:spacing w:after="0" w:line="73" w:lineRule="exact"/>
        <w:rPr>
          <w:rFonts w:ascii="Arial" w:cs="Arial" w:eastAsia="Arial" w:hAnsi="Arial"/>
          <w:sz w:val="16"/>
          <w:szCs w:val="16"/>
          <w:b w:val="1"/>
          <w:bCs w:val="1"/>
          <w:color w:val="auto"/>
        </w:rPr>
      </w:pPr>
    </w:p>
    <w:p>
      <w:pPr>
        <w:jc w:val="both"/>
        <w:ind w:left="660" w:right="20"/>
        <w:spacing w:after="0" w:line="266" w:lineRule="auto"/>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rFonts w:ascii="Arial" w:cs="Arial" w:eastAsia="Arial" w:hAnsi="Arial"/>
          <w:sz w:val="16"/>
          <w:szCs w:val="16"/>
          <w:b w:val="1"/>
          <w:bCs w:val="1"/>
          <w:color w:val="auto"/>
        </w:rPr>
      </w:pPr>
    </w:p>
    <w:p>
      <w:pPr>
        <w:jc w:val="both"/>
        <w:ind w:left="660"/>
        <w:spacing w:after="0" w:line="253" w:lineRule="auto"/>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may encounter two significant types of economic risk: credit risk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risk. Credit risk is the risk of default on leases, loans, securities or derivatives, as applicable, which results from the inability or unwillingness of a lessee, borrower, or derivative counterparty to make required or expected payments. Market risk reflects changes in the value of leasing assets (including residual value estimates), loans, securities or derivatives, as applicable, due to changes in interest rates or other market factors, including the value of the collateral underlying loans and the valuation of equity and debt securities. The Company conducts operations outside of the United States; such international operations are subject to risks, such as unexpected changes in regulatory requirements, heightened risk of political and economic instability, potentially adverse tax consequences and the burden of complying with foreign laws.</w:t>
      </w:r>
    </w:p>
    <w:p>
      <w:pPr>
        <w:spacing w:after="0" w:line="73" w:lineRule="exact"/>
        <w:rPr>
          <w:rFonts w:ascii="Arial" w:cs="Arial" w:eastAsia="Arial" w:hAnsi="Arial"/>
          <w:sz w:val="16"/>
          <w:szCs w:val="16"/>
          <w:b w:val="1"/>
          <w:bCs w:val="1"/>
          <w:color w:val="auto"/>
        </w:rPr>
      </w:pPr>
    </w:p>
    <w:p>
      <w:pPr>
        <w:ind w:left="66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—The Company considers all highly liquid short-term investments with a maturity of 90 days or less when purchased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cash equivalents. Substantially all of the Company’s amounts on deposit with major financial institutions exceed insured limits.</w:t>
      </w:r>
    </w:p>
    <w:p>
      <w:pPr>
        <w:spacing w:after="0" w:line="47" w:lineRule="exact"/>
        <w:rPr>
          <w:rFonts w:ascii="Arial" w:cs="Arial" w:eastAsia="Arial" w:hAnsi="Arial"/>
          <w:sz w:val="16"/>
          <w:szCs w:val="16"/>
          <w:b w:val="1"/>
          <w:bCs w:val="1"/>
          <w:color w:val="auto"/>
        </w:rPr>
      </w:pPr>
    </w:p>
    <w:p>
      <w:pPr>
        <w:ind w:left="66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Restricted Cash</w:t>
      </w:r>
      <w:r>
        <w:rPr>
          <w:rFonts w:ascii="Arial" w:cs="Arial" w:eastAsia="Arial" w:hAnsi="Arial"/>
          <w:sz w:val="16"/>
          <w:szCs w:val="16"/>
          <w:color w:val="auto"/>
        </w:rPr>
        <w:t>—Restricted cash consists of cash held in segregated accounts pursuant to the requirements of the Company’s Term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(Note 4).</w:t>
      </w:r>
    </w:p>
    <w:p>
      <w:pPr>
        <w:spacing w:after="0" w:line="47" w:lineRule="exact"/>
        <w:rPr>
          <w:rFonts w:ascii="Arial" w:cs="Arial" w:eastAsia="Arial" w:hAnsi="Arial"/>
          <w:sz w:val="16"/>
          <w:szCs w:val="16"/>
          <w:b w:val="1"/>
          <w:bCs w:val="1"/>
          <w:color w:val="auto"/>
        </w:rPr>
      </w:pPr>
    </w:p>
    <w:p>
      <w:pPr>
        <w:jc w:val="both"/>
        <w:ind w:left="660"/>
        <w:spacing w:after="0" w:line="275" w:lineRule="auto"/>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Deferred Costs and Amortization</w:t>
      </w:r>
      <w:r>
        <w:rPr>
          <w:rFonts w:ascii="Arial" w:cs="Arial" w:eastAsia="Arial" w:hAnsi="Arial"/>
          <w:sz w:val="16"/>
          <w:szCs w:val="16"/>
          <w:color w:val="auto"/>
        </w:rPr>
        <w:t>—Deferred financing costs incurred in connection with the Term Loan are amortized over the seven year term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underlying loan. Amortization expense for the years ended December 31, 2017, 2016 and 2015 was approximately $278, $278 and $277, respectively.</w:t>
      </w:r>
    </w:p>
    <w:p>
      <w:pPr>
        <w:spacing w:after="0" w:line="273" w:lineRule="exact"/>
        <w:rPr>
          <w:rFonts w:ascii="Arial" w:cs="Arial" w:eastAsia="Arial" w:hAnsi="Arial"/>
          <w:sz w:val="16"/>
          <w:szCs w:val="16"/>
          <w:b w:val="1"/>
          <w:bCs w:val="1"/>
          <w:color w:val="auto"/>
        </w:rPr>
      </w:pPr>
    </w:p>
    <w:p>
      <w:pPr>
        <w:jc w:val="both"/>
        <w:ind w:left="66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Deferred costs also include a commission paid to a third party in connection with the acquisition and leaseback of a portfolio of shipping containers. This commission is being amortized using the straight line method over the term of the underlying lease. Amortization expense for the years ended December 31, 2017, 2016 and 2015 was approximately $0, $63 and $217, respectively.</w:t>
      </w:r>
    </w:p>
    <w:p>
      <w:pPr>
        <w:spacing w:after="0" w:line="73" w:lineRule="exact"/>
        <w:rPr>
          <w:rFonts w:ascii="Arial" w:cs="Arial" w:eastAsia="Arial" w:hAnsi="Arial"/>
          <w:sz w:val="16"/>
          <w:szCs w:val="16"/>
          <w:b w:val="1"/>
          <w:bCs w:val="1"/>
          <w:color w:val="auto"/>
        </w:rPr>
      </w:pPr>
    </w:p>
    <w:p>
      <w:pPr>
        <w:ind w:left="66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Direct Finance Leases</w:t>
      </w:r>
      <w:r>
        <w:rPr>
          <w:rFonts w:ascii="Arial" w:cs="Arial" w:eastAsia="Arial" w:hAnsi="Arial"/>
          <w:sz w:val="16"/>
          <w:szCs w:val="16"/>
          <w:color w:val="auto"/>
        </w:rPr>
        <w:t>—Direct finance leases are recorded at the aggregated future minimum lease payments, including any bargain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economically compelled purchase options granted to the customer, less unearned income.</w:t>
      </w:r>
    </w:p>
    <w:p>
      <w:pPr>
        <w:spacing w:after="0" w:line="47" w:lineRule="exact"/>
        <w:rPr>
          <w:rFonts w:ascii="Arial" w:cs="Arial" w:eastAsia="Arial" w:hAnsi="Arial"/>
          <w:sz w:val="16"/>
          <w:szCs w:val="16"/>
          <w:b w:val="1"/>
          <w:bCs w:val="1"/>
          <w:color w:val="auto"/>
        </w:rPr>
      </w:pPr>
    </w:p>
    <w:p>
      <w:pPr>
        <w:jc w:val="both"/>
        <w:ind w:left="660"/>
        <w:spacing w:after="0" w:line="259" w:lineRule="auto"/>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Leasing Equipment</w:t>
      </w:r>
      <w:r>
        <w:rPr>
          <w:rFonts w:ascii="Arial" w:cs="Arial" w:eastAsia="Arial" w:hAnsi="Arial"/>
          <w:sz w:val="16"/>
          <w:szCs w:val="16"/>
          <w:color w:val="auto"/>
        </w:rPr>
        <w:t>—Shipping containers held for lease are stated at initial cost and are depreciated on a straight-line basis to an estimated residual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over a 15 year useful life from date of manufacture. The shipping containers owned by the Company are being depreciated over remaining useful lives of 6 months. Depreciation expense for the years ended December 31, 2017, 2016 and 2015 was approximately $1,485, $5,752 and $3,442, respectively.</w:t>
      </w:r>
    </w:p>
    <w:p>
      <w:pPr>
        <w:spacing w:after="0" w:line="90" w:lineRule="exact"/>
        <w:rPr>
          <w:rFonts w:ascii="Arial" w:cs="Arial" w:eastAsia="Arial" w:hAnsi="Arial"/>
          <w:sz w:val="16"/>
          <w:szCs w:val="16"/>
          <w:b w:val="1"/>
          <w:bCs w:val="1"/>
          <w:color w:val="auto"/>
        </w:rPr>
      </w:pPr>
    </w:p>
    <w:p>
      <w:pPr>
        <w:ind w:left="660" w:right="2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The Company recognizes repair and maintenance costs that do not extend the lives of the assets as incurred and includes them as a component of direct operating expenses in the consolidated statement of operations.</w:t>
      </w:r>
    </w:p>
    <w:p>
      <w:pPr>
        <w:spacing w:after="0" w:line="87" w:lineRule="exact"/>
        <w:rPr>
          <w:rFonts w:ascii="Arial" w:cs="Arial" w:eastAsia="Arial" w:hAnsi="Arial"/>
          <w:sz w:val="16"/>
          <w:szCs w:val="16"/>
          <w:b w:val="1"/>
          <w:bCs w:val="1"/>
          <w:color w:val="auto"/>
        </w:rPr>
      </w:pPr>
    </w:p>
    <w:p>
      <w:pPr>
        <w:jc w:val="both"/>
        <w:ind w:left="660"/>
        <w:spacing w:after="0" w:line="250" w:lineRule="auto"/>
        <w:rPr>
          <w:rFonts w:ascii="Arial" w:cs="Arial" w:eastAsia="Arial" w:hAnsi="Arial"/>
          <w:sz w:val="16"/>
          <w:szCs w:val="16"/>
          <w:b w:val="1"/>
          <w:bCs w:val="1"/>
          <w:color w:val="auto"/>
        </w:rPr>
      </w:pPr>
      <w:r>
        <w:rPr>
          <w:rFonts w:ascii="Arial" w:cs="Arial" w:eastAsia="Arial" w:hAnsi="Arial"/>
          <w:sz w:val="16"/>
          <w:szCs w:val="16"/>
          <w:color w:val="auto"/>
        </w:rPr>
        <w:t>The Company performs a recoverability assessment of shipping container portfolios at least annually. In addition, a recoverability assessment is performed whenever events or changes in circumstances, or indicators, indicate that the carrying amount or net book value of an asset may not be recoverable. Indicators may include, but are not limited to, a decline in demand for the types of equipment owned by the Company, or other indicators of obsolescence. When performing a recoverability assessment, the Company measures whether the estimated future undiscounted net cash flows expected to be generated by the equipment exceed its net book value. The undiscounted cash flows consist of cash flows from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20"/>
          </w:cols>
          <w:pgMar w:left="240" w:top="472" w:right="239" w:bottom="1440" w:gutter="0" w:footer="0" w:header="0"/>
        </w:sectPr>
      </w:pPr>
    </w:p>
    <w:bookmarkStart w:id="145" w:name="page146"/>
    <w:bookmarkEnd w:id="145"/>
    <w:p>
      <w:pPr>
        <w:jc w:val="both"/>
        <w:ind w:right="20"/>
        <w:spacing w:after="0" w:line="253" w:lineRule="auto"/>
        <w:rPr>
          <w:sz w:val="20"/>
          <w:szCs w:val="20"/>
          <w:color w:val="auto"/>
        </w:rPr>
      </w:pPr>
      <w:r>
        <w:rPr>
          <w:rFonts w:ascii="Arial" w:cs="Arial" w:eastAsia="Arial" w:hAnsi="Arial"/>
          <w:sz w:val="16"/>
          <w:szCs w:val="16"/>
          <w:color w:val="auto"/>
        </w:rPr>
        <w:t>currently contracted leases, future projected lease rates, transition costs, estimated down time and estimated residual or scrap values for the equipment. In the event that the equipment does not meet the recoverability test, the carrying value of the equipment will be adjusted to fair value resulting in an impairment charge.</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Management of the Company develops the assumptions used in the recoverability analysis based on its knowledge of active lease contracts, current and future expectations of the global demand for a particular container type and historical experience in the container leasing market,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container type and other factors. In the event that the portfolio does not meet the recoverability test, the carrying value will be adjusted to fair value based on a discounted cash flow analysis, resulting in an impairment charge.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December 31, 2016 and September 30, 2015, Intermodal Finance I, Ltd. recorded an impairment charge of $6,016 and $20,604, respectively, which resulted from certain operating leases not being renewed and containers being returned at a faster pace than expected. Additionally, due to challenging market conditions for shipping containers, a limited number of the returned containers were sold at values lower than previously estimated. There was no impairment recorded for the year ended December 31, 2017.</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leases shipping containers pursuant to operating leases. Operating leases with fixed rentals and step rentals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recognized on a straight-line basis over the term of the initial lease, assuming no renewals.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determines the provision for doubtful accounts based on its assessment of the collectability of its receivables on a customer-by-customer basis and places a likelihood of default percentage on each delinquent account individually. Changes in economic conditions may require a re-assessment of the risk and could result in increases or decreases in the allowance for doubtful accounts. At December 31, 2017, 2016 and 2015, there were no provisions for doubtful accounts on the Company’s accounts receivable.</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also holds a portfolio of direct finance lease receivables. In most instances, the leases include a bargain purchase option to purchase the leased equipment at the end of the lease term. Net investment in direct finance leases represents the receivables due from lessees, net of unearned income. The lease payments are segregated into principal and interest components similar to a loan. Unearned income is recognized on an effective interest method over the life of the lease term and is recorded as finance revenue in the consolidated statement of operations. The principal component of the lease payment is reflected as a reduction to the net investment in direct finance leases.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 Recognition</w:t>
      </w:r>
      <w:r>
        <w:rPr>
          <w:rFonts w:ascii="Arial" w:cs="Arial" w:eastAsia="Arial" w:hAnsi="Arial"/>
          <w:sz w:val="16"/>
          <w:szCs w:val="16"/>
          <w:color w:val="auto"/>
        </w:rPr>
        <w:t>—The Company recognizes expenses as incurred on an accrual basis.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Comprehensive Income (Loss)</w:t>
      </w:r>
      <w:r>
        <w:rPr>
          <w:rFonts w:ascii="Arial" w:cs="Arial" w:eastAsia="Arial" w:hAnsi="Arial"/>
          <w:sz w:val="16"/>
          <w:szCs w:val="16"/>
          <w:color w:val="auto"/>
        </w:rPr>
        <w:t>—Comprehensive income (loss) consists of net income and other gains and losses, net of tax, if any, affecting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equity that, under GAAP, are excluded from net income. Such amounts include the changes in the fair value of derivative instruments, reclassification into the earnings of amounts previously deferred relating to the derivative instruments and foreign currency translation gains and losses. For the years ended December 31, 2017, 2016 and 2015, there were no differences between the Company’s comprehensive income and the net income as presented in the consolidated statement of operations.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Foreign Currency</w:t>
      </w:r>
      <w:r>
        <w:rPr>
          <w:rFonts w:ascii="Arial" w:cs="Arial" w:eastAsia="Arial" w:hAnsi="Arial"/>
          <w:sz w:val="16"/>
          <w:szCs w:val="16"/>
          <w:color w:val="auto"/>
        </w:rPr>
        <w:t>—The Company’s functional and reporting currency is the U.S. dollar. Purchases and sales of assets and income and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denominated in foreign currencies are translated into U.S. dollar amounts on the respective dates of such transactions. Differences between these recorded amounts and the U.S. dollar equivalent actually received or paid are reported as net realized foreign currency gains or losses.</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Federal Income Taxes</w:t>
      </w:r>
      <w:r>
        <w:rPr>
          <w:rFonts w:ascii="Arial" w:cs="Arial" w:eastAsia="Arial" w:hAnsi="Arial"/>
          <w:sz w:val="16"/>
          <w:szCs w:val="16"/>
          <w:color w:val="auto"/>
        </w:rPr>
        <w:t>—No income taxes have been provided for in these consolidated financial statements as each investor in the Company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individually responsible for reporting income or loss based upon its respective share of the Company’s income and expenses as reported for income tax purposes.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are no uncertain tax positions that would require recognition in the consolidated financial statements. The Company files income tax returns in the U.S. federal jurisdiction and various state jurisdictions. The income tax returns filed by the Company are subject to examination by the U.S. Federal and state tax authorities.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Distributions and Allocations to Members</w:t>
      </w:r>
      <w:r>
        <w:rPr>
          <w:rFonts w:ascii="Arial" w:cs="Arial" w:eastAsia="Arial" w:hAnsi="Arial"/>
          <w:sz w:val="16"/>
          <w:szCs w:val="16"/>
          <w:color w:val="auto"/>
        </w:rPr>
        <w:t>—Distributions to members are recorded when paid or, in the case of an in-kind distribution,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distributed. The character of distributions made during the reporting period may differ from their ultimate characterization for federal income tax purposes due to book/tax differences in the character of income and expense recognition. Distributions and allocations are determined with respect to each member, as defined by and in accordance with the operating agreement.</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Concentration of Credit Risk</w:t>
      </w:r>
      <w:r>
        <w:rPr>
          <w:rFonts w:ascii="Arial" w:cs="Arial" w:eastAsia="Arial" w:hAnsi="Arial"/>
          <w:sz w:val="16"/>
          <w:szCs w:val="16"/>
          <w:color w:val="auto"/>
        </w:rPr>
        <w:t>—The Company is subject to concentrations of credit risk with respect to amounts due from customers on its 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finance leases and operating leases. The Company attempts to limit its credit risk by performing ongoing credit evaluations. The Company’s three largest customers represented approximately 23%, 8% (direct finance lease customers) and 68% (operating lease customer) of revenues for the year ended December 31, 2017; 17%, 3% (direct finance lease customers) and 77% (operating lease customer) of revenues for the year ended December 31, 2016; and 15%, 4% (direct finance lease customers) and 74% (operating lease customer) of revenues for the year ended</w:t>
      </w:r>
    </w:p>
    <w:p>
      <w:pPr>
        <w:spacing w:after="0" w:line="230"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0760"/>
          </w:cols>
          <w:pgMar w:left="900" w:top="492" w:right="23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color w:val="auto"/>
        </w:rPr>
        <w:t>December 31, 2015.</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Based on the in-place operating lease contract at December 31, 2017, 2016; and 2015, the maximum amount of loss the Company would incur if the operating lease customer failed completely to perform according to the terms of the lease would be approximately $176, $2,545 and $8,431 million, respectively. As it relates to the Company’s direct finance lease portfolio, the three largest customers account for approximately 58%, 39%, and 25%, 70%, 22% and 5% and 68%, 14% and 11%, of the outstanding principal at December 31, 2017, 2016; and 2015, respectively. If any of these customers were to default, the Company would seek to recover the equipment securing the lease, with a view towards either selling or re-leasing the equipment. To date, the Company has not experienced any losses related to direct finance leases and does not expect future uncollectible amounts related to the principal balances receivable.</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Deterioration in credit quality of several of the Company’s major customers could have an adverse effect on its consolidated financial position and operating results. Management does not believe significant risk exists in connection with the Company’s concentrations of credit as of December 31, 2017, 2016; and 2015.</w:t>
      </w:r>
    </w:p>
    <w:p>
      <w:pPr>
        <w:spacing w:after="0" w:line="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Recent Accounting Pronouncements</w:t>
      </w:r>
      <w:r>
        <w:rPr>
          <w:rFonts w:ascii="Arial" w:cs="Arial" w:eastAsia="Arial" w:hAnsi="Arial"/>
          <w:sz w:val="16"/>
          <w:szCs w:val="16"/>
          <w:color w:val="auto"/>
        </w:rPr>
        <w:t>—In August 2015, the FASB issued ASU 2015-15,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Interest - Imputation of Interest (Subtopic 835-30):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Presentation and Subsequent Measurement of Debt Issuance Costs Associated With Line-Of-Credit Arrangements </w:t>
      </w:r>
      <w:r>
        <w:rPr>
          <w:rFonts w:ascii="Arial" w:cs="Arial" w:eastAsia="Arial" w:hAnsi="Arial"/>
          <w:sz w:val="16"/>
          <w:szCs w:val="16"/>
          <w:color w:val="auto"/>
        </w:rPr>
        <w:t>(“ASU 2015-15”). ASU 2015-15</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further guidance related to the presentation or subsequent measurement of debt issuance costs related to term loan arrangements. ASU 2015-15 allows companies to defer and present debt issuance costs as an asset or as a direct deduction from the carrying amount of that debt liability and subsequently amortize the deferred debt issuance costs ratably over the term of the term loan arrangement, regardless of whether there are any outstanding borrowings of the term loan arrangement. The guidance is effective for reporting periods beginning after December 15, 2015 and interim periods within those fiscal years with early adoption permitted. The Company has adopted ASU 2015-15 as of January 1, 2016 and revised its consolidated balance sheets to present debt issuance costs related to debt drawn under a term loan arrangements as a direct deduction from debt rather than within other assets, for all periods presented.</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Unadopted Accounting Pronouncements</w:t>
      </w:r>
      <w:r>
        <w:rPr>
          <w:rFonts w:ascii="Arial" w:cs="Arial" w:eastAsia="Arial" w:hAnsi="Arial"/>
          <w:sz w:val="16"/>
          <w:szCs w:val="16"/>
          <w:color w:val="auto"/>
        </w:rPr>
        <w:t>—The FASB has recently issued or discussed a number of proposed standards on such topics as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instruments and hedging. Some of the proposed changes are significant and could have a material impact on the Company’s financial reporting. The Company has not yet fully evaluated the potential impact of these proposals, but will make such an evaluation as the standards are finalized.</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6"/>
          <w:szCs w:val="16"/>
          <w:i w:val="1"/>
          <w:iCs w:val="1"/>
          <w:color w:val="auto"/>
        </w:rPr>
        <w:t>Revenue from Contracts with Customers (Topic 606): Deferral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to defer the effective date of ASU 2014-09 by one year, making it effective for annual reporting periods beginning after December 15,</w:t>
      </w:r>
      <w:r>
        <w:rPr>
          <w:rFonts w:ascii="Arial" w:cs="Arial" w:eastAsia="Arial" w:hAnsi="Arial"/>
          <w:sz w:val="16"/>
          <w:szCs w:val="16"/>
          <w:i w:val="1"/>
          <w:iCs w:val="1"/>
          <w:color w:val="auto"/>
        </w:rPr>
        <w:t xml:space="preserve"> </w:t>
      </w:r>
      <w:r>
        <w:rPr>
          <w:rFonts w:ascii="Arial" w:cs="Arial" w:eastAsia="Arial" w:hAnsi="Arial"/>
          <w:sz w:val="16"/>
          <w:szCs w:val="16"/>
          <w:color w:val="auto"/>
        </w:rPr>
        <w:t>2018 while also providing for early adoption but not before the original effective date. The Company’s evaluation of the impact of the new guidance on its consolidated financial statements is ongoing. As the Company’s primary source of revenues is from its leasing contracts, subject to ASU 2016-02, Leases, management has concluded that the adoption of this ASU will not result in a material impact on its consolidated financial statements.</w:t>
      </w:r>
    </w:p>
    <w:p>
      <w:pPr>
        <w:spacing w:after="0" w:line="8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("ASU 2016-01"). ASU 2016-01 requires (i) equity investments, except those accounted for under the equity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or those that result in consolidation of the investee, to be measured at fair value with changes in fair value recognized in net income, (ii) 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w:t>
      </w:r>
      <w:r>
        <w:rPr>
          <w:rFonts w:ascii="Arial" w:cs="Arial" w:eastAsia="Arial" w:hAnsi="Arial"/>
          <w:sz w:val="16"/>
          <w:szCs w:val="16"/>
          <w:color w:val="auto"/>
        </w:rPr>
        <w:t>“ASU 2016-02”</w:t>
      </w:r>
      <w:r>
        <w:rPr>
          <w:rFonts w:ascii="Arial" w:cs="Arial" w:eastAsia="Arial" w:hAnsi="Arial"/>
          <w:sz w:val="16"/>
          <w:szCs w:val="16"/>
          <w:i w:val="1"/>
          <w:iCs w:val="1"/>
          <w:color w:val="auto"/>
        </w:rPr>
        <w:t>)</w:t>
      </w:r>
      <w:r>
        <w:rPr>
          <w:rFonts w:ascii="Arial" w:cs="Arial" w:eastAsia="Arial" w:hAnsi="Arial"/>
          <w:sz w:val="16"/>
          <w:szCs w:val="16"/>
          <w:color w:val="auto"/>
        </w:rPr>
        <w:t>.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200" w:lineRule="exact"/>
        <w:rPr>
          <w:sz w:val="20"/>
          <w:szCs w:val="20"/>
          <w:color w:val="auto"/>
        </w:rPr>
      </w:pPr>
    </w:p>
    <w:p>
      <w:pPr>
        <w:spacing w:after="0" w:line="327"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0760"/>
          </w:cols>
          <w:pgMar w:left="900" w:top="492" w:right="239" w:bottom="1440" w:gutter="0" w:footer="0" w:header="0"/>
        </w:sectPr>
      </w:pPr>
    </w:p>
    <w:bookmarkStart w:id="147" w:name="page148"/>
    <w:bookmarkEnd w:id="147"/>
    <w:p>
      <w:pPr>
        <w:ind w:left="660" w:hanging="652"/>
        <w:spacing w:after="0"/>
        <w:tabs>
          <w:tab w:leader="none" w:pos="66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SHIPPING CONTAINER PORTFOLIOS</w:t>
      </w:r>
    </w:p>
    <w:p>
      <w:pPr>
        <w:spacing w:after="0" w:line="133"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The components of the Company’s net investment in direct financing leases are comprised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250"/>
        </w:trPr>
        <w:tc>
          <w:tcPr>
            <w:tcW w:w="8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Minimum lease payments</w:t>
            </w: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7,529</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18,744</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Unearned income</w:t>
            </w:r>
          </w:p>
        </w:tc>
        <w:tc>
          <w:tcPr>
            <w:tcW w:w="10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1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investment in direct finance leases</w:t>
            </w: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7,115</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17,270</w:t>
            </w: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2017, future minimum lease payments to be received under direct finance leases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 Ending December 31,</w:t>
            </w: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40" w:type="dxa"/>
            <w:vAlign w:val="bottom"/>
          </w:tcPr>
          <w:p>
            <w:pPr>
              <w:ind w:left="40"/>
              <w:spacing w:after="0"/>
              <w:rPr>
                <w:sz w:val="20"/>
                <w:szCs w:val="20"/>
                <w:color w:val="auto"/>
              </w:rPr>
            </w:pPr>
            <w:r>
              <w:rPr>
                <w:rFonts w:ascii="Arial" w:cs="Arial" w:eastAsia="Arial" w:hAnsi="Arial"/>
                <w:sz w:val="14"/>
                <w:szCs w:val="14"/>
                <w:color w:val="auto"/>
              </w:rPr>
              <w:t>2018</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5,897</w:t>
            </w:r>
          </w:p>
        </w:tc>
      </w:tr>
      <w:tr>
        <w:trPr>
          <w:trHeight w:val="276"/>
        </w:trPr>
        <w:tc>
          <w:tcPr>
            <w:tcW w:w="9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1,632</w:t>
            </w:r>
          </w:p>
        </w:tc>
      </w:tr>
      <w:tr>
        <w:trPr>
          <w:trHeight w:val="238"/>
        </w:trPr>
        <w:tc>
          <w:tcPr>
            <w:tcW w:w="98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7,529</w:t>
            </w:r>
          </w:p>
        </w:tc>
      </w:tr>
    </w:tbl>
    <w:p>
      <w:pPr>
        <w:spacing w:after="0" w:line="102"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b w:val="1"/>
          <w:bCs w:val="1"/>
          <w:i w:val="1"/>
          <w:iCs w:val="1"/>
          <w:color w:val="auto"/>
        </w:rPr>
        <w:t>Operating Lease Portfolio</w:t>
      </w:r>
      <w:r>
        <w:rPr>
          <w:rFonts w:ascii="Arial" w:cs="Arial" w:eastAsia="Arial" w:hAnsi="Arial"/>
          <w:sz w:val="16"/>
          <w:szCs w:val="16"/>
          <w:color w:val="auto"/>
        </w:rPr>
        <w:t>-As of December 31, 2017 and 2016 all operating leases had expired, and the assets continue to earn per diems until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point at which they are returned.</w:t>
      </w:r>
    </w:p>
    <w:p>
      <w:pPr>
        <w:spacing w:after="0" w:line="48"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Term Loan Payable</w:t>
      </w:r>
    </w:p>
    <w:p>
      <w:pPr>
        <w:spacing w:after="0" w:line="133"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On September 5, 2012, the Company entered in to a Term Loan Agreement (the “Term Loan”) with Deutsche Bank AG, Cayman Islands Branch (the “Lender”) for an initial aggregate amount of $125,000 in connection with the acquisition of a portfolio of shipping containers subject to direct finance leases. On December 17, 2012 the Term Loan was amended to provide for an additional borrowing of $53,000 which was used in connection with the acquisition of a portfolio of shipping containers subject to operating leases. Borrowings under the Term Loan bear interest at either (i) LIBOR plus 3% or (ii) a Base Rate (equal to the higher of the Prime Rate or the Federal Funds Rate, plus 0.50%) plus a spread of 0.25%. In addition, an administrative agent fee calculated at a rate of 0.50% per annum is also payable. In April 2013, the administrative agent fee rate was reduced to 0.25%. In October 2014, the LIBOR spread was reduced to 2.75%. All borrowings under the Term Loan as of December 31, 2017 and 2016 were LIBOR based borrowings and the interest rate at December 31, 2017 and 2016 was approximately 4.07% and 3.33%, respectively (exclusive of the administrative agent fee). The Term Loan is secured by the Company’s interest in the shipping containers and related direct finance leases and operating lease agreements. Interest expense on the Term Loan for years ended December 31, 2017, 2016 and 2015 was $736, $1,643 and $2,459, respectively, exclusive of administrative agent fees of $50, $128 and $210, respectively.</w:t>
      </w:r>
    </w:p>
    <w:p>
      <w:pPr>
        <w:spacing w:after="0" w:line="97"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Pursuant to the Term Loan agreement, amounts realized by the Company from its operations during each Collection Period, as defined, are accumulated as restricted cash in a Collection Account for disbursement according to payment priorities specified in the Term Loan agreement. Payments of principal and interest on the Term Loans will be made solely to the extent there are funds available and will be paid in accordance with the priorities specified in the Term Loan agreement. Residual amounts remaining in the Collection Account after payment of required obligations are released to the Company. During the years ended December 31, 2017 and 2016, repayments under the Term Loan totaled $25,655 and $32,360, respectively, further repayments are dependent solely on the cash available subject to the priority of payments.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Class B Term Loan Payable to Affiliates</w:t>
      </w:r>
    </w:p>
    <w:p>
      <w:pPr>
        <w:spacing w:after="0" w:line="133"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On September 5, 2012, the Company entered in to a Class B Term Loan Agreement (the "Class B Loan”) with its members, pursuant to which it borrowed an initial aggregate amount of $25,000 in connection with the acquisition of a portfolio of shipping containers subject to direct finance leases. On December 17, 2012 the Class B Loan was amended to provide for an additional borrowing of approximately $15,100 which was used in connection with the acquisition of a portfolio of shipping containers subject to operating leases. Borrowings under the Class B Loan are unsecured and bear interest at a rate of 2%. Interest expense on the Class B Loan for the years ended December 31, 2017, 2016 and 2015 was approximately $362, $368 and $411, respectively. Payments of principal and interest on the Class B Loan will be made solely to the extent there are sufficient funds available after satisfaction of senior payment priorities as delineated in the Term Loan agreement. During the year ended December 31, 2017, repayments under the Class B Loan totaled $0, further repayments are dependent solely on the cash available after the satisfaction of the senior payments.</w:t>
      </w:r>
    </w:p>
    <w:p>
      <w:pPr>
        <w:spacing w:after="0" w:line="269"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SYNDICATION LIABILITIES</w:t>
      </w:r>
    </w:p>
    <w:p>
      <w:pPr>
        <w:spacing w:after="0" w:line="133" w:lineRule="exact"/>
        <w:rPr>
          <w:rFonts w:ascii="Arial" w:cs="Arial" w:eastAsia="Arial" w:hAnsi="Arial"/>
          <w:sz w:val="16"/>
          <w:szCs w:val="16"/>
          <w:b w:val="1"/>
          <w:bCs w:val="1"/>
          <w:color w:val="auto"/>
        </w:rPr>
      </w:pPr>
    </w:p>
    <w:p>
      <w:pPr>
        <w:jc w:val="both"/>
        <w:ind w:left="66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In connection with the acquisition of the DFL’s in September 2012, the Company assumed syndication liabilities to third parties relating to four of the acquired DFL contracts. At acquisition, the syndication liabilities had remaining terms equal to the remaining terms of the associated DFL contracts, which ranged from 28 months to 42 months. The acquisition date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420"/>
          </w:cols>
          <w:pgMar w:left="240" w:top="472" w:right="239" w:bottom="1440" w:gutter="0" w:footer="0" w:header="0"/>
        </w:sectPr>
      </w:pPr>
    </w:p>
    <w:bookmarkStart w:id="148" w:name="page149"/>
    <w:bookmarkEnd w:id="148"/>
    <w:p>
      <w:pPr>
        <w:jc w:val="both"/>
        <w:ind w:left="652"/>
        <w:spacing w:after="0" w:line="250" w:lineRule="auto"/>
        <w:rPr>
          <w:sz w:val="20"/>
          <w:szCs w:val="20"/>
          <w:color w:val="auto"/>
        </w:rPr>
      </w:pPr>
      <w:r>
        <w:rPr>
          <w:rFonts w:ascii="Arial" w:cs="Arial" w:eastAsia="Arial" w:hAnsi="Arial"/>
          <w:sz w:val="16"/>
          <w:szCs w:val="16"/>
          <w:color w:val="auto"/>
        </w:rPr>
        <w:t>fair value ascribed to these obligations was approximately $19,500. Interest on the syndication liabilities is recognized using the effective interest method at rates which range from 2.30% to 4.44%. Interest expense recognized on the syndication liabilities amounted to approximately $164, $305 and $342 during the years ended December 31, 2017, 2016 and 2015. The obligations pursuant to these arrangements are non-recourse to the Company and the sole source of payment for these obligations is the cash flows generated from the underlying DFL contracts. During the year ended December 31, 2017, the syndication liabilities were paid off.</w:t>
      </w:r>
    </w:p>
    <w:p>
      <w:pPr>
        <w:spacing w:after="0" w:line="75" w:lineRule="exact"/>
        <w:rPr>
          <w:sz w:val="20"/>
          <w:szCs w:val="20"/>
          <w:color w:val="auto"/>
        </w:rPr>
      </w:pPr>
    </w:p>
    <w:p>
      <w:pPr>
        <w:ind w:left="652" w:hanging="652"/>
        <w:spacing w:after="0"/>
        <w:tabs>
          <w:tab w:leader="none" w:pos="652"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 AGREEMENT</w:t>
      </w:r>
    </w:p>
    <w:p>
      <w:pPr>
        <w:spacing w:after="0" w:line="133" w:lineRule="exact"/>
        <w:rPr>
          <w:rFonts w:ascii="Arial" w:cs="Arial" w:eastAsia="Arial" w:hAnsi="Arial"/>
          <w:sz w:val="16"/>
          <w:szCs w:val="16"/>
          <w:b w:val="1"/>
          <w:bCs w:val="1"/>
          <w:color w:val="auto"/>
        </w:rPr>
      </w:pPr>
    </w:p>
    <w:p>
      <w:pPr>
        <w:jc w:val="both"/>
        <w:ind w:left="652"/>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The Company has engaged Container Leasing International LLC (the “Manager”) to manage and administer its DFL portfolio pursuant to a management agreement having an initial term of 10 years and providing for three additional extension terms of one-year each. Pursuant to the management agreement, the Manager receives (i) a base monthly fee equal to 1.5% of payments received on the DFL contracts and is entitled to receive additional fees, as applicable, equal to (a) 5% of the sum of net sales proceeds and casualty proceeds for containers which have been sold or lost and (b) a recovery fee of 25 dollars for each container recovered by the Manager following the occurrence of a lessee default under a DFL contract and (ii) a base monthly fee equal to (a) 4% of the Net Operating Income, as defined, of the containers subject to operating leases and an additional fee of 5% of the net sales proceeds from the sale or disposal of containers subject to operating leases.</w:t>
      </w: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12"/>
          </w:cols>
          <w:pgMar w:left="248" w:top="493" w:right="239" w:bottom="1440" w:gutter="0" w:footer="0" w:header="0"/>
        </w:sectPr>
      </w:pPr>
    </w:p>
    <w:bookmarkStart w:id="149" w:name="page150"/>
    <w:bookmarkEnd w:id="149"/>
    <w:p>
      <w:pPr>
        <w:ind w:left="660" w:hanging="652"/>
        <w:spacing w:after="0"/>
        <w:tabs>
          <w:tab w:leader="none" w:pos="66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OF FINANCIAL INSTRUMENTS</w:t>
      </w:r>
    </w:p>
    <w:p>
      <w:pPr>
        <w:spacing w:after="0" w:line="117" w:lineRule="exact"/>
        <w:rPr>
          <w:rFonts w:ascii="Arial" w:cs="Arial" w:eastAsia="Arial" w:hAnsi="Arial"/>
          <w:sz w:val="16"/>
          <w:szCs w:val="16"/>
          <w:b w:val="1"/>
          <w:bCs w:val="1"/>
          <w:color w:val="auto"/>
        </w:rPr>
      </w:pPr>
    </w:p>
    <w:p>
      <w:pPr>
        <w:jc w:val="both"/>
        <w:ind w:left="66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In assessing the fair value of financial instruments, the Company applies the provisions included in ASC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ASC 820 provides that fair value is a market-based measurement, not an entity-specific measurement. It further clarifies that fair value is</w:t>
      </w:r>
      <w:r>
        <w:rPr>
          <w:rFonts w:ascii="Arial" w:cs="Arial" w:eastAsia="Arial" w:hAnsi="Arial"/>
          <w:sz w:val="16"/>
          <w:szCs w:val="16"/>
          <w:i w:val="1"/>
          <w:iCs w:val="1"/>
          <w:color w:val="auto"/>
        </w:rPr>
        <w:t xml:space="preserve"> </w:t>
      </w:r>
      <w:r>
        <w:rPr>
          <w:rFonts w:ascii="Arial" w:cs="Arial" w:eastAsia="Arial" w:hAnsi="Arial"/>
          <w:sz w:val="16"/>
          <w:szCs w:val="16"/>
          <w:color w:val="auto"/>
        </w:rPr>
        <w:t>an exit price, representing the price that would be received to sell an asset or paid to transfer a liability in the principal or most advantageous market in an orderly transaction between market participants on the measurement date. ASC 820 requires the use of valuation techniques to measure fair value that maximize the use of observable inputs and minimize use of unobservable inputs. These inputs are prioritized as follows:</w:t>
      </w:r>
    </w:p>
    <w:p>
      <w:pPr>
        <w:spacing w:after="0" w:line="118" w:lineRule="exact"/>
        <w:rPr>
          <w:rFonts w:ascii="Arial" w:cs="Arial" w:eastAsia="Arial" w:hAnsi="Arial"/>
          <w:sz w:val="16"/>
          <w:szCs w:val="16"/>
          <w:b w:val="1"/>
          <w:bCs w:val="1"/>
          <w:color w:val="auto"/>
        </w:rPr>
      </w:pPr>
    </w:p>
    <w:p>
      <w:pPr>
        <w:ind w:left="1360" w:hanging="380"/>
        <w:spacing w:after="0"/>
        <w:tabs>
          <w:tab w:leader="none" w:pos="13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53"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for the asset or liability, either directly or indirectly. Level 2 inputs include quoted prices for similar assets or liabilities in active markets and inputs other than quoted prices that are observable for the asset or liability, such as interest rates and yield curves that are observable at commonly quoted intervals.</w:t>
      </w:r>
    </w:p>
    <w:p>
      <w:pPr>
        <w:spacing w:after="0" w:line="93"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internal development of assumptions about how market participants price the asset or liability.</w:t>
      </w:r>
    </w:p>
    <w:p>
      <w:pPr>
        <w:spacing w:after="0" w:line="88"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Company’s financial instruments consist principally of cash and cash equivalents, restricted cash, accounts receivable, accounts payable and accrued liabilities, term loan payable and syndication liabilities. The fair value of cash and cash equivalents, restricted cash, accounts receivable and accounts payable and accrued liabilities approximates their carrying values because of their short term nature.</w:t>
      </w:r>
    </w:p>
    <w:p>
      <w:pPr>
        <w:spacing w:after="0" w:line="93"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The fair value of the term loan payable is based on inputs classified as Level 2 in the fair value hierarchy and approximates its carrying value because such loan bears interest at a floating market rate for similar types of loans.</w:t>
      </w:r>
    </w:p>
    <w:p>
      <w:pPr>
        <w:spacing w:after="0" w:line="68"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33" w:lineRule="exact"/>
        <w:rPr>
          <w:rFonts w:ascii="Arial" w:cs="Arial" w:eastAsia="Arial" w:hAnsi="Arial"/>
          <w:sz w:val="16"/>
          <w:szCs w:val="16"/>
          <w:b w:val="1"/>
          <w:bCs w:val="1"/>
          <w:color w:val="auto"/>
        </w:rPr>
      </w:pPr>
    </w:p>
    <w:p>
      <w:pPr>
        <w:ind w:left="66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The Company has evaluated whether any material events have occurred subsequent to the balance sheet date through March 1, 2018 the date the consolidated financial statements were available to be issued.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20"/>
          </w:cols>
          <w:pgMar w:left="240" w:top="473" w:right="2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FINANCIAL INFORMATION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9019"/>
          </w:cols>
          <w:pgMar w:left="1440" w:top="1440" w:right="1440" w:bottom="144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16"/>
          <w:szCs w:val="16"/>
          <w:b w:val="1"/>
          <w:bCs w:val="1"/>
          <w:color w:val="auto"/>
        </w:rPr>
        <w:t>Intermodal Finance I Ltd.</w:t>
      </w:r>
    </w:p>
    <w:p>
      <w:pPr>
        <w:spacing w:after="0" w:line="25"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Consolidating Balance Sheet</w:t>
      </w:r>
    </w:p>
    <w:p>
      <w:pPr>
        <w:spacing w:after="0" w:line="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(dollar 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Intermodal</w:t>
            </w:r>
          </w:p>
        </w:tc>
        <w:tc>
          <w:tcPr>
            <w:tcW w:w="20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WWTAI</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7"/>
                <w:szCs w:val="7"/>
                <w:color w:val="auto"/>
              </w:rPr>
            </w:pPr>
          </w:p>
        </w:tc>
        <w:tc>
          <w:tcPr>
            <w:tcW w:w="11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Intermodal</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Finance I Ltd</w:t>
            </w:r>
          </w:p>
        </w:tc>
        <w:tc>
          <w:tcPr>
            <w:tcW w:w="200" w:type="dxa"/>
            <w:vAlign w:val="bottom"/>
          </w:tcPr>
          <w:p>
            <w:pPr>
              <w:spacing w:after="0"/>
              <w:rPr>
                <w:sz w:val="7"/>
                <w:szCs w:val="7"/>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Container I Ltd</w:t>
            </w:r>
          </w:p>
        </w:tc>
        <w:tc>
          <w:tcPr>
            <w:tcW w:w="16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Finance I Ltd</w:t>
            </w:r>
          </w:p>
        </w:tc>
        <w:tc>
          <w:tcPr>
            <w:tcW w:w="0" w:type="dxa"/>
            <w:vAlign w:val="bottom"/>
          </w:tcPr>
          <w:p>
            <w:pPr>
              <w:spacing w:after="0"/>
              <w:rPr>
                <w:sz w:val="1"/>
                <w:szCs w:val="1"/>
                <w:color w:val="auto"/>
              </w:rPr>
            </w:pPr>
          </w:p>
        </w:tc>
      </w:tr>
      <w:tr>
        <w:trPr>
          <w:trHeight w:val="87"/>
        </w:trPr>
        <w:tc>
          <w:tcPr>
            <w:tcW w:w="5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Leasing equipment, net of accumulated depreciation of $4,085</w:t>
            </w:r>
          </w:p>
        </w:tc>
        <w:tc>
          <w:tcPr>
            <w:tcW w:w="1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6,037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investment in direct finance leases</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7,115</w:t>
            </w: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from affiliates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16,497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5,664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(5,465)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16,696</w:t>
            </w:r>
          </w:p>
        </w:tc>
        <w:tc>
          <w:tcPr>
            <w:tcW w:w="0" w:type="dxa"/>
            <w:vAlign w:val="bottom"/>
          </w:tcPr>
          <w:p>
            <w:pPr>
              <w:spacing w:after="0"/>
              <w:rPr>
                <w:sz w:val="1"/>
                <w:szCs w:val="1"/>
                <w:color w:val="auto"/>
              </w:rPr>
            </w:pPr>
          </w:p>
        </w:tc>
      </w:tr>
      <w:tr>
        <w:trPr>
          <w:trHeight w:val="256"/>
        </w:trPr>
        <w:tc>
          <w:tcPr>
            <w:tcW w:w="5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Management fees payable</w:t>
            </w:r>
          </w:p>
        </w:tc>
        <w:tc>
          <w:tcPr>
            <w:tcW w:w="1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interest payable</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Accrued interest payable to affiliates</w:t>
            </w:r>
          </w:p>
        </w:tc>
        <w:tc>
          <w:tcPr>
            <w:tcW w:w="1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 payable</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7,092</w:t>
            </w: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Loans payable to affiliates</w:t>
            </w:r>
          </w:p>
        </w:tc>
        <w:tc>
          <w:tcPr>
            <w:tcW w:w="1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18,080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18,080</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Due to affiliate</w:t>
            </w:r>
          </w:p>
        </w:tc>
        <w:tc>
          <w:tcPr>
            <w:tcW w:w="1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5,465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26,099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26,298</w:t>
            </w: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Members’ deficit</w:t>
            </w:r>
          </w:p>
        </w:tc>
        <w:tc>
          <w:tcPr>
            <w:tcW w:w="1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(9,602)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(9,602)</w:t>
            </w:r>
          </w:p>
        </w:tc>
        <w:tc>
          <w:tcPr>
            <w:tcW w:w="0" w:type="dxa"/>
            <w:vAlign w:val="bottom"/>
          </w:tcPr>
          <w:p>
            <w:pPr>
              <w:spacing w:after="0"/>
              <w:rPr>
                <w:sz w:val="1"/>
                <w:szCs w:val="1"/>
                <w:color w:val="auto"/>
              </w:rPr>
            </w:pPr>
          </w:p>
        </w:tc>
      </w:tr>
      <w:tr>
        <w:trPr>
          <w:trHeight w:val="243"/>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members’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16,696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86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6"/>
          <w:szCs w:val="16"/>
          <w:b w:val="1"/>
          <w:bCs w:val="1"/>
          <w:color w:val="auto"/>
        </w:rPr>
        <w:t>Intermodal Finance I Ltd.</w:t>
      </w:r>
    </w:p>
    <w:p>
      <w:pPr>
        <w:spacing w:after="0" w:line="25"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Consolidating Balance Sheet</w:t>
      </w:r>
    </w:p>
    <w:p>
      <w:pPr>
        <w:spacing w:after="0" w:line="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(dollar 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Intermodal</w:t>
            </w:r>
          </w:p>
        </w:tc>
        <w:tc>
          <w:tcPr>
            <w:tcW w:w="200" w:type="dxa"/>
            <w:vAlign w:val="bottom"/>
          </w:tcPr>
          <w:p>
            <w:pPr>
              <w:spacing w:after="0"/>
              <w:rPr>
                <w:sz w:val="14"/>
                <w:szCs w:val="14"/>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WWTAI</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7"/>
                <w:szCs w:val="7"/>
                <w:color w:val="auto"/>
              </w:rPr>
            </w:pPr>
          </w:p>
        </w:tc>
        <w:tc>
          <w:tcPr>
            <w:tcW w:w="11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Intermodal</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Finance I Ltd</w:t>
            </w:r>
          </w:p>
        </w:tc>
        <w:tc>
          <w:tcPr>
            <w:tcW w:w="200" w:type="dxa"/>
            <w:vAlign w:val="bottom"/>
          </w:tcPr>
          <w:p>
            <w:pPr>
              <w:spacing w:after="0"/>
              <w:rPr>
                <w:sz w:val="7"/>
                <w:szCs w:val="7"/>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Container I Ltd</w:t>
            </w:r>
          </w:p>
        </w:tc>
        <w:tc>
          <w:tcPr>
            <w:tcW w:w="16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Finance I Ltd</w:t>
            </w:r>
          </w:p>
        </w:tc>
        <w:tc>
          <w:tcPr>
            <w:tcW w:w="0" w:type="dxa"/>
            <w:vAlign w:val="bottom"/>
          </w:tcPr>
          <w:p>
            <w:pPr>
              <w:spacing w:after="0"/>
              <w:rPr>
                <w:sz w:val="1"/>
                <w:szCs w:val="1"/>
                <w:color w:val="auto"/>
              </w:rPr>
            </w:pPr>
          </w:p>
        </w:tc>
      </w:tr>
      <w:tr>
        <w:trPr>
          <w:trHeight w:val="87"/>
        </w:trPr>
        <w:tc>
          <w:tcPr>
            <w:tcW w:w="5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3,264</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4,249</w:t>
            </w:r>
          </w:p>
        </w:tc>
        <w:tc>
          <w:tcPr>
            <w:tcW w:w="0" w:type="dxa"/>
            <w:vAlign w:val="bottom"/>
          </w:tcPr>
          <w:p>
            <w:pPr>
              <w:spacing w:after="0"/>
              <w:rPr>
                <w:sz w:val="1"/>
                <w:szCs w:val="1"/>
                <w:color w:val="auto"/>
              </w:rPr>
            </w:pP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1,121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1,814</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Leasing equipment, net of accumulated depreciation of $7,305</w:t>
            </w: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19,007</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19,007</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investment in direct finance leases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5,245</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12,025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17,270</w:t>
            </w:r>
          </w:p>
        </w:tc>
        <w:tc>
          <w:tcPr>
            <w:tcW w:w="0" w:type="dxa"/>
            <w:vAlign w:val="bottom"/>
          </w:tcPr>
          <w:p>
            <w:pPr>
              <w:spacing w:after="0"/>
              <w:rPr>
                <w:sz w:val="1"/>
                <w:szCs w:val="1"/>
                <w:color w:val="auto"/>
              </w:rPr>
            </w:pP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from affiliates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13,665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41,846</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15,289</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(13,665)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43,470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Management fees payable</w:t>
            </w: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interest payable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Accrued interest payable to affiliates</w:t>
            </w: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 payable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32,485</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32,485</w:t>
            </w:r>
          </w:p>
        </w:tc>
        <w:tc>
          <w:tcPr>
            <w:tcW w:w="0" w:type="dxa"/>
            <w:vAlign w:val="bottom"/>
          </w:tcPr>
          <w:p>
            <w:pPr>
              <w:spacing w:after="0"/>
              <w:rPr>
                <w:sz w:val="1"/>
                <w:szCs w:val="1"/>
                <w:color w:val="auto"/>
              </w:rPr>
            </w:pP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Loans payable to affiliates</w:t>
            </w: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18,080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18,080</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Syndication liabilities</w:t>
            </w:r>
          </w:p>
        </w:tc>
        <w:tc>
          <w:tcPr>
            <w:tcW w:w="1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417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to affiliate</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38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51,078</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15,289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52,702</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Members’ equity</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w:t>
            </w:r>
          </w:p>
        </w:tc>
        <w:tc>
          <w:tcPr>
            <w:tcW w:w="0" w:type="dxa"/>
            <w:vAlign w:val="bottom"/>
          </w:tcPr>
          <w:p>
            <w:pPr>
              <w:spacing w:after="0"/>
              <w:rPr>
                <w:sz w:val="1"/>
                <w:szCs w:val="1"/>
                <w:color w:val="auto"/>
              </w:rPr>
            </w:pPr>
          </w:p>
        </w:tc>
      </w:tr>
      <w:tr>
        <w:trPr>
          <w:trHeight w:val="216"/>
        </w:trPr>
        <w:tc>
          <w:tcPr>
            <w:tcW w:w="5380" w:type="dxa"/>
            <w:vAlign w:val="bottom"/>
          </w:tcPr>
          <w:p>
            <w:pPr>
              <w:ind w:left="40"/>
              <w:spacing w:after="0"/>
              <w:rPr>
                <w:sz w:val="20"/>
                <w:szCs w:val="20"/>
                <w:color w:val="auto"/>
              </w:rPr>
            </w:pPr>
            <w:r>
              <w:rPr>
                <w:rFonts w:ascii="Arial" w:cs="Arial" w:eastAsia="Arial" w:hAnsi="Arial"/>
                <w:sz w:val="14"/>
                <w:szCs w:val="14"/>
                <w:color w:val="auto"/>
              </w:rPr>
              <w:t>Total liabilities and members’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41,846</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15,289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(13,665)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43,470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48"/>
              <w:spacing w:after="0"/>
              <w:rPr>
                <w:sz w:val="20"/>
                <w:szCs w:val="20"/>
                <w:color w:val="auto"/>
              </w:rPr>
            </w:pPr>
            <w:r>
              <w:rPr>
                <w:rFonts w:ascii="Arial" w:cs="Arial" w:eastAsia="Arial" w:hAnsi="Arial"/>
                <w:sz w:val="14"/>
                <w:szCs w:val="14"/>
                <w:color w:val="auto"/>
              </w:rPr>
              <w:t>153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6"/>
          <w:szCs w:val="16"/>
          <w:b w:val="1"/>
          <w:bCs w:val="1"/>
          <w:color w:val="auto"/>
        </w:rPr>
        <w:t>Intermodal Finance I Ltd.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 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Intermodal</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WWTAI</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Finance</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w:t>
            </w:r>
          </w:p>
        </w:tc>
        <w:tc>
          <w:tcPr>
            <w:tcW w:w="1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rPr>
              <w:t>Intermodal</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 Ltd</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 Ltd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Finance I Ltd</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0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leasing revenue</w:t>
            </w:r>
          </w:p>
        </w:tc>
        <w:tc>
          <w:tcPr>
            <w:tcW w:w="2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Finance revenue</w:t>
            </w:r>
          </w:p>
        </w:tc>
        <w:tc>
          <w:tcPr>
            <w:tcW w:w="2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Participation income-affiliate</w:t>
            </w:r>
          </w:p>
        </w:tc>
        <w:tc>
          <w:tcPr>
            <w:tcW w:w="2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4"/>
                <w:szCs w:val="14"/>
                <w:color w:val="auto"/>
              </w:rPr>
              <w:t>Total revenues</w:t>
            </w:r>
          </w:p>
        </w:tc>
        <w:tc>
          <w:tcPr>
            <w:tcW w:w="20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3,181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3,349</w:t>
            </w:r>
          </w:p>
        </w:tc>
        <w:tc>
          <w:tcPr>
            <w:tcW w:w="0" w:type="dxa"/>
            <w:vAlign w:val="bottom"/>
          </w:tcPr>
          <w:p>
            <w:pPr>
              <w:spacing w:after="0"/>
              <w:rPr>
                <w:sz w:val="1"/>
                <w:szCs w:val="1"/>
                <w:color w:val="auto"/>
              </w:rPr>
            </w:pPr>
          </w:p>
        </w:tc>
      </w:tr>
      <w:tr>
        <w:trPr>
          <w:trHeight w:val="330"/>
        </w:trPr>
        <w:tc>
          <w:tcPr>
            <w:tcW w:w="39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 operating expenses</w:t>
            </w:r>
          </w:p>
        </w:tc>
        <w:tc>
          <w:tcPr>
            <w:tcW w:w="2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3,080</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Management fee</w:t>
            </w:r>
          </w:p>
        </w:tc>
        <w:tc>
          <w:tcPr>
            <w:tcW w:w="2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expense-affiliates</w:t>
            </w:r>
          </w:p>
        </w:tc>
        <w:tc>
          <w:tcPr>
            <w:tcW w:w="2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General and administrative expense</w:t>
            </w:r>
          </w:p>
        </w:tc>
        <w:tc>
          <w:tcPr>
            <w:tcW w:w="2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Participation expense-affiliate</w:t>
            </w:r>
          </w:p>
        </w:tc>
        <w:tc>
          <w:tcPr>
            <w:tcW w:w="2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4"/>
                <w:szCs w:val="14"/>
                <w:color w:val="auto"/>
              </w:rPr>
              <w:t>Total expenses</w:t>
            </w:r>
          </w:p>
        </w:tc>
        <w:tc>
          <w:tcPr>
            <w:tcW w:w="20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7,218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7,386</w:t>
            </w: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OTHER INCOME</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2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Gain on disposal of equipment</w:t>
            </w:r>
          </w:p>
        </w:tc>
        <w:tc>
          <w:tcPr>
            <w:tcW w:w="20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25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income</w:t>
            </w:r>
          </w:p>
        </w:tc>
        <w:tc>
          <w:tcPr>
            <w:tcW w:w="2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3,667</w:t>
            </w: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spacing w:after="0"/>
              <w:rPr>
                <w:sz w:val="23"/>
                <w:szCs w:val="23"/>
                <w:color w:val="auto"/>
              </w:rPr>
            </w:pPr>
          </w:p>
        </w:tc>
        <w:tc>
          <w:tcPr>
            <w:tcW w:w="20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2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48"/>
              <w:spacing w:after="0"/>
              <w:rPr>
                <w:sz w:val="20"/>
                <w:szCs w:val="20"/>
                <w:color w:val="auto"/>
              </w:rPr>
            </w:pPr>
            <w:r>
              <w:rPr>
                <w:rFonts w:ascii="Arial" w:cs="Arial" w:eastAsia="Arial" w:hAnsi="Arial"/>
                <w:sz w:val="14"/>
                <w:szCs w:val="14"/>
                <w:color w:val="auto"/>
              </w:rPr>
              <w:t>154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39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5"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6"/>
          <w:szCs w:val="16"/>
          <w:b w:val="1"/>
          <w:bCs w:val="1"/>
          <w:color w:val="auto"/>
        </w:rPr>
        <w:t>Intermodal Finance I Ltd.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 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Intermodal</w:t>
            </w:r>
          </w:p>
        </w:tc>
        <w:tc>
          <w:tcPr>
            <w:tcW w:w="16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WWTAI</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Finance</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Container</w:t>
            </w:r>
          </w:p>
        </w:tc>
        <w:tc>
          <w:tcPr>
            <w:tcW w:w="1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rPr>
              <w:t>Intermodal</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 Ltd</w:t>
            </w:r>
          </w:p>
        </w:tc>
        <w:tc>
          <w:tcPr>
            <w:tcW w:w="16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 Ltd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Finance I Ltd</w:t>
            </w:r>
          </w:p>
        </w:tc>
        <w:tc>
          <w:tcPr>
            <w:tcW w:w="0" w:type="dxa"/>
            <w:vAlign w:val="bottom"/>
          </w:tcPr>
          <w:p>
            <w:pPr>
              <w:spacing w:after="0"/>
              <w:rPr>
                <w:sz w:val="1"/>
                <w:szCs w:val="1"/>
                <w:color w:val="auto"/>
              </w:rPr>
            </w:pPr>
          </w:p>
        </w:tc>
      </w:tr>
      <w:tr>
        <w:trPr>
          <w:trHeight w:val="251"/>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leasing revenue</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7,506</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7,506</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Finance revenue</w:t>
            </w:r>
          </w:p>
        </w:tc>
        <w:tc>
          <w:tcPr>
            <w:tcW w:w="2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1,608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Participation income-affiliate</w:t>
            </w:r>
          </w:p>
        </w:tc>
        <w:tc>
          <w:tcPr>
            <w:tcW w:w="2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4"/>
                <w:szCs w:val="14"/>
                <w:color w:val="auto"/>
              </w:rPr>
              <w:t>Total revenues</w:t>
            </w:r>
          </w:p>
        </w:tc>
        <w:tc>
          <w:tcPr>
            <w:tcW w:w="2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9,217</w:t>
            </w: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1,608</w:t>
            </w: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9,716</w:t>
            </w: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 operating expenses</w:t>
            </w:r>
          </w:p>
        </w:tc>
        <w:tc>
          <w:tcPr>
            <w:tcW w:w="2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Management fee</w:t>
            </w:r>
          </w:p>
        </w:tc>
        <w:tc>
          <w:tcPr>
            <w:tcW w:w="2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1,225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5,815</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1,922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expense-affiliates</w:t>
            </w:r>
          </w:p>
        </w:tc>
        <w:tc>
          <w:tcPr>
            <w:tcW w:w="2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General and administrative expense</w:t>
            </w:r>
          </w:p>
        </w:tc>
        <w:tc>
          <w:tcPr>
            <w:tcW w:w="2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expense</w:t>
            </w:r>
          </w:p>
        </w:tc>
        <w:tc>
          <w:tcPr>
            <w:tcW w:w="2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6,016</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6,016</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color w:val="auto"/>
              </w:rPr>
              <w:t>Participation expense-affiliate</w:t>
            </w:r>
          </w:p>
        </w:tc>
        <w:tc>
          <w:tcPr>
            <w:tcW w:w="2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1,109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Bad debt expense</w:t>
            </w:r>
          </w:p>
        </w:tc>
        <w:tc>
          <w:tcPr>
            <w:tcW w:w="2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4"/>
                <w:szCs w:val="14"/>
                <w:color w:val="auto"/>
              </w:rPr>
              <w:t>Total expenses</w:t>
            </w:r>
          </w:p>
        </w:tc>
        <w:tc>
          <w:tcPr>
            <w:tcW w:w="2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17,270</w:t>
            </w: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1,608</w:t>
            </w: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17,769</w:t>
            </w: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OTHER LOSS</w:t>
            </w: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2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on disposal of equipment</w:t>
            </w:r>
          </w:p>
        </w:tc>
        <w:tc>
          <w:tcPr>
            <w:tcW w:w="20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(5,225)</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(5,225)</w:t>
            </w:r>
          </w:p>
        </w:tc>
        <w:tc>
          <w:tcPr>
            <w:tcW w:w="0" w:type="dxa"/>
            <w:vAlign w:val="bottom"/>
          </w:tcPr>
          <w:p>
            <w:pPr>
              <w:spacing w:after="0"/>
              <w:rPr>
                <w:sz w:val="1"/>
                <w:szCs w:val="1"/>
                <w:color w:val="auto"/>
              </w:rPr>
            </w:pPr>
          </w:p>
        </w:tc>
      </w:tr>
      <w:tr>
        <w:trPr>
          <w:trHeight w:val="25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loss</w:t>
            </w:r>
          </w:p>
        </w:tc>
        <w:tc>
          <w:tcPr>
            <w:tcW w:w="2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(4,028)</w:t>
            </w: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spacing w:after="0"/>
              <w:rPr>
                <w:sz w:val="23"/>
                <w:szCs w:val="23"/>
                <w:color w:val="auto"/>
              </w:rPr>
            </w:pPr>
          </w:p>
        </w:tc>
        <w:tc>
          <w:tcPr>
            <w:tcW w:w="20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68"/>
              <w:spacing w:after="0"/>
              <w:rPr>
                <w:sz w:val="20"/>
                <w:szCs w:val="20"/>
                <w:color w:val="auto"/>
              </w:rPr>
            </w:pPr>
            <w:r>
              <w:rPr>
                <w:rFonts w:ascii="Arial" w:cs="Arial" w:eastAsia="Arial" w:hAnsi="Arial"/>
                <w:sz w:val="14"/>
                <w:szCs w:val="14"/>
                <w:color w:val="auto"/>
              </w:rPr>
              <w:t>155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39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5"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6"/>
          <w:szCs w:val="16"/>
          <w:b w:val="1"/>
          <w:bCs w:val="1"/>
          <w:color w:val="auto"/>
        </w:rPr>
        <w:t>Intermodal Finance I Ltd.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 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2015</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Intermodal</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WWTAI</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Finance</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rPr>
              <w:t>Intermodal</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 Ltd</w:t>
            </w:r>
          </w:p>
        </w:tc>
        <w:tc>
          <w:tcPr>
            <w:tcW w:w="12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 Ltd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Finance I Ltd</w:t>
            </w: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leasing revenue</w:t>
            </w:r>
          </w:p>
        </w:tc>
        <w:tc>
          <w:tcPr>
            <w:tcW w:w="2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11,877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11,877</w:t>
            </w: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4"/>
                <w:szCs w:val="14"/>
                <w:color w:val="auto"/>
              </w:rPr>
              <w:t>Finance revenue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Participation income-affiliate</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4"/>
                <w:szCs w:val="14"/>
                <w:color w:val="auto"/>
              </w:rPr>
              <w:t>Total revenues</w:t>
            </w:r>
          </w:p>
        </w:tc>
        <w:tc>
          <w:tcPr>
            <w:tcW w:w="2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15,447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2,655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16,022</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 operating expenses</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4"/>
                <w:szCs w:val="14"/>
                <w:color w:val="auto"/>
              </w:rPr>
              <w:t>Management fee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3,659</w:t>
            </w: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expense-affiliates</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4"/>
                <w:szCs w:val="14"/>
                <w:color w:val="auto"/>
              </w:rPr>
              <w:t>General and administrative expense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expense</w:t>
            </w:r>
          </w:p>
        </w:tc>
        <w:tc>
          <w:tcPr>
            <w:tcW w:w="2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20,604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20,604</w:t>
            </w: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4"/>
                <w:szCs w:val="14"/>
                <w:color w:val="auto"/>
              </w:rPr>
              <w:t>Participation expense-affiliate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29,553</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OTHER LOSS</w:t>
            </w:r>
          </w:p>
        </w:tc>
        <w:tc>
          <w:tcPr>
            <w:tcW w:w="2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disposal of equipment</w:t>
            </w:r>
          </w:p>
        </w:tc>
        <w:tc>
          <w:tcPr>
            <w:tcW w:w="2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44"/>
        </w:trPr>
        <w:tc>
          <w:tcPr>
            <w:tcW w:w="3960" w:type="dxa"/>
            <w:vAlign w:val="bottom"/>
          </w:tcPr>
          <w:p>
            <w:pPr>
              <w:ind w:left="40"/>
              <w:spacing w:after="0"/>
              <w:rPr>
                <w:sz w:val="20"/>
                <w:szCs w:val="20"/>
                <w:color w:val="auto"/>
              </w:rPr>
            </w:pPr>
            <w:r>
              <w:rPr>
                <w:rFonts w:ascii="Arial" w:cs="Arial" w:eastAsia="Arial" w:hAnsi="Arial"/>
                <w:sz w:val="14"/>
                <w:szCs w:val="14"/>
                <w:color w:val="auto"/>
              </w:rPr>
              <w:t>Total other loss</w:t>
            </w:r>
          </w:p>
        </w:tc>
        <w:tc>
          <w:tcPr>
            <w:tcW w:w="2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NET LOSS</w:t>
            </w:r>
          </w:p>
        </w:tc>
        <w:tc>
          <w:tcPr>
            <w:tcW w:w="2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(14,050)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(14,050)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360" w:type="dxa"/>
            <w:vAlign w:val="bottom"/>
            <w:vMerge w:val="restart"/>
          </w:tcPr>
          <w:p>
            <w:pPr>
              <w:jc w:val="right"/>
              <w:ind w:right="408"/>
              <w:spacing w:after="0"/>
              <w:rPr>
                <w:sz w:val="20"/>
                <w:szCs w:val="20"/>
                <w:color w:val="auto"/>
              </w:rPr>
            </w:pPr>
            <w:r>
              <w:rPr>
                <w:rFonts w:ascii="Arial" w:cs="Arial" w:eastAsia="Arial" w:hAnsi="Arial"/>
                <w:sz w:val="14"/>
                <w:szCs w:val="14"/>
                <w:color w:val="auto"/>
              </w:rPr>
              <w:t>156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9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b w:val="1"/>
          <w:bCs w:val="1"/>
          <w:color w:val="00497F"/>
        </w:rPr>
        <w:t>Item 9. Changes in and Disagreements with Accountants on Accounting and Financial Disclosure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9A. Controls and Procedures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282" w:lineRule="exact"/>
        <w:rPr>
          <w:sz w:val="20"/>
          <w:szCs w:val="20"/>
          <w:color w:val="auto"/>
        </w:rPr>
      </w:pPr>
    </w:p>
    <w:p>
      <w:pPr>
        <w:jc w:val="both"/>
        <w:ind w:firstLine="446"/>
        <w:spacing w:after="0" w:line="248"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not effective due to the existence of a material weakness in our internal control over financial reporting described below. Notwithstanding the existence of the material weakness discussed below, our management, including our Chief Executive Officer and Chief Financial Officer, has concluded that the consolidated financial statements included in this Annual Report on Form 10-K fairly present, in all material respects, our financial position, results of operations and cash flows for the periods presented in this Annual Report on Form 10-K in conformity with GAAP.</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7F"/>
        </w:rPr>
        <w:t>Management's Annual Report on Internal Control over Financial Reporting</w:t>
      </w:r>
    </w:p>
    <w:p>
      <w:pPr>
        <w:spacing w:after="0" w:line="241"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pertain to the maintenance of records that, in reasonable detail, accurately and fairly reflect our transactions and our dispositions of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and use or disposition of our assets that could have a material effect on the financial statements.</w:t>
      </w:r>
    </w:p>
    <w:p>
      <w:pPr>
        <w:spacing w:after="0" w:line="10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2017. In making this assessment, management used the criteria set forth by the Committee of Sponsoring Organizations of the Treadway Commission in Internal Control - Integrated Framework (2013). Based on management’s assessment using this framework, management concluded that, as of December 31, 2017, our internal control over financial reporting was not effective.</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 effectiveness of the Company’s internal control over financial reporting as of December 31, 2017 has been audited by Ernst &amp; Young LLP, an independent registered public accounting firm, which contains an adverse opinion on the effectiveness of our internal control over financial reporting, as stated in their report included herein.</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7F"/>
        </w:rPr>
        <w:t>Material Weakness in Internal Control over Financial Reporting</w:t>
      </w:r>
    </w:p>
    <w:p>
      <w:pPr>
        <w:spacing w:after="0" w:line="24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8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6"/>
          <w:szCs w:val="16"/>
          <w:color w:val="auto"/>
        </w:rPr>
        <w:t>We did not maintain effective internal control in the design and operating effectiveness of certain financial reporting related controls over preparation and review of financial information within our Jefferson Operating Segment. Specifically, we determined that we had control deficiencies related to our review over capitalization of interest, lack of segregation of duties within accounts payable and disbursements and the lack of documentation to demonstrate the consistent and timely performance of management review controls at sufficient levels of precision in the preparation of the segment financial information.</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These control deficiencies could result in a misstatement of the aforementioned Jefferson Operating Segment accounts or disclosures that would result in a material misstatement to the annual or interim consolidated financial statements that would not be prevented or detected. Accordingly, we determined that these control deficiencies aggregate to a material weakness.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7F"/>
        </w:rPr>
        <w:t>Plan for Remediation of Material Weakness in Control over Financial Reporting</w:t>
      </w:r>
    </w:p>
    <w:p>
      <w:pPr>
        <w:spacing w:after="0" w:line="24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We have already taken steps to remediate the material weakness identified above through the immediate restriction of system access rights that gave rise to the accounts payable segregation of duties deficiency. We also plan to take additional actions to remediate this material weakness, primarily through supplementing the Jefferson operating segment with resources with deepened technical accounting and internal control knowledge. We also intend to enhance our corporate-level monitoring controls over the Jefferson operating segment financial reporting process including monitoring the timeliness and documentation of the operation of management review controls.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420"/>
          </w:cols>
          <w:pgMar w:left="240" w:top="689" w:right="239" w:bottom="1440" w:gutter="0" w:footer="0" w:header="0"/>
        </w:sectPr>
      </w:pPr>
    </w:p>
    <w:bookmarkStart w:id="157" w:name="page158"/>
    <w:bookmarkEnd w:id="157"/>
    <w:p>
      <w:pPr>
        <w:jc w:val="both"/>
        <w:ind w:firstLine="486"/>
        <w:spacing w:after="0" w:line="253" w:lineRule="auto"/>
        <w:rPr>
          <w:sz w:val="20"/>
          <w:szCs w:val="20"/>
          <w:color w:val="auto"/>
        </w:rPr>
      </w:pPr>
      <w:r>
        <w:rPr>
          <w:rFonts w:ascii="Arial" w:cs="Arial" w:eastAsia="Arial" w:hAnsi="Arial"/>
          <w:sz w:val="16"/>
          <w:szCs w:val="16"/>
          <w:color w:val="auto"/>
        </w:rPr>
        <w:t>These actions are subject to ongoing review by our senior management, as well as oversight by the audit committee of our board of directors. Although we plan to complete this remediation process as quickly as possible, we cannot, at this time, estimate when such remediation may occur, and our initiatives may not prove successful in remediating this material weakness.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7F"/>
        </w:rPr>
        <w:t>Changes in Internal Control over Financial Reporting</w:t>
      </w:r>
    </w:p>
    <w:p>
      <w:pPr>
        <w:spacing w:after="0" w:line="241" w:lineRule="exact"/>
        <w:rPr>
          <w:sz w:val="20"/>
          <w:szCs w:val="20"/>
          <w:color w:val="auto"/>
        </w:rPr>
      </w:pPr>
    </w:p>
    <w:p>
      <w:pPr>
        <w:jc w:val="both"/>
        <w:ind w:firstLine="446"/>
        <w:spacing w:after="0" w:line="260" w:lineRule="auto"/>
        <w:rPr>
          <w:sz w:val="20"/>
          <w:szCs w:val="20"/>
          <w:color w:val="auto"/>
        </w:rPr>
      </w:pPr>
      <w:r>
        <w:rPr>
          <w:rFonts w:ascii="Arial" w:cs="Arial" w:eastAsia="Arial" w:hAnsi="Arial"/>
          <w:sz w:val="16"/>
          <w:szCs w:val="16"/>
          <w:color w:val="auto"/>
        </w:rPr>
        <w:t>No change in the Company’s internal control over financial reporting (as defined in Rule 13a-15(f) under the Exchange Act) occurred during its most recent fiscal quarter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420"/>
          </w:cols>
          <w:pgMar w:left="240" w:top="492" w:right="239" w:bottom="1440" w:gutter="0" w:footer="0" w:header="0"/>
        </w:sectPr>
      </w:pPr>
    </w:p>
    <w:bookmarkStart w:id="158" w:name="page159"/>
    <w:bookmarkEnd w:id="158"/>
    <w:p>
      <w:pPr>
        <w:ind w:left="34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Fortress Transportation and Infrastructure Investors LLC</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audited Fortress Transportation and Infrastructure Investors LLC internal control over financial reporting as of December 31, 2017,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Fortress Transportation and Infrastructure Investors LLC (the Company) has not maintained effective internal control over financial reporting as of December 31, 2017, based on the COSO criteria.</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did not maintain effective internal control in the design and operating effectiveness of certain financial reporting related controls over preparation and review of financial information within its Jefferson Operating Segment. Specifically, the Company determined that it had control deficiencies related to the review over capitalization of interest, lack of segregation of duties within accounts payable and disbursements and the lack of documentation to demonstrate the consistent and timely performance of management review controls at sufficient levels of precision in the preparation of the segment financial information. These control deficiencies could result in a misstatement of the aforementioned Jefferson Operating Segment accounts or disclosures that would result in a material misstatement to the annual or interim consolidated financial statements that would not be prevented or detected. Accordingly, we determined that these control deficiencies aggregate to a material weakness.</w:t>
      </w:r>
    </w:p>
    <w:p>
      <w:pPr>
        <w:spacing w:after="0" w:line="1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and the related consolidated statements of operations, comprehensive (loss) income, changes in equity and cash flows for the years then ended and the related notes. This material weakness was considered in determining the nature, timing and extent of audit tests applied in our audit of the 2017 consolidated financial statements, and this report does not affect our report dated March 1, 2018, which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 2018</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420"/>
          </w:cols>
          <w:pgMar w:left="240" w:top="365" w:right="23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b w:val="1"/>
          <w:bCs w:val="1"/>
          <w:color w:val="00497F"/>
        </w:rPr>
        <w:t>Item 9B. Other Information</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00497F"/>
        </w:rPr>
        <w:t>PART III—OTHER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10. Directors, Executive Officers and Corporate Governance</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Incorporated by reference to our definitive proxy statement for the 2018 annual meeting of shareholders to be filed with the Securities and Exchange Commission pursuant to Regulation 14A Exchange Act, within 120 days after the fiscal year ended December 31,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11. Executive Compensation</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Incorporated by reference to our definitive proxy statement for the 2018 annual meeting of shareholders to be filed with the Securities and Exchange Commission pursuant to Regulation 14A Exchange Act, within 120 days after the fiscal year ended December 31,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12. Security Ownership of Certain Beneficial Owners and Management and Related Stockholder Matters</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Incorporated by reference to our definitive proxy statement for the 2018 annual meeting of shareholders to be filed with the Securities and Exchange Commission pursuant to Regulation 14A Exchange Act, within 120 days after the fiscal year ended December 31,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13. Certain Relationships and Related Transactions, and Director Independence</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Incorporated by reference to our definitive proxy statement for the 2018 annual meeting of shareholders to be filed with the Securities and Exchange Commission pursuant to Regulation 14A Exchange Act, within 120 days after the fiscal year ended December 31, 2017.</w:t>
      </w:r>
    </w:p>
    <w:p>
      <w:pPr>
        <w:spacing w:after="0" w:line="6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00497F"/>
        </w:rPr>
        <w:t>Item 14.</w:t>
        <w:tab/>
        <w:t>Principal Accountant Fees and Services</w:t>
      </w:r>
    </w:p>
    <w:p>
      <w:pPr>
        <w:spacing w:after="0" w:line="133" w:lineRule="exact"/>
        <w:rPr>
          <w:sz w:val="20"/>
          <w:szCs w:val="20"/>
          <w:color w:val="auto"/>
        </w:rPr>
      </w:pPr>
    </w:p>
    <w:p>
      <w:pPr>
        <w:ind w:firstLine="486"/>
        <w:spacing w:after="0" w:line="260" w:lineRule="auto"/>
        <w:rPr>
          <w:sz w:val="20"/>
          <w:szCs w:val="20"/>
          <w:color w:val="auto"/>
        </w:rPr>
      </w:pPr>
      <w:r>
        <w:rPr>
          <w:rFonts w:ascii="Arial" w:cs="Arial" w:eastAsia="Arial" w:hAnsi="Arial"/>
          <w:sz w:val="16"/>
          <w:szCs w:val="16"/>
          <w:color w:val="auto"/>
        </w:rPr>
        <w:t>Incorporated by reference to our definitive proxy statement for the 2018 annual meeting of shareholders to be filed with the Securities and Exchange Commission pursuant to Regulation 14A Exchange Act, within 120 days after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420"/>
          </w:cols>
          <w:pgMar w:left="240" w:top="473" w:right="2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6"/>
          <w:szCs w:val="16"/>
          <w:b w:val="1"/>
          <w:bCs w:val="1"/>
          <w:color w:val="00497F"/>
        </w:rPr>
        <w:t>PART IV</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00497F"/>
        </w:rPr>
        <w:t>Item 15.</w:t>
      </w:r>
      <w:r>
        <w:rPr>
          <w:sz w:val="20"/>
          <w:szCs w:val="20"/>
          <w:color w:val="auto"/>
        </w:rPr>
        <w:tab/>
      </w:r>
      <w:r>
        <w:rPr>
          <w:rFonts w:ascii="Arial" w:cs="Arial" w:eastAsia="Arial" w:hAnsi="Arial"/>
          <w:sz w:val="15"/>
          <w:szCs w:val="15"/>
          <w:b w:val="1"/>
          <w:bCs w:val="1"/>
          <w:color w:val="00497F"/>
        </w:rPr>
        <w:t>Exhibits</w:t>
      </w: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240" w:type="dxa"/>
            <w:vAlign w:val="bottom"/>
          </w:tcPr>
          <w:p>
            <w:pPr>
              <w:spacing w:after="0"/>
              <w:rPr>
                <w:sz w:val="15"/>
                <w:szCs w:val="15"/>
                <w:color w:val="auto"/>
              </w:rPr>
            </w:pPr>
          </w:p>
        </w:tc>
        <w:tc>
          <w:tcPr>
            <w:tcW w:w="220" w:type="dxa"/>
            <w:vAlign w:val="bottom"/>
            <w:tcBorders>
              <w:top w:val="single" w:sz="8" w:color="auto"/>
            </w:tcBorders>
            <w:gridSpan w:val="2"/>
          </w:tcPr>
          <w:p>
            <w:pPr>
              <w:ind w:left="20"/>
              <w:spacing w:after="0"/>
              <w:rPr>
                <w:rFonts w:ascii="Arial" w:cs="Arial" w:eastAsia="Arial" w:hAnsi="Arial"/>
                <w:sz w:val="14"/>
                <w:szCs w:val="14"/>
                <w:color w:val="0000FF"/>
                <w:w w:val="92"/>
              </w:rPr>
            </w:pPr>
            <w:hyperlink r:id="rId27">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Certificate of Formation (incorporated by reference to Exhibit 3.1 of Amendment No. 4 to the Company's Registration Statement on Form S-1, filed on</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April 30, 2015).</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28">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Amended and Restated Limited Liability Company Agreement of Fortress Transportation and Infrastructure Investors LLC (incorporated by reference to</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Exhibit 3.2 of the Company's Current Report on Form 8-K, filed on May 21, 2015).</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29">
              <w:r>
                <w:rPr>
                  <w:rFonts w:ascii="Arial" w:cs="Arial" w:eastAsia="Arial" w:hAnsi="Arial"/>
                  <w:sz w:val="14"/>
                  <w:szCs w:val="14"/>
                  <w:color w:val="0000FF"/>
                  <w:w w:val="92"/>
                </w:rPr>
                <w:t>3.</w:t>
              </w:r>
              <w:r>
                <w:rPr>
                  <w:rFonts w:ascii="Arial" w:cs="Arial" w:eastAsia="Arial" w:hAnsi="Arial"/>
                  <w:sz w:val="14"/>
                  <w:szCs w:val="14"/>
                  <w:u w:val="single" w:color="auto"/>
                  <w:color w:val="0000FF"/>
                  <w:w w:val="92"/>
                </w:rPr>
                <w:t>3</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First Amendment to Amended and Restated Limited Liability Company Agreement of Fortress Transportation and Infrastructure Investors LLC</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(incorporated by reference to Exhibit 3.3 of the Company's Annual Report on Form 10-K, filed on March 10, 2016).</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30">
              <w:r>
                <w:rPr>
                  <w:rFonts w:ascii="Arial" w:cs="Arial" w:eastAsia="Arial" w:hAnsi="Arial"/>
                  <w:sz w:val="14"/>
                  <w:szCs w:val="14"/>
                  <w:color w:val="0000FF"/>
                  <w:w w:val="92"/>
                </w:rPr>
                <w:t>4.</w:t>
              </w:r>
              <w:r>
                <w:rPr>
                  <w:rFonts w:ascii="Arial" w:cs="Arial" w:eastAsia="Arial" w:hAnsi="Arial"/>
                  <w:sz w:val="14"/>
                  <w:szCs w:val="14"/>
                  <w:u w:val="single" w:color="auto"/>
                  <w:color w:val="0000FF"/>
                  <w:w w:val="92"/>
                </w:rPr>
                <w:t>1</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Indenture, dated March 15, 2017, between Fortress Transportation and Infrastructure Investors LLC and U.S. Bank National</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72"/>
        </w:trPr>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on March 15, 2017).</w:t>
            </w:r>
          </w:p>
        </w:tc>
      </w:tr>
      <w:tr>
        <w:trPr>
          <w:trHeight w:val="174"/>
        </w:trPr>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spacing w:after="0"/>
              <w:rPr>
                <w:sz w:val="15"/>
                <w:szCs w:val="15"/>
                <w:color w:val="auto"/>
              </w:rPr>
            </w:pP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31">
              <w:r>
                <w:rPr>
                  <w:rFonts w:ascii="Arial" w:cs="Arial" w:eastAsia="Arial" w:hAnsi="Arial"/>
                  <w:sz w:val="14"/>
                  <w:szCs w:val="14"/>
                  <w:color w:val="0000FF"/>
                  <w:w w:val="92"/>
                </w:rPr>
                <w:t>4.</w:t>
              </w:r>
              <w:r>
                <w:rPr>
                  <w:rFonts w:ascii="Arial" w:cs="Arial" w:eastAsia="Arial" w:hAnsi="Arial"/>
                  <w:sz w:val="14"/>
                  <w:szCs w:val="14"/>
                  <w:u w:val="single" w:color="auto"/>
                  <w:color w:val="0000FF"/>
                  <w:w w:val="92"/>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Form of global note representing the Company’s 6.75% senior unsecured notes due 2022 (included in Exhibit 4.1).</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w:anchor="page164">
              <w:r>
                <w:rPr>
                  <w:rFonts w:ascii="Arial" w:cs="Arial" w:eastAsia="Arial" w:hAnsi="Arial"/>
                  <w:sz w:val="14"/>
                  <w:szCs w:val="14"/>
                  <w:color w:val="0000FF"/>
                  <w:w w:val="92"/>
                </w:rPr>
                <w:t>4.</w:t>
              </w:r>
              <w:r>
                <w:rPr>
                  <w:rFonts w:ascii="Arial" w:cs="Arial" w:eastAsia="Arial" w:hAnsi="Arial"/>
                  <w:sz w:val="14"/>
                  <w:szCs w:val="14"/>
                  <w:u w:val="single" w:color="auto"/>
                  <w:color w:val="0000FF"/>
                  <w:w w:val="92"/>
                </w:rPr>
                <w:t>3</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Supplemental Indenture, dated June 8, 2017, between Fortress Transportation and Infrastructure Investors LLC</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and U.S. Bank National Association, as trustee, relating to the Company’s 6.75% senior unsecured notes due 2022.</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32">
              <w:r>
                <w:rPr>
                  <w:rFonts w:ascii="Arial" w:cs="Arial" w:eastAsia="Arial" w:hAnsi="Arial"/>
                  <w:sz w:val="14"/>
                  <w:szCs w:val="14"/>
                  <w:color w:val="0000FF"/>
                  <w:w w:val="92"/>
                </w:rPr>
                <w:t>4.</w:t>
              </w:r>
              <w:r>
                <w:rPr>
                  <w:rFonts w:ascii="Arial" w:cs="Arial" w:eastAsia="Arial" w:hAnsi="Arial"/>
                  <w:sz w:val="14"/>
                  <w:szCs w:val="14"/>
                  <w:u w:val="single" w:color="auto"/>
                  <w:color w:val="0000FF"/>
                  <w:w w:val="92"/>
                </w:rPr>
                <w:t>4</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Second Supplemental Indenture, dated August 23, 2017, between Fortress Transportation and Infrastructure Investors LLC and U.S. Bank National</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7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Current Report on Form 8-K, filed on August 23, 2017).</w:t>
            </w:r>
          </w:p>
        </w:tc>
      </w:tr>
      <w:tr>
        <w:trPr>
          <w:trHeight w:val="174"/>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spacing w:after="0"/>
              <w:rPr>
                <w:sz w:val="15"/>
                <w:szCs w:val="15"/>
                <w:color w:val="auto"/>
              </w:rPr>
            </w:pPr>
          </w:p>
        </w:tc>
      </w:tr>
      <w:tr>
        <w:trPr>
          <w:trHeight w:val="176"/>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33">
              <w:r>
                <w:rPr>
                  <w:rFonts w:ascii="Arial" w:cs="Arial" w:eastAsia="Arial" w:hAnsi="Arial"/>
                  <w:sz w:val="14"/>
                  <w:szCs w:val="14"/>
                  <w:color w:val="0000FF"/>
                  <w:w w:val="92"/>
                </w:rPr>
                <w:t>4.</w:t>
              </w:r>
              <w:r>
                <w:rPr>
                  <w:rFonts w:ascii="Arial" w:cs="Arial" w:eastAsia="Arial" w:hAnsi="Arial"/>
                  <w:sz w:val="14"/>
                  <w:szCs w:val="14"/>
                  <w:u w:val="single" w:color="auto"/>
                  <w:color w:val="0000FF"/>
                  <w:w w:val="92"/>
                </w:rPr>
                <w:t>5</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Third Supplemental Indenture, dated December 20, 2017, between Fortress Transportation and Infrastructure LLC (incorporated by reference to Exhibit</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4.1 of the Company’s Current Report on Form 8-K filed on December 20, 2017).</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34">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reference to Exhibit 10.1 of the Company's Current Report on Form 8-K, filed on May 21, 2015).</w:t>
            </w:r>
          </w:p>
        </w:tc>
      </w:tr>
      <w:tr>
        <w:trPr>
          <w:trHeight w:val="182"/>
        </w:trPr>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5">
              <w:r>
                <w:rPr>
                  <w:rFonts w:ascii="Arial" w:cs="Arial" w:eastAsia="Arial" w:hAnsi="Arial"/>
                  <w:sz w:val="14"/>
                  <w:szCs w:val="14"/>
                  <w:color w:val="0000FF"/>
                </w:rPr>
                <w:t>10.2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and Advisory Agreement, dated as of May 20, 2015, between Fortress Transportation and Infrastructure Investors LLC and FIG LLC</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10.2 of the Company's Current Report on Form 8-K, filed on May 21, 2015).</w:t>
            </w:r>
          </w:p>
        </w:tc>
      </w:tr>
      <w:tr>
        <w:trPr>
          <w:trHeight w:val="176"/>
        </w:trPr>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tcPr>
          <w:p>
            <w:pPr>
              <w:ind w:left="20"/>
              <w:spacing w:after="0"/>
              <w:rPr>
                <w:rFonts w:ascii="Arial" w:cs="Arial" w:eastAsia="Arial" w:hAnsi="Arial"/>
                <w:sz w:val="14"/>
                <w:szCs w:val="14"/>
                <w:color w:val="0000FF"/>
              </w:rPr>
            </w:pPr>
            <w:hyperlink r:id="rId36">
              <w:r>
                <w:rPr>
                  <w:rFonts w:ascii="Arial" w:cs="Arial" w:eastAsia="Arial" w:hAnsi="Arial"/>
                  <w:sz w:val="14"/>
                  <w:szCs w:val="14"/>
                  <w:color w:val="0000FF"/>
                </w:rPr>
                <w:t>10.3</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Registration Rights Agreement, dated as of May 20, 2015, among Fortress Transportation and Infrastructure Investors LLC, FIG LLC and Fortress</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Transportation and Infrastructure Master GP LLC (incorporated by reference to Exhibit 10.3 of the Company's Current Report on Form 8-K, filed on May</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21, 2015).</w:t>
            </w:r>
          </w:p>
        </w:tc>
      </w:tr>
      <w:tr>
        <w:trPr>
          <w:trHeight w:val="182"/>
        </w:trPr>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7">
              <w:r>
                <w:rPr>
                  <w:rFonts w:ascii="Arial" w:cs="Arial" w:eastAsia="Arial" w:hAnsi="Arial"/>
                  <w:sz w:val="14"/>
                  <w:szCs w:val="14"/>
                  <w:color w:val="0000FF"/>
                </w:rPr>
                <w:t>10.4</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Fortress Transportation and Infrastructure Investors LLC Nonqualified Stock Option and Incentive Award Plan (incorporated by reference to Exhibit 10.4 of</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the Company's Current Report on Form 8-K, filed on May 21,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38">
              <w:r>
                <w:rPr>
                  <w:rFonts w:ascii="Arial" w:cs="Arial" w:eastAsia="Arial" w:hAnsi="Arial"/>
                  <w:sz w:val="14"/>
                  <w:szCs w:val="14"/>
                  <w:color w:val="0000FF"/>
                </w:rPr>
                <w:t>10.</w:t>
              </w:r>
              <w:r>
                <w:rPr>
                  <w:rFonts w:ascii="Arial" w:cs="Arial" w:eastAsia="Arial" w:hAnsi="Arial"/>
                  <w:sz w:val="14"/>
                  <w:szCs w:val="14"/>
                  <w:u w:val="single" w:color="auto"/>
                  <w:color w:val="0000FF"/>
                </w:rPr>
                <w:t>5</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Form of director and officer indemnification agreement of Fortress Transportation and Infrastructure Investors LLC (incorporated by reference to Exhibit</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tc>
      </w:tr>
      <w:tr>
        <w:trPr>
          <w:trHeight w:val="182"/>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9">
              <w:r>
                <w:rPr>
                  <w:rFonts w:ascii="Arial" w:cs="Arial" w:eastAsia="Arial" w:hAnsi="Arial"/>
                  <w:sz w:val="14"/>
                  <w:szCs w:val="14"/>
                  <w:color w:val="0000FF"/>
                </w:rPr>
                <w:t>10.</w:t>
              </w:r>
              <w:r>
                <w:rPr>
                  <w:rFonts w:ascii="Arial" w:cs="Arial" w:eastAsia="Arial" w:hAnsi="Arial"/>
                  <w:sz w:val="14"/>
                  <w:szCs w:val="14"/>
                  <w:u w:val="single" w:color="auto"/>
                  <w:color w:val="0000FF"/>
                </w:rPr>
                <w:t>6</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Agreement, dated as of August 27, 2014, among Morgan Stanley Senior Funding, Inc., as administrative agent, Jefferson Gulf Coast Energy</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Partners LLC and the other lenders party thereto (incorporated by reference to Exhibit 10.6 of Amendment No. 4 to the Company's Registration Statement</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 Form S-1, filed April 30,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40">
              <w:r>
                <w:rPr>
                  <w:rFonts w:ascii="Arial" w:cs="Arial" w:eastAsia="Arial" w:hAnsi="Arial"/>
                  <w:sz w:val="14"/>
                  <w:szCs w:val="14"/>
                  <w:color w:val="0000FF"/>
                </w:rPr>
                <w:t>10.</w:t>
              </w:r>
              <w:r>
                <w:rPr>
                  <w:rFonts w:ascii="Arial" w:cs="Arial" w:eastAsia="Arial" w:hAnsi="Arial"/>
                  <w:sz w:val="14"/>
                  <w:szCs w:val="14"/>
                  <w:u w:val="single" w:color="auto"/>
                  <w:color w:val="0000FF"/>
                </w:rPr>
                <w:t>7</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Trust Indenture and Security Agreement between the District and The Bank of New York Mellon Trust Company, National Association, dated as of</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February 1, 2016 (incorporated by reference to Exhibit 10.7 of the Company's Annual Report on Form 10-K, filed on March 10, 2016).</w:t>
            </w:r>
          </w:p>
        </w:tc>
      </w:tr>
      <w:tr>
        <w:trPr>
          <w:trHeight w:val="182"/>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41">
              <w:r>
                <w:rPr>
                  <w:rFonts w:ascii="Arial" w:cs="Arial" w:eastAsia="Arial" w:hAnsi="Arial"/>
                  <w:sz w:val="14"/>
                  <w:szCs w:val="14"/>
                  <w:color w:val="0000FF"/>
                </w:rPr>
                <w:t>10.</w:t>
              </w:r>
              <w:r>
                <w:rPr>
                  <w:rFonts w:ascii="Arial" w:cs="Arial" w:eastAsia="Arial" w:hAnsi="Arial"/>
                  <w:sz w:val="14"/>
                  <w:szCs w:val="14"/>
                  <w:u w:val="single" w:color="auto"/>
                  <w:color w:val="0000FF"/>
                </w:rPr>
                <w:t>8</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Standby Bond Purchase Agreement among the Port of Beaumont Navigation District of Jefferson County, Texas, The Bank of New York Mellon Trust</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 National Association, Jefferson Railport Terminal II Holdings LLC and Jefferson Railport Terminal II LLC dated as of February 1, 2016</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10.8 of the Company's Annual Report on Form 10-K, filed on March 10, 2016).</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42">
              <w:r>
                <w:rPr>
                  <w:rFonts w:ascii="Arial" w:cs="Arial" w:eastAsia="Arial" w:hAnsi="Arial"/>
                  <w:sz w:val="14"/>
                  <w:szCs w:val="14"/>
                  <w:color w:val="0000FF"/>
                </w:rPr>
                <w:t>10.</w:t>
              </w:r>
              <w:r>
                <w:rPr>
                  <w:rFonts w:ascii="Arial" w:cs="Arial" w:eastAsia="Arial" w:hAnsi="Arial"/>
                  <w:sz w:val="14"/>
                  <w:szCs w:val="14"/>
                  <w:u w:val="single" w:color="auto"/>
                  <w:color w:val="0000FF"/>
                </w:rPr>
                <w:t>9</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Capital Call Agreement, by and among Fortress Transportation and Infrastructure Investors LLC, FTAI Energy Holdings LLC, FTAI Partner Holdings LLC,</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FTAI Midstream GP Holdings LLC, FTAI Midstream GP LLC, FTAI Midstream Holdings LLC, FTAI Energy Partners LLC and Jefferson Railport Terminal II</w:t>
            </w:r>
          </w:p>
        </w:tc>
      </w:tr>
      <w:tr>
        <w:trPr>
          <w:trHeight w:val="16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Holdings LLC, dated as of February 1, 2016 (incorporated by reference to Exhibit 10.9 of the Company's Annual Report on Form 10-K, filed on March 10,</w:t>
            </w:r>
          </w:p>
        </w:tc>
      </w:tr>
      <w:tr>
        <w:trPr>
          <w:trHeight w:val="17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2016).</w:t>
            </w:r>
          </w:p>
        </w:tc>
      </w:tr>
      <w:tr>
        <w:trPr>
          <w:trHeight w:val="188"/>
        </w:trPr>
        <w:tc>
          <w:tcPr>
            <w:tcW w:w="240" w:type="dxa"/>
            <w:vAlign w:val="bottom"/>
          </w:tcPr>
          <w:p>
            <w:pPr>
              <w:spacing w:after="0"/>
              <w:rPr>
                <w:sz w:val="16"/>
                <w:szCs w:val="16"/>
                <w:color w:val="auto"/>
              </w:rPr>
            </w:pPr>
          </w:p>
        </w:tc>
        <w:tc>
          <w:tcPr>
            <w:tcW w:w="380" w:type="dxa"/>
            <w:vAlign w:val="bottom"/>
            <w:gridSpan w:val="4"/>
          </w:tcPr>
          <w:p>
            <w:pPr>
              <w:ind w:left="20"/>
              <w:spacing w:after="0"/>
              <w:rPr>
                <w:rFonts w:ascii="Arial" w:cs="Arial" w:eastAsia="Arial" w:hAnsi="Arial"/>
                <w:sz w:val="14"/>
                <w:szCs w:val="14"/>
                <w:color w:val="0000FF"/>
                <w:w w:val="96"/>
              </w:rPr>
            </w:pPr>
            <w:hyperlink r:id="rId43">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10</w:t>
              </w:r>
            </w:hyperlink>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Fee and Support Agreement, among FTAI Energy Holdings LLC, FEP Terminal Holdings LLC, FTAI Energy Partners LLC and Jefferson Railport Terminal</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720344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ind w:left="1560" w:right="40" w:hanging="6"/>
        <w:spacing w:after="0" w:line="258" w:lineRule="auto"/>
        <w:tabs>
          <w:tab w:leader="none" w:pos="1688" w:val="left"/>
        </w:tabs>
        <w:numPr>
          <w:ilvl w:val="0"/>
          <w:numId w:val="81"/>
        </w:numPr>
        <w:rPr>
          <w:rFonts w:ascii="Arial" w:cs="Arial" w:eastAsia="Arial" w:hAnsi="Arial"/>
          <w:sz w:val="14"/>
          <w:szCs w:val="14"/>
          <w:color w:val="auto"/>
        </w:rPr>
      </w:pPr>
      <w:r>
        <w:rPr>
          <w:rFonts w:ascii="Arial" w:cs="Arial" w:eastAsia="Arial" w:hAnsi="Arial"/>
          <w:sz w:val="14"/>
          <w:szCs w:val="14"/>
          <w:color w:val="auto"/>
        </w:rPr>
        <w:t>LLC, dated as of March 7, 2016 (incorporated by reference to Exhibit 10.10 of the Company's Amended Annual Report on Form 10-K/A, filed on April 29, 2016).</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60" w:type="dxa"/>
            <w:vAlign w:val="bottom"/>
            <w:gridSpan w:val="3"/>
          </w:tcPr>
          <w:p>
            <w:pPr>
              <w:jc w:val="right"/>
              <w:ind w:right="440"/>
              <w:spacing w:after="0"/>
              <w:rPr>
                <w:rFonts w:ascii="Arial" w:cs="Arial" w:eastAsia="Arial" w:hAnsi="Arial"/>
                <w:sz w:val="14"/>
                <w:szCs w:val="14"/>
                <w:color w:val="0000FF"/>
              </w:rPr>
            </w:pPr>
            <w:hyperlink r:id="rId45">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p>
        </w:tc>
        <w:tc>
          <w:tcPr>
            <w:tcW w:w="10300" w:type="dxa"/>
            <w:vAlign w:val="bottom"/>
          </w:tcPr>
          <w:p>
            <w:pPr>
              <w:ind w:left="460"/>
              <w:spacing w:after="0"/>
              <w:rPr>
                <w:sz w:val="20"/>
                <w:szCs w:val="20"/>
                <w:color w:val="auto"/>
              </w:rPr>
            </w:pPr>
            <w:r>
              <w:rPr>
                <w:rFonts w:ascii="Arial" w:cs="Arial" w:eastAsia="Arial" w:hAnsi="Arial"/>
                <w:sz w:val="14"/>
                <w:szCs w:val="14"/>
                <w:color w:val="auto"/>
              </w:rPr>
              <w:t>Lease and Development Agreement (Facilities Lease), dated as of February 1, 2016, by and between the Port of Beaumont Navigation District of</w:t>
            </w:r>
          </w:p>
        </w:tc>
      </w:tr>
      <w:tr>
        <w:trPr>
          <w:trHeight w:val="160"/>
        </w:trPr>
        <w:tc>
          <w:tcPr>
            <w:tcW w:w="26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Jefferson County, Texas and Jefferson Railport Terminal II LLC (incorporated by reference to Exhibit 10.11 of the Company's Annual Report on Form 10-</w:t>
            </w:r>
          </w:p>
        </w:tc>
      </w:tr>
      <w:tr>
        <w:trPr>
          <w:trHeight w:val="178"/>
        </w:trPr>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K, filed on March 10, 2016).</w:t>
            </w:r>
          </w:p>
        </w:tc>
      </w:tr>
      <w:tr>
        <w:trPr>
          <w:trHeight w:val="182"/>
        </w:trPr>
        <w:tc>
          <w:tcPr>
            <w:tcW w:w="1060" w:type="dxa"/>
            <w:vAlign w:val="bottom"/>
            <w:gridSpan w:val="3"/>
            <w:shd w:val="clear" w:color="auto" w:fill="CCEEFF"/>
          </w:tcPr>
          <w:p>
            <w:pPr>
              <w:jc w:val="right"/>
              <w:ind w:right="440"/>
              <w:spacing w:after="0"/>
              <w:rPr>
                <w:rFonts w:ascii="Arial" w:cs="Arial" w:eastAsia="Arial" w:hAnsi="Arial"/>
                <w:sz w:val="14"/>
                <w:szCs w:val="14"/>
                <w:color w:val="0000FF"/>
              </w:rPr>
            </w:pPr>
            <w:hyperlink r:id="rId46">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Deed of Trust of Jefferson Railport Terminal II LLC, dated as of February 1, 2016 (incorporated by reference to Exhibit 10.12 of the Company's Annual</w:t>
            </w:r>
          </w:p>
        </w:tc>
      </w:tr>
      <w:tr>
        <w:trPr>
          <w:trHeight w:val="183"/>
        </w:trPr>
        <w:tc>
          <w:tcPr>
            <w:tcW w:w="2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3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Report on Form 10-K, filed on March 10, 2016).</w:t>
            </w:r>
          </w:p>
        </w:tc>
      </w:tr>
      <w:tr>
        <w:trPr>
          <w:trHeight w:val="176"/>
        </w:trPr>
        <w:tc>
          <w:tcPr>
            <w:tcW w:w="1060" w:type="dxa"/>
            <w:vAlign w:val="bottom"/>
            <w:gridSpan w:val="3"/>
          </w:tcPr>
          <w:p>
            <w:pPr>
              <w:jc w:val="right"/>
              <w:ind w:right="440"/>
              <w:spacing w:after="0"/>
              <w:rPr>
                <w:rFonts w:ascii="Arial" w:cs="Arial" w:eastAsia="Arial" w:hAnsi="Arial"/>
                <w:sz w:val="14"/>
                <w:szCs w:val="14"/>
                <w:color w:val="0000FF"/>
              </w:rPr>
            </w:pPr>
            <w:hyperlink r:id="rId47">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p>
        </w:tc>
        <w:tc>
          <w:tcPr>
            <w:tcW w:w="10300" w:type="dxa"/>
            <w:vAlign w:val="bottom"/>
          </w:tcPr>
          <w:p>
            <w:pPr>
              <w:ind w:left="460"/>
              <w:spacing w:after="0"/>
              <w:rPr>
                <w:sz w:val="20"/>
                <w:szCs w:val="20"/>
                <w:color w:val="auto"/>
              </w:rPr>
            </w:pPr>
            <w:r>
              <w:rPr>
                <w:rFonts w:ascii="Arial" w:cs="Arial" w:eastAsia="Arial" w:hAnsi="Arial"/>
                <w:sz w:val="14"/>
                <w:szCs w:val="14"/>
                <w:color w:val="auto"/>
              </w:rPr>
              <w:t>Credit Agreement, dated January 23, 2017, among Fortress Transportation and Infrastructure Investors LLC, as holdings, Fortress Worldwide</w:t>
            </w:r>
          </w:p>
        </w:tc>
      </w:tr>
      <w:tr>
        <w:trPr>
          <w:trHeight w:val="160"/>
        </w:trPr>
        <w:tc>
          <w:tcPr>
            <w:tcW w:w="26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Transportation and Infrastructure General Partnership, as IntermediateCo, WWTAI Finance Ltd., as Borrower, the Subsidiary Guarantors from time to time</w:t>
            </w:r>
          </w:p>
        </w:tc>
      </w:tr>
      <w:tr>
        <w:trPr>
          <w:trHeight w:val="162"/>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party thereto, the lenders from time to time party thereto and Morgan Stanley Senior Funding, Inc., as Administrative Agent (incorporated by reference to</w:t>
            </w:r>
          </w:p>
        </w:tc>
      </w:tr>
      <w:tr>
        <w:trPr>
          <w:trHeight w:val="178"/>
        </w:trPr>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Exhibit 10.1 of the Company's Current Report on Form 8-K, filed on January 27, 2017).</w:t>
            </w:r>
          </w:p>
        </w:tc>
      </w:tr>
      <w:tr>
        <w:trPr>
          <w:trHeight w:val="182"/>
        </w:trPr>
        <w:tc>
          <w:tcPr>
            <w:tcW w:w="1060" w:type="dxa"/>
            <w:vAlign w:val="bottom"/>
            <w:gridSpan w:val="3"/>
            <w:shd w:val="clear" w:color="auto" w:fill="CCEEFF"/>
          </w:tcPr>
          <w:p>
            <w:pPr>
              <w:jc w:val="right"/>
              <w:ind w:right="440"/>
              <w:spacing w:after="0"/>
              <w:rPr>
                <w:rFonts w:ascii="Arial" w:cs="Arial" w:eastAsia="Arial" w:hAnsi="Arial"/>
                <w:sz w:val="14"/>
                <w:szCs w:val="14"/>
                <w:color w:val="0000FF"/>
              </w:rPr>
            </w:pPr>
            <w:hyperlink r:id="rId48">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Credit Agreement, dated June 16, 2017, among Fortress Transportation and Infrastructure Investors LLC, as Borrower, the lenders and issuing banks</w:t>
            </w:r>
          </w:p>
        </w:tc>
      </w:tr>
      <w:tr>
        <w:trPr>
          <w:trHeight w:val="160"/>
        </w:trPr>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from time to time party thereto and JPMorgan Chase Bank, N.A., as Administrative Agent (incorporated by reference to Exhibit 10.1 of the Company’s</w:t>
            </w:r>
          </w:p>
        </w:tc>
      </w:tr>
      <w:tr>
        <w:trPr>
          <w:trHeight w:val="184"/>
        </w:trPr>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Current Report on Form 8-K, filed on June 22, 2017).</w:t>
            </w:r>
          </w:p>
        </w:tc>
      </w:tr>
      <w:tr>
        <w:trPr>
          <w:trHeight w:val="176"/>
        </w:trPr>
        <w:tc>
          <w:tcPr>
            <w:tcW w:w="1060" w:type="dxa"/>
            <w:vAlign w:val="bottom"/>
            <w:gridSpan w:val="3"/>
          </w:tcPr>
          <w:p>
            <w:pPr>
              <w:jc w:val="right"/>
              <w:ind w:right="440"/>
              <w:spacing w:after="0"/>
              <w:rPr>
                <w:rFonts w:ascii="Arial" w:cs="Arial" w:eastAsia="Arial" w:hAnsi="Arial"/>
                <w:sz w:val="14"/>
                <w:szCs w:val="14"/>
                <w:color w:val="auto"/>
              </w:rPr>
            </w:pPr>
            <w:r>
              <w:rPr>
                <w:rFonts w:ascii="Arial" w:cs="Arial" w:eastAsia="Arial" w:hAnsi="Arial"/>
                <w:sz w:val="14"/>
                <w:szCs w:val="14"/>
                <w:color w:val="auto"/>
              </w:rPr>
              <w:t xml:space="preserve">†  </w:t>
            </w:r>
            <w:hyperlink r:id="rId49">
              <w:r>
                <w:rPr>
                  <w:rFonts w:ascii="Arial" w:cs="Arial" w:eastAsia="Arial" w:hAnsi="Arial"/>
                  <w:sz w:val="14"/>
                  <w:szCs w:val="14"/>
                  <w:color w:val="0000FF"/>
                </w:rPr>
                <w:t>10.15</w:t>
              </w:r>
            </w:hyperlink>
          </w:p>
        </w:tc>
        <w:tc>
          <w:tcPr>
            <w:tcW w:w="10300" w:type="dxa"/>
            <w:vAlign w:val="bottom"/>
          </w:tcPr>
          <w:p>
            <w:pPr>
              <w:ind w:left="460"/>
              <w:spacing w:after="0"/>
              <w:rPr>
                <w:sz w:val="20"/>
                <w:szCs w:val="20"/>
                <w:color w:val="auto"/>
              </w:rPr>
            </w:pPr>
            <w:r>
              <w:rPr>
                <w:rFonts w:ascii="Arial" w:cs="Arial" w:eastAsia="Arial" w:hAnsi="Arial"/>
                <w:sz w:val="14"/>
                <w:szCs w:val="14"/>
                <w:color w:val="auto"/>
              </w:rPr>
              <w:t>Form of Award Agreement under the Fortress Transportation and Infrastructure Investors Nonqualified Stock Option</w:t>
            </w:r>
          </w:p>
        </w:tc>
      </w:tr>
      <w:tr>
        <w:trPr>
          <w:trHeight w:val="160"/>
        </w:trPr>
        <w:tc>
          <w:tcPr>
            <w:tcW w:w="26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and Incentive Award Plan (incorporated by reference to Exhibit 10.1 of the Company’s Current Report on Form 8-K,</w:t>
            </w:r>
          </w:p>
        </w:tc>
      </w:tr>
      <w:tr>
        <w:trPr>
          <w:trHeight w:val="172"/>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filed on January 17, 2018).</w:t>
            </w:r>
          </w:p>
        </w:tc>
      </w:tr>
    </w:tbl>
    <w:p>
      <w:pPr>
        <w:spacing w:after="0" w:line="200" w:lineRule="exact"/>
        <w:rPr>
          <w:sz w:val="20"/>
          <w:szCs w:val="20"/>
          <w:color w:val="auto"/>
        </w:rPr>
      </w:pPr>
    </w:p>
    <w:p>
      <w:pPr>
        <w:sectPr>
          <w:pgSz w:w="11900" w:h="16838" w:orient="portrait"/>
          <w:cols w:equalWidth="0" w:num="1">
            <w:col w:w="11400"/>
          </w:cols>
          <w:pgMar w:left="240" w:top="689" w:right="259" w:bottom="144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400"/>
          </w:cols>
          <w:pgMar w:left="240" w:top="689" w:right="259" w:bottom="1440" w:gutter="0" w:footer="0" w:header="0"/>
          <w:type w:val="continuous"/>
        </w:sectPr>
      </w:pPr>
    </w:p>
    <w:bookmarkStart w:id="161" w:name="page162"/>
    <w:bookmarkEnd w:id="161"/>
    <w:tbl>
      <w:tblPr>
        <w:tblLayout w:type="fixed"/>
        <w:tblInd w:w="40" w:type="dxa"/>
        <w:tblCellMar>
          <w:top w:w="0" w:type="dxa"/>
          <w:left w:w="0" w:type="dxa"/>
          <w:bottom w:w="0" w:type="dxa"/>
          <w:right w:w="0" w:type="dxa"/>
        </w:tblCellMar>
      </w:tblPr>
      <w:tr>
        <w:trPr>
          <w:trHeight w:val="196"/>
        </w:trPr>
        <w:tc>
          <w:tcPr>
            <w:tcW w:w="2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Borders>
              <w:bottom w:val="single" w:sz="8" w:color="CCEEFF"/>
            </w:tcBorders>
          </w:tcPr>
          <w:p>
            <w:pPr>
              <w:spacing w:after="0"/>
              <w:rPr>
                <w:sz w:val="17"/>
                <w:szCs w:val="17"/>
                <w:color w:val="auto"/>
              </w:rPr>
            </w:pPr>
          </w:p>
        </w:tc>
        <w:tc>
          <w:tcPr>
            <w:tcW w:w="98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380" w:type="dxa"/>
            <w:vAlign w:val="bottom"/>
            <w:gridSpan w:val="4"/>
            <w:shd w:val="clear" w:color="auto" w:fill="CCEEFF"/>
          </w:tcPr>
          <w:p>
            <w:pPr>
              <w:ind w:left="260"/>
              <w:spacing w:after="0"/>
              <w:rPr>
                <w:rFonts w:ascii="Arial" w:cs="Arial" w:eastAsia="Arial" w:hAnsi="Arial"/>
                <w:sz w:val="14"/>
                <w:szCs w:val="14"/>
                <w:color w:val="0000FF"/>
              </w:rPr>
            </w:pPr>
            <w:hyperlink w:anchor="page167">
              <w:r>
                <w:rPr>
                  <w:rFonts w:ascii="Arial" w:cs="Arial" w:eastAsia="Arial" w:hAnsi="Arial"/>
                  <w:sz w:val="14"/>
                  <w:szCs w:val="14"/>
                  <w:color w:val="0000FF"/>
                </w:rPr>
                <w:t>12.</w:t>
              </w:r>
              <w:r>
                <w:rPr>
                  <w:rFonts w:ascii="Arial" w:cs="Arial" w:eastAsia="Arial" w:hAnsi="Arial"/>
                  <w:sz w:val="14"/>
                  <w:szCs w:val="14"/>
                  <w:u w:val="single" w:color="auto"/>
                  <w:color w:val="0000FF"/>
                </w:rPr>
                <w:t>1</w:t>
              </w:r>
            </w:hyperlink>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Calculation of Ratio of Earnings to Fixed Charges</w:t>
            </w:r>
          </w:p>
        </w:tc>
      </w:tr>
      <w:tr>
        <w:trPr>
          <w:trHeight w:val="61"/>
        </w:trPr>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860" w:type="dxa"/>
            <w:vAlign w:val="bottom"/>
            <w:tcBorders>
              <w:top w:val="single" w:sz="8" w:color="CCEEFF"/>
            </w:tcBorders>
            <w:shd w:val="clear" w:color="auto" w:fill="CCEEFF"/>
          </w:tcPr>
          <w:p>
            <w:pPr>
              <w:spacing w:after="0"/>
              <w:rPr>
                <w:sz w:val="5"/>
                <w:szCs w:val="5"/>
                <w:color w:val="auto"/>
              </w:rPr>
            </w:pPr>
          </w:p>
        </w:tc>
      </w:tr>
      <w:tr>
        <w:trPr>
          <w:trHeight w:val="176"/>
        </w:trPr>
        <w:tc>
          <w:tcPr>
            <w:tcW w:w="1380" w:type="dxa"/>
            <w:vAlign w:val="bottom"/>
            <w:gridSpan w:val="4"/>
          </w:tcPr>
          <w:p>
            <w:pPr>
              <w:ind w:left="260"/>
              <w:spacing w:after="0"/>
              <w:rPr>
                <w:rFonts w:ascii="Arial" w:cs="Arial" w:eastAsia="Arial" w:hAnsi="Arial"/>
                <w:sz w:val="14"/>
                <w:szCs w:val="14"/>
                <w:color w:val="0000FF"/>
              </w:rPr>
            </w:pPr>
            <w:hyperlink w:anchor="page168">
              <w:r>
                <w:rPr>
                  <w:rFonts w:ascii="Arial" w:cs="Arial" w:eastAsia="Arial" w:hAnsi="Arial"/>
                  <w:sz w:val="14"/>
                  <w:szCs w:val="14"/>
                  <w:color w:val="0000FF"/>
                </w:rPr>
                <w:t>21.</w:t>
              </w:r>
              <w:r>
                <w:rPr>
                  <w:rFonts w:ascii="Arial" w:cs="Arial" w:eastAsia="Arial" w:hAnsi="Arial"/>
                  <w:sz w:val="14"/>
                  <w:szCs w:val="14"/>
                  <w:u w:val="single" w:color="auto"/>
                  <w:color w:val="0000FF"/>
                </w:rPr>
                <w:t>1</w:t>
              </w:r>
            </w:hyperlink>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Subsidiaries of Fortress Transportation and Infrastructure Investors LLC.</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1380" w:type="dxa"/>
            <w:vAlign w:val="bottom"/>
            <w:gridSpan w:val="4"/>
            <w:shd w:val="clear" w:color="auto" w:fill="CCEEFF"/>
          </w:tcPr>
          <w:p>
            <w:pPr>
              <w:ind w:left="260"/>
              <w:spacing w:after="0"/>
              <w:rPr>
                <w:rFonts w:ascii="Arial" w:cs="Arial" w:eastAsia="Arial" w:hAnsi="Arial"/>
                <w:sz w:val="14"/>
                <w:szCs w:val="14"/>
                <w:color w:val="0000FF"/>
              </w:rPr>
            </w:pPr>
            <w:hyperlink w:anchor="page170">
              <w:r>
                <w:rPr>
                  <w:rFonts w:ascii="Arial" w:cs="Arial" w:eastAsia="Arial" w:hAnsi="Arial"/>
                  <w:sz w:val="14"/>
                  <w:szCs w:val="14"/>
                  <w:color w:val="0000FF"/>
                </w:rPr>
                <w:t>23.</w:t>
              </w:r>
              <w:r>
                <w:rPr>
                  <w:rFonts w:ascii="Arial" w:cs="Arial" w:eastAsia="Arial" w:hAnsi="Arial"/>
                  <w:sz w:val="14"/>
                  <w:szCs w:val="14"/>
                  <w:u w:val="single" w:color="auto"/>
                  <w:color w:val="0000FF"/>
                </w:rPr>
                <w:t>1</w:t>
              </w:r>
            </w:hyperlink>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Consent of Independent Registered Public Accounting Firm</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gridSpan w:val="4"/>
          </w:tcPr>
          <w:p>
            <w:pPr>
              <w:ind w:left="260"/>
              <w:spacing w:after="0"/>
              <w:rPr>
                <w:rFonts w:ascii="Arial" w:cs="Arial" w:eastAsia="Arial" w:hAnsi="Arial"/>
                <w:sz w:val="14"/>
                <w:szCs w:val="14"/>
                <w:color w:val="0000FF"/>
              </w:rPr>
            </w:pPr>
            <w:hyperlink w:anchor="page171">
              <w:r>
                <w:rPr>
                  <w:rFonts w:ascii="Arial" w:cs="Arial" w:eastAsia="Arial" w:hAnsi="Arial"/>
                  <w:sz w:val="14"/>
                  <w:szCs w:val="14"/>
                  <w:color w:val="0000FF"/>
                </w:rPr>
                <w:t>23.</w:t>
              </w:r>
              <w:r>
                <w:rPr>
                  <w:rFonts w:ascii="Arial" w:cs="Arial" w:eastAsia="Arial" w:hAnsi="Arial"/>
                  <w:sz w:val="14"/>
                  <w:szCs w:val="14"/>
                  <w:u w:val="single" w:color="auto"/>
                  <w:color w:val="0000FF"/>
                </w:rPr>
                <w:t>2</w:t>
              </w:r>
            </w:hyperlink>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Consent of Independent Registered Public Accounting Firm</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1380" w:type="dxa"/>
            <w:vAlign w:val="bottom"/>
            <w:gridSpan w:val="4"/>
            <w:shd w:val="clear" w:color="auto" w:fill="CCEEFF"/>
          </w:tcPr>
          <w:p>
            <w:pPr>
              <w:ind w:left="260"/>
              <w:spacing w:after="0"/>
              <w:rPr>
                <w:rFonts w:ascii="Arial" w:cs="Arial" w:eastAsia="Arial" w:hAnsi="Arial"/>
                <w:sz w:val="14"/>
                <w:szCs w:val="14"/>
                <w:color w:val="0000FF"/>
              </w:rPr>
            </w:pPr>
            <w:hyperlink w:anchor="page172">
              <w:r>
                <w:rPr>
                  <w:rFonts w:ascii="Arial" w:cs="Arial" w:eastAsia="Arial" w:hAnsi="Arial"/>
                  <w:sz w:val="14"/>
                  <w:szCs w:val="14"/>
                  <w:color w:val="0000FF"/>
                </w:rPr>
                <w:t>31.</w:t>
              </w:r>
              <w:r>
                <w:rPr>
                  <w:rFonts w:ascii="Arial" w:cs="Arial" w:eastAsia="Arial" w:hAnsi="Arial"/>
                  <w:sz w:val="14"/>
                  <w:szCs w:val="14"/>
                  <w:u w:val="single" w:color="auto"/>
                  <w:color w:val="0000FF"/>
                </w:rPr>
                <w:t>1</w:t>
              </w:r>
            </w:hyperlink>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Executive Officer pursuant to Rule 13a-14(a)/15d-14(a), as adopted pursuant to Section 302 of the Sarbanes-Oxley Act of 2002.</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gridSpan w:val="4"/>
          </w:tcPr>
          <w:p>
            <w:pPr>
              <w:ind w:left="260"/>
              <w:spacing w:after="0"/>
              <w:rPr>
                <w:rFonts w:ascii="Arial" w:cs="Arial" w:eastAsia="Arial" w:hAnsi="Arial"/>
                <w:sz w:val="14"/>
                <w:szCs w:val="14"/>
                <w:color w:val="0000FF"/>
              </w:rPr>
            </w:pPr>
            <w:hyperlink w:anchor="page173">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1380" w:type="dxa"/>
            <w:vAlign w:val="bottom"/>
            <w:gridSpan w:val="4"/>
            <w:shd w:val="clear" w:color="auto" w:fill="CCEEFF"/>
          </w:tcPr>
          <w:p>
            <w:pPr>
              <w:ind w:left="260"/>
              <w:spacing w:after="0"/>
              <w:rPr>
                <w:rFonts w:ascii="Arial" w:cs="Arial" w:eastAsia="Arial" w:hAnsi="Arial"/>
                <w:sz w:val="14"/>
                <w:szCs w:val="14"/>
                <w:color w:val="0000FF"/>
              </w:rPr>
            </w:pPr>
            <w:hyperlink w:anchor="page174">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gridSpan w:val="4"/>
          </w:tcPr>
          <w:p>
            <w:pPr>
              <w:ind w:left="260"/>
              <w:spacing w:after="0"/>
              <w:rPr>
                <w:rFonts w:ascii="Arial" w:cs="Arial" w:eastAsia="Arial" w:hAnsi="Arial"/>
                <w:sz w:val="14"/>
                <w:szCs w:val="14"/>
                <w:color w:val="0000FF"/>
              </w:rPr>
            </w:pPr>
            <w:hyperlink w:anchor="page175">
              <w:r>
                <w:rPr>
                  <w:rFonts w:ascii="Arial" w:cs="Arial" w:eastAsia="Arial" w:hAnsi="Arial"/>
                  <w:sz w:val="14"/>
                  <w:szCs w:val="14"/>
                  <w:color w:val="0000FF"/>
                </w:rPr>
                <w:t>32.</w:t>
              </w:r>
              <w:r>
                <w:rPr>
                  <w:rFonts w:ascii="Arial" w:cs="Arial" w:eastAsia="Arial" w:hAnsi="Arial"/>
                  <w:sz w:val="14"/>
                  <w:szCs w:val="14"/>
                  <w:u w:val="single" w:color="auto"/>
                  <w:color w:val="0000FF"/>
                </w:rPr>
                <w:t>2</w:t>
              </w:r>
            </w:hyperlink>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101.INS</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Instance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r>
        <w:trPr>
          <w:trHeight w:val="204"/>
        </w:trPr>
        <w:tc>
          <w:tcPr>
            <w:tcW w:w="240" w:type="dxa"/>
            <w:vAlign w:val="bottom"/>
          </w:tcPr>
          <w:p>
            <w:pPr>
              <w:spacing w:after="0"/>
              <w:rPr>
                <w:sz w:val="17"/>
                <w:szCs w:val="17"/>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101.SCH</w:t>
            </w:r>
          </w:p>
        </w:tc>
        <w:tc>
          <w:tcPr>
            <w:tcW w:w="9860" w:type="dxa"/>
            <w:vAlign w:val="bottom"/>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66"/>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101.CAL</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r>
        <w:trPr>
          <w:trHeight w:val="204"/>
        </w:trPr>
        <w:tc>
          <w:tcPr>
            <w:tcW w:w="240" w:type="dxa"/>
            <w:vAlign w:val="bottom"/>
          </w:tcPr>
          <w:p>
            <w:pPr>
              <w:spacing w:after="0"/>
              <w:rPr>
                <w:sz w:val="17"/>
                <w:szCs w:val="17"/>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101.DEF</w:t>
            </w:r>
          </w:p>
        </w:tc>
        <w:tc>
          <w:tcPr>
            <w:tcW w:w="9860" w:type="dxa"/>
            <w:vAlign w:val="bottom"/>
          </w:tcPr>
          <w:p>
            <w:pPr>
              <w:ind w:left="20"/>
              <w:spacing w:after="0"/>
              <w:rPr>
                <w:sz w:val="20"/>
                <w:szCs w:val="20"/>
                <w:color w:val="auto"/>
              </w:rPr>
            </w:pPr>
            <w:r>
              <w:rPr>
                <w:rFonts w:ascii="Arial" w:cs="Arial" w:eastAsia="Arial" w:hAnsi="Arial"/>
                <w:sz w:val="14"/>
                <w:szCs w:val="14"/>
                <w:color w:val="auto"/>
              </w:rPr>
              <w:t>XBRL Taxonomy Extension Definition Linkbase Document.</w:t>
            </w:r>
          </w:p>
        </w:tc>
      </w:tr>
      <w:tr>
        <w:trPr>
          <w:trHeight w:val="66"/>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101.LAB</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Label Linkbase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r>
        <w:trPr>
          <w:trHeight w:val="204"/>
        </w:trPr>
        <w:tc>
          <w:tcPr>
            <w:tcW w:w="240" w:type="dxa"/>
            <w:vAlign w:val="bottom"/>
          </w:tcPr>
          <w:p>
            <w:pPr>
              <w:spacing w:after="0"/>
              <w:rPr>
                <w:sz w:val="17"/>
                <w:szCs w:val="17"/>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101.PRE</w:t>
            </w:r>
          </w:p>
        </w:tc>
        <w:tc>
          <w:tcPr>
            <w:tcW w:w="9860" w:type="dxa"/>
            <w:vAlign w:val="bottom"/>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41910</wp:posOffset>
            </wp:positionV>
            <wp:extent cx="72034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7203440" cy="137160"/>
                    </a:xfrm>
                    <a:prstGeom prst="rect">
                      <a:avLst/>
                    </a:prstGeom>
                    <a:noFill/>
                  </pic:spPr>
                </pic:pic>
              </a:graphicData>
            </a:graphic>
          </wp:anchor>
        </w:drawing>
      </w:r>
    </w:p>
    <w:p>
      <w:pPr>
        <w:spacing w:after="0" w:line="64" w:lineRule="exact"/>
        <w:rPr>
          <w:sz w:val="20"/>
          <w:szCs w:val="20"/>
          <w:color w:val="auto"/>
        </w:rPr>
      </w:pPr>
    </w:p>
    <w:p>
      <w:pPr>
        <w:ind w:left="300" w:hanging="231"/>
        <w:spacing w:after="0"/>
        <w:tabs>
          <w:tab w:leader="none" w:pos="30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16. Form 10-K Summary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400"/>
          </w:cols>
          <w:pgMar w:left="240" w:top="585" w:right="25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1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224" w:lineRule="exact"/>
        <w:rPr>
          <w:sz w:val="20"/>
          <w:szCs w:val="20"/>
          <w:color w:val="auto"/>
        </w:rPr>
      </w:pPr>
    </w:p>
    <w:p>
      <w:pPr>
        <w:ind w:left="40"/>
        <w:spacing w:after="0"/>
        <w:tabs>
          <w:tab w:leader="none" w:pos="600" w:val="left"/>
          <w:tab w:leader="none" w:pos="6860" w:val="left"/>
          <w:tab w:leader="none" w:pos="104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Joseph P. Adams, Jr.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3152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Joseph P. Adams, Jr.</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Chairman and Chief Executive Officer</w:t>
      </w:r>
    </w:p>
    <w:p>
      <w:pPr>
        <w:spacing w:after="0" w:line="200" w:lineRule="exact"/>
        <w:rPr>
          <w:sz w:val="20"/>
          <w:szCs w:val="20"/>
          <w:color w:val="auto"/>
        </w:rPr>
      </w:pPr>
    </w:p>
    <w:p>
      <w:pPr>
        <w:spacing w:after="0" w:line="33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40" w:type="dxa"/>
            <w:vAlign w:val="bottom"/>
          </w:tcPr>
          <w:p>
            <w:pPr>
              <w:spacing w:after="0"/>
              <w:rPr>
                <w:sz w:val="20"/>
                <w:szCs w:val="20"/>
                <w:color w:val="auto"/>
              </w:rPr>
            </w:pPr>
            <w:r>
              <w:rPr>
                <w:rFonts w:ascii="Arial" w:cs="Arial" w:eastAsia="Arial" w:hAnsi="Arial"/>
                <w:sz w:val="14"/>
                <w:szCs w:val="14"/>
                <w:color w:val="auto"/>
              </w:rPr>
              <w:t>By:</w:t>
            </w:r>
          </w:p>
        </w:tc>
        <w:tc>
          <w:tcPr>
            <w:tcW w:w="3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/s/ Joseph P. Adams, Jr.</w:t>
            </w:r>
          </w:p>
        </w:tc>
        <w:tc>
          <w:tcPr>
            <w:tcW w:w="120" w:type="dxa"/>
            <w:vAlign w:val="bottom"/>
          </w:tcPr>
          <w:p>
            <w:pPr>
              <w:spacing w:after="0"/>
              <w:rPr>
                <w:sz w:val="15"/>
                <w:szCs w:val="15"/>
                <w:color w:val="auto"/>
              </w:rPr>
            </w:pPr>
          </w:p>
        </w:tc>
        <w:tc>
          <w:tcPr>
            <w:tcW w:w="4560" w:type="dxa"/>
            <w:vAlign w:val="bottom"/>
          </w:tcPr>
          <w:p>
            <w:pPr>
              <w:ind w:left="2520"/>
              <w:spacing w:after="0"/>
              <w:rPr>
                <w:sz w:val="20"/>
                <w:szCs w:val="20"/>
                <w:color w:val="auto"/>
              </w:rPr>
            </w:pPr>
            <w:r>
              <w:rPr>
                <w:rFonts w:ascii="Arial" w:cs="Arial" w:eastAsia="Arial" w:hAnsi="Arial"/>
                <w:sz w:val="14"/>
                <w:szCs w:val="14"/>
                <w:color w:val="auto"/>
              </w:rPr>
              <w:t>Date:</w:t>
            </w:r>
          </w:p>
        </w:tc>
        <w:tc>
          <w:tcPr>
            <w:tcW w:w="2480" w:type="dxa"/>
            <w:vAlign w:val="bottom"/>
          </w:tcPr>
          <w:p>
            <w:pPr>
              <w:ind w:left="1560"/>
              <w:spacing w:after="0"/>
              <w:rPr>
                <w:sz w:val="20"/>
                <w:szCs w:val="20"/>
                <w:color w:val="auto"/>
              </w:rPr>
            </w:pPr>
            <w:r>
              <w:rPr>
                <w:rFonts w:ascii="Arial" w:cs="Arial" w:eastAsia="Arial" w:hAnsi="Arial"/>
                <w:sz w:val="14"/>
                <w:szCs w:val="14"/>
                <w:color w:val="auto"/>
              </w:rPr>
              <w:t>March 1, 2018</w:t>
            </w:r>
          </w:p>
        </w:tc>
      </w:tr>
      <w:tr>
        <w:trPr>
          <w:trHeight w:val="244"/>
        </w:trPr>
        <w:tc>
          <w:tcPr>
            <w:tcW w:w="540" w:type="dxa"/>
            <w:vAlign w:val="bottom"/>
          </w:tcPr>
          <w:p>
            <w:pPr>
              <w:spacing w:after="0"/>
              <w:rPr>
                <w:sz w:val="21"/>
                <w:szCs w:val="21"/>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Joseph P. Adams, Jr.</w:t>
            </w:r>
          </w:p>
        </w:tc>
        <w:tc>
          <w:tcPr>
            <w:tcW w:w="1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70"/>
        </w:trPr>
        <w:tc>
          <w:tcPr>
            <w:tcW w:w="540" w:type="dxa"/>
            <w:vAlign w:val="bottom"/>
          </w:tcPr>
          <w:p>
            <w:pPr>
              <w:spacing w:after="0"/>
              <w:rPr>
                <w:sz w:val="23"/>
                <w:szCs w:val="23"/>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Chairman and Chief Executive Officer</w:t>
            </w:r>
          </w:p>
        </w:tc>
        <w:tc>
          <w:tcPr>
            <w:tcW w:w="1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708"/>
        </w:trPr>
        <w:tc>
          <w:tcPr>
            <w:tcW w:w="540" w:type="dxa"/>
            <w:vAlign w:val="bottom"/>
          </w:tcPr>
          <w:p>
            <w:pPr>
              <w:spacing w:after="0"/>
              <w:rPr>
                <w:sz w:val="20"/>
                <w:szCs w:val="20"/>
                <w:color w:val="auto"/>
              </w:rPr>
            </w:pPr>
            <w:r>
              <w:rPr>
                <w:rFonts w:ascii="Arial" w:cs="Arial" w:eastAsia="Arial" w:hAnsi="Arial"/>
                <w:sz w:val="14"/>
                <w:szCs w:val="14"/>
                <w:color w:val="auto"/>
              </w:rPr>
              <w:t>By:</w:t>
            </w:r>
          </w:p>
        </w:tc>
        <w:tc>
          <w:tcPr>
            <w:tcW w:w="120" w:type="dxa"/>
            <w:vAlign w:val="bottom"/>
          </w:tcPr>
          <w:p>
            <w:pPr>
              <w:spacing w:after="0"/>
              <w:rPr>
                <w:sz w:val="24"/>
                <w:szCs w:val="24"/>
                <w:color w:val="auto"/>
              </w:rPr>
            </w:pP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Scott Christopher</w:t>
            </w:r>
          </w:p>
        </w:tc>
        <w:tc>
          <w:tcPr>
            <w:tcW w:w="120" w:type="dxa"/>
            <w:vAlign w:val="bottom"/>
            <w:tcBorders>
              <w:bottom w:val="single" w:sz="8" w:color="auto"/>
            </w:tcBorders>
          </w:tcPr>
          <w:p>
            <w:pPr>
              <w:spacing w:after="0"/>
              <w:rPr>
                <w:sz w:val="24"/>
                <w:szCs w:val="24"/>
                <w:color w:val="auto"/>
              </w:rPr>
            </w:pPr>
          </w:p>
        </w:tc>
        <w:tc>
          <w:tcPr>
            <w:tcW w:w="4560" w:type="dxa"/>
            <w:vAlign w:val="bottom"/>
          </w:tcPr>
          <w:p>
            <w:pPr>
              <w:ind w:left="2640"/>
              <w:spacing w:after="0"/>
              <w:rPr>
                <w:sz w:val="20"/>
                <w:szCs w:val="20"/>
                <w:color w:val="auto"/>
              </w:rPr>
            </w:pPr>
            <w:r>
              <w:rPr>
                <w:rFonts w:ascii="Arial" w:cs="Arial" w:eastAsia="Arial" w:hAnsi="Arial"/>
                <w:sz w:val="14"/>
                <w:szCs w:val="14"/>
                <w:color w:val="auto"/>
              </w:rPr>
              <w:t>Date:</w:t>
            </w:r>
          </w:p>
        </w:tc>
        <w:tc>
          <w:tcPr>
            <w:tcW w:w="2480" w:type="dxa"/>
            <w:vAlign w:val="bottom"/>
          </w:tcPr>
          <w:p>
            <w:pPr>
              <w:ind w:left="1560"/>
              <w:spacing w:after="0"/>
              <w:rPr>
                <w:sz w:val="20"/>
                <w:szCs w:val="20"/>
                <w:color w:val="auto"/>
              </w:rPr>
            </w:pPr>
            <w:r>
              <w:rPr>
                <w:rFonts w:ascii="Arial" w:cs="Arial" w:eastAsia="Arial" w:hAnsi="Arial"/>
                <w:sz w:val="14"/>
                <w:szCs w:val="14"/>
                <w:color w:val="auto"/>
              </w:rPr>
              <w:t>March 1, 2018</w:t>
            </w:r>
          </w:p>
        </w:tc>
      </w:tr>
      <w:tr>
        <w:trPr>
          <w:trHeight w:val="244"/>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Scott Christopher</w:t>
            </w:r>
          </w:p>
        </w:tc>
        <w:tc>
          <w:tcPr>
            <w:tcW w:w="1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70"/>
        </w:trPr>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Chief Financial Officer and</w:t>
            </w:r>
          </w:p>
        </w:tc>
        <w:tc>
          <w:tcPr>
            <w:tcW w:w="1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Chief Accounting Officer</w:t>
            </w:r>
          </w:p>
        </w:tc>
        <w:tc>
          <w:tcPr>
            <w:tcW w:w="1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411"/>
        </w:trPr>
        <w:tc>
          <w:tcPr>
            <w:tcW w:w="540" w:type="dxa"/>
            <w:vAlign w:val="bottom"/>
          </w:tcPr>
          <w:p>
            <w:pPr>
              <w:spacing w:after="0"/>
              <w:rPr>
                <w:sz w:val="20"/>
                <w:szCs w:val="20"/>
                <w:color w:val="auto"/>
              </w:rPr>
            </w:pPr>
            <w:r>
              <w:rPr>
                <w:rFonts w:ascii="Arial" w:cs="Arial" w:eastAsia="Arial" w:hAnsi="Arial"/>
                <w:sz w:val="14"/>
                <w:szCs w:val="14"/>
                <w:color w:val="auto"/>
              </w:rPr>
              <w:t>By:</w:t>
            </w:r>
          </w:p>
        </w:tc>
        <w:tc>
          <w:tcPr>
            <w:tcW w:w="3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/s/ Paul R. Goodwin</w:t>
            </w:r>
          </w:p>
        </w:tc>
        <w:tc>
          <w:tcPr>
            <w:tcW w:w="120" w:type="dxa"/>
            <w:vAlign w:val="bottom"/>
          </w:tcPr>
          <w:p>
            <w:pPr>
              <w:spacing w:after="0"/>
              <w:rPr>
                <w:sz w:val="24"/>
                <w:szCs w:val="24"/>
                <w:color w:val="auto"/>
              </w:rPr>
            </w:pPr>
          </w:p>
        </w:tc>
        <w:tc>
          <w:tcPr>
            <w:tcW w:w="4560" w:type="dxa"/>
            <w:vAlign w:val="bottom"/>
          </w:tcPr>
          <w:p>
            <w:pPr>
              <w:ind w:left="2540"/>
              <w:spacing w:after="0"/>
              <w:rPr>
                <w:sz w:val="20"/>
                <w:szCs w:val="20"/>
                <w:color w:val="auto"/>
              </w:rPr>
            </w:pPr>
            <w:r>
              <w:rPr>
                <w:rFonts w:ascii="Arial" w:cs="Arial" w:eastAsia="Arial" w:hAnsi="Arial"/>
                <w:sz w:val="14"/>
                <w:szCs w:val="14"/>
                <w:color w:val="auto"/>
              </w:rPr>
              <w:t>Date:</w:t>
            </w:r>
          </w:p>
        </w:tc>
        <w:tc>
          <w:tcPr>
            <w:tcW w:w="2480" w:type="dxa"/>
            <w:vAlign w:val="bottom"/>
          </w:tcPr>
          <w:p>
            <w:pPr>
              <w:ind w:left="1560"/>
              <w:spacing w:after="0"/>
              <w:rPr>
                <w:sz w:val="20"/>
                <w:szCs w:val="20"/>
                <w:color w:val="auto"/>
              </w:rPr>
            </w:pPr>
            <w:r>
              <w:rPr>
                <w:rFonts w:ascii="Arial" w:cs="Arial" w:eastAsia="Arial" w:hAnsi="Arial"/>
                <w:sz w:val="14"/>
                <w:szCs w:val="14"/>
                <w:color w:val="auto"/>
              </w:rPr>
              <w:t>March 1, 2018</w:t>
            </w:r>
          </w:p>
        </w:tc>
      </w:tr>
      <w:tr>
        <w:trPr>
          <w:trHeight w:val="244"/>
        </w:trPr>
        <w:tc>
          <w:tcPr>
            <w:tcW w:w="540" w:type="dxa"/>
            <w:vAlign w:val="bottom"/>
          </w:tcPr>
          <w:p>
            <w:pPr>
              <w:spacing w:after="0"/>
              <w:rPr>
                <w:sz w:val="21"/>
                <w:szCs w:val="21"/>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Paul R. Goodwin</w:t>
            </w:r>
          </w:p>
        </w:tc>
        <w:tc>
          <w:tcPr>
            <w:tcW w:w="1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70"/>
        </w:trPr>
        <w:tc>
          <w:tcPr>
            <w:tcW w:w="540" w:type="dxa"/>
            <w:vAlign w:val="bottom"/>
          </w:tcPr>
          <w:p>
            <w:pPr>
              <w:spacing w:after="0"/>
              <w:rPr>
                <w:sz w:val="23"/>
                <w:szCs w:val="23"/>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1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708"/>
        </w:trPr>
        <w:tc>
          <w:tcPr>
            <w:tcW w:w="540" w:type="dxa"/>
            <w:vAlign w:val="bottom"/>
          </w:tcPr>
          <w:p>
            <w:pPr>
              <w:spacing w:after="0"/>
              <w:rPr>
                <w:sz w:val="20"/>
                <w:szCs w:val="20"/>
                <w:color w:val="auto"/>
              </w:rPr>
            </w:pPr>
            <w:r>
              <w:rPr>
                <w:rFonts w:ascii="Arial" w:cs="Arial" w:eastAsia="Arial" w:hAnsi="Arial"/>
                <w:sz w:val="14"/>
                <w:szCs w:val="14"/>
                <w:color w:val="auto"/>
              </w:rPr>
              <w:t>By:</w:t>
            </w:r>
          </w:p>
        </w:tc>
        <w:tc>
          <w:tcPr>
            <w:tcW w:w="120" w:type="dxa"/>
            <w:vAlign w:val="bottom"/>
          </w:tcPr>
          <w:p>
            <w:pPr>
              <w:spacing w:after="0"/>
              <w:rPr>
                <w:sz w:val="24"/>
                <w:szCs w:val="24"/>
                <w:color w:val="auto"/>
              </w:rPr>
            </w:pP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Judith A. Hannaway</w:t>
            </w:r>
          </w:p>
        </w:tc>
        <w:tc>
          <w:tcPr>
            <w:tcW w:w="120" w:type="dxa"/>
            <w:vAlign w:val="bottom"/>
            <w:tcBorders>
              <w:bottom w:val="single" w:sz="8" w:color="auto"/>
            </w:tcBorders>
          </w:tcPr>
          <w:p>
            <w:pPr>
              <w:spacing w:after="0"/>
              <w:rPr>
                <w:sz w:val="24"/>
                <w:szCs w:val="24"/>
                <w:color w:val="auto"/>
              </w:rPr>
            </w:pPr>
          </w:p>
        </w:tc>
        <w:tc>
          <w:tcPr>
            <w:tcW w:w="4560" w:type="dxa"/>
            <w:vAlign w:val="bottom"/>
          </w:tcPr>
          <w:p>
            <w:pPr>
              <w:ind w:left="2640"/>
              <w:spacing w:after="0"/>
              <w:rPr>
                <w:sz w:val="20"/>
                <w:szCs w:val="20"/>
                <w:color w:val="auto"/>
              </w:rPr>
            </w:pPr>
            <w:r>
              <w:rPr>
                <w:rFonts w:ascii="Arial" w:cs="Arial" w:eastAsia="Arial" w:hAnsi="Arial"/>
                <w:sz w:val="14"/>
                <w:szCs w:val="14"/>
                <w:color w:val="auto"/>
              </w:rPr>
              <w:t>Date:</w:t>
            </w:r>
          </w:p>
        </w:tc>
        <w:tc>
          <w:tcPr>
            <w:tcW w:w="2480" w:type="dxa"/>
            <w:vAlign w:val="bottom"/>
          </w:tcPr>
          <w:p>
            <w:pPr>
              <w:ind w:left="1560"/>
              <w:spacing w:after="0"/>
              <w:rPr>
                <w:sz w:val="20"/>
                <w:szCs w:val="20"/>
                <w:color w:val="auto"/>
              </w:rPr>
            </w:pPr>
            <w:r>
              <w:rPr>
                <w:rFonts w:ascii="Arial" w:cs="Arial" w:eastAsia="Arial" w:hAnsi="Arial"/>
                <w:sz w:val="14"/>
                <w:szCs w:val="14"/>
                <w:color w:val="auto"/>
              </w:rPr>
              <w:t>March 1, 2018</w:t>
            </w:r>
          </w:p>
        </w:tc>
      </w:tr>
      <w:tr>
        <w:trPr>
          <w:trHeight w:val="244"/>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Judith A. Hannaway</w:t>
            </w:r>
          </w:p>
        </w:tc>
        <w:tc>
          <w:tcPr>
            <w:tcW w:w="1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70"/>
        </w:trPr>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Director</w:t>
            </w:r>
          </w:p>
        </w:tc>
        <w:tc>
          <w:tcPr>
            <w:tcW w:w="1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708"/>
        </w:trPr>
        <w:tc>
          <w:tcPr>
            <w:tcW w:w="540" w:type="dxa"/>
            <w:vAlign w:val="bottom"/>
          </w:tcPr>
          <w:p>
            <w:pPr>
              <w:spacing w:after="0"/>
              <w:rPr>
                <w:sz w:val="20"/>
                <w:szCs w:val="20"/>
                <w:color w:val="auto"/>
              </w:rPr>
            </w:pPr>
            <w:r>
              <w:rPr>
                <w:rFonts w:ascii="Arial" w:cs="Arial" w:eastAsia="Arial" w:hAnsi="Arial"/>
                <w:sz w:val="14"/>
                <w:szCs w:val="14"/>
                <w:color w:val="auto"/>
              </w:rPr>
              <w:t>By:</w:t>
            </w:r>
          </w:p>
        </w:tc>
        <w:tc>
          <w:tcPr>
            <w:tcW w:w="120" w:type="dxa"/>
            <w:vAlign w:val="bottom"/>
          </w:tcPr>
          <w:p>
            <w:pPr>
              <w:spacing w:after="0"/>
              <w:rPr>
                <w:sz w:val="24"/>
                <w:szCs w:val="24"/>
                <w:color w:val="auto"/>
              </w:rPr>
            </w:pP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 Andrew Levison</w:t>
            </w:r>
          </w:p>
        </w:tc>
        <w:tc>
          <w:tcPr>
            <w:tcW w:w="120" w:type="dxa"/>
            <w:vAlign w:val="bottom"/>
            <w:tcBorders>
              <w:bottom w:val="single" w:sz="8" w:color="auto"/>
            </w:tcBorders>
          </w:tcPr>
          <w:p>
            <w:pPr>
              <w:spacing w:after="0"/>
              <w:rPr>
                <w:sz w:val="24"/>
                <w:szCs w:val="24"/>
                <w:color w:val="auto"/>
              </w:rPr>
            </w:pPr>
          </w:p>
        </w:tc>
        <w:tc>
          <w:tcPr>
            <w:tcW w:w="4560" w:type="dxa"/>
            <w:vAlign w:val="bottom"/>
          </w:tcPr>
          <w:p>
            <w:pPr>
              <w:ind w:left="2640"/>
              <w:spacing w:after="0"/>
              <w:rPr>
                <w:sz w:val="20"/>
                <w:szCs w:val="20"/>
                <w:color w:val="auto"/>
              </w:rPr>
            </w:pPr>
            <w:r>
              <w:rPr>
                <w:rFonts w:ascii="Arial" w:cs="Arial" w:eastAsia="Arial" w:hAnsi="Arial"/>
                <w:sz w:val="14"/>
                <w:szCs w:val="14"/>
                <w:color w:val="auto"/>
              </w:rPr>
              <w:t>Date:</w:t>
            </w:r>
          </w:p>
        </w:tc>
        <w:tc>
          <w:tcPr>
            <w:tcW w:w="2480" w:type="dxa"/>
            <w:vAlign w:val="bottom"/>
          </w:tcPr>
          <w:p>
            <w:pPr>
              <w:ind w:left="1560"/>
              <w:spacing w:after="0"/>
              <w:rPr>
                <w:sz w:val="20"/>
                <w:szCs w:val="20"/>
                <w:color w:val="auto"/>
              </w:rPr>
            </w:pPr>
            <w:r>
              <w:rPr>
                <w:rFonts w:ascii="Arial" w:cs="Arial" w:eastAsia="Arial" w:hAnsi="Arial"/>
                <w:sz w:val="14"/>
                <w:szCs w:val="14"/>
                <w:color w:val="auto"/>
              </w:rPr>
              <w:t>March 1, 2018</w:t>
            </w:r>
          </w:p>
        </w:tc>
      </w:tr>
      <w:tr>
        <w:trPr>
          <w:trHeight w:val="244"/>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A. Andrew Levison</w:t>
            </w:r>
          </w:p>
        </w:tc>
        <w:tc>
          <w:tcPr>
            <w:tcW w:w="1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70"/>
        </w:trPr>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Director</w:t>
            </w:r>
          </w:p>
        </w:tc>
        <w:tc>
          <w:tcPr>
            <w:tcW w:w="1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708"/>
        </w:trPr>
        <w:tc>
          <w:tcPr>
            <w:tcW w:w="540" w:type="dxa"/>
            <w:vAlign w:val="bottom"/>
          </w:tcPr>
          <w:p>
            <w:pPr>
              <w:spacing w:after="0"/>
              <w:rPr>
                <w:sz w:val="20"/>
                <w:szCs w:val="20"/>
                <w:color w:val="auto"/>
              </w:rPr>
            </w:pPr>
            <w:r>
              <w:rPr>
                <w:rFonts w:ascii="Arial" w:cs="Arial" w:eastAsia="Arial" w:hAnsi="Arial"/>
                <w:sz w:val="14"/>
                <w:szCs w:val="14"/>
                <w:color w:val="auto"/>
              </w:rPr>
              <w:t>By:</w:t>
            </w:r>
          </w:p>
        </w:tc>
        <w:tc>
          <w:tcPr>
            <w:tcW w:w="3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/s/ Ray M. Robinson</w:t>
            </w:r>
          </w:p>
        </w:tc>
        <w:tc>
          <w:tcPr>
            <w:tcW w:w="120" w:type="dxa"/>
            <w:vAlign w:val="bottom"/>
          </w:tcPr>
          <w:p>
            <w:pPr>
              <w:spacing w:after="0"/>
              <w:rPr>
                <w:sz w:val="24"/>
                <w:szCs w:val="24"/>
                <w:color w:val="auto"/>
              </w:rPr>
            </w:pPr>
          </w:p>
        </w:tc>
        <w:tc>
          <w:tcPr>
            <w:tcW w:w="4560" w:type="dxa"/>
            <w:vAlign w:val="bottom"/>
          </w:tcPr>
          <w:p>
            <w:pPr>
              <w:ind w:left="2540"/>
              <w:spacing w:after="0"/>
              <w:rPr>
                <w:sz w:val="20"/>
                <w:szCs w:val="20"/>
                <w:color w:val="auto"/>
              </w:rPr>
            </w:pPr>
            <w:r>
              <w:rPr>
                <w:rFonts w:ascii="Arial" w:cs="Arial" w:eastAsia="Arial" w:hAnsi="Arial"/>
                <w:sz w:val="14"/>
                <w:szCs w:val="14"/>
                <w:color w:val="auto"/>
              </w:rPr>
              <w:t>Date:</w:t>
            </w:r>
          </w:p>
        </w:tc>
        <w:tc>
          <w:tcPr>
            <w:tcW w:w="2480" w:type="dxa"/>
            <w:vAlign w:val="bottom"/>
          </w:tcPr>
          <w:p>
            <w:pPr>
              <w:ind w:left="1560"/>
              <w:spacing w:after="0"/>
              <w:rPr>
                <w:sz w:val="20"/>
                <w:szCs w:val="20"/>
                <w:color w:val="auto"/>
              </w:rPr>
            </w:pPr>
            <w:r>
              <w:rPr>
                <w:rFonts w:ascii="Arial" w:cs="Arial" w:eastAsia="Arial" w:hAnsi="Arial"/>
                <w:sz w:val="14"/>
                <w:szCs w:val="14"/>
                <w:color w:val="auto"/>
              </w:rPr>
              <w:t>March 1, 2018</w:t>
            </w:r>
          </w:p>
        </w:tc>
      </w:tr>
      <w:tr>
        <w:trPr>
          <w:trHeight w:val="244"/>
        </w:trPr>
        <w:tc>
          <w:tcPr>
            <w:tcW w:w="540" w:type="dxa"/>
            <w:vAlign w:val="bottom"/>
          </w:tcPr>
          <w:p>
            <w:pPr>
              <w:spacing w:after="0"/>
              <w:rPr>
                <w:sz w:val="21"/>
                <w:szCs w:val="21"/>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Ray M. Robinson</w:t>
            </w:r>
          </w:p>
        </w:tc>
        <w:tc>
          <w:tcPr>
            <w:tcW w:w="1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70"/>
        </w:trPr>
        <w:tc>
          <w:tcPr>
            <w:tcW w:w="540" w:type="dxa"/>
            <w:vAlign w:val="bottom"/>
          </w:tcPr>
          <w:p>
            <w:pPr>
              <w:spacing w:after="0"/>
              <w:rPr>
                <w:sz w:val="23"/>
                <w:szCs w:val="23"/>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1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735"/>
        </w:trPr>
        <w:tc>
          <w:tcPr>
            <w:tcW w:w="540" w:type="dxa"/>
            <w:vAlign w:val="bottom"/>
          </w:tcPr>
          <w:p>
            <w:pPr>
              <w:spacing w:after="0"/>
              <w:rPr>
                <w:sz w:val="20"/>
                <w:szCs w:val="20"/>
                <w:color w:val="auto"/>
              </w:rPr>
            </w:pPr>
            <w:r>
              <w:rPr>
                <w:rFonts w:ascii="Arial" w:cs="Arial" w:eastAsia="Arial" w:hAnsi="Arial"/>
                <w:sz w:val="14"/>
                <w:szCs w:val="14"/>
                <w:color w:val="auto"/>
              </w:rPr>
              <w:t>By:</w:t>
            </w:r>
          </w:p>
        </w:tc>
        <w:tc>
          <w:tcPr>
            <w:tcW w:w="120" w:type="dxa"/>
            <w:vAlign w:val="bottom"/>
          </w:tcPr>
          <w:p>
            <w:pPr>
              <w:spacing w:after="0"/>
              <w:rPr>
                <w:sz w:val="24"/>
                <w:szCs w:val="24"/>
                <w:color w:val="auto"/>
              </w:rPr>
            </w:pP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Martin Tuchman</w:t>
            </w:r>
          </w:p>
        </w:tc>
        <w:tc>
          <w:tcPr>
            <w:tcW w:w="120" w:type="dxa"/>
            <w:vAlign w:val="bottom"/>
            <w:tcBorders>
              <w:bottom w:val="single" w:sz="8" w:color="auto"/>
            </w:tcBorders>
          </w:tcPr>
          <w:p>
            <w:pPr>
              <w:spacing w:after="0"/>
              <w:rPr>
                <w:sz w:val="24"/>
                <w:szCs w:val="24"/>
                <w:color w:val="auto"/>
              </w:rPr>
            </w:pPr>
          </w:p>
        </w:tc>
        <w:tc>
          <w:tcPr>
            <w:tcW w:w="4560" w:type="dxa"/>
            <w:vAlign w:val="bottom"/>
          </w:tcPr>
          <w:p>
            <w:pPr>
              <w:ind w:left="2640"/>
              <w:spacing w:after="0"/>
              <w:rPr>
                <w:sz w:val="20"/>
                <w:szCs w:val="20"/>
                <w:color w:val="auto"/>
              </w:rPr>
            </w:pPr>
            <w:r>
              <w:rPr>
                <w:rFonts w:ascii="Arial" w:cs="Arial" w:eastAsia="Arial" w:hAnsi="Arial"/>
                <w:sz w:val="14"/>
                <w:szCs w:val="14"/>
                <w:color w:val="auto"/>
              </w:rPr>
              <w:t>Date:</w:t>
            </w:r>
          </w:p>
        </w:tc>
        <w:tc>
          <w:tcPr>
            <w:tcW w:w="2480" w:type="dxa"/>
            <w:vAlign w:val="bottom"/>
          </w:tcPr>
          <w:p>
            <w:pPr>
              <w:ind w:left="1560"/>
              <w:spacing w:after="0"/>
              <w:rPr>
                <w:sz w:val="20"/>
                <w:szCs w:val="20"/>
                <w:color w:val="auto"/>
              </w:rPr>
            </w:pPr>
            <w:r>
              <w:rPr>
                <w:rFonts w:ascii="Arial" w:cs="Arial" w:eastAsia="Arial" w:hAnsi="Arial"/>
                <w:sz w:val="14"/>
                <w:szCs w:val="14"/>
                <w:color w:val="auto"/>
              </w:rPr>
              <w:t>March 1, 2018</w:t>
            </w:r>
          </w:p>
        </w:tc>
      </w:tr>
      <w:tr>
        <w:trPr>
          <w:trHeight w:val="244"/>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Martin Tuchman</w:t>
            </w:r>
          </w:p>
        </w:tc>
        <w:tc>
          <w:tcPr>
            <w:tcW w:w="1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70"/>
        </w:trPr>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Director</w:t>
            </w:r>
          </w:p>
        </w:tc>
        <w:tc>
          <w:tcPr>
            <w:tcW w:w="1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94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680" w:type="dxa"/>
            <w:vAlign w:val="bottom"/>
            <w:gridSpan w:val="2"/>
          </w:tcPr>
          <w:p>
            <w:pPr>
              <w:jc w:val="right"/>
              <w:ind w:right="3008"/>
              <w:spacing w:after="0"/>
              <w:rPr>
                <w:sz w:val="20"/>
                <w:szCs w:val="20"/>
                <w:color w:val="auto"/>
              </w:rPr>
            </w:pPr>
            <w:r>
              <w:rPr>
                <w:rFonts w:ascii="Arial" w:cs="Arial" w:eastAsia="Arial" w:hAnsi="Arial"/>
                <w:sz w:val="14"/>
                <w:szCs w:val="14"/>
                <w:color w:val="auto"/>
              </w:rPr>
              <w:t>163</w:t>
            </w:r>
          </w:p>
        </w:tc>
        <w:tc>
          <w:tcPr>
            <w:tcW w:w="2480" w:type="dxa"/>
            <w:vAlign w:val="bottom"/>
          </w:tcPr>
          <w:p>
            <w:pPr>
              <w:spacing w:after="0"/>
              <w:rPr>
                <w:sz w:val="24"/>
                <w:szCs w:val="24"/>
                <w:color w:val="auto"/>
              </w:rPr>
            </w:pPr>
          </w:p>
        </w:tc>
      </w:tr>
    </w:tbl>
    <w:p>
      <w:pPr>
        <w:sectPr>
          <w:pgSz w:w="11900" w:h="16838" w:orient="portrait"/>
          <w:cols w:equalWidth="0" w:num="1">
            <w:col w:w="11400"/>
          </w:cols>
          <w:pgMar w:left="240" w:top="365" w:right="25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6"/>
          <w:szCs w:val="16"/>
          <w:b w:val="1"/>
          <w:bCs w:val="1"/>
          <w:color w:val="auto"/>
        </w:rPr>
        <w:t>EXHIBIT 4.3</w:t>
      </w:r>
    </w:p>
    <w:p>
      <w:pPr>
        <w:spacing w:after="0" w:line="214"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FIRST SUPPLEMENTAL INDENTURE, dated as of June 8, 2017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to the Indenture (as defined below), among Fortress Transportation and Infrastructure Investors LLC, a Delaware limited liability company (the “</w:t>
      </w:r>
      <w:r>
        <w:rPr>
          <w:rFonts w:ascii="Arial" w:cs="Arial" w:eastAsia="Arial" w:hAnsi="Arial"/>
          <w:sz w:val="16"/>
          <w:szCs w:val="16"/>
          <w:u w:val="single" w:color="auto"/>
          <w:color w:val="auto"/>
        </w:rPr>
        <w:t>Issuer</w:t>
      </w:r>
      <w:r>
        <w:rPr>
          <w:rFonts w:ascii="Arial" w:cs="Arial" w:eastAsia="Arial" w:hAnsi="Arial"/>
          <w:sz w:val="16"/>
          <w:szCs w:val="16"/>
          <w:color w:val="auto"/>
        </w:rPr>
        <w:t>”), and U.S.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 I T N E S S E T H</w:t>
      </w:r>
    </w:p>
    <w:p>
      <w:pPr>
        <w:spacing w:after="0" w:line="221" w:lineRule="exact"/>
        <w:rPr>
          <w:sz w:val="20"/>
          <w:szCs w:val="20"/>
          <w:color w:val="auto"/>
        </w:rPr>
      </w:pPr>
    </w:p>
    <w:p>
      <w:pPr>
        <w:ind w:right="40" w:firstLine="648"/>
        <w:spacing w:after="0" w:line="260" w:lineRule="auto"/>
        <w:rPr>
          <w:sz w:val="20"/>
          <w:szCs w:val="20"/>
          <w:color w:val="auto"/>
        </w:rPr>
      </w:pPr>
      <w:r>
        <w:rPr>
          <w:rFonts w:ascii="Arial" w:cs="Arial" w:eastAsia="Arial" w:hAnsi="Arial"/>
          <w:sz w:val="16"/>
          <w:szCs w:val="16"/>
          <w:color w:val="auto"/>
        </w:rPr>
        <w:t>WHEREAS, the Issuer has issued $250,000,000 aggregate principal amount of 6.75% Senior Notes due 2022 (the “</w:t>
      </w:r>
      <w:r>
        <w:rPr>
          <w:rFonts w:ascii="Arial" w:cs="Arial" w:eastAsia="Arial" w:hAnsi="Arial"/>
          <w:sz w:val="16"/>
          <w:szCs w:val="16"/>
          <w:u w:val="single" w:color="auto"/>
          <w:color w:val="auto"/>
        </w:rPr>
        <w:t>Notes</w:t>
      </w:r>
      <w:r>
        <w:rPr>
          <w:rFonts w:ascii="Arial" w:cs="Arial" w:eastAsia="Arial" w:hAnsi="Arial"/>
          <w:sz w:val="16"/>
          <w:szCs w:val="16"/>
          <w:color w:val="auto"/>
        </w:rPr>
        <w:t>”) pursuant to the Indenture, dated as of March 15, 2017 (the “</w:t>
      </w:r>
      <w:r>
        <w:rPr>
          <w:rFonts w:ascii="Arial" w:cs="Arial" w:eastAsia="Arial" w:hAnsi="Arial"/>
          <w:sz w:val="16"/>
          <w:szCs w:val="16"/>
          <w:u w:val="single" w:color="auto"/>
          <w:color w:val="auto"/>
        </w:rPr>
        <w:t>Indenture</w:t>
      </w:r>
      <w:r>
        <w:rPr>
          <w:rFonts w:ascii="Arial" w:cs="Arial" w:eastAsia="Arial" w:hAnsi="Arial"/>
          <w:sz w:val="16"/>
          <w:szCs w:val="16"/>
          <w:color w:val="auto"/>
        </w:rPr>
        <w:t>”), between the Issuer and the Trustee;</w:t>
      </w:r>
    </w:p>
    <w:p>
      <w:pPr>
        <w:spacing w:after="0" w:line="196" w:lineRule="exact"/>
        <w:rPr>
          <w:sz w:val="20"/>
          <w:szCs w:val="20"/>
          <w:color w:val="auto"/>
        </w:rPr>
      </w:pPr>
    </w:p>
    <w:p>
      <w:pPr>
        <w:ind w:right="420" w:firstLine="648"/>
        <w:spacing w:after="0" w:line="260" w:lineRule="auto"/>
        <w:rPr>
          <w:sz w:val="20"/>
          <w:szCs w:val="20"/>
          <w:color w:val="auto"/>
        </w:rPr>
      </w:pPr>
      <w:r>
        <w:rPr>
          <w:rFonts w:ascii="Arial" w:cs="Arial" w:eastAsia="Arial" w:hAnsi="Arial"/>
          <w:sz w:val="16"/>
          <w:szCs w:val="16"/>
          <w:color w:val="auto"/>
        </w:rPr>
        <w:t>WHEREAS, the Issuer has determined to enter into this Supplemental Indenture to conform certain provisions of the Indenture to the information included in the “Description of the Notes” section of the Offering Memorandum, as a result of scrivener’s errors; and</w:t>
      </w:r>
    </w:p>
    <w:p>
      <w:pPr>
        <w:spacing w:after="0" w:line="196"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WHEREAS, pursuant to Section 9.01(11) of the Indenture, the Issuer and the Trustee may enter into this Supplemental Indenture without the consent of any Holder of the Notes to conform the text of the Indenture to the “Description of the Notes” section of the Offering Memorandum.</w:t>
      </w:r>
    </w:p>
    <w:p>
      <w:pPr>
        <w:spacing w:after="0" w:line="196" w:lineRule="exact"/>
        <w:rPr>
          <w:sz w:val="20"/>
          <w:szCs w:val="20"/>
          <w:color w:val="auto"/>
        </w:rPr>
      </w:pPr>
    </w:p>
    <w:p>
      <w:pPr>
        <w:ind w:right="180" w:firstLine="648"/>
        <w:spacing w:after="0" w:line="260" w:lineRule="auto"/>
        <w:rPr>
          <w:sz w:val="20"/>
          <w:szCs w:val="20"/>
          <w:color w:val="auto"/>
        </w:rPr>
      </w:pPr>
      <w:r>
        <w:rPr>
          <w:rFonts w:ascii="Arial" w:cs="Arial" w:eastAsia="Arial" w:hAnsi="Arial"/>
          <w:sz w:val="16"/>
          <w:szCs w:val="16"/>
          <w:color w:val="auto"/>
        </w:rPr>
        <w:t>NOW, THEREFORE, the Issuer and the Trustee agree as follows for the benefit of each other and for the equal and ratable benefit of the Holders of the Notes:</w:t>
      </w:r>
    </w:p>
    <w:p>
      <w:pPr>
        <w:spacing w:after="0" w:line="196" w:lineRule="exact"/>
        <w:rPr>
          <w:sz w:val="20"/>
          <w:szCs w:val="20"/>
          <w:color w:val="auto"/>
        </w:rPr>
      </w:pPr>
    </w:p>
    <w:p>
      <w:pPr>
        <w:ind w:right="300" w:firstLine="648"/>
        <w:spacing w:after="0" w:line="26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Unless otherwise provided herein, the capitalized terms used and not defined herein have the meanings ascribed to such terms in the Indenture.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Amendment to Section 1.01</w:t>
      </w:r>
      <w:r>
        <w:rPr>
          <w:rFonts w:ascii="Arial" w:cs="Arial" w:eastAsia="Arial" w:hAnsi="Arial"/>
          <w:sz w:val="16"/>
          <w:szCs w:val="16"/>
          <w:color w:val="auto"/>
        </w:rPr>
        <w:t>. Section 1.01 of the Indenture is hereby amended by replacing clause (20) of the definition of “Permitted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Liens” with the following: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“(20) other Liens securing obligations the principal amount of which does not exceed $50,000,000 at any one time outstanding;”.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Amendments to Section 4.07</w:t>
      </w:r>
      <w:r>
        <w:rPr>
          <w:rFonts w:ascii="Arial" w:cs="Arial" w:eastAsia="Arial" w:hAnsi="Arial"/>
          <w:sz w:val="16"/>
          <w:szCs w:val="16"/>
          <w:color w:val="auto"/>
        </w:rPr>
        <w:t>. Section 4.07 of the Indenture is hereby amended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Section 4.07(b)(6) of the Indenture is hereby replaced with the following:</w:t>
      </w:r>
    </w:p>
    <w:p>
      <w:pPr>
        <w:spacing w:after="0" w:line="221" w:lineRule="exact"/>
        <w:rPr>
          <w:sz w:val="20"/>
          <w:szCs w:val="20"/>
          <w:color w:val="auto"/>
        </w:rPr>
      </w:pPr>
    </w:p>
    <w:p>
      <w:pPr>
        <w:ind w:right="80" w:firstLine="648"/>
        <w:spacing w:after="0" w:line="250" w:lineRule="auto"/>
        <w:rPr>
          <w:sz w:val="20"/>
          <w:szCs w:val="20"/>
          <w:color w:val="auto"/>
        </w:rPr>
      </w:pPr>
      <w:r>
        <w:rPr>
          <w:rFonts w:ascii="Arial" w:cs="Arial" w:eastAsia="Arial" w:hAnsi="Arial"/>
          <w:sz w:val="16"/>
          <w:szCs w:val="16"/>
          <w:color w:val="auto"/>
        </w:rPr>
        <w:t xml:space="preserve">“(6) Investments in Unrestricted Subsidiaries made after the Issue Date having an aggregate fair market value, taken together with all other Investments made pursuant to this Section 4.07(b)(6) that are at the time outstanding, not to exceed $50,000,000 at the time of such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dollar amount of Investments made pursuant to this Section 4.07(b)(6) may be reduced by the Fair Market Value of the proceeds received by the Issuer and/or its Restricted Subsidiaries from the subsequent sale, disposition or other transfer of such Investments (with the fair market value of each Investment being measured at the time made and without giving effect to subsequent changes in value);”.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Section 4.07(b)(19) of the Indenture is hereby replaced with the following:</w:t>
      </w:r>
    </w:p>
    <w:p>
      <w:pPr>
        <w:spacing w:after="0" w:line="22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 xml:space="preserve">“(19) the declaration and payment or distribution by the Issuer of any annual or quarterly dividend on its common shares if, at the time of declaration of and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payment or distribution, the Debt to Total Capitalization Ratio would be less than or equal to 0.60 to 1.00;”.</w:t>
      </w:r>
    </w:p>
    <w:p>
      <w:pPr>
        <w:spacing w:after="0" w:line="196"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SUPPLEMENTAL INDENTURE WILL BE GOVERNED BY, AND CONSTRUED IN ACCORDANCE WITH, THE LAWS OF THE STATE OF NEW YORK, WITHOUT REGARD TO CONFLICTS OF LAW PRINCIPLES THEREOF TO THE EXTENT THAT THE APPLICATION OF THE LAW OF ANOTHER JURISDICTION WOULD BE REQUIRED THEREBY.</w:t>
      </w:r>
    </w:p>
    <w:p>
      <w:pPr>
        <w:spacing w:after="0" w:line="201" w:lineRule="exact"/>
        <w:rPr>
          <w:sz w:val="20"/>
          <w:szCs w:val="20"/>
          <w:color w:val="auto"/>
        </w:rPr>
      </w:pPr>
    </w:p>
    <w:p>
      <w:pPr>
        <w:ind w:right="140" w:firstLine="648"/>
        <w:spacing w:after="0" w:line="253"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OF THE ISSUER AND THE TRUSTEE HEREBY IRREVOCABLY WAIVES, TO THE FULLEST EXTENT PERMITTED BY APPLICABLE LAW, ANY AND ALL RIGHT TO TRIAL BY JURY IN ANY LEGAL PROCEEDING ARISING OUT OF OR RELATING TO THIS SUPPLEMENTAL INDENTURE.</w:t>
      </w:r>
    </w:p>
    <w:p>
      <w:pPr>
        <w:spacing w:after="0" w:line="201" w:lineRule="exact"/>
        <w:rPr>
          <w:sz w:val="20"/>
          <w:szCs w:val="20"/>
          <w:color w:val="auto"/>
        </w:rPr>
      </w:pPr>
    </w:p>
    <w:p>
      <w:pPr>
        <w:ind w:right="160" w:firstLine="648"/>
        <w:spacing w:after="0" w:line="25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Benefits of Supplemental Indenture</w:t>
      </w:r>
      <w:r>
        <w:rPr>
          <w:rFonts w:ascii="Arial" w:cs="Arial" w:eastAsia="Arial" w:hAnsi="Arial"/>
          <w:sz w:val="16"/>
          <w:szCs w:val="16"/>
          <w:color w:val="auto"/>
        </w:rPr>
        <w:t>. Nothing in this Supplemental Indenture shall give to any Person, other than the parties hereto, any Paying Agent, any Transfer Agent, any Registrar and its successors hereunder and the Holders any benefit or any legal or equitable right, remedy or claim under this Supplemental Indenture.</w:t>
      </w:r>
    </w:p>
    <w:p>
      <w:pPr>
        <w:spacing w:after="0" w:line="201" w:lineRule="exact"/>
        <w:rPr>
          <w:sz w:val="20"/>
          <w:szCs w:val="20"/>
          <w:color w:val="auto"/>
        </w:rPr>
      </w:pPr>
    </w:p>
    <w:p>
      <w:pPr>
        <w:ind w:right="140" w:firstLine="648"/>
        <w:spacing w:after="0" w:line="260"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Successors</w:t>
      </w:r>
      <w:r>
        <w:rPr>
          <w:rFonts w:ascii="Arial" w:cs="Arial" w:eastAsia="Arial" w:hAnsi="Arial"/>
          <w:sz w:val="16"/>
          <w:szCs w:val="16"/>
          <w:color w:val="auto"/>
        </w:rPr>
        <w:t>. All agreements of the Issuer in this Supplemental Indenture shall bind its successors. All agreements of the Trustee or any Agent in this Supplemental Indenture shall bind its successors.</w:t>
      </w:r>
    </w:p>
    <w:p>
      <w:pPr>
        <w:sectPr>
          <w:pgSz w:w="11900" w:h="16838" w:orient="portrait"/>
          <w:cols w:equalWidth="0" w:num="1">
            <w:col w:w="11420"/>
          </w:cols>
          <w:pgMar w:left="240" w:top="554" w:right="239" w:bottom="1440" w:gutter="0" w:footer="0" w:header="0"/>
        </w:sectPr>
      </w:pPr>
    </w:p>
    <w:bookmarkStart w:id="164" w:name="page165"/>
    <w:bookmarkEnd w:id="164"/>
    <w:p>
      <w:pPr>
        <w:ind w:right="460" w:firstLine="648"/>
        <w:spacing w:after="0" w:line="260"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provision in this Supplemental Indenture shall be invalid, illegal or unenforceable, the validity, legality and enforceability of the remaining provisions shall not in any way be affected or impaired thereby.</w:t>
      </w:r>
    </w:p>
    <w:p>
      <w:pPr>
        <w:spacing w:after="0" w:line="196"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Counterpart Originals</w:t>
      </w:r>
      <w:r>
        <w:rPr>
          <w:rFonts w:ascii="Arial" w:cs="Arial" w:eastAsia="Arial" w:hAnsi="Arial"/>
          <w:sz w:val="16"/>
          <w:szCs w:val="16"/>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[Signatures on following page]</w:t>
      </w:r>
    </w:p>
    <w:p>
      <w:pPr>
        <w:sectPr>
          <w:pgSz w:w="11900" w:h="16838" w:orient="portrait"/>
          <w:cols w:equalWidth="0" w:num="1">
            <w:col w:w="11380"/>
          </w:cols>
          <w:pgMar w:left="240" w:top="574" w:right="279" w:bottom="1440" w:gutter="0" w:footer="0" w:header="0"/>
        </w:sectPr>
      </w:pPr>
    </w:p>
    <w:bookmarkStart w:id="165" w:name="page166"/>
    <w:bookmarkEnd w:id="165"/>
    <w:p>
      <w:pPr>
        <w:spacing w:after="0" w:line="8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[Signature Page to Supplemental Indenture]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all as of the date first above written.</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FORTRESS TRANSPORTATION AND INFRASTRUCTURE INVESTORS LLC, as Issuer</w:t>
      </w:r>
    </w:p>
    <w:p>
      <w:pPr>
        <w:spacing w:after="0" w:line="200" w:lineRule="exact"/>
        <w:rPr>
          <w:sz w:val="20"/>
          <w:szCs w:val="20"/>
          <w:color w:val="auto"/>
        </w:rPr>
      </w:pPr>
    </w:p>
    <w:p>
      <w:pPr>
        <w:spacing w:after="0" w:line="213" w:lineRule="exact"/>
        <w:rPr>
          <w:sz w:val="20"/>
          <w:szCs w:val="20"/>
          <w:color w:val="auto"/>
        </w:rPr>
      </w:pPr>
    </w:p>
    <w:tbl>
      <w:tblPr>
        <w:tblLayout w:type="fixed"/>
        <w:tblInd w:w="3240" w:type="dxa"/>
        <w:tblCellMar>
          <w:top w:w="0" w:type="dxa"/>
          <w:left w:w="0" w:type="dxa"/>
          <w:bottom w:w="0" w:type="dxa"/>
          <w:right w:w="0" w:type="dxa"/>
        </w:tblCellMar>
      </w:tblPr>
      <w:tr>
        <w:trPr>
          <w:trHeight w:val="184"/>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/s/ Scott Christopher</w:t>
            </w:r>
          </w:p>
        </w:tc>
        <w:tc>
          <w:tcPr>
            <w:tcW w:w="1020" w:type="dxa"/>
            <w:vAlign w:val="bottom"/>
          </w:tcPr>
          <w:p>
            <w:pPr>
              <w:spacing w:after="0"/>
              <w:rPr>
                <w:sz w:val="16"/>
                <w:szCs w:val="16"/>
                <w:color w:val="auto"/>
              </w:rPr>
            </w:pPr>
          </w:p>
        </w:tc>
      </w:tr>
      <w:tr>
        <w:trPr>
          <w:trHeight w:val="198"/>
        </w:trPr>
        <w:tc>
          <w:tcPr>
            <w:tcW w:w="600" w:type="dxa"/>
            <w:vAlign w:val="bottom"/>
          </w:tcPr>
          <w:p>
            <w:pPr>
              <w:spacing w:after="0"/>
              <w:rPr>
                <w:sz w:val="17"/>
                <w:szCs w:val="17"/>
                <w:color w:val="auto"/>
              </w:rPr>
            </w:pP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Name:  Scott Christopher</w:t>
            </w:r>
          </w:p>
        </w:tc>
      </w:tr>
      <w:tr>
        <w:trPr>
          <w:trHeight w:val="189"/>
        </w:trPr>
        <w:tc>
          <w:tcPr>
            <w:tcW w:w="600" w:type="dxa"/>
            <w:vAlign w:val="bottom"/>
          </w:tcPr>
          <w:p>
            <w:pPr>
              <w:spacing w:after="0"/>
              <w:rPr>
                <w:sz w:val="16"/>
                <w:szCs w:val="16"/>
                <w:color w:val="auto"/>
              </w:rPr>
            </w:pP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Title:  Chief Financial Officer and</w:t>
            </w:r>
          </w:p>
        </w:tc>
      </w:tr>
      <w:tr>
        <w:trPr>
          <w:trHeight w:val="195"/>
        </w:trPr>
        <w:tc>
          <w:tcPr>
            <w:tcW w:w="600" w:type="dxa"/>
            <w:vAlign w:val="bottom"/>
          </w:tcPr>
          <w:p>
            <w:pPr>
              <w:spacing w:after="0"/>
              <w:rPr>
                <w:sz w:val="16"/>
                <w:szCs w:val="16"/>
                <w:color w:val="auto"/>
              </w:rPr>
            </w:pPr>
          </w:p>
        </w:tc>
        <w:tc>
          <w:tcPr>
            <w:tcW w:w="2480" w:type="dxa"/>
            <w:vAlign w:val="bottom"/>
            <w:gridSpan w:val="2"/>
          </w:tcPr>
          <w:p>
            <w:pPr>
              <w:ind w:left="700"/>
              <w:spacing w:after="0"/>
              <w:rPr>
                <w:sz w:val="20"/>
                <w:szCs w:val="20"/>
                <w:color w:val="auto"/>
              </w:rPr>
            </w:pPr>
            <w:r>
              <w:rPr>
                <w:rFonts w:ascii="Arial" w:cs="Arial" w:eastAsia="Arial" w:hAnsi="Arial"/>
                <w:sz w:val="16"/>
                <w:szCs w:val="16"/>
                <w:color w:val="auto"/>
              </w:rPr>
              <w:t>Chief Accounting Officer</w:t>
            </w:r>
          </w:p>
        </w:tc>
      </w:tr>
    </w:tbl>
    <w:p>
      <w:pPr>
        <w:spacing w:after="0" w:line="18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U.S. BANK NATIONAL ASSOCIATION, as Trustee</w:t>
      </w:r>
    </w:p>
    <w:p>
      <w:pPr>
        <w:spacing w:after="0" w:line="200" w:lineRule="exact"/>
        <w:rPr>
          <w:sz w:val="20"/>
          <w:szCs w:val="20"/>
          <w:color w:val="auto"/>
        </w:rPr>
      </w:pPr>
    </w:p>
    <w:p>
      <w:pPr>
        <w:spacing w:after="0" w:line="213" w:lineRule="exact"/>
        <w:rPr>
          <w:sz w:val="20"/>
          <w:szCs w:val="20"/>
          <w:color w:val="auto"/>
        </w:rPr>
      </w:pPr>
    </w:p>
    <w:tbl>
      <w:tblPr>
        <w:tblLayout w:type="fixed"/>
        <w:tblInd w:w="3240" w:type="dxa"/>
        <w:tblCellMar>
          <w:top w:w="0" w:type="dxa"/>
          <w:left w:w="0" w:type="dxa"/>
          <w:bottom w:w="0" w:type="dxa"/>
          <w:right w:w="0" w:type="dxa"/>
        </w:tblCellMar>
      </w:tblPr>
      <w:tr>
        <w:trPr>
          <w:trHeight w:val="184"/>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1980" w:type="dxa"/>
            <w:vAlign w:val="bottom"/>
            <w:gridSpan w:val="3"/>
          </w:tcPr>
          <w:p>
            <w:pPr>
              <w:spacing w:after="0"/>
              <w:rPr>
                <w:sz w:val="20"/>
                <w:szCs w:val="20"/>
                <w:color w:val="auto"/>
              </w:rPr>
            </w:pPr>
            <w:r>
              <w:rPr>
                <w:rFonts w:ascii="Arial" w:cs="Arial" w:eastAsia="Arial" w:hAnsi="Arial"/>
                <w:sz w:val="16"/>
                <w:szCs w:val="16"/>
                <w:color w:val="auto"/>
              </w:rPr>
              <w:t>/s/ Richard Prokosch</w:t>
            </w:r>
          </w:p>
        </w:tc>
      </w:tr>
      <w:tr>
        <w:trPr>
          <w:trHeight w:val="20"/>
        </w:trPr>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8"/>
        </w:trPr>
        <w:tc>
          <w:tcPr>
            <w:tcW w:w="60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rPr>
              <w:t>Name:</w:t>
            </w:r>
          </w:p>
        </w:tc>
        <w:tc>
          <w:tcPr>
            <w:tcW w:w="1440" w:type="dxa"/>
            <w:vAlign w:val="bottom"/>
            <w:gridSpan w:val="2"/>
          </w:tcPr>
          <w:p>
            <w:pPr>
              <w:ind w:left="160"/>
              <w:spacing w:after="0"/>
              <w:rPr>
                <w:sz w:val="20"/>
                <w:szCs w:val="20"/>
                <w:color w:val="auto"/>
              </w:rPr>
            </w:pPr>
            <w:r>
              <w:rPr>
                <w:rFonts w:ascii="Arial" w:cs="Arial" w:eastAsia="Arial" w:hAnsi="Arial"/>
                <w:sz w:val="16"/>
                <w:szCs w:val="16"/>
                <w:color w:val="auto"/>
                <w:w w:val="99"/>
              </w:rPr>
              <w:t>Richard Prokosch</w:t>
            </w:r>
          </w:p>
        </w:tc>
      </w:tr>
      <w:tr>
        <w:trPr>
          <w:trHeight w:val="195"/>
        </w:trPr>
        <w:tc>
          <w:tcPr>
            <w:tcW w:w="60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rPr>
              <w:t>Title:</w:t>
            </w: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Vice President</w:t>
            </w:r>
          </w:p>
        </w:tc>
      </w:tr>
    </w:tbl>
    <w:p>
      <w:pPr>
        <w:sectPr>
          <w:pgSz w:w="11900" w:h="16838" w:orient="portrait"/>
          <w:cols w:equalWidth="0" w:num="1">
            <w:col w:w="10260"/>
          </w:cols>
          <w:pgMar w:left="900" w:top="1440" w:right="7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6"/>
          <w:szCs w:val="16"/>
          <w:b w:val="1"/>
          <w:bCs w:val="1"/>
          <w:color w:val="auto"/>
        </w:rPr>
        <w:t>EXHIBIT 12.1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CALCULATION OF RATIO OF EARNINGS TO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5"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Year Ended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712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(amounts in thousands, except for ratio)</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120" w:type="dxa"/>
            <w:vAlign w:val="bottom"/>
          </w:tcPr>
          <w:p>
            <w:pPr>
              <w:ind w:left="40"/>
              <w:spacing w:after="0"/>
              <w:rPr>
                <w:sz w:val="20"/>
                <w:szCs w:val="20"/>
                <w:color w:val="auto"/>
              </w:rPr>
            </w:pPr>
            <w:r>
              <w:rPr>
                <w:rFonts w:ascii="Arial" w:cs="Arial" w:eastAsia="Arial" w:hAnsi="Arial"/>
                <w:sz w:val="14"/>
                <w:szCs w:val="14"/>
                <w:color w:val="auto"/>
              </w:rPr>
              <w:t>Pre-tax (loss) income from continuing operations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(21,286)</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(40,330)</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(28,045)</w:t>
            </w:r>
          </w:p>
        </w:tc>
        <w:tc>
          <w:tcPr>
            <w:tcW w:w="0" w:type="dxa"/>
            <w:vAlign w:val="bottom"/>
          </w:tcPr>
          <w:p>
            <w:pPr>
              <w:spacing w:after="0"/>
              <w:rPr>
                <w:sz w:val="1"/>
                <w:szCs w:val="1"/>
                <w:color w:val="auto"/>
              </w:rPr>
            </w:pPr>
          </w:p>
        </w:tc>
      </w:tr>
      <w:tr>
        <w:trPr>
          <w:trHeight w:val="276"/>
        </w:trPr>
        <w:tc>
          <w:tcPr>
            <w:tcW w:w="7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from equity investees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264"/>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Pre-tax (loss) income from ops before adjustment for equity investees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(19,685)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(34,338)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(21,089)</w:t>
            </w:r>
          </w:p>
        </w:tc>
        <w:tc>
          <w:tcPr>
            <w:tcW w:w="0" w:type="dxa"/>
            <w:vAlign w:val="bottom"/>
          </w:tcPr>
          <w:p>
            <w:pPr>
              <w:spacing w:after="0"/>
              <w:rPr>
                <w:sz w:val="1"/>
                <w:szCs w:val="1"/>
                <w:color w:val="auto"/>
              </w:rPr>
            </w:pPr>
          </w:p>
        </w:tc>
      </w:tr>
      <w:tr>
        <w:trPr>
          <w:trHeight w:val="256"/>
        </w:trPr>
        <w:tc>
          <w:tcPr>
            <w:tcW w:w="7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from equity investees</w:t>
            </w: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64"/>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Pre-tax (loss) income from operations including distributions from equity investees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(19,685)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(34,308)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(20,880)</w:t>
            </w:r>
          </w:p>
        </w:tc>
        <w:tc>
          <w:tcPr>
            <w:tcW w:w="0" w:type="dxa"/>
            <w:vAlign w:val="bottom"/>
          </w:tcPr>
          <w:p>
            <w:pPr>
              <w:spacing w:after="0"/>
              <w:rPr>
                <w:sz w:val="1"/>
                <w:szCs w:val="1"/>
                <w:color w:val="auto"/>
              </w:rPr>
            </w:pPr>
          </w:p>
        </w:tc>
      </w:tr>
      <w:tr>
        <w:trPr>
          <w:trHeight w:val="270"/>
        </w:trPr>
        <w:tc>
          <w:tcPr>
            <w:tcW w:w="7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Fixed charges: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120" w:type="dxa"/>
            <w:vAlign w:val="bottom"/>
          </w:tcPr>
          <w:p>
            <w:pPr>
              <w:ind w:left="380"/>
              <w:spacing w:after="0"/>
              <w:rPr>
                <w:sz w:val="20"/>
                <w:szCs w:val="20"/>
                <w:color w:val="auto"/>
              </w:rPr>
            </w:pPr>
            <w:r>
              <w:rPr>
                <w:rFonts w:ascii="Arial" w:cs="Arial" w:eastAsia="Arial" w:hAnsi="Arial"/>
                <w:sz w:val="14"/>
                <w:szCs w:val="14"/>
                <w:color w:val="auto"/>
              </w:rPr>
              <w:t>Interest (expensed and capitalized)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36,355</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19,050</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19,961</w:t>
            </w:r>
          </w:p>
        </w:tc>
        <w:tc>
          <w:tcPr>
            <w:tcW w:w="0" w:type="dxa"/>
            <w:vAlign w:val="bottom"/>
          </w:tcPr>
          <w:p>
            <w:pPr>
              <w:spacing w:after="0"/>
              <w:rPr>
                <w:sz w:val="1"/>
                <w:szCs w:val="1"/>
                <w:color w:val="auto"/>
              </w:rPr>
            </w:pPr>
          </w:p>
        </w:tc>
      </w:tr>
      <w:tr>
        <w:trPr>
          <w:trHeight w:val="276"/>
        </w:trPr>
        <w:tc>
          <w:tcPr>
            <w:tcW w:w="7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1,469</w:t>
            </w:r>
          </w:p>
        </w:tc>
        <w:tc>
          <w:tcPr>
            <w:tcW w:w="0" w:type="dxa"/>
            <w:vAlign w:val="bottom"/>
          </w:tcPr>
          <w:p>
            <w:pPr>
              <w:spacing w:after="0"/>
              <w:rPr>
                <w:sz w:val="1"/>
                <w:szCs w:val="1"/>
                <w:color w:val="auto"/>
              </w:rPr>
            </w:pPr>
          </w:p>
        </w:tc>
      </w:tr>
      <w:tr>
        <w:trPr>
          <w:trHeight w:val="264"/>
        </w:trPr>
        <w:tc>
          <w:tcPr>
            <w:tcW w:w="7120" w:type="dxa"/>
            <w:vAlign w:val="bottom"/>
          </w:tcPr>
          <w:p>
            <w:pPr>
              <w:ind w:left="380"/>
              <w:spacing w:after="0"/>
              <w:rPr>
                <w:sz w:val="20"/>
                <w:szCs w:val="20"/>
                <w:color w:val="auto"/>
              </w:rPr>
            </w:pPr>
            <w:r>
              <w:rPr>
                <w:rFonts w:ascii="Arial" w:cs="Arial" w:eastAsia="Arial" w:hAnsi="Arial"/>
                <w:sz w:val="14"/>
                <w:szCs w:val="14"/>
                <w:color w:val="auto"/>
              </w:rPr>
              <w:t>Amortization of bond discount/premium</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790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6"/>
        </w:trPr>
        <w:tc>
          <w:tcPr>
            <w:tcW w:w="7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Rental expense</w:t>
            </w:r>
            <w:r>
              <w:rPr>
                <w:rFonts w:ascii="Arial" w:cs="Arial" w:eastAsia="Arial" w:hAnsi="Arial"/>
                <w:sz w:val="17"/>
                <w:szCs w:val="17"/>
                <w:color w:val="auto"/>
                <w:vertAlign w:val="superscript"/>
              </w:rPr>
              <w:t>(1)</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1,643</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1,634</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244"/>
        </w:trPr>
        <w:tc>
          <w:tcPr>
            <w:tcW w:w="7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fixed charges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42,990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23,313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22,698</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Pre-tax income (loss) from continuing operations including distributions from equity investees plus</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23,305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(10,995)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1,818</w:t>
            </w:r>
          </w:p>
        </w:tc>
        <w:tc>
          <w:tcPr>
            <w:tcW w:w="0" w:type="dxa"/>
            <w:vAlign w:val="bottom"/>
          </w:tcPr>
          <w:p>
            <w:pPr>
              <w:spacing w:after="0"/>
              <w:rPr>
                <w:sz w:val="1"/>
                <w:szCs w:val="1"/>
                <w:color w:val="auto"/>
              </w:rPr>
            </w:pPr>
          </w:p>
        </w:tc>
      </w:tr>
      <w:tr>
        <w:trPr>
          <w:trHeight w:val="184"/>
        </w:trPr>
        <w:tc>
          <w:tcPr>
            <w:tcW w:w="7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charges, less preferred stock dividend requirements of consolidated subsidiaries</w:t>
            </w:r>
          </w:p>
        </w:tc>
        <w:tc>
          <w:tcPr>
            <w:tcW w:w="3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depreciation of capitalized interest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Earnings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1,626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20" w:type="dxa"/>
            <w:vAlign w:val="bottom"/>
          </w:tcPr>
          <w:p>
            <w:pPr>
              <w:ind w:left="40"/>
              <w:spacing w:after="0"/>
              <w:rPr>
                <w:sz w:val="20"/>
                <w:szCs w:val="20"/>
                <w:color w:val="auto"/>
              </w:rPr>
            </w:pPr>
            <w:r>
              <w:rPr>
                <w:rFonts w:ascii="Arial" w:cs="Arial" w:eastAsia="Arial" w:hAnsi="Arial"/>
                <w:sz w:val="14"/>
                <w:szCs w:val="14"/>
                <w:b w:val="1"/>
                <w:bCs w:val="1"/>
                <w:color w:val="auto"/>
              </w:rPr>
              <w:t>Ratio of earnings of fixed charges</w:t>
            </w:r>
          </w:p>
        </w:tc>
        <w:tc>
          <w:tcPr>
            <w:tcW w:w="32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0.54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9"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21"/>
          <w:szCs w:val="21"/>
          <w:color w:val="auto"/>
          <w:vertAlign w:val="superscript"/>
        </w:rPr>
      </w:pPr>
      <w:r>
        <w:rPr>
          <w:rFonts w:ascii="Arial" w:cs="Arial" w:eastAsia="Arial" w:hAnsi="Arial"/>
          <w:sz w:val="15"/>
          <w:szCs w:val="15"/>
          <w:color w:val="auto"/>
        </w:rPr>
        <w:t>Represents a reasonable approximation of the interest factor of the Company's rental expense to operating leases for the respective periods</w:t>
      </w:r>
    </w:p>
    <w:p>
      <w:pPr>
        <w:sectPr>
          <w:pgSz w:w="11900" w:h="16838" w:orient="portrait"/>
          <w:cols w:equalWidth="0" w:num="1">
            <w:col w:w="11420"/>
          </w:cols>
          <w:pgMar w:left="240" w:top="554"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6380" w:type="dxa"/>
            <w:vAlign w:val="bottom"/>
          </w:tcPr>
          <w:p>
            <w:pPr>
              <w:ind w:left="240"/>
              <w:spacing w:after="0"/>
              <w:rPr>
                <w:sz w:val="20"/>
                <w:szCs w:val="20"/>
                <w:color w:val="auto"/>
              </w:rPr>
            </w:pPr>
            <w:r>
              <w:rPr>
                <w:rFonts w:ascii="Arial" w:cs="Arial" w:eastAsia="Arial" w:hAnsi="Arial"/>
                <w:sz w:val="16"/>
                <w:szCs w:val="16"/>
                <w:b w:val="1"/>
                <w:bCs w:val="1"/>
                <w:color w:val="auto"/>
              </w:rPr>
              <w:t>Exhibit 21.1</w:t>
            </w:r>
          </w:p>
        </w:tc>
      </w:tr>
      <w:tr>
        <w:trPr>
          <w:trHeight w:val="128"/>
        </w:trPr>
        <w:tc>
          <w:tcPr>
            <w:tcW w:w="4980" w:type="dxa"/>
            <w:vAlign w:val="bottom"/>
          </w:tcPr>
          <w:p>
            <w:pPr>
              <w:spacing w:after="0"/>
              <w:rPr>
                <w:sz w:val="11"/>
                <w:szCs w:val="11"/>
                <w:color w:val="auto"/>
              </w:rPr>
            </w:pPr>
          </w:p>
        </w:tc>
        <w:tc>
          <w:tcPr>
            <w:tcW w:w="6380" w:type="dxa"/>
            <w:vAlign w:val="bottom"/>
          </w:tcPr>
          <w:p>
            <w:pPr>
              <w:spacing w:after="0"/>
              <w:rPr>
                <w:sz w:val="11"/>
                <w:szCs w:val="11"/>
                <w:color w:val="auto"/>
              </w:rPr>
            </w:pPr>
          </w:p>
        </w:tc>
      </w:tr>
      <w:tr>
        <w:trPr>
          <w:trHeight w:val="210"/>
        </w:trPr>
        <w:tc>
          <w:tcPr>
            <w:tcW w:w="498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4"/>
                <w:szCs w:val="14"/>
                <w:b w:val="1"/>
                <w:bCs w:val="1"/>
                <w:color w:val="auto"/>
              </w:rPr>
              <w:t>Entity Name</w:t>
            </w:r>
          </w:p>
        </w:tc>
        <w:tc>
          <w:tcPr>
            <w:tcW w:w="6380" w:type="dxa"/>
            <w:vAlign w:val="bottom"/>
            <w:tcBorders>
              <w:bottom w:val="single" w:sz="8" w:color="auto"/>
            </w:tcBorders>
            <w:shd w:val="clear" w:color="auto" w:fill="BFE4FF"/>
          </w:tcPr>
          <w:p>
            <w:pPr>
              <w:ind w:left="2760"/>
              <w:spacing w:after="0"/>
              <w:rPr>
                <w:sz w:val="20"/>
                <w:szCs w:val="20"/>
                <w:color w:val="auto"/>
              </w:rPr>
            </w:pPr>
            <w:r>
              <w:rPr>
                <w:rFonts w:ascii="Arial" w:cs="Arial" w:eastAsia="Arial" w:hAnsi="Arial"/>
                <w:sz w:val="14"/>
                <w:szCs w:val="14"/>
                <w:b w:val="1"/>
                <w:bCs w:val="1"/>
                <w:color w:val="auto"/>
              </w:rPr>
              <w:t>State of Incorporation/Formation</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AirOpCo 1ASL Bermuda Ltd.</w:t>
            </w:r>
          </w:p>
        </w:tc>
        <w:tc>
          <w:tcPr>
            <w:tcW w:w="6380" w:type="dxa"/>
            <w:vAlign w:val="bottom"/>
          </w:tcPr>
          <w:p>
            <w:pPr>
              <w:ind w:left="2760"/>
              <w:spacing w:after="0"/>
              <w:rPr>
                <w:sz w:val="20"/>
                <w:szCs w:val="20"/>
                <w:color w:val="auto"/>
              </w:rPr>
            </w:pPr>
            <w:r>
              <w:rPr>
                <w:rFonts w:ascii="Arial" w:cs="Arial" w:eastAsia="Arial" w:hAnsi="Arial"/>
                <w:sz w:val="14"/>
                <w:szCs w:val="14"/>
                <w:color w:val="auto"/>
              </w:rPr>
              <w:t>Bermuda</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AirOpCo 1ET Bermuda Ltd.</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Bermuda</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AirOpCo 1JT Bermuda Ltd.</w:t>
            </w:r>
          </w:p>
        </w:tc>
        <w:tc>
          <w:tcPr>
            <w:tcW w:w="6380" w:type="dxa"/>
            <w:vAlign w:val="bottom"/>
          </w:tcPr>
          <w:p>
            <w:pPr>
              <w:ind w:left="2760"/>
              <w:spacing w:after="0"/>
              <w:rPr>
                <w:sz w:val="20"/>
                <w:szCs w:val="20"/>
                <w:color w:val="auto"/>
              </w:rPr>
            </w:pPr>
            <w:r>
              <w:rPr>
                <w:rFonts w:ascii="Arial" w:cs="Arial" w:eastAsia="Arial" w:hAnsi="Arial"/>
                <w:sz w:val="14"/>
                <w:szCs w:val="14"/>
                <w:color w:val="auto"/>
              </w:rPr>
              <w:t>Bermuda</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AirOpCo I SD Ireland DAC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Ireland</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AirOpCo II KO Ireland DAC</w:t>
            </w:r>
          </w:p>
        </w:tc>
        <w:tc>
          <w:tcPr>
            <w:tcW w:w="6380" w:type="dxa"/>
            <w:vAlign w:val="bottom"/>
          </w:tcPr>
          <w:p>
            <w:pPr>
              <w:ind w:left="2760"/>
              <w:spacing w:after="0"/>
              <w:rPr>
                <w:sz w:val="20"/>
                <w:szCs w:val="20"/>
                <w:color w:val="auto"/>
              </w:rPr>
            </w:pPr>
            <w:r>
              <w:rPr>
                <w:rFonts w:ascii="Arial" w:cs="Arial" w:eastAsia="Arial" w:hAnsi="Arial"/>
                <w:sz w:val="14"/>
                <w:szCs w:val="14"/>
                <w:color w:val="auto"/>
              </w:rPr>
              <w:t>Ireland</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AirOpCo II ME Ireland DAC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Ireland</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AirOpCo 2 UZ Ireland DAC</w:t>
            </w:r>
          </w:p>
        </w:tc>
        <w:tc>
          <w:tcPr>
            <w:tcW w:w="6380" w:type="dxa"/>
            <w:vAlign w:val="bottom"/>
          </w:tcPr>
          <w:p>
            <w:pPr>
              <w:ind w:left="2760"/>
              <w:spacing w:after="0"/>
              <w:rPr>
                <w:sz w:val="20"/>
                <w:szCs w:val="20"/>
                <w:color w:val="auto"/>
              </w:rPr>
            </w:pPr>
            <w:r>
              <w:rPr>
                <w:rFonts w:ascii="Arial" w:cs="Arial" w:eastAsia="Arial" w:hAnsi="Arial"/>
                <w:sz w:val="14"/>
                <w:szCs w:val="14"/>
                <w:color w:val="auto"/>
              </w:rPr>
              <w:t>Ireland</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Central Maine &amp; Quebec Railway Canada Inc.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Canada</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Central Maine &amp; Quebec Railway US Inc.</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CMQ Canada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Delaware River Partners LLC</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DRP Urban Renewal 1,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DRP Trading LLC</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 River Partners Holdco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Fortress Worldwide Transportation and Infrastructure General Partnership</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Finance Holdco Ltd.</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Cayman Islands</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WWTAI AirOpCo 1 USA Sub LLC</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Finance JV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CHR JV Holdings LLC</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Energy Co 1 Ltd. (process of dissolution - postponed by KK)</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Bermuda</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Energy Co1 LLC</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Energy Development Holdings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Energy Downstream Holdings LLC</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Energy Holdings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Energy Marketing LLC</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Energy Partners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IES Pioneer Ltd.</w:t>
            </w:r>
          </w:p>
        </w:tc>
        <w:tc>
          <w:tcPr>
            <w:tcW w:w="6380" w:type="dxa"/>
            <w:vAlign w:val="bottom"/>
          </w:tcPr>
          <w:p>
            <w:pPr>
              <w:ind w:left="2760"/>
              <w:spacing w:after="0"/>
              <w:rPr>
                <w:sz w:val="20"/>
                <w:szCs w:val="20"/>
                <w:color w:val="auto"/>
              </w:rPr>
            </w:pPr>
            <w:r>
              <w:rPr>
                <w:rFonts w:ascii="Arial" w:cs="Arial" w:eastAsia="Arial" w:hAnsi="Arial"/>
                <w:sz w:val="14"/>
                <w:szCs w:val="14"/>
                <w:color w:val="auto"/>
              </w:rPr>
              <w:t>Malaysia</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Midstream GP Holdings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Midstream GP LLC</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Midstream Holdings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Offshore Holdings L.P.</w:t>
            </w:r>
          </w:p>
        </w:tc>
        <w:tc>
          <w:tcPr>
            <w:tcW w:w="6380" w:type="dxa"/>
            <w:vAlign w:val="bottom"/>
          </w:tcPr>
          <w:p>
            <w:pPr>
              <w:ind w:left="2760"/>
              <w:spacing w:after="0"/>
              <w:rPr>
                <w:sz w:val="20"/>
                <w:szCs w:val="20"/>
                <w:color w:val="auto"/>
              </w:rPr>
            </w:pPr>
            <w:r>
              <w:rPr>
                <w:rFonts w:ascii="Arial" w:cs="Arial" w:eastAsia="Arial" w:hAnsi="Arial"/>
                <w:sz w:val="14"/>
                <w:szCs w:val="14"/>
                <w:color w:val="auto"/>
              </w:rPr>
              <w:t>Cayman Islands</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Offshore Holdco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Offshore Pte Ltd.</w:t>
            </w:r>
          </w:p>
        </w:tc>
        <w:tc>
          <w:tcPr>
            <w:tcW w:w="6380" w:type="dxa"/>
            <w:vAlign w:val="bottom"/>
          </w:tcPr>
          <w:p>
            <w:pPr>
              <w:ind w:left="2760"/>
              <w:spacing w:after="0"/>
              <w:rPr>
                <w:sz w:val="20"/>
                <w:szCs w:val="20"/>
                <w:color w:val="auto"/>
              </w:rPr>
            </w:pPr>
            <w:r>
              <w:rPr>
                <w:rFonts w:ascii="Arial" w:cs="Arial" w:eastAsia="Arial" w:hAnsi="Arial"/>
                <w:sz w:val="14"/>
                <w:szCs w:val="14"/>
                <w:color w:val="auto"/>
              </w:rPr>
              <w:t>Singapore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Partners Holdings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Pioneer Malaysia Shareholder LLC</w:t>
            </w:r>
          </w:p>
        </w:tc>
        <w:tc>
          <w:tcPr>
            <w:tcW w:w="6380" w:type="dxa"/>
            <w:vAlign w:val="bottom"/>
          </w:tcPr>
          <w:p>
            <w:pPr>
              <w:ind w:left="2760"/>
              <w:spacing w:after="0"/>
              <w:rPr>
                <w:sz w:val="20"/>
                <w:szCs w:val="20"/>
                <w:color w:val="auto"/>
              </w:rPr>
            </w:pPr>
            <w:r>
              <w:rPr>
                <w:rFonts w:ascii="Arial" w:cs="Arial" w:eastAsia="Arial" w:hAnsi="Arial"/>
                <w:sz w:val="14"/>
                <w:szCs w:val="14"/>
                <w:color w:val="auto"/>
              </w:rPr>
              <w:t>Delaware</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Pioneer SDN Bhd</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Malaysia</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Pride Chartering LLC</w:t>
            </w:r>
          </w:p>
        </w:tc>
        <w:tc>
          <w:tcPr>
            <w:tcW w:w="6380" w:type="dxa"/>
            <w:vAlign w:val="bottom"/>
          </w:tcPr>
          <w:p>
            <w:pPr>
              <w:ind w:left="2760"/>
              <w:spacing w:after="0"/>
              <w:rPr>
                <w:sz w:val="20"/>
                <w:szCs w:val="20"/>
                <w:color w:val="auto"/>
              </w:rPr>
            </w:pPr>
            <w:r>
              <w:rPr>
                <w:rFonts w:ascii="Arial" w:cs="Arial" w:eastAsia="Arial" w:hAnsi="Arial"/>
                <w:sz w:val="14"/>
                <w:szCs w:val="14"/>
                <w:color w:val="auto"/>
              </w:rPr>
              <w:t>Marshall Islands</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Pride Labuan Ltd.</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Malaysia</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Pride LLC</w:t>
            </w:r>
          </w:p>
        </w:tc>
        <w:tc>
          <w:tcPr>
            <w:tcW w:w="6380" w:type="dxa"/>
            <w:vAlign w:val="bottom"/>
          </w:tcPr>
          <w:p>
            <w:pPr>
              <w:ind w:left="2760"/>
              <w:spacing w:after="0"/>
              <w:rPr>
                <w:sz w:val="20"/>
                <w:szCs w:val="20"/>
                <w:color w:val="auto"/>
              </w:rPr>
            </w:pPr>
            <w:r>
              <w:rPr>
                <w:rFonts w:ascii="Arial" w:cs="Arial" w:eastAsia="Arial" w:hAnsi="Arial"/>
                <w:sz w:val="14"/>
                <w:szCs w:val="14"/>
                <w:color w:val="auto"/>
              </w:rPr>
              <w:t>Marshall Islands</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Pride Malaysia SDN BHD</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Malaysia</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Pioneer MI LLC</w:t>
            </w:r>
          </w:p>
        </w:tc>
        <w:tc>
          <w:tcPr>
            <w:tcW w:w="6380" w:type="dxa"/>
            <w:vAlign w:val="bottom"/>
          </w:tcPr>
          <w:p>
            <w:pPr>
              <w:ind w:left="2760"/>
              <w:spacing w:after="0"/>
              <w:rPr>
                <w:sz w:val="20"/>
                <w:szCs w:val="20"/>
                <w:color w:val="auto"/>
              </w:rPr>
            </w:pPr>
            <w:r>
              <w:rPr>
                <w:rFonts w:ascii="Arial" w:cs="Arial" w:eastAsia="Arial" w:hAnsi="Arial"/>
                <w:sz w:val="14"/>
                <w:szCs w:val="14"/>
                <w:color w:val="auto"/>
              </w:rPr>
              <w:t>Marshall Islands</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FTAI Railcar Holdings LLC</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Delaware</w:t>
            </w: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FTAI Subsea 88 Ltd.</w:t>
            </w:r>
          </w:p>
        </w:tc>
        <w:tc>
          <w:tcPr>
            <w:tcW w:w="6380" w:type="dxa"/>
            <w:vAlign w:val="bottom"/>
          </w:tcPr>
          <w:p>
            <w:pPr>
              <w:ind w:left="2760"/>
              <w:spacing w:after="0"/>
              <w:rPr>
                <w:sz w:val="20"/>
                <w:szCs w:val="20"/>
                <w:color w:val="auto"/>
              </w:rPr>
            </w:pPr>
            <w:r>
              <w:rPr>
                <w:rFonts w:ascii="Arial" w:cs="Arial" w:eastAsia="Arial" w:hAnsi="Arial"/>
                <w:sz w:val="14"/>
                <w:szCs w:val="14"/>
                <w:color w:val="auto"/>
              </w:rPr>
              <w:t>Bermuda</w:t>
            </w:r>
          </w:p>
        </w:tc>
      </w:tr>
      <w:tr>
        <w:trPr>
          <w:trHeight w:val="222"/>
        </w:trPr>
        <w:tc>
          <w:tcPr>
            <w:tcW w:w="4980" w:type="dxa"/>
            <w:vAlign w:val="bottom"/>
            <w:shd w:val="clear" w:color="auto" w:fill="BFE4FF"/>
          </w:tcPr>
          <w:p>
            <w:pPr>
              <w:ind w:left="20"/>
              <w:spacing w:after="0"/>
              <w:rPr>
                <w:sz w:val="20"/>
                <w:szCs w:val="20"/>
                <w:color w:val="auto"/>
              </w:rPr>
            </w:pPr>
            <w:r>
              <w:rPr>
                <w:rFonts w:ascii="Arial" w:cs="Arial" w:eastAsia="Arial" w:hAnsi="Arial"/>
                <w:sz w:val="14"/>
                <w:szCs w:val="14"/>
                <w:color w:val="auto"/>
              </w:rPr>
              <w:t>Intermodal Finance 1 Ltd.</w:t>
            </w:r>
          </w:p>
        </w:tc>
        <w:tc>
          <w:tcPr>
            <w:tcW w:w="6380" w:type="dxa"/>
            <w:vAlign w:val="bottom"/>
            <w:shd w:val="clear" w:color="auto" w:fill="BFE4FF"/>
          </w:tcPr>
          <w:p>
            <w:pPr>
              <w:ind w:left="2760"/>
              <w:spacing w:after="0"/>
              <w:rPr>
                <w:sz w:val="20"/>
                <w:szCs w:val="20"/>
                <w:color w:val="auto"/>
              </w:rPr>
            </w:pPr>
            <w:r>
              <w:rPr>
                <w:rFonts w:ascii="Arial" w:cs="Arial" w:eastAsia="Arial" w:hAnsi="Arial"/>
                <w:sz w:val="14"/>
                <w:szCs w:val="14"/>
                <w:color w:val="auto"/>
              </w:rPr>
              <w:t>Cayman Islands</w:t>
            </w:r>
          </w:p>
        </w:tc>
      </w:tr>
      <w:tr>
        <w:trPr>
          <w:trHeight w:val="204"/>
        </w:trPr>
        <w:tc>
          <w:tcPr>
            <w:tcW w:w="4980" w:type="dxa"/>
            <w:vAlign w:val="bottom"/>
          </w:tcPr>
          <w:p>
            <w:pPr>
              <w:ind w:left="20"/>
              <w:spacing w:after="0"/>
              <w:rPr>
                <w:sz w:val="20"/>
                <w:szCs w:val="20"/>
                <w:color w:val="auto"/>
              </w:rPr>
            </w:pPr>
            <w:r>
              <w:rPr>
                <w:rFonts w:ascii="Arial" w:cs="Arial" w:eastAsia="Arial" w:hAnsi="Arial"/>
                <w:sz w:val="14"/>
                <w:szCs w:val="14"/>
                <w:color w:val="auto"/>
              </w:rPr>
              <w:t>Intermodal Finance III Ltd. (process of dissolution)</w:t>
            </w:r>
          </w:p>
        </w:tc>
        <w:tc>
          <w:tcPr>
            <w:tcW w:w="6380" w:type="dxa"/>
            <w:vAlign w:val="bottom"/>
          </w:tcPr>
          <w:p>
            <w:pPr>
              <w:ind w:left="2760"/>
              <w:spacing w:after="0"/>
              <w:rPr>
                <w:sz w:val="20"/>
                <w:szCs w:val="20"/>
                <w:color w:val="auto"/>
              </w:rPr>
            </w:pPr>
            <w:r>
              <w:rPr>
                <w:rFonts w:ascii="Arial" w:cs="Arial" w:eastAsia="Arial" w:hAnsi="Arial"/>
                <w:sz w:val="14"/>
                <w:szCs w:val="14"/>
                <w:color w:val="auto"/>
              </w:rPr>
              <w:t>Bermuda</w:t>
            </w:r>
          </w:p>
        </w:tc>
      </w:tr>
    </w:tbl>
    <w:p>
      <w:pPr>
        <w:sectPr>
          <w:pgSz w:w="11900" w:h="16838" w:orient="portrait"/>
          <w:cols w:equalWidth="0" w:num="1">
            <w:col w:w="11360"/>
          </w:cols>
          <w:pgMar w:left="280" w:top="554" w:right="25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4"/>
                <w:szCs w:val="14"/>
                <w:b w:val="1"/>
                <w:bCs w:val="1"/>
                <w:color w:val="auto"/>
              </w:rPr>
              <w:t>Entity Name</w:t>
            </w:r>
          </w:p>
        </w:tc>
        <w:tc>
          <w:tcPr>
            <w:tcW w:w="364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4"/>
                <w:szCs w:val="14"/>
                <w:b w:val="1"/>
                <w:bCs w:val="1"/>
                <w:color w:val="auto"/>
              </w:rPr>
              <w:t>State of Incorporation/Formation</w:t>
            </w:r>
          </w:p>
        </w:tc>
      </w:tr>
      <w:tr>
        <w:trPr>
          <w:trHeight w:val="21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2012 Bond Holdings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Jefferson 2010 Bond Holdings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Docks I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Jefferson DRE Liabilities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Energy Canada ULC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Canada</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Jefferson Energy Canco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Energy Marketing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Jefferson Ethanol Holdings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Gas Processing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Jefferson Gulf Coast Energy Holdings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Gulf Coast Energy Partners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Jefferson Gulf Coast Management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Gulf Coast Real Estate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Jefferson Pipeline I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Railport Terminal I (Texas)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Texas</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Jefferson Railport Terminal I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Railport Terminal II Holdings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Jefferson Railport Terminal II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Storage I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Jefferson Terminal Logistics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Jefferson Truck Terminal I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JGC Investment Holdings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JGP Energy Partners LLC (f/k/a Jefferson Ethanol Partners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JGC Management Holdings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Ohio Gasco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Ohio River Partners Finance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Ohio River Partners Holdco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Ohio River Partners Shareholder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Railroad Acquisition Holdings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WWTAI AirOpCo 1Bermuda Ltd.</w:t>
            </w:r>
          </w:p>
        </w:tc>
        <w:tc>
          <w:tcPr>
            <w:tcW w:w="3640" w:type="dxa"/>
            <w:vAlign w:val="bottom"/>
          </w:tcPr>
          <w:p>
            <w:pPr>
              <w:ind w:left="20"/>
              <w:spacing w:after="0"/>
              <w:rPr>
                <w:sz w:val="20"/>
                <w:szCs w:val="20"/>
                <w:color w:val="auto"/>
              </w:rPr>
            </w:pPr>
            <w:r>
              <w:rPr>
                <w:rFonts w:ascii="Arial" w:cs="Arial" w:eastAsia="Arial" w:hAnsi="Arial"/>
                <w:sz w:val="14"/>
                <w:szCs w:val="14"/>
                <w:color w:val="auto"/>
              </w:rPr>
              <w:t>Bermuda</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WWTAI AirOpCo 2 Bermuda Ltd.</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Bermuda</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WWTAI AirOpCo 3 Bermuda Ltd.</w:t>
            </w:r>
          </w:p>
        </w:tc>
        <w:tc>
          <w:tcPr>
            <w:tcW w:w="3640" w:type="dxa"/>
            <w:vAlign w:val="bottom"/>
          </w:tcPr>
          <w:p>
            <w:pPr>
              <w:ind w:left="20"/>
              <w:spacing w:after="0"/>
              <w:rPr>
                <w:sz w:val="20"/>
                <w:szCs w:val="20"/>
                <w:color w:val="auto"/>
              </w:rPr>
            </w:pPr>
            <w:r>
              <w:rPr>
                <w:rFonts w:ascii="Arial" w:cs="Arial" w:eastAsia="Arial" w:hAnsi="Arial"/>
                <w:sz w:val="14"/>
                <w:szCs w:val="14"/>
                <w:color w:val="auto"/>
              </w:rPr>
              <w:t>Bermuda</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WWTAI AirOpCo I USA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WWTAI AirOpco II DAC</w:t>
            </w:r>
          </w:p>
        </w:tc>
        <w:tc>
          <w:tcPr>
            <w:tcW w:w="3640" w:type="dxa"/>
            <w:vAlign w:val="bottom"/>
          </w:tcPr>
          <w:p>
            <w:pPr>
              <w:ind w:left="20"/>
              <w:spacing w:after="0"/>
              <w:rPr>
                <w:sz w:val="20"/>
                <w:szCs w:val="20"/>
                <w:color w:val="auto"/>
              </w:rPr>
            </w:pPr>
            <w:r>
              <w:rPr>
                <w:rFonts w:ascii="Arial" w:cs="Arial" w:eastAsia="Arial" w:hAnsi="Arial"/>
                <w:sz w:val="14"/>
                <w:szCs w:val="14"/>
                <w:color w:val="auto"/>
              </w:rPr>
              <w:t>Ireland</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WWTAI AirOpCo Malta Limited</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Malta</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WWTAI AirOpCo BPA Ireland Limited</w:t>
            </w:r>
          </w:p>
        </w:tc>
        <w:tc>
          <w:tcPr>
            <w:tcW w:w="3640" w:type="dxa"/>
            <w:vAlign w:val="bottom"/>
          </w:tcPr>
          <w:p>
            <w:pPr>
              <w:ind w:left="20"/>
              <w:spacing w:after="0"/>
              <w:rPr>
                <w:sz w:val="20"/>
                <w:szCs w:val="20"/>
                <w:color w:val="auto"/>
              </w:rPr>
            </w:pPr>
            <w:r>
              <w:rPr>
                <w:rFonts w:ascii="Arial" w:cs="Arial" w:eastAsia="Arial" w:hAnsi="Arial"/>
                <w:sz w:val="14"/>
                <w:szCs w:val="14"/>
                <w:color w:val="auto"/>
              </w:rPr>
              <w:t>Ireland</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WWTAI Container 1 Ltd.</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Bermuda</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WWTAI Container Holdco Ltd. (f/k/a WWTAI Container GP 1 Ltd.)</w:t>
            </w:r>
          </w:p>
        </w:tc>
        <w:tc>
          <w:tcPr>
            <w:tcW w:w="3640" w:type="dxa"/>
            <w:vAlign w:val="bottom"/>
          </w:tcPr>
          <w:p>
            <w:pPr>
              <w:ind w:left="20"/>
              <w:spacing w:after="0"/>
              <w:rPr>
                <w:sz w:val="20"/>
                <w:szCs w:val="20"/>
                <w:color w:val="auto"/>
              </w:rPr>
            </w:pPr>
            <w:r>
              <w:rPr>
                <w:rFonts w:ascii="Arial" w:cs="Arial" w:eastAsia="Arial" w:hAnsi="Arial"/>
                <w:sz w:val="14"/>
                <w:szCs w:val="14"/>
                <w:color w:val="auto"/>
              </w:rPr>
              <w:t>Bermuda</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WWTAI Finance Ltd.</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Bermuda</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WWTAI IES MT6015 Ltd.</w:t>
            </w:r>
          </w:p>
        </w:tc>
        <w:tc>
          <w:tcPr>
            <w:tcW w:w="3640" w:type="dxa"/>
            <w:vAlign w:val="bottom"/>
          </w:tcPr>
          <w:p>
            <w:pPr>
              <w:ind w:left="20"/>
              <w:spacing w:after="0"/>
              <w:rPr>
                <w:sz w:val="20"/>
                <w:szCs w:val="20"/>
                <w:color w:val="auto"/>
              </w:rPr>
            </w:pPr>
            <w:r>
              <w:rPr>
                <w:rFonts w:ascii="Arial" w:cs="Arial" w:eastAsia="Arial" w:hAnsi="Arial"/>
                <w:sz w:val="14"/>
                <w:szCs w:val="14"/>
                <w:color w:val="auto"/>
              </w:rPr>
              <w:t>Malaysia</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WWTAI Offshore Co 1 Ltd.</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Bermuda</w:t>
            </w: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color w:val="auto"/>
              </w:rPr>
              <w:t>FTAI AirOpCo UK Ltd.</w:t>
            </w:r>
          </w:p>
        </w:tc>
        <w:tc>
          <w:tcPr>
            <w:tcW w:w="3640" w:type="dxa"/>
            <w:vAlign w:val="bottom"/>
          </w:tcPr>
          <w:p>
            <w:pPr>
              <w:ind w:left="20"/>
              <w:spacing w:after="0"/>
              <w:rPr>
                <w:sz w:val="20"/>
                <w:szCs w:val="20"/>
                <w:color w:val="auto"/>
              </w:rPr>
            </w:pPr>
            <w:r>
              <w:rPr>
                <w:rFonts w:ascii="Arial" w:cs="Arial" w:eastAsia="Arial" w:hAnsi="Arial"/>
                <w:sz w:val="14"/>
                <w:szCs w:val="14"/>
                <w:color w:val="auto"/>
              </w:rPr>
              <w:t>England and Wales</w:t>
            </w:r>
          </w:p>
        </w:tc>
      </w:tr>
      <w:tr>
        <w:trPr>
          <w:trHeight w:val="222"/>
        </w:trPr>
        <w:tc>
          <w:tcPr>
            <w:tcW w:w="7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WWTAI AirOpCo 2 USA LLC</w:t>
            </w:r>
          </w:p>
        </w:tc>
        <w:tc>
          <w:tcPr>
            <w:tcW w:w="36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204"/>
        </w:trPr>
        <w:tc>
          <w:tcPr>
            <w:tcW w:w="7720" w:type="dxa"/>
            <w:vAlign w:val="bottom"/>
          </w:tcPr>
          <w:p>
            <w:pPr>
              <w:ind w:left="20"/>
              <w:spacing w:after="0"/>
              <w:rPr>
                <w:sz w:val="20"/>
                <w:szCs w:val="20"/>
                <w:color w:val="auto"/>
              </w:rPr>
            </w:pPr>
            <w:r>
              <w:rPr>
                <w:rFonts w:ascii="Arial" w:cs="Arial" w:eastAsia="Arial" w:hAnsi="Arial"/>
                <w:sz w:val="14"/>
                <w:szCs w:val="14"/>
                <w:color w:val="auto"/>
              </w:rPr>
              <w:t>Katahdin Railcar Services LLC</w:t>
            </w:r>
          </w:p>
        </w:tc>
        <w:tc>
          <w:tcPr>
            <w:tcW w:w="3640" w:type="dxa"/>
            <w:vAlign w:val="bottom"/>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360"/>
          </w:cols>
          <w:pgMar w:left="280" w:top="707" w:right="259" w:bottom="1440" w:gutter="0" w:footer="0" w:header="0"/>
        </w:sectPr>
      </w:pPr>
    </w:p>
    <w:bookmarkStart w:id="169" w:name="page170"/>
    <w:bookmarkEnd w:id="169"/>
    <w:p>
      <w:pPr>
        <w:jc w:val="center"/>
        <w:ind w:right="-39"/>
        <w:spacing w:after="0"/>
        <w:rPr>
          <w:sz w:val="20"/>
          <w:szCs w:val="20"/>
          <w:color w:val="auto"/>
        </w:rPr>
      </w:pPr>
      <w:r>
        <w:rPr>
          <w:rFonts w:ascii="Arial" w:cs="Arial" w:eastAsia="Arial" w:hAnsi="Arial"/>
          <w:sz w:val="16"/>
          <w:szCs w:val="16"/>
          <w:b w:val="1"/>
          <w:bCs w:val="1"/>
          <w:color w:val="auto"/>
        </w:rPr>
        <w:t>EXHIBIT 23.1</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hereby consent to the incorporation by reference in the Registration Statement on Form S-3 (No. 333-216247) of Fortress Transportation and Infrastructure Investors LLC of our report dated March 8, 2016, except for the change in presentation of debt issuance costs as discussed in Note 2 to the consolidated financial statements, as to which the date is February 24, 2017, relating to the financial statements, which appears in this Form 10-K.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 2018</w:t>
      </w:r>
    </w:p>
    <w:p>
      <w:pPr>
        <w:sectPr>
          <w:pgSz w:w="11900" w:h="16838" w:orient="portrait"/>
          <w:cols w:equalWidth="0" w:num="1">
            <w:col w:w="11400"/>
          </w:cols>
          <w:pgMar w:left="240" w:top="554" w:right="259" w:bottom="1440" w:gutter="0" w:footer="0" w:header="0"/>
        </w:sectPr>
      </w:pPr>
    </w:p>
    <w:bookmarkStart w:id="170" w:name="page171"/>
    <w:bookmarkEnd w:id="170"/>
    <w:p>
      <w:pPr>
        <w:jc w:val="center"/>
        <w:ind w:right="-59"/>
        <w:spacing w:after="0"/>
        <w:rPr>
          <w:sz w:val="20"/>
          <w:szCs w:val="20"/>
          <w:color w:val="auto"/>
        </w:rPr>
      </w:pPr>
      <w:r>
        <w:rPr>
          <w:rFonts w:ascii="Arial" w:cs="Arial" w:eastAsia="Arial" w:hAnsi="Arial"/>
          <w:sz w:val="16"/>
          <w:szCs w:val="16"/>
          <w:b w:val="1"/>
          <w:bCs w:val="1"/>
          <w:color w:val="333333"/>
        </w:rPr>
        <w:t>EXHIBIT 23.2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333333"/>
        </w:rPr>
        <w:t>Consent of Independent Registered Public Accounting Firm</w:t>
      </w: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16"/>
          <w:szCs w:val="16"/>
          <w:color w:val="333333"/>
        </w:rPr>
        <w:t>We consent to the incorporation by reference in the Registration Statement (Form S-3 No. 333- 216247) of Fortress Transportation and Infrastructure Investors LLC and in the related Prospectus of our reports dated March 1, 2018, with respect to the consolidated financial statements of Fortress Transportation and Infrastructure Investors LLC and Intermodal Finance I Ltd., and the effectiveness of internal control over financial reporting of Fortress Transportation and Infrastructure Investors LLC, included in this Annual Report (Form 10-K) for the year ended December 31, 2017.</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333333"/>
        </w:rPr>
        <w:t>/s/ 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 2018</w:t>
      </w:r>
    </w:p>
    <w:p>
      <w:pPr>
        <w:sectPr>
          <w:pgSz w:w="11900" w:h="16838" w:orient="portrait"/>
          <w:cols w:equalWidth="0" w:num="1">
            <w:col w:w="11380"/>
          </w:cols>
          <w:pgMar w:left="240" w:top="554" w:right="27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 Joseph P. Adams. Jr., certify that:</w:t>
      </w:r>
    </w:p>
    <w:p>
      <w:pPr>
        <w:spacing w:after="0" w:line="225"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Fortress Transportation and Infrastructure Investors LLC (the “registrant”);</w:t>
      </w:r>
    </w:p>
    <w:p>
      <w:pPr>
        <w:spacing w:after="0" w:line="171"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8"/>
        <w:spacing w:after="0" w:line="264" w:lineRule="auto"/>
        <w:tabs>
          <w:tab w:leader="none" w:pos="31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80" w:firstLine="656"/>
        <w:spacing w:after="0" w:line="264" w:lineRule="auto"/>
        <w:tabs>
          <w:tab w:leader="none" w:pos="102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1083"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680" w:firstLine="656"/>
        <w:spacing w:after="0" w:line="342" w:lineRule="auto"/>
        <w:tabs>
          <w:tab w:leader="none" w:pos="1028"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right="140" w:firstLine="656"/>
        <w:spacing w:after="0" w:line="264" w:lineRule="auto"/>
        <w:tabs>
          <w:tab w:leader="none" w:pos="103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362"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656"/>
        <w:spacing w:after="0" w:line="277" w:lineRule="auto"/>
        <w:tabs>
          <w:tab w:leader="none" w:pos="101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0" w:firstLine="656"/>
        <w:spacing w:after="0" w:line="277" w:lineRule="auto"/>
        <w:tabs>
          <w:tab w:leader="none" w:pos="102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March 1, 2018</w:t>
            </w:r>
          </w:p>
        </w:tc>
        <w:tc>
          <w:tcPr>
            <w:tcW w:w="5700" w:type="dxa"/>
            <w:vAlign w:val="bottom"/>
          </w:tcPr>
          <w:p>
            <w:pPr>
              <w:ind w:left="20"/>
              <w:spacing w:after="0"/>
              <w:rPr>
                <w:sz w:val="20"/>
                <w:szCs w:val="20"/>
                <w:color w:val="auto"/>
              </w:rPr>
            </w:pPr>
            <w:r>
              <w:rPr>
                <w:rFonts w:ascii="Arial" w:cs="Arial" w:eastAsia="Arial" w:hAnsi="Arial"/>
                <w:sz w:val="18"/>
                <w:szCs w:val="18"/>
                <w:color w:val="auto"/>
              </w:rPr>
              <w:t>/s/ Joseph P. Adams, Jr.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Joseph P. Adams, Jr.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80"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Scott Christopher, certify that:</w:t>
      </w:r>
    </w:p>
    <w:p>
      <w:pPr>
        <w:spacing w:after="0" w:line="225" w:lineRule="exact"/>
        <w:rPr>
          <w:sz w:val="20"/>
          <w:szCs w:val="20"/>
          <w:color w:val="auto"/>
        </w:rPr>
      </w:pP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Fortress Transportation and Infrastructure Investors LLC (the “registrant”);</w:t>
      </w:r>
    </w:p>
    <w:p>
      <w:pPr>
        <w:spacing w:after="0" w:line="171"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8"/>
        <w:spacing w:after="0" w:line="264" w:lineRule="auto"/>
        <w:tabs>
          <w:tab w:leader="none" w:pos="3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80" w:firstLine="656"/>
        <w:spacing w:after="0" w:line="264" w:lineRule="auto"/>
        <w:tabs>
          <w:tab w:leader="none" w:pos="102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1083"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680" w:firstLine="656"/>
        <w:spacing w:after="0" w:line="342" w:lineRule="auto"/>
        <w:tabs>
          <w:tab w:leader="none" w:pos="1028"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right="140" w:firstLine="656"/>
        <w:spacing w:after="0" w:line="264" w:lineRule="auto"/>
        <w:tabs>
          <w:tab w:leader="none" w:pos="103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362"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656"/>
        <w:spacing w:after="0" w:line="277" w:lineRule="auto"/>
        <w:tabs>
          <w:tab w:leader="none" w:pos="101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0" w:firstLine="656"/>
        <w:spacing w:after="0" w:line="277" w:lineRule="auto"/>
        <w:tabs>
          <w:tab w:leader="none" w:pos="102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March 1, 2018</w:t>
            </w:r>
          </w:p>
        </w:tc>
        <w:tc>
          <w:tcPr>
            <w:tcW w:w="5700" w:type="dxa"/>
            <w:vAlign w:val="bottom"/>
          </w:tcPr>
          <w:p>
            <w:pPr>
              <w:ind w:left="20"/>
              <w:spacing w:after="0"/>
              <w:rPr>
                <w:sz w:val="20"/>
                <w:szCs w:val="20"/>
                <w:color w:val="auto"/>
              </w:rPr>
            </w:pPr>
            <w:r>
              <w:rPr>
                <w:rFonts w:ascii="Arial" w:cs="Arial" w:eastAsia="Arial" w:hAnsi="Arial"/>
                <w:sz w:val="18"/>
                <w:szCs w:val="18"/>
                <w:color w:val="auto"/>
              </w:rPr>
              <w:t>/s/ Scott Christopher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Scott Christopher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81" w:right="239" w:bottom="1440" w:gutter="0" w:footer="0" w:header="0"/>
        </w:sectPr>
      </w:pPr>
    </w:p>
    <w:bookmarkStart w:id="173" w:name="page174"/>
    <w:bookmarkEnd w:id="173"/>
    <w:p>
      <w:pPr>
        <w:jc w:val="center"/>
        <w:ind w:right="-3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Annual Report on Form 10-K of Fortress Transportation and Infrastructure Investors LLC (the “Company”) for the annual period ended December 31, 2017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P. Adams,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 2018</w:t>
      </w:r>
    </w:p>
    <w:p>
      <w:pPr>
        <w:spacing w:after="0" w:line="25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00"/>
          </w:cols>
          <w:pgMar w:left="240" w:top="581" w:right="25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Annual Report on Form 10-K of Fortress Transportation and Infrastructure Investors LLC (the “Company”) for the annual period ended December 31, 2017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Christopher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2018</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00"/>
      </w:cols>
      <w:pgMar w:left="240" w:top="58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lvl w:ilvl="1">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lowerLetter"/>
      <w:start w:val="2"/>
    </w:lvl>
  </w:abstractNum>
  <w:abstractNum w:abstractNumId="20">
    <w:nsid w:val="374A3FE6"/>
    <w:multiLevelType w:val="hybridMultilevel"/>
    <w:lvl w:ilvl="0">
      <w:lvlJc w:val="left"/>
      <w:lvlText w:val="(%1)"/>
      <w:numFmt w:val="lowerLetter"/>
      <w:start w:val="2"/>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3"/>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1)"/>
      <w:numFmt w:val="decimal"/>
      <w:start w:val="1"/>
    </w:lvl>
  </w:abstractNum>
  <w:abstractNum w:abstractNumId="26">
    <w:nsid w:val="1CF10FD8"/>
    <w:multiLevelType w:val="hybridMultilevel"/>
    <w:lvl w:ilvl="0">
      <w:lvlJc w:val="left"/>
      <w:lvlText w:val="(%1)"/>
      <w:numFmt w:val="decimal"/>
      <w:start w:val="2"/>
    </w:lvl>
    <w:lvl w:ilvl="1">
      <w:lvlJc w:val="left"/>
      <w:lvlText w:val="(%2)"/>
      <w:numFmt w:val="lowerRoman"/>
      <w:start w:val="2"/>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2"/>
    </w:lvl>
  </w:abstractNum>
  <w:abstractNum w:abstractNumId="29">
    <w:nsid w:val="47398C89"/>
    <w:multiLevelType w:val="hybridMultilevel"/>
    <w:lvl w:ilvl="0">
      <w:lvlJc w:val="left"/>
      <w:lvlText w:val="(%1)"/>
      <w:numFmt w:val="decimal"/>
      <w:start w:val="1"/>
    </w:lvl>
    <w:lvl w:ilvl="1">
      <w:lvlJc w:val="left"/>
      <w:lvlText w:val="(%2)"/>
      <w:numFmt w:val="lowerRoman"/>
      <w:start w:val="2"/>
    </w:lvl>
  </w:abstractNum>
  <w:abstractNum w:abstractNumId="30">
    <w:nsid w:val="354FE9F9"/>
    <w:multiLevelType w:val="hybridMultilevel"/>
    <w:lvl w:ilvl="0">
      <w:lvlJc w:val="left"/>
      <w:lvlText w:val="(%1)"/>
      <w:numFmt w:val="decimal"/>
      <w:start w:val="3"/>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1)"/>
      <w:numFmt w:val="decimal"/>
      <w:start w:val="1"/>
    </w:lvl>
    <w:lvl w:ilvl="1">
      <w:lvlJc w:val="left"/>
      <w:lvlText w:val="(%2)"/>
      <w:numFmt w:val="lowerRoman"/>
      <w:start w:val="2"/>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1"/>
      <w:numFmt w:val="decimal"/>
      <w:start w:val="1"/>
    </w:lvl>
    <w:lvl w:ilvl="1">
      <w:lvlJc w:val="left"/>
      <w:lvlText w:val="(%2)"/>
      <w:numFmt w:val="decimal"/>
      <w:start w:val="1"/>
    </w:lvl>
  </w:abstractNum>
  <w:abstractNum w:abstractNumId="35">
    <w:nsid w:val="3F6AB60F"/>
    <w:multiLevelType w:val="hybridMultilevel"/>
    <w:lvl w:ilvl="0">
      <w:lvlJc w:val="left"/>
      <w:lvlText w:val="(%1)"/>
      <w:numFmt w:val="decimal"/>
      <w:start w:val="2"/>
    </w:lvl>
    <w:lvl w:ilvl="1">
      <w:lvlJc w:val="left"/>
      <w:lvlText w:val="%2"/>
      <w:numFmt w:val="decimal"/>
      <w:start w:val="1"/>
    </w:lvl>
  </w:abstractNum>
  <w:abstractNum w:abstractNumId="36">
    <w:nsid w:val="61574095"/>
    <w:multiLevelType w:val="hybridMultilevel"/>
    <w:lvl w:ilvl="0">
      <w:lvlJc w:val="left"/>
      <w:lvlText w:val="(%1)"/>
      <w:numFmt w:val="decimal"/>
      <w:start w:val="3"/>
    </w:lvl>
  </w:abstractNum>
  <w:abstractNum w:abstractNumId="37">
    <w:nsid w:val="7E0C57B1"/>
    <w:multiLevelType w:val="hybridMultilevel"/>
    <w:lvl w:ilvl="0">
      <w:lvlJc w:val="left"/>
      <w:lvlText w:val="(%1)"/>
      <w:numFmt w:val="decimal"/>
      <w:start w:val="5"/>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decimal"/>
      <w:start w:val="2"/>
    </w:lvl>
    <w:lvl w:ilvl="1">
      <w:lvlJc w:val="left"/>
      <w:lvlText w:val="(%2)"/>
      <w:numFmt w:val="lowerRoman"/>
      <w:start w:val="2"/>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2"/>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2"/>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2"/>
    </w:lvl>
    <w:lvl w:ilvl="1">
      <w:lvlJc w:val="left"/>
      <w:lvlText w:val="(%2)"/>
      <w:numFmt w:val="lowerRoman"/>
      <w:start w:val="2"/>
    </w:lvl>
  </w:abstractNum>
  <w:abstractNum w:abstractNumId="47">
    <w:nsid w:val="1381823A"/>
    <w:multiLevelType w:val="hybridMultilevel"/>
    <w:lvl w:ilvl="0">
      <w:lvlJc w:val="left"/>
      <w:lvlText w:val="(%1)"/>
      <w:numFmt w:val="lowerRoman"/>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1)"/>
      <w:numFmt w:val="lowerRoman"/>
      <w:start w:val="3"/>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lowerRoman"/>
      <w:start w:val="3"/>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3"/>
    </w:lvl>
  </w:abstractNum>
  <w:abstractNum w:abstractNumId="58">
    <w:nsid w:val="1EBA5D23"/>
    <w:multiLevelType w:val="hybridMultilevel"/>
    <w:lvl w:ilvl="0">
      <w:lvlJc w:val="left"/>
      <w:lvlText w:val="%1."/>
      <w:numFmt w:val="decimal"/>
      <w:start w:val="4"/>
    </w:lvl>
  </w:abstractNum>
  <w:abstractNum w:abstractNumId="59">
    <w:nsid w:val="661E3F1E"/>
    <w:multiLevelType w:val="hybridMultilevel"/>
    <w:lvl w:ilvl="0">
      <w:lvlJc w:val="left"/>
      <w:lvlText w:val="%1."/>
      <w:numFmt w:val="decimal"/>
      <w:start w:val="5"/>
    </w:lvl>
  </w:abstractNum>
  <w:abstractNum w:abstractNumId="60">
    <w:nsid w:val="5DC79EA8"/>
    <w:multiLevelType w:val="hybridMultilevel"/>
    <w:lvl w:ilvl="0">
      <w:lvlJc w:val="left"/>
      <w:lvlText w:val="%1."/>
      <w:numFmt w:val="decimal"/>
      <w:start w:val="6"/>
    </w:lvl>
  </w:abstractNum>
  <w:abstractNum w:abstractNumId="61">
    <w:nsid w:val="540A471C"/>
    <w:multiLevelType w:val="hybridMultilevel"/>
    <w:lvl w:ilvl="0">
      <w:lvlJc w:val="left"/>
      <w:lvlText w:val="%1."/>
      <w:numFmt w:val="decimal"/>
      <w:start w:val="7"/>
    </w:lvl>
  </w:abstractNum>
  <w:abstractNum w:abstractNumId="62">
    <w:nsid w:val="7BD3EE7B"/>
    <w:multiLevelType w:val="hybridMultilevel"/>
    <w:lvl w:ilvl="0">
      <w:lvlJc w:val="left"/>
      <w:lvlText w:val="%1."/>
      <w:numFmt w:val="decimal"/>
      <w:start w:val="9"/>
    </w:lvl>
    <w:lvl w:ilvl="1">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1."/>
      <w:numFmt w:val="decimal"/>
      <w:start w:val="10"/>
    </w:lvl>
  </w:abstractNum>
  <w:abstractNum w:abstractNumId="65">
    <w:nsid w:val="BF72B14"/>
    <w:multiLevelType w:val="hybridMultilevel"/>
    <w:lvl w:ilvl="0">
      <w:lvlJc w:val="left"/>
      <w:lvlText w:val="%1."/>
      <w:numFmt w:val="decimal"/>
      <w:start w:val="11"/>
    </w:lvl>
  </w:abstractNum>
  <w:abstractNum w:abstractNumId="66">
    <w:nsid w:val="11447B73"/>
    <w:multiLevelType w:val="hybridMultilevel"/>
    <w:lvl w:ilvl="0">
      <w:lvlJc w:val="left"/>
      <w:lvlText w:val="%1."/>
      <w:numFmt w:val="decimal"/>
      <w:start w:val="12"/>
    </w:lvl>
  </w:abstractNum>
  <w:abstractNum w:abstractNumId="67">
    <w:nsid w:val="42963E5A"/>
    <w:multiLevelType w:val="hybridMultilevel"/>
    <w:lvl w:ilvl="0">
      <w:lvlJc w:val="left"/>
      <w:lvlText w:val="%1."/>
      <w:numFmt w:val="decimal"/>
      <w:start w:val="13"/>
    </w:lvl>
  </w:abstractNum>
  <w:abstractNum w:abstractNumId="68">
    <w:nsid w:val="A0382C5"/>
    <w:multiLevelType w:val="hybridMultilevel"/>
    <w:lvl w:ilvl="0">
      <w:lvlJc w:val="left"/>
      <w:lvlText w:val="%1."/>
      <w:numFmt w:val="decimal"/>
      <w:start w:val="14"/>
    </w:lvl>
  </w:abstractNum>
  <w:abstractNum w:abstractNumId="69">
    <w:nsid w:val="8F2B15E"/>
    <w:multiLevelType w:val="hybridMultilevel"/>
    <w:lvl w:ilvl="0">
      <w:lvlJc w:val="left"/>
      <w:lvlText w:val="%1."/>
      <w:numFmt w:val="decimal"/>
      <w:start w:val="15"/>
    </w:lvl>
  </w:abstractNum>
  <w:abstractNum w:abstractNumId="70">
    <w:nsid w:val="1A32234B"/>
    <w:multiLevelType w:val="hybridMultilevel"/>
    <w:lvl w:ilvl="0">
      <w:lvlJc w:val="left"/>
      <w:lvlText w:val="%1."/>
      <w:numFmt w:val="decimal"/>
      <w:start w:val="16"/>
    </w:lvl>
  </w:abstractNum>
  <w:abstractNum w:abstractNumId="71">
    <w:nsid w:val="3B0FD379"/>
    <w:multiLevelType w:val="hybridMultilevel"/>
    <w:lvl w:ilvl="0">
      <w:lvlJc w:val="left"/>
      <w:lvlText w:val="%1."/>
      <w:numFmt w:val="decimal"/>
      <w:start w:val="17"/>
    </w:lvl>
  </w:abstractNum>
  <w:abstractNum w:abstractNumId="72">
    <w:nsid w:val="68EB2F63"/>
    <w:multiLevelType w:val="hybridMultilevel"/>
    <w:lvl w:ilvl="0">
      <w:lvlJc w:val="left"/>
      <w:lvlText w:val="%1."/>
      <w:numFmt w:val="decimal"/>
      <w:start w:val="18"/>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decimal"/>
      <w:start w:val="3"/>
    </w:lvl>
  </w:abstractNum>
  <w:abstractNum w:abstractNumId="75">
    <w:nsid w:val="6A5EE64"/>
    <w:multiLevelType w:val="hybridMultilevel"/>
    <w:lvl w:ilvl="0">
      <w:lvlJc w:val="left"/>
      <w:lvlText w:val="%1."/>
      <w:numFmt w:val="decimal"/>
      <w:start w:val="4"/>
    </w:lvl>
  </w:abstractNum>
  <w:abstractNum w:abstractNumId="76">
    <w:nsid w:val="14330624"/>
    <w:multiLevelType w:val="hybridMultilevel"/>
    <w:lvl w:ilvl="0">
      <w:lvlJc w:val="left"/>
      <w:lvlText w:val="%1."/>
      <w:numFmt w:val="decimal"/>
      <w:start w:val="5"/>
    </w:lvl>
  </w:abstractNum>
  <w:abstractNum w:abstractNumId="77">
    <w:nsid w:val="7FFFCA11"/>
    <w:multiLevelType w:val="hybridMultilevel"/>
    <w:lvl w:ilvl="0">
      <w:lvlJc w:val="left"/>
      <w:lvlText w:val="%1."/>
      <w:numFmt w:val="decimal"/>
      <w:start w:val="6"/>
    </w:lvl>
  </w:abstractNum>
  <w:abstractNum w:abstractNumId="78">
    <w:nsid w:val="1A27709E"/>
    <w:multiLevelType w:val="hybridMultilevel"/>
    <w:lvl w:ilvl="0">
      <w:lvlJc w:val="left"/>
      <w:lvlText w:val="%1."/>
      <w:numFmt w:val="decimal"/>
      <w:start w:val="7"/>
    </w:lvl>
    <w:lvl w:ilvl="1">
      <w:lvlJc w:val="left"/>
      <w:lvlText w:val="•"/>
      <w:numFmt w:val="bullet"/>
      <w:start w:val="1"/>
    </w:lvl>
  </w:abstractNum>
  <w:abstractNum w:abstractNumId="79">
    <w:nsid w:val="71EA1109"/>
    <w:multiLevelType w:val="hybridMultilevel"/>
    <w:lvl w:ilvl="0">
      <w:lvlJc w:val="left"/>
      <w:lvlText w:val="%1."/>
      <w:numFmt w:val="decimal"/>
      <w:start w:val="8"/>
    </w:lvl>
  </w:abstractNum>
  <w:abstractNum w:abstractNumId="80">
    <w:nsid w:val="100F59DC"/>
    <w:multiLevelType w:val="hybridMultilevel"/>
    <w:lvl w:ilvl="0">
      <w:lvlJc w:val="left"/>
      <w:lvlText w:val="%1"/>
      <w:numFmt w:val="upperLetter"/>
      <w:start w:val="35"/>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44"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27" Type="http://schemas.openxmlformats.org/officeDocument/2006/relationships/hyperlink" Target="http://www.sec.gov/Archives/edgar/data/1590364/000119312515163776/d616610dex31.htm" TargetMode="External"/><Relationship Id="rId28" Type="http://schemas.openxmlformats.org/officeDocument/2006/relationships/hyperlink" Target="http://www.sec.gov/Archives/edgar/data/1590364/000119312515197222/d931434dex31.htm" TargetMode="External"/><Relationship Id="rId29" Type="http://schemas.openxmlformats.org/officeDocument/2006/relationships/hyperlink" Target="http://www.sec.gov/Archives/edgar/data/1590364/000159036416000014/ftai12312015exhibit33.htm" TargetMode="External"/><Relationship Id="rId30" Type="http://schemas.openxmlformats.org/officeDocument/2006/relationships/hyperlink" Target="http://www.sec.gov/Archives/edgar/data/1590364/000095015717000381/ex4-1.htm" TargetMode="External"/><Relationship Id="rId31" Type="http://schemas.openxmlformats.org/officeDocument/2006/relationships/hyperlink" Target="http://www.sec.gov/Archives/edgar/data/1590364/000095015717000381/0000950157-17-000381-index.htm" TargetMode="External"/><Relationship Id="rId32" Type="http://schemas.openxmlformats.org/officeDocument/2006/relationships/hyperlink" Target="http://www.sec.gov/Archives/edgar/data/1590364/000095015717001232/ex4-1.htm" TargetMode="External"/><Relationship Id="rId33" Type="http://schemas.openxmlformats.org/officeDocument/2006/relationships/hyperlink" Target="http://www.sec.gov/Archives/edgar/data/1590364/000114036117046889/s001999x5_ex4-1.htm" TargetMode="External"/><Relationship Id="rId34" Type="http://schemas.openxmlformats.org/officeDocument/2006/relationships/hyperlink" Target="http://www.sec.gov/Archives/edgar/data/1590364/000119312515197222/d931434dex101.htm" TargetMode="External"/><Relationship Id="rId35" Type="http://schemas.openxmlformats.org/officeDocument/2006/relationships/hyperlink" Target="http://www.sec.gov/Archives/edgar/data/1590364/000119312515197222/d931434dex102.htm" TargetMode="External"/><Relationship Id="rId36" Type="http://schemas.openxmlformats.org/officeDocument/2006/relationships/hyperlink" Target="http://www.sec.gov/Archives/edgar/data/1590364/000119312515163776/d616610dex103.htm" TargetMode="External"/><Relationship Id="rId37" Type="http://schemas.openxmlformats.org/officeDocument/2006/relationships/hyperlink" Target="http://www.sec.gov/Archives/edgar/data/1590364/000119312515197222/d931434dex103.htm" TargetMode="External"/><Relationship Id="rId38" Type="http://schemas.openxmlformats.org/officeDocument/2006/relationships/hyperlink" Target="http://www.sec.gov/Archives/edgar/data/1590364/000119312515163776/d616610dex105.htm" TargetMode="External"/><Relationship Id="rId39" Type="http://schemas.openxmlformats.org/officeDocument/2006/relationships/hyperlink" Target="http://www.sec.gov/Archives/edgar/data/1590364/000119312515163776/d616610dex106.htm" TargetMode="External"/><Relationship Id="rId40" Type="http://schemas.openxmlformats.org/officeDocument/2006/relationships/hyperlink" Target="http://www.sec.gov/Archives/edgar/data/1590364/000159036416000014/ftai12312015exhibit107.htm" TargetMode="External"/><Relationship Id="rId41" Type="http://schemas.openxmlformats.org/officeDocument/2006/relationships/hyperlink" Target="http://www.sec.gov/Archives/edgar/data/1590364/000159036416000014/ftai12312015exhibit108.htm" TargetMode="External"/><Relationship Id="rId42" Type="http://schemas.openxmlformats.org/officeDocument/2006/relationships/hyperlink" Target="http://www.sec.gov/Archives/edgar/data/1590364/000159036416000014/ftai12312015exhibit109.htm" TargetMode="External"/><Relationship Id="rId43" Type="http://schemas.openxmlformats.org/officeDocument/2006/relationships/hyperlink" Target="http://www.sec.gov/Archives/edgar/data/1590364/000159036416000014/ftai12312015exhibit1010.htm" TargetMode="External"/><Relationship Id="rId45" Type="http://schemas.openxmlformats.org/officeDocument/2006/relationships/hyperlink" Target="http://www.sec.gov/Archives/edgar/data/1590364/000159036416000014/0001590364-16-000014-index.htm" TargetMode="External"/><Relationship Id="rId46" Type="http://schemas.openxmlformats.org/officeDocument/2006/relationships/hyperlink" Target="http://www.sec.gov/Archives/edgar/data/1590364/000159036416000014/ftai12312015exhibit1012.htm" TargetMode="External"/><Relationship Id="rId47" Type="http://schemas.openxmlformats.org/officeDocument/2006/relationships/hyperlink" Target="http://www.sec.gov/Archives/edgar/data/1590364/000156761917000090/s001516x1_ex10-1.htm" TargetMode="External"/><Relationship Id="rId48" Type="http://schemas.openxmlformats.org/officeDocument/2006/relationships/hyperlink" Target="http://www.sec.gov/Archives/edgar/data/1590364/000156761917001299/s001761x1_ex10-1.htm" TargetMode="External"/><Relationship Id="rId49" Type="http://schemas.openxmlformats.org/officeDocument/2006/relationships/hyperlink" Target="http://www.sec.gov/Archives/edgar/data/1590364/000114036118002262/s002014x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2019-12-29T00:41:09Z</dcterms:created>
  <dcterms:modified xsi:type="dcterms:W3CDTF">2019-12-29T00:41:09Z</dcterms:modified>
</cp:coreProperties>
</file>