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65" w:lineRule="exact"/>
        <w:rPr>
          <w:sz w:val="24"/>
          <w:szCs w:val="24"/>
          <w:color w:val="auto"/>
        </w:rPr>
      </w:pPr>
    </w:p>
    <w:p>
      <w:pPr>
        <w:ind w:left="2520" w:hanging="202"/>
        <w:spacing w:after="0"/>
        <w:tabs>
          <w:tab w:leader="none" w:pos="252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QUARTERLY REPORT PURSUANT TO SECTION 13 OR 15(d) OF THE SECURITIES EXCHANGE ACT OF 1934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 the quarterly period ended September 30, 2026</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OR</w:t>
      </w:r>
    </w:p>
    <w:p>
      <w:pPr>
        <w:spacing w:after="0" w:line="126" w:lineRule="exact"/>
        <w:rPr>
          <w:sz w:val="24"/>
          <w:szCs w:val="24"/>
          <w:color w:val="auto"/>
        </w:rPr>
      </w:pPr>
    </w:p>
    <w:p>
      <w:pPr>
        <w:ind w:left="2520" w:hanging="202"/>
        <w:spacing w:after="0"/>
        <w:tabs>
          <w:tab w:leader="none" w:pos="2520" w:val="left"/>
        </w:tabs>
        <w:numPr>
          <w:ilvl w:val="0"/>
          <w:numId w:val="2"/>
        </w:numPr>
        <w:rPr>
          <w:rFonts w:ascii="MS PGothic" w:cs="MS PGothic" w:eastAsia="MS PGothic" w:hAnsi="MS PGothic"/>
          <w:sz w:val="14"/>
          <w:szCs w:val="14"/>
          <w:color w:val="auto"/>
        </w:rPr>
      </w:pPr>
      <w:r>
        <w:rPr>
          <w:rFonts w:ascii="Arial" w:cs="Arial" w:eastAsia="Arial" w:hAnsi="Arial"/>
          <w:sz w:val="13"/>
          <w:szCs w:val="13"/>
          <w:color w:val="auto"/>
        </w:rPr>
        <w:t>TRANSITION REPORT PURSUANT TO SECTION 13 OR 15(d) OF THE SECURITIES EXCHANGE ACT OF 1934</w:t>
      </w:r>
    </w:p>
    <w:p>
      <w:pPr>
        <w:spacing w:after="0" w:line="15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 the transition period from ____ to ____</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59690</wp:posOffset>
            </wp:positionV>
            <wp:extent cx="1017270" cy="390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7270" cy="390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60" w:type="dxa"/>
            <w:vAlign w:val="bottom"/>
            <w:gridSpan w:val="7"/>
          </w:tcPr>
          <w:p>
            <w:pPr>
              <w:jc w:val="center"/>
              <w:ind w:right="60"/>
              <w:spacing w:after="0"/>
              <w:rPr>
                <w:sz w:val="20"/>
                <w:szCs w:val="20"/>
                <w:color w:val="auto"/>
              </w:rPr>
            </w:pPr>
            <w:r>
              <w:rPr>
                <w:rFonts w:ascii="Arial" w:cs="Arial" w:eastAsia="Arial" w:hAnsi="Arial"/>
                <w:sz w:val="13"/>
                <w:szCs w:val="13"/>
                <w:b w:val="1"/>
                <w:bCs w:val="1"/>
                <w:color w:val="auto"/>
                <w:w w:val="94"/>
              </w:rPr>
              <w:t>FTAI AVIATION LTD.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7"/>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60" w:type="dxa"/>
            <w:vAlign w:val="bottom"/>
            <w:gridSpan w:val="7"/>
          </w:tcPr>
          <w:p>
            <w:pPr>
              <w:jc w:val="center"/>
              <w:ind w:right="40"/>
              <w:spacing w:after="0"/>
              <w:rPr>
                <w:sz w:val="20"/>
                <w:szCs w:val="20"/>
                <w:color w:val="auto"/>
              </w:rPr>
            </w:pPr>
            <w:r>
              <w:rPr>
                <w:rFonts w:ascii="Arial" w:cs="Arial" w:eastAsia="Arial" w:hAnsi="Arial"/>
                <w:sz w:val="13"/>
                <w:szCs w:val="13"/>
                <w:color w:val="auto"/>
                <w:w w:val="97"/>
              </w:rPr>
              <w:t>(Exact name of registrant as specified in its charter)</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9"/>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center"/>
              <w:ind w:left="2476"/>
              <w:spacing w:after="0"/>
              <w:rPr>
                <w:sz w:val="20"/>
                <w:szCs w:val="20"/>
                <w:color w:val="auto"/>
              </w:rPr>
            </w:pPr>
            <w:r>
              <w:rPr>
                <w:rFonts w:ascii="Arial" w:cs="Arial" w:eastAsia="Arial" w:hAnsi="Arial"/>
                <w:sz w:val="13"/>
                <w:szCs w:val="13"/>
                <w:b w:val="1"/>
                <w:bCs w:val="1"/>
                <w:color w:val="auto"/>
                <w:w w:val="96"/>
              </w:rPr>
              <w:t>Cayman Islands</w:t>
            </w:r>
          </w:p>
        </w:tc>
        <w:tc>
          <w:tcPr>
            <w:tcW w:w="2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right"/>
              <w:ind w:right="2076"/>
              <w:spacing w:after="0"/>
              <w:rPr>
                <w:sz w:val="20"/>
                <w:szCs w:val="20"/>
                <w:color w:val="auto"/>
              </w:rPr>
            </w:pPr>
            <w:r>
              <w:rPr>
                <w:rFonts w:ascii="Arial" w:cs="Arial" w:eastAsia="Arial" w:hAnsi="Arial"/>
                <w:sz w:val="13"/>
                <w:szCs w:val="13"/>
                <w:b w:val="1"/>
                <w:bCs w:val="1"/>
                <w:color w:val="auto"/>
              </w:rPr>
              <w:t>98-1420784</w:t>
            </w:r>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800" w:type="dxa"/>
            <w:vAlign w:val="bottom"/>
            <w:gridSpan w:val="3"/>
          </w:tcPr>
          <w:p>
            <w:pPr>
              <w:jc w:val="center"/>
              <w:ind w:left="296"/>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3"/>
          </w:tcPr>
          <w:p>
            <w:pPr>
              <w:jc w:val="center"/>
              <w:ind w:right="1336"/>
              <w:spacing w:after="0"/>
              <w:rPr>
                <w:sz w:val="20"/>
                <w:szCs w:val="20"/>
                <w:color w:val="auto"/>
              </w:rPr>
            </w:pPr>
            <w:r>
              <w:rPr>
                <w:rFonts w:ascii="Arial" w:cs="Arial" w:eastAsia="Arial" w:hAnsi="Arial"/>
                <w:sz w:val="13"/>
                <w:szCs w:val="13"/>
                <w:color w:val="auto"/>
                <w:w w:val="97"/>
              </w:rPr>
              <w:t>(I.R.S. Employer Identification No.)</w:t>
            </w:r>
          </w:p>
        </w:tc>
        <w:tc>
          <w:tcPr>
            <w:tcW w:w="20" w:type="dxa"/>
            <w:vAlign w:val="bottom"/>
          </w:tcPr>
          <w:p>
            <w:pPr>
              <w:spacing w:after="0"/>
              <w:rPr>
                <w:sz w:val="14"/>
                <w:szCs w:val="14"/>
                <w:color w:val="auto"/>
              </w:rPr>
            </w:pPr>
          </w:p>
        </w:tc>
      </w:tr>
      <w:tr>
        <w:trPr>
          <w:trHeight w:val="353"/>
        </w:trPr>
        <w:tc>
          <w:tcPr>
            <w:tcW w:w="20" w:type="dxa"/>
            <w:vAlign w:val="bottom"/>
          </w:tcPr>
          <w:p>
            <w:pPr>
              <w:spacing w:after="0"/>
              <w:rPr>
                <w:sz w:val="24"/>
                <w:szCs w:val="24"/>
                <w:color w:val="auto"/>
              </w:rPr>
            </w:pPr>
          </w:p>
        </w:tc>
        <w:tc>
          <w:tcPr>
            <w:tcW w:w="3620" w:type="dxa"/>
            <w:vAlign w:val="bottom"/>
          </w:tcPr>
          <w:p>
            <w:pPr>
              <w:ind w:left="1220"/>
              <w:spacing w:after="0"/>
              <w:rPr>
                <w:sz w:val="20"/>
                <w:szCs w:val="20"/>
                <w:color w:val="auto"/>
              </w:rPr>
            </w:pPr>
            <w:r>
              <w:rPr>
                <w:rFonts w:ascii="Arial" w:cs="Arial" w:eastAsia="Arial" w:hAnsi="Arial"/>
                <w:sz w:val="13"/>
                <w:szCs w:val="13"/>
                <w:b w:val="1"/>
                <w:bCs w:val="1"/>
                <w:color w:val="auto"/>
              </w:rPr>
              <w:t>405 West 13th Street, 3rd Floor</w:t>
            </w:r>
          </w:p>
        </w:tc>
        <w:tc>
          <w:tcPr>
            <w:tcW w:w="2180" w:type="dxa"/>
            <w:vAlign w:val="bottom"/>
            <w:gridSpan w:val="2"/>
          </w:tcPr>
          <w:p>
            <w:pPr>
              <w:ind w:left="1380"/>
              <w:spacing w:after="0"/>
              <w:rPr>
                <w:sz w:val="20"/>
                <w:szCs w:val="20"/>
                <w:color w:val="auto"/>
              </w:rPr>
            </w:pPr>
            <w:r>
              <w:rPr>
                <w:rFonts w:ascii="Arial" w:cs="Arial" w:eastAsia="Arial" w:hAnsi="Arial"/>
                <w:sz w:val="13"/>
                <w:szCs w:val="13"/>
                <w:b w:val="1"/>
                <w:bCs w:val="1"/>
                <w:color w:val="auto"/>
              </w:rPr>
              <w:t>New York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ind w:left="800"/>
              <w:spacing w:after="0"/>
              <w:rPr>
                <w:sz w:val="20"/>
                <w:szCs w:val="20"/>
                <w:color w:val="auto"/>
              </w:rPr>
            </w:pPr>
            <w:r>
              <w:rPr>
                <w:rFonts w:ascii="Arial" w:cs="Arial" w:eastAsia="Arial" w:hAnsi="Arial"/>
                <w:sz w:val="13"/>
                <w:szCs w:val="13"/>
                <w:b w:val="1"/>
                <w:bCs w:val="1"/>
                <w:color w:val="auto"/>
              </w:rPr>
              <w:t>NY</w:t>
            </w:r>
          </w:p>
        </w:tc>
        <w:tc>
          <w:tcPr>
            <w:tcW w:w="3560" w:type="dxa"/>
            <w:vAlign w:val="bottom"/>
            <w:gridSpan w:val="3"/>
          </w:tcPr>
          <w:p>
            <w:pPr>
              <w:jc w:val="right"/>
              <w:ind w:right="1296"/>
              <w:spacing w:after="0"/>
              <w:rPr>
                <w:sz w:val="20"/>
                <w:szCs w:val="20"/>
                <w:color w:val="auto"/>
              </w:rPr>
            </w:pPr>
            <w:r>
              <w:rPr>
                <w:rFonts w:ascii="Arial" w:cs="Arial" w:eastAsia="Arial" w:hAnsi="Arial"/>
                <w:sz w:val="13"/>
                <w:szCs w:val="13"/>
                <w:b w:val="1"/>
                <w:bCs w:val="1"/>
                <w:color w:val="auto"/>
              </w:rPr>
              <w:t>10014</w:t>
            </w:r>
          </w:p>
        </w:tc>
        <w:tc>
          <w:tcPr>
            <w:tcW w:w="20" w:type="dxa"/>
            <w:vAlign w:val="bottom"/>
          </w:tcPr>
          <w:p>
            <w:pPr>
              <w:spacing w:after="0"/>
              <w:rPr>
                <w:sz w:val="24"/>
                <w:szCs w:val="24"/>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5800" w:type="dxa"/>
            <w:vAlign w:val="bottom"/>
            <w:tcBorders>
              <w:top w:val="single" w:sz="8" w:color="auto"/>
            </w:tcBorders>
            <w:gridSpan w:val="3"/>
          </w:tcPr>
          <w:p>
            <w:pPr>
              <w:ind w:left="2940"/>
              <w:spacing w:after="0"/>
              <w:rPr>
                <w:sz w:val="20"/>
                <w:szCs w:val="20"/>
                <w:color w:val="auto"/>
              </w:rPr>
            </w:pPr>
            <w:r>
              <w:rPr>
                <w:rFonts w:ascii="Arial" w:cs="Arial" w:eastAsia="Arial" w:hAnsi="Arial"/>
                <w:sz w:val="13"/>
                <w:szCs w:val="13"/>
                <w:color w:val="auto"/>
              </w:rPr>
              <w:t>(Address of principal executive offices)</w:t>
            </w: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(Zip Code)</w:t>
            </w:r>
          </w:p>
        </w:tc>
        <w:tc>
          <w:tcPr>
            <w:tcW w:w="20" w:type="dxa"/>
            <w:vAlign w:val="bottom"/>
          </w:tcPr>
          <w:p>
            <w:pPr>
              <w:spacing w:after="0"/>
              <w:rPr>
                <w:sz w:val="14"/>
                <w:szCs w:val="14"/>
                <w:color w:val="auto"/>
              </w:rPr>
            </w:pPr>
          </w:p>
        </w:tc>
      </w:tr>
      <w:tr>
        <w:trPr>
          <w:trHeight w:val="31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60" w:type="dxa"/>
            <w:vAlign w:val="bottom"/>
            <w:gridSpan w:val="7"/>
          </w:tcPr>
          <w:p>
            <w:pPr>
              <w:jc w:val="center"/>
              <w:ind w:right="60"/>
              <w:spacing w:after="0"/>
              <w:rPr>
                <w:sz w:val="20"/>
                <w:szCs w:val="20"/>
                <w:color w:val="auto"/>
              </w:rPr>
            </w:pPr>
            <w:r>
              <w:rPr>
                <w:rFonts w:ascii="Arial" w:cs="Arial" w:eastAsia="Arial" w:hAnsi="Arial"/>
                <w:sz w:val="13"/>
                <w:szCs w:val="13"/>
                <w:color w:val="auto"/>
                <w:w w:val="97"/>
              </w:rPr>
              <w:t xml:space="preserve">(Registrant’s telephone number, including area code) </w:t>
            </w:r>
            <w:r>
              <w:rPr>
                <w:rFonts w:ascii="Arial" w:cs="Arial" w:eastAsia="Arial" w:hAnsi="Arial"/>
                <w:sz w:val="13"/>
                <w:szCs w:val="13"/>
                <w:b w:val="1"/>
                <w:bCs w:val="1"/>
                <w:color w:val="auto"/>
                <w:w w:val="97"/>
              </w:rPr>
              <w:t>(332) 239-7600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1240" w:type="dxa"/>
            <w:vAlign w:val="bottom"/>
            <w:gridSpan w:val="11"/>
          </w:tcPr>
          <w:p>
            <w:pPr>
              <w:jc w:val="center"/>
              <w:spacing w:after="0"/>
              <w:rPr>
                <w:sz w:val="20"/>
                <w:szCs w:val="20"/>
                <w:color w:val="auto"/>
              </w:rPr>
            </w:pPr>
            <w:r>
              <w:rPr>
                <w:rFonts w:ascii="Arial" w:cs="Arial" w:eastAsia="Arial" w:hAnsi="Arial"/>
                <w:sz w:val="13"/>
                <w:szCs w:val="13"/>
                <w:color w:val="auto"/>
                <w:w w:val="97"/>
              </w:rPr>
              <w:t xml:space="preserve">(Former name, former address and former fiscal year, if changed since last report) </w:t>
            </w:r>
            <w:r>
              <w:rPr>
                <w:rFonts w:ascii="Arial" w:cs="Arial" w:eastAsia="Arial" w:hAnsi="Arial"/>
                <w:sz w:val="13"/>
                <w:szCs w:val="13"/>
                <w:b w:val="1"/>
                <w:bCs w:val="1"/>
                <w:color w:val="auto"/>
                <w:w w:val="97"/>
              </w:rPr>
              <w:t>N/A</w:t>
            </w:r>
          </w:p>
        </w:tc>
        <w:tc>
          <w:tcPr>
            <w:tcW w:w="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60" w:type="dxa"/>
            <w:vAlign w:val="bottom"/>
            <w:gridSpan w:val="7"/>
          </w:tcPr>
          <w:p>
            <w:pPr>
              <w:jc w:val="center"/>
              <w:ind w:right="60"/>
              <w:spacing w:after="0"/>
              <w:rPr>
                <w:sz w:val="20"/>
                <w:szCs w:val="20"/>
                <w:color w:val="auto"/>
              </w:rPr>
            </w:pPr>
            <w:r>
              <w:rPr>
                <w:rFonts w:ascii="Arial" w:cs="Arial" w:eastAsia="Arial" w:hAnsi="Arial"/>
                <w:sz w:val="13"/>
                <w:szCs w:val="13"/>
                <w:color w:val="auto"/>
                <w:w w:val="98"/>
              </w:rPr>
              <w:t>Securities registered pursuant to Section 12(b) of the Act: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620" w:type="dxa"/>
            <w:vAlign w:val="bottom"/>
            <w:tcBorders>
              <w:bottom w:val="single" w:sz="8" w:color="auto"/>
            </w:tcBorders>
          </w:tcPr>
          <w:p>
            <w:pPr>
              <w:jc w:val="center"/>
              <w:ind w:left="2016"/>
              <w:spacing w:after="0"/>
              <w:rPr>
                <w:sz w:val="20"/>
                <w:szCs w:val="20"/>
                <w:color w:val="auto"/>
              </w:rPr>
            </w:pPr>
            <w:r>
              <w:rPr>
                <w:rFonts w:ascii="Arial" w:cs="Arial" w:eastAsia="Arial" w:hAnsi="Arial"/>
                <w:sz w:val="13"/>
                <w:szCs w:val="13"/>
                <w:color w:val="auto"/>
                <w:w w:val="98"/>
              </w:rPr>
              <w:t>Title of each class:</w:t>
            </w:r>
          </w:p>
        </w:tc>
        <w:tc>
          <w:tcPr>
            <w:tcW w:w="2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7"/>
              </w:rPr>
              <w:t>Trading Symbol: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jc w:val="center"/>
              <w:ind w:right="536"/>
              <w:spacing w:after="0"/>
              <w:rPr>
                <w:sz w:val="20"/>
                <w:szCs w:val="20"/>
                <w:color w:val="auto"/>
              </w:rPr>
            </w:pPr>
            <w:r>
              <w:rPr>
                <w:rFonts w:ascii="Arial" w:cs="Arial" w:eastAsia="Arial" w:hAnsi="Arial"/>
                <w:sz w:val="13"/>
                <w:szCs w:val="13"/>
                <w:color w:val="auto"/>
                <w:w w:val="97"/>
              </w:rPr>
              <w:t>Name of exchange on which registered:</w:t>
            </w:r>
          </w:p>
        </w:tc>
        <w:tc>
          <w:tcPr>
            <w:tcW w:w="20" w:type="dxa"/>
            <w:vAlign w:val="bottom"/>
            <w:tcBorders>
              <w:bottom w:val="single" w:sz="8" w:color="auto"/>
            </w:tcBorders>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5800" w:type="dxa"/>
            <w:vAlign w:val="bottom"/>
            <w:gridSpan w:val="3"/>
          </w:tcPr>
          <w:p>
            <w:pPr>
              <w:jc w:val="center"/>
              <w:ind w:right="100"/>
              <w:spacing w:after="0"/>
              <w:rPr>
                <w:sz w:val="20"/>
                <w:szCs w:val="20"/>
                <w:color w:val="auto"/>
              </w:rPr>
            </w:pPr>
            <w:r>
              <w:rPr>
                <w:rFonts w:ascii="Arial" w:cs="Arial" w:eastAsia="Arial" w:hAnsi="Arial"/>
                <w:sz w:val="13"/>
                <w:szCs w:val="13"/>
                <w:color w:val="auto"/>
                <w:w w:val="97"/>
              </w:rPr>
              <w:t>Ordinary shares, $0.01 par value per share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700"/>
              <w:spacing w:after="0"/>
              <w:rPr>
                <w:sz w:val="20"/>
                <w:szCs w:val="20"/>
                <w:color w:val="auto"/>
              </w:rPr>
            </w:pPr>
            <w:r>
              <w:rPr>
                <w:rFonts w:ascii="Arial" w:cs="Arial" w:eastAsia="Arial" w:hAnsi="Arial"/>
                <w:sz w:val="13"/>
                <w:szCs w:val="13"/>
                <w:color w:val="auto"/>
                <w:w w:val="92"/>
              </w:rPr>
              <w:t>FTAI</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ind w:right="516"/>
              <w:spacing w:after="0"/>
              <w:rPr>
                <w:sz w:val="20"/>
                <w:szCs w:val="20"/>
                <w:color w:val="auto"/>
              </w:rPr>
            </w:pPr>
            <w:r>
              <w:rPr>
                <w:rFonts w:ascii="Arial" w:cs="Arial" w:eastAsia="Arial" w:hAnsi="Arial"/>
                <w:sz w:val="13"/>
                <w:szCs w:val="13"/>
                <w:color w:val="auto"/>
                <w:w w:val="97"/>
              </w:rPr>
              <w:t>The Nasdaq Global Select Market</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800" w:type="dxa"/>
            <w:vAlign w:val="bottom"/>
            <w:gridSpan w:val="3"/>
          </w:tcPr>
          <w:p>
            <w:pPr>
              <w:jc w:val="center"/>
              <w:ind w:right="100"/>
              <w:spacing w:after="0"/>
              <w:rPr>
                <w:sz w:val="20"/>
                <w:szCs w:val="20"/>
                <w:color w:val="auto"/>
              </w:rPr>
            </w:pPr>
            <w:r>
              <w:rPr>
                <w:rFonts w:ascii="Arial" w:cs="Arial" w:eastAsia="Arial" w:hAnsi="Arial"/>
                <w:sz w:val="13"/>
                <w:szCs w:val="13"/>
                <w:color w:val="auto"/>
                <w:w w:val="98"/>
              </w:rPr>
              <w:t>9.50% Fixed-Rate Reset Series D Cumulative Perpetual Redeemable Preferred Shares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700"/>
              <w:spacing w:after="0"/>
              <w:rPr>
                <w:sz w:val="20"/>
                <w:szCs w:val="20"/>
                <w:color w:val="auto"/>
              </w:rPr>
            </w:pPr>
            <w:r>
              <w:rPr>
                <w:rFonts w:ascii="Arial" w:cs="Arial" w:eastAsia="Arial" w:hAnsi="Arial"/>
                <w:sz w:val="13"/>
                <w:szCs w:val="13"/>
                <w:color w:val="auto"/>
                <w:w w:val="97"/>
              </w:rPr>
              <w:t>FTAIM</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jc w:val="center"/>
              <w:ind w:right="516"/>
              <w:spacing w:after="0"/>
              <w:rPr>
                <w:sz w:val="20"/>
                <w:szCs w:val="20"/>
                <w:color w:val="auto"/>
              </w:rPr>
            </w:pPr>
            <w:r>
              <w:rPr>
                <w:rFonts w:ascii="Arial" w:cs="Arial" w:eastAsia="Arial" w:hAnsi="Arial"/>
                <w:sz w:val="13"/>
                <w:szCs w:val="13"/>
                <w:color w:val="auto"/>
                <w:w w:val="97"/>
              </w:rPr>
              <w:t>The Nasdaq Global Select Market</w:t>
            </w:r>
          </w:p>
        </w:tc>
        <w:tc>
          <w:tcPr>
            <w:tcW w:w="20" w:type="dxa"/>
            <w:vAlign w:val="bottom"/>
          </w:tcPr>
          <w:p>
            <w:pPr>
              <w:spacing w:after="0"/>
              <w:rPr>
                <w:sz w:val="15"/>
                <w:szCs w:val="15"/>
                <w:color w:val="auto"/>
              </w:rPr>
            </w:pPr>
          </w:p>
        </w:tc>
      </w:tr>
    </w:tbl>
    <w:p>
      <w:pPr>
        <w:spacing w:after="0" w:line="151"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jc w:val="both"/>
        <w:spacing w:after="0" w:line="28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980" w:type="dxa"/>
        <w:tblCellMar>
          <w:top w:w="0" w:type="dxa"/>
          <w:left w:w="0" w:type="dxa"/>
          <w:bottom w:w="0" w:type="dxa"/>
          <w:right w:w="0" w:type="dxa"/>
        </w:tblCellMar>
      </w:tblPr>
      <w:tr>
        <w:trPr>
          <w:trHeight w:val="180"/>
        </w:trPr>
        <w:tc>
          <w:tcPr>
            <w:tcW w:w="1780" w:type="dxa"/>
            <w:vAlign w:val="bottom"/>
          </w:tcPr>
          <w:p>
            <w:pPr>
              <w:jc w:val="center"/>
              <w:ind w:right="456"/>
              <w:spacing w:after="0"/>
              <w:rPr>
                <w:sz w:val="20"/>
                <w:szCs w:val="20"/>
                <w:color w:val="auto"/>
              </w:rPr>
            </w:pPr>
            <w:r>
              <w:rPr>
                <w:rFonts w:ascii="Arial" w:cs="Arial" w:eastAsia="Arial" w:hAnsi="Arial"/>
                <w:sz w:val="13"/>
                <w:szCs w:val="13"/>
                <w:color w:val="auto"/>
                <w:w w:val="97"/>
              </w:rPr>
              <w:t>Large accelerated filer</w:t>
            </w:r>
          </w:p>
        </w:tc>
        <w:tc>
          <w:tcPr>
            <w:tcW w:w="10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2420" w:type="dxa"/>
            <w:vAlign w:val="bottom"/>
          </w:tcPr>
          <w:p>
            <w:pPr>
              <w:jc w:val="center"/>
              <w:spacing w:after="0"/>
              <w:rPr>
                <w:sz w:val="20"/>
                <w:szCs w:val="20"/>
                <w:color w:val="auto"/>
              </w:rPr>
            </w:pPr>
            <w:r>
              <w:rPr>
                <w:rFonts w:ascii="Arial" w:cs="Arial" w:eastAsia="Arial" w:hAnsi="Arial"/>
                <w:sz w:val="13"/>
                <w:szCs w:val="13"/>
                <w:color w:val="auto"/>
                <w:w w:val="98"/>
              </w:rPr>
              <w:t>Accelerated filer</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780" w:type="dxa"/>
            <w:vAlign w:val="bottom"/>
          </w:tcPr>
          <w:p>
            <w:pPr>
              <w:jc w:val="center"/>
              <w:ind w:right="436"/>
              <w:spacing w:after="0"/>
              <w:rPr>
                <w:sz w:val="20"/>
                <w:szCs w:val="20"/>
                <w:color w:val="auto"/>
              </w:rPr>
            </w:pPr>
            <w:r>
              <w:rPr>
                <w:rFonts w:ascii="Arial" w:cs="Arial" w:eastAsia="Arial" w:hAnsi="Arial"/>
                <w:sz w:val="13"/>
                <w:szCs w:val="13"/>
                <w:color w:val="auto"/>
                <w:w w:val="96"/>
              </w:rPr>
              <w:t>Non-accelerated filer</w:t>
            </w:r>
          </w:p>
        </w:tc>
        <w:tc>
          <w:tcPr>
            <w:tcW w:w="10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2420" w:type="dxa"/>
            <w:vAlign w:val="bottom"/>
          </w:tcPr>
          <w:p>
            <w:pPr>
              <w:jc w:val="center"/>
              <w:spacing w:after="0"/>
              <w:rPr>
                <w:sz w:val="20"/>
                <w:szCs w:val="20"/>
                <w:color w:val="auto"/>
              </w:rPr>
            </w:pPr>
            <w:r>
              <w:rPr>
                <w:rFonts w:ascii="Arial" w:cs="Arial" w:eastAsia="Arial" w:hAnsi="Arial"/>
                <w:sz w:val="13"/>
                <w:szCs w:val="13"/>
                <w:color w:val="auto"/>
                <w:w w:val="97"/>
              </w:rPr>
              <w:t>Smaller reporting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3"/>
                <w:szCs w:val="13"/>
                <w:color w:val="auto"/>
                <w:w w:val="98"/>
              </w:rPr>
              <w:t>Emerging growth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33"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right="418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There were 102,261,586 ordinary shares outstanding at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467360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00497F"/>
        </w:rPr>
        <w:t>FORWARD-LOOKING STATEMENTS AND RISK FACTORS SUMMARY</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7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1" w:lineRule="exact"/>
        <w:rPr>
          <w:sz w:val="20"/>
          <w:szCs w:val="20"/>
          <w:color w:val="auto"/>
        </w:rPr>
      </w:pPr>
    </w:p>
    <w:p>
      <w:pPr>
        <w:ind w:left="640" w:hanging="253"/>
        <w:spacing w:after="0" w:line="281"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economic conditions generally and specifically in our industry sectors, and other risks relating to the global economy, including, but not limited to, the Russia-Ukraine conflict, war in the Middle East, and any related responses or actions by businesses and governments;</w:t>
      </w: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reductions in cash flows received from our assets, as well as contractual limitations on the use of our aviation assets to secure debt for borrowed money;</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take advantage of acquisition opportunities at favorable prices;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realize the anticipated benefits of our strategic initiatives;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lack of liquidity surrounding our assets, which could impede our ability to vary our portfolio in an appropriate manner;</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relative spreads between the yield on the assets we acquire and the cost of financing;</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adverse changes in the financing markets we access affecting our ability to finance our acquisitions;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 or lessee defaults on their obligations;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renew existing contracts and enter into new contracts with existing or potential lessees;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availability and cost of capital for future acquisitions;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involving our Strategic Capital Initiative;</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concentration of a particular type of asset or in a particular sector;</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competition within the aviation industry;</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competitive market for acquisition opportunities;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operating through joint ventures, partnerships, consortium arrangements or other collaborations with third parties;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successfully integrate acquired businesses;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obsolescence of our assets or our ability to sell, re-lease or re-charter our assets;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exposure to uninsurable losses and force majeure events;</w:t>
      </w:r>
    </w:p>
    <w:p>
      <w:pPr>
        <w:spacing w:after="0" w:line="52" w:lineRule="exact"/>
        <w:rPr>
          <w:rFonts w:ascii="Arial" w:cs="Arial" w:eastAsia="Arial" w:hAnsi="Arial"/>
          <w:sz w:val="13"/>
          <w:szCs w:val="13"/>
          <w:color w:val="auto"/>
        </w:rPr>
      </w:pPr>
    </w:p>
    <w:p>
      <w:pPr>
        <w:ind w:left="640" w:hanging="253"/>
        <w:spacing w:after="0" w:line="266"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trade disputes, including the imposition of new or increased tariffs, sanctions or other restrictions, and the legislative/regulatory environment and exposure to increased economic regulation;</w:t>
      </w:r>
    </w:p>
    <w:p>
      <w:pPr>
        <w:spacing w:after="0" w:line="18"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exposure to the oil and gas industry’s volatile oil and gas prices;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difficulties in obtaining effective legal redress in jurisdictions in which we operate with less developed legal systems;</w:t>
      </w:r>
    </w:p>
    <w:p>
      <w:pPr>
        <w:spacing w:after="0" w:line="41" w:lineRule="exact"/>
        <w:rPr>
          <w:rFonts w:ascii="Arial" w:cs="Arial" w:eastAsia="Arial" w:hAnsi="Arial"/>
          <w:sz w:val="13"/>
          <w:szCs w:val="13"/>
          <w:color w:val="auto"/>
        </w:rPr>
      </w:pPr>
    </w:p>
    <w:p>
      <w:pPr>
        <w:ind w:left="640" w:hanging="253"/>
        <w:spacing w:after="0" w:line="281"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our exemption from registration under the Investment Company Act of 1940, as amended (the “Investment Company Act”) and the Investment Advisers Act of 1940, as amended (the “Investment Advisers Act”) and the fact that maintaining such exemption imposes limits on our operations;</w:t>
      </w: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successfully utilize leverage in connection with our investments;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foreign currency risk and risk management activities;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effectiveness of our internal control over financial reporting;</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exposure to environmental risks, including natural disasters, increasing environmental legislation and the broader impacts of climate change;</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interest rates and/or credit spreads, as well as the success of any hedging strategy we may undertake in relation to such changes;</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actions taken by national, state, or provincial governments, including nationalization, or the imposition of new taxes, could materially impact the financial performance or value of our assets;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 w:name="page3"/>
    <w:bookmarkEnd w:id="2"/>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attract and retain highly skilled management and other personnel;</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volatility in the market price of our shares;</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inability to pay dividends to our shareholders in the future;</w:t>
      </w:r>
    </w:p>
    <w:p>
      <w:pPr>
        <w:spacing w:after="0" w:line="41" w:lineRule="exact"/>
        <w:rPr>
          <w:rFonts w:ascii="Arial" w:cs="Arial" w:eastAsia="Arial" w:hAnsi="Arial"/>
          <w:sz w:val="13"/>
          <w:szCs w:val="13"/>
          <w:color w:val="auto"/>
        </w:rPr>
      </w:pPr>
    </w:p>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impacts from our past and future acquisitions, and our ability to successfully integrate acquired assets and assumed liabilities; and</w:t>
      </w:r>
    </w:p>
    <w:p>
      <w:pPr>
        <w:spacing w:after="0" w:line="52" w:lineRule="exact"/>
        <w:rPr>
          <w:rFonts w:ascii="Arial" w:cs="Arial" w:eastAsia="Arial" w:hAnsi="Arial"/>
          <w:sz w:val="13"/>
          <w:szCs w:val="13"/>
          <w:color w:val="auto"/>
        </w:rPr>
      </w:pPr>
    </w:p>
    <w:p>
      <w:pPr>
        <w:ind w:left="640" w:hanging="253"/>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risks described in the “Risk Factors” section of this report.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3"/>
          <w:szCs w:val="13"/>
          <w:b w:val="1"/>
          <w:bCs w:val="1"/>
          <w:color w:val="00497F"/>
        </w:rPr>
        <w:t>FTAI AVIATION LTD.</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80" w:type="dxa"/>
            <w:vAlign w:val="bottom"/>
          </w:tcPr>
          <w:p>
            <w:pPr>
              <w:spacing w:after="0"/>
              <w:rPr>
                <w:sz w:val="13"/>
                <w:szCs w:val="13"/>
                <w:color w:val="auto"/>
              </w:rPr>
            </w:pPr>
          </w:p>
        </w:tc>
        <w:tc>
          <w:tcPr>
            <w:tcW w:w="8340" w:type="dxa"/>
            <w:vAlign w:val="bottom"/>
          </w:tcPr>
          <w:p>
            <w:pPr>
              <w:ind w:left="4340"/>
              <w:spacing w:after="0"/>
              <w:rPr>
                <w:sz w:val="20"/>
                <w:szCs w:val="20"/>
                <w:color w:val="auto"/>
              </w:rPr>
            </w:pPr>
            <w:r>
              <w:rPr>
                <w:rFonts w:ascii="Arial" w:cs="Arial" w:eastAsia="Arial" w:hAnsi="Arial"/>
                <w:sz w:val="11"/>
                <w:szCs w:val="11"/>
                <w:b w:val="1"/>
                <w:bCs w:val="1"/>
                <w:color w:val="006EBF"/>
              </w:rPr>
              <w:t>PART I - FINANCIAL INFORMATION</w:t>
            </w:r>
          </w:p>
        </w:tc>
        <w:tc>
          <w:tcPr>
            <w:tcW w:w="2240" w:type="dxa"/>
            <w:vAlign w:val="bottom"/>
          </w:tcPr>
          <w:p>
            <w:pPr>
              <w:spacing w:after="0"/>
              <w:rPr>
                <w:sz w:val="13"/>
                <w:szCs w:val="13"/>
                <w:color w:val="auto"/>
              </w:rPr>
            </w:pPr>
          </w:p>
        </w:tc>
      </w:tr>
      <w:tr>
        <w:trPr>
          <w:trHeight w:val="170"/>
        </w:trPr>
        <w:tc>
          <w:tcPr>
            <w:tcW w:w="580" w:type="dxa"/>
            <w:vAlign w:val="bottom"/>
          </w:tcPr>
          <w:p>
            <w:pPr>
              <w:spacing w:after="0"/>
              <w:rPr>
                <w:sz w:val="20"/>
                <w:szCs w:val="20"/>
                <w:color w:val="auto"/>
              </w:rPr>
            </w:pPr>
            <w:r>
              <w:rPr>
                <w:rFonts w:ascii="Arial" w:cs="Arial" w:eastAsia="Arial" w:hAnsi="Arial"/>
                <w:sz w:val="11"/>
                <w:szCs w:val="11"/>
                <w:b w:val="1"/>
                <w:bCs w:val="1"/>
                <w:color w:val="006EBF"/>
              </w:rPr>
              <w:t>Item 1.</w:t>
            </w:r>
          </w:p>
        </w:tc>
        <w:tc>
          <w:tcPr>
            <w:tcW w:w="8340" w:type="dxa"/>
            <w:vAlign w:val="bottom"/>
          </w:tcPr>
          <w:p>
            <w:pPr>
              <w:ind w:left="240"/>
              <w:spacing w:after="0"/>
              <w:rPr>
                <w:sz w:val="20"/>
                <w:szCs w:val="20"/>
                <w:color w:val="auto"/>
              </w:rPr>
            </w:pPr>
            <w:r>
              <w:rPr>
                <w:rFonts w:ascii="Arial" w:cs="Arial" w:eastAsia="Arial" w:hAnsi="Arial"/>
                <w:sz w:val="11"/>
                <w:szCs w:val="11"/>
                <w:color w:val="0000FF"/>
              </w:rPr>
              <w:t>Unaudited Consolidated Financial Statements of FTAI Aviation Ltd.</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5</w:t>
            </w:r>
          </w:p>
        </w:tc>
      </w:tr>
      <w:tr>
        <w:trPr>
          <w:trHeight w:val="164"/>
        </w:trPr>
        <w:tc>
          <w:tcPr>
            <w:tcW w:w="580" w:type="dxa"/>
            <w:vAlign w:val="bottom"/>
          </w:tcPr>
          <w:p>
            <w:pPr>
              <w:spacing w:after="0"/>
              <w:rPr>
                <w:sz w:val="14"/>
                <w:szCs w:val="14"/>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Balance Sheets as of September 30, 2026 and December 31, 2025</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5</w:t>
            </w:r>
          </w:p>
        </w:tc>
      </w:tr>
      <w:tr>
        <w:trPr>
          <w:trHeight w:val="170"/>
        </w:trPr>
        <w:tc>
          <w:tcPr>
            <w:tcW w:w="580" w:type="dxa"/>
            <w:vAlign w:val="bottom"/>
          </w:tcPr>
          <w:p>
            <w:pPr>
              <w:spacing w:after="0"/>
              <w:rPr>
                <w:sz w:val="14"/>
                <w:szCs w:val="14"/>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Statements of Operations for the three and nine months ended September 30, 2026 and 2025</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6</w:t>
            </w:r>
          </w:p>
        </w:tc>
      </w:tr>
      <w:tr>
        <w:trPr>
          <w:trHeight w:val="170"/>
        </w:trPr>
        <w:tc>
          <w:tcPr>
            <w:tcW w:w="580" w:type="dxa"/>
            <w:vAlign w:val="bottom"/>
          </w:tcPr>
          <w:p>
            <w:pPr>
              <w:spacing w:after="0"/>
              <w:rPr>
                <w:sz w:val="14"/>
                <w:szCs w:val="14"/>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Statements of Changes in Equity for the three and nine months ended September 30, 2026 and 2025</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7</w:t>
            </w:r>
          </w:p>
        </w:tc>
      </w:tr>
      <w:tr>
        <w:trPr>
          <w:trHeight w:val="170"/>
        </w:trPr>
        <w:tc>
          <w:tcPr>
            <w:tcW w:w="580" w:type="dxa"/>
            <w:vAlign w:val="bottom"/>
          </w:tcPr>
          <w:p>
            <w:pPr>
              <w:spacing w:after="0"/>
              <w:rPr>
                <w:sz w:val="14"/>
                <w:szCs w:val="14"/>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Consolidated Statements of Cash Flows for the nine months ended September 30, 2026 and 2025</w:t>
            </w:r>
          </w:p>
        </w:tc>
        <w:tc>
          <w:tcPr>
            <w:tcW w:w="2240" w:type="dxa"/>
            <w:vAlign w:val="bottom"/>
          </w:tcPr>
          <w:p>
            <w:pPr>
              <w:jc w:val="center"/>
              <w:ind w:left="2043"/>
              <w:spacing w:after="0"/>
              <w:rPr>
                <w:sz w:val="20"/>
                <w:szCs w:val="20"/>
                <w:color w:val="auto"/>
              </w:rPr>
            </w:pPr>
            <w:r>
              <w:rPr>
                <w:rFonts w:ascii="Arial" w:cs="Arial" w:eastAsia="Arial" w:hAnsi="Arial"/>
                <w:sz w:val="11"/>
                <w:szCs w:val="11"/>
                <w:color w:val="0000FF"/>
                <w:w w:val="97"/>
              </w:rPr>
              <w:t>9</w:t>
            </w:r>
          </w:p>
        </w:tc>
      </w:tr>
      <w:tr>
        <w:trPr>
          <w:trHeight w:val="170"/>
        </w:trPr>
        <w:tc>
          <w:tcPr>
            <w:tcW w:w="580" w:type="dxa"/>
            <w:vAlign w:val="bottom"/>
          </w:tcPr>
          <w:p>
            <w:pPr>
              <w:spacing w:after="0"/>
              <w:rPr>
                <w:sz w:val="14"/>
                <w:szCs w:val="14"/>
                <w:color w:val="auto"/>
              </w:rPr>
            </w:pPr>
          </w:p>
        </w:tc>
        <w:tc>
          <w:tcPr>
            <w:tcW w:w="8340" w:type="dxa"/>
            <w:vAlign w:val="bottom"/>
          </w:tcPr>
          <w:p>
            <w:pPr>
              <w:ind w:left="240"/>
              <w:spacing w:after="0"/>
              <w:rPr>
                <w:sz w:val="20"/>
                <w:szCs w:val="20"/>
                <w:color w:val="auto"/>
              </w:rPr>
            </w:pPr>
            <w:r>
              <w:rPr>
                <w:rFonts w:ascii="Arial" w:cs="Arial" w:eastAsia="Arial" w:hAnsi="Arial"/>
                <w:sz w:val="11"/>
                <w:szCs w:val="11"/>
                <w:color w:val="0000FF"/>
              </w:rPr>
              <w:t>Notes to Consolidated Financial Statements</w:t>
            </w:r>
          </w:p>
        </w:tc>
        <w:tc>
          <w:tcPr>
            <w:tcW w:w="2240" w:type="dxa"/>
            <w:vAlign w:val="bottom"/>
          </w:tcPr>
          <w:p>
            <w:pPr>
              <w:jc w:val="center"/>
              <w:ind w:left="2063"/>
              <w:spacing w:after="0"/>
              <w:rPr>
                <w:sz w:val="20"/>
                <w:szCs w:val="20"/>
                <w:color w:val="auto"/>
              </w:rPr>
            </w:pPr>
            <w:r>
              <w:rPr>
                <w:rFonts w:ascii="Arial" w:cs="Arial" w:eastAsia="Arial" w:hAnsi="Arial"/>
                <w:sz w:val="11"/>
                <w:szCs w:val="11"/>
                <w:color w:val="0000FF"/>
                <w:w w:val="97"/>
              </w:rPr>
              <w:t>11</w:t>
            </w: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 Organization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11</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2: Summary of Significant Accounting Policies</w:t>
            </w:r>
          </w:p>
        </w:tc>
        <w:tc>
          <w:tcPr>
            <w:tcW w:w="2280" w:type="dxa"/>
            <w:vAlign w:val="bottom"/>
          </w:tcPr>
          <w:p>
            <w:pPr>
              <w:jc w:val="right"/>
              <w:spacing w:after="0"/>
              <w:rPr>
                <w:sz w:val="20"/>
                <w:szCs w:val="20"/>
                <w:color w:val="auto"/>
              </w:rPr>
            </w:pPr>
            <w:r>
              <w:rPr>
                <w:rFonts w:ascii="Arial" w:cs="Arial" w:eastAsia="Arial" w:hAnsi="Arial"/>
                <w:sz w:val="11"/>
                <w:szCs w:val="11"/>
                <w:color w:val="0000FF"/>
              </w:rPr>
              <w:t>11</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3: Leasing Equipment, net</w:t>
            </w:r>
          </w:p>
        </w:tc>
        <w:tc>
          <w:tcPr>
            <w:tcW w:w="2280" w:type="dxa"/>
            <w:vAlign w:val="bottom"/>
          </w:tcPr>
          <w:p>
            <w:pPr>
              <w:jc w:val="right"/>
              <w:spacing w:after="0"/>
              <w:rPr>
                <w:sz w:val="20"/>
                <w:szCs w:val="20"/>
                <w:color w:val="auto"/>
              </w:rPr>
            </w:pPr>
            <w:r>
              <w:rPr>
                <w:rFonts w:ascii="Arial" w:cs="Arial" w:eastAsia="Arial" w:hAnsi="Arial"/>
                <w:sz w:val="11"/>
                <w:szCs w:val="11"/>
                <w:color w:val="0000FF"/>
              </w:rPr>
              <w:t>16</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4: Investments</w:t>
            </w:r>
          </w:p>
        </w:tc>
        <w:tc>
          <w:tcPr>
            <w:tcW w:w="2280" w:type="dxa"/>
            <w:vAlign w:val="bottom"/>
          </w:tcPr>
          <w:p>
            <w:pPr>
              <w:jc w:val="right"/>
              <w:spacing w:after="0"/>
              <w:rPr>
                <w:sz w:val="20"/>
                <w:szCs w:val="20"/>
                <w:color w:val="auto"/>
              </w:rPr>
            </w:pPr>
            <w:r>
              <w:rPr>
                <w:rFonts w:ascii="Arial" w:cs="Arial" w:eastAsia="Arial" w:hAnsi="Arial"/>
                <w:sz w:val="11"/>
                <w:szCs w:val="11"/>
                <w:color w:val="0000FF"/>
              </w:rPr>
              <w:t>16</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5: Intangible Assets and Liabilities, net</w:t>
            </w:r>
          </w:p>
        </w:tc>
        <w:tc>
          <w:tcPr>
            <w:tcW w:w="2280" w:type="dxa"/>
            <w:vAlign w:val="bottom"/>
          </w:tcPr>
          <w:p>
            <w:pPr>
              <w:jc w:val="right"/>
              <w:spacing w:after="0"/>
              <w:rPr>
                <w:sz w:val="20"/>
                <w:szCs w:val="20"/>
                <w:color w:val="auto"/>
              </w:rPr>
            </w:pPr>
            <w:r>
              <w:rPr>
                <w:rFonts w:ascii="Arial" w:cs="Arial" w:eastAsia="Arial" w:hAnsi="Arial"/>
                <w:sz w:val="11"/>
                <w:szCs w:val="11"/>
                <w:color w:val="0000FF"/>
              </w:rPr>
              <w:t>17</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6: Debt, net</w:t>
            </w:r>
          </w:p>
        </w:tc>
        <w:tc>
          <w:tcPr>
            <w:tcW w:w="2280" w:type="dxa"/>
            <w:vAlign w:val="bottom"/>
          </w:tcPr>
          <w:p>
            <w:pPr>
              <w:jc w:val="right"/>
              <w:spacing w:after="0"/>
              <w:rPr>
                <w:sz w:val="20"/>
                <w:szCs w:val="20"/>
                <w:color w:val="auto"/>
              </w:rPr>
            </w:pPr>
            <w:r>
              <w:rPr>
                <w:rFonts w:ascii="Arial" w:cs="Arial" w:eastAsia="Arial" w:hAnsi="Arial"/>
                <w:sz w:val="11"/>
                <w:szCs w:val="11"/>
                <w:color w:val="0000FF"/>
              </w:rPr>
              <w:t>19</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7: Fair Value Measurements</w:t>
            </w:r>
          </w:p>
        </w:tc>
        <w:tc>
          <w:tcPr>
            <w:tcW w:w="2280" w:type="dxa"/>
            <w:vAlign w:val="bottom"/>
          </w:tcPr>
          <w:p>
            <w:pPr>
              <w:jc w:val="right"/>
              <w:spacing w:after="0"/>
              <w:rPr>
                <w:sz w:val="20"/>
                <w:szCs w:val="20"/>
                <w:color w:val="auto"/>
              </w:rPr>
            </w:pPr>
            <w:r>
              <w:rPr>
                <w:rFonts w:ascii="Arial" w:cs="Arial" w:eastAsia="Arial" w:hAnsi="Arial"/>
                <w:sz w:val="11"/>
                <w:szCs w:val="11"/>
                <w:color w:val="0000FF"/>
              </w:rPr>
              <w:t>19</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8: Equity-Based Compensation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20</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9: Income Taxes</w:t>
            </w:r>
          </w:p>
        </w:tc>
        <w:tc>
          <w:tcPr>
            <w:tcW w:w="2280" w:type="dxa"/>
            <w:vAlign w:val="bottom"/>
          </w:tcPr>
          <w:p>
            <w:pPr>
              <w:jc w:val="right"/>
              <w:spacing w:after="0"/>
              <w:rPr>
                <w:sz w:val="20"/>
                <w:szCs w:val="20"/>
                <w:color w:val="auto"/>
              </w:rPr>
            </w:pPr>
            <w:r>
              <w:rPr>
                <w:rFonts w:ascii="Arial" w:cs="Arial" w:eastAsia="Arial" w:hAnsi="Arial"/>
                <w:sz w:val="11"/>
                <w:szCs w:val="11"/>
                <w:color w:val="0000FF"/>
              </w:rPr>
              <w:t>22</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10: Affiliate Transactions and Former Management Agreement</w:t>
            </w:r>
          </w:p>
        </w:tc>
        <w:tc>
          <w:tcPr>
            <w:tcW w:w="2280" w:type="dxa"/>
            <w:vAlign w:val="bottom"/>
          </w:tcPr>
          <w:p>
            <w:pPr>
              <w:jc w:val="right"/>
              <w:spacing w:after="0"/>
              <w:rPr>
                <w:sz w:val="20"/>
                <w:szCs w:val="20"/>
                <w:color w:val="auto"/>
              </w:rPr>
            </w:pPr>
            <w:r>
              <w:rPr>
                <w:rFonts w:ascii="Arial" w:cs="Arial" w:eastAsia="Arial" w:hAnsi="Arial"/>
                <w:sz w:val="11"/>
                <w:szCs w:val="11"/>
                <w:color w:val="0000FF"/>
              </w:rPr>
              <w:t>22</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11: Segment Information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25</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12: Earnings per Share and Equity</w:t>
            </w:r>
          </w:p>
        </w:tc>
        <w:tc>
          <w:tcPr>
            <w:tcW w:w="2280" w:type="dxa"/>
            <w:vAlign w:val="bottom"/>
          </w:tcPr>
          <w:p>
            <w:pPr>
              <w:jc w:val="right"/>
              <w:spacing w:after="0"/>
              <w:rPr>
                <w:sz w:val="20"/>
                <w:szCs w:val="20"/>
                <w:color w:val="auto"/>
              </w:rPr>
            </w:pPr>
            <w:r>
              <w:rPr>
                <w:rFonts w:ascii="Arial" w:cs="Arial" w:eastAsia="Arial" w:hAnsi="Arial"/>
                <w:sz w:val="11"/>
                <w:szCs w:val="11"/>
                <w:color w:val="0000FF"/>
              </w:rPr>
              <w:t>34</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13: Commitments and Contingencies</w:t>
            </w:r>
          </w:p>
        </w:tc>
        <w:tc>
          <w:tcPr>
            <w:tcW w:w="2280" w:type="dxa"/>
            <w:vAlign w:val="bottom"/>
          </w:tcPr>
          <w:p>
            <w:pPr>
              <w:jc w:val="right"/>
              <w:spacing w:after="0"/>
              <w:rPr>
                <w:sz w:val="20"/>
                <w:szCs w:val="20"/>
                <w:color w:val="auto"/>
              </w:rPr>
            </w:pPr>
            <w:r>
              <w:rPr>
                <w:rFonts w:ascii="Arial" w:cs="Arial" w:eastAsia="Arial" w:hAnsi="Arial"/>
                <w:sz w:val="11"/>
                <w:szCs w:val="11"/>
                <w:color w:val="0000FF"/>
              </w:rPr>
              <w:t>35</w:t>
            </w:r>
          </w:p>
        </w:tc>
      </w:tr>
      <w:tr>
        <w:trPr>
          <w:trHeight w:val="170"/>
        </w:trPr>
        <w:tc>
          <w:tcPr>
            <w:tcW w:w="620" w:type="dxa"/>
            <w:vAlign w:val="bottom"/>
          </w:tcPr>
          <w:p>
            <w:pPr>
              <w:spacing w:after="0"/>
              <w:rPr>
                <w:sz w:val="14"/>
                <w:szCs w:val="14"/>
                <w:color w:val="auto"/>
              </w:rPr>
            </w:pPr>
          </w:p>
        </w:tc>
        <w:tc>
          <w:tcPr>
            <w:tcW w:w="8260" w:type="dxa"/>
            <w:vAlign w:val="bottom"/>
          </w:tcPr>
          <w:p>
            <w:pPr>
              <w:ind w:left="280"/>
              <w:spacing w:after="0"/>
              <w:rPr>
                <w:sz w:val="20"/>
                <w:szCs w:val="20"/>
                <w:color w:val="auto"/>
              </w:rPr>
            </w:pPr>
            <w:r>
              <w:rPr>
                <w:rFonts w:ascii="Arial" w:cs="Arial" w:eastAsia="Arial" w:hAnsi="Arial"/>
                <w:sz w:val="11"/>
                <w:szCs w:val="11"/>
                <w:color w:val="0000FF"/>
              </w:rPr>
              <w:t>Note 14: Subsequent Events</w:t>
            </w:r>
          </w:p>
        </w:tc>
        <w:tc>
          <w:tcPr>
            <w:tcW w:w="2280" w:type="dxa"/>
            <w:vAlign w:val="bottom"/>
          </w:tcPr>
          <w:p>
            <w:pPr>
              <w:jc w:val="right"/>
              <w:spacing w:after="0"/>
              <w:rPr>
                <w:sz w:val="20"/>
                <w:szCs w:val="20"/>
                <w:color w:val="auto"/>
              </w:rPr>
            </w:pPr>
            <w:r>
              <w:rPr>
                <w:rFonts w:ascii="Arial" w:cs="Arial" w:eastAsia="Arial" w:hAnsi="Arial"/>
                <w:sz w:val="11"/>
                <w:szCs w:val="11"/>
                <w:color w:val="0000FF"/>
              </w:rPr>
              <w:t>35</w:t>
            </w:r>
          </w:p>
        </w:tc>
      </w:tr>
      <w:tr>
        <w:trPr>
          <w:trHeight w:val="176"/>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2.</w:t>
            </w:r>
          </w:p>
        </w:tc>
        <w:tc>
          <w:tcPr>
            <w:tcW w:w="8260" w:type="dxa"/>
            <w:vAlign w:val="bottom"/>
          </w:tcPr>
          <w:p>
            <w:pPr>
              <w:ind w:left="200"/>
              <w:spacing w:after="0"/>
              <w:rPr>
                <w:sz w:val="20"/>
                <w:szCs w:val="20"/>
                <w:color w:val="auto"/>
              </w:rPr>
            </w:pPr>
            <w:r>
              <w:rPr>
                <w:rFonts w:ascii="Arial" w:cs="Arial" w:eastAsia="Arial" w:hAnsi="Arial"/>
                <w:sz w:val="11"/>
                <w:szCs w:val="11"/>
                <w:color w:val="0000FF"/>
              </w:rPr>
              <w:t>Management’s Discussion and Analysis of Financial Condition and Results of Operations</w:t>
            </w:r>
          </w:p>
        </w:tc>
        <w:tc>
          <w:tcPr>
            <w:tcW w:w="2280" w:type="dxa"/>
            <w:vAlign w:val="bottom"/>
          </w:tcPr>
          <w:p>
            <w:pPr>
              <w:jc w:val="right"/>
              <w:spacing w:after="0"/>
              <w:rPr>
                <w:sz w:val="20"/>
                <w:szCs w:val="20"/>
                <w:color w:val="auto"/>
              </w:rPr>
            </w:pPr>
            <w:r>
              <w:rPr>
                <w:rFonts w:ascii="Arial" w:cs="Arial" w:eastAsia="Arial" w:hAnsi="Arial"/>
                <w:sz w:val="11"/>
                <w:szCs w:val="11"/>
                <w:color w:val="0000FF"/>
              </w:rPr>
              <w:t>36</w:t>
            </w:r>
          </w:p>
        </w:tc>
      </w:tr>
      <w:tr>
        <w:trPr>
          <w:trHeight w:val="170"/>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3.</w:t>
            </w:r>
          </w:p>
        </w:tc>
        <w:tc>
          <w:tcPr>
            <w:tcW w:w="8260" w:type="dxa"/>
            <w:vAlign w:val="bottom"/>
          </w:tcPr>
          <w:p>
            <w:pPr>
              <w:ind w:left="200"/>
              <w:spacing w:after="0"/>
              <w:rPr>
                <w:sz w:val="20"/>
                <w:szCs w:val="20"/>
                <w:color w:val="auto"/>
              </w:rPr>
            </w:pPr>
            <w:r>
              <w:rPr>
                <w:rFonts w:ascii="Arial" w:cs="Arial" w:eastAsia="Arial" w:hAnsi="Arial"/>
                <w:sz w:val="11"/>
                <w:szCs w:val="11"/>
                <w:color w:val="0000FF"/>
              </w:rPr>
              <w:t>Quantitative and Qualitative Disclosures About Market Risk</w:t>
            </w:r>
          </w:p>
        </w:tc>
        <w:tc>
          <w:tcPr>
            <w:tcW w:w="2280" w:type="dxa"/>
            <w:vAlign w:val="bottom"/>
          </w:tcPr>
          <w:p>
            <w:pPr>
              <w:jc w:val="right"/>
              <w:spacing w:after="0"/>
              <w:rPr>
                <w:sz w:val="20"/>
                <w:szCs w:val="20"/>
                <w:color w:val="auto"/>
              </w:rPr>
            </w:pPr>
            <w:r>
              <w:rPr>
                <w:rFonts w:ascii="Arial" w:cs="Arial" w:eastAsia="Arial" w:hAnsi="Arial"/>
                <w:sz w:val="11"/>
                <w:szCs w:val="11"/>
                <w:color w:val="0000FF"/>
              </w:rPr>
              <w:t>54</w:t>
            </w:r>
          </w:p>
        </w:tc>
      </w:tr>
      <w:tr>
        <w:trPr>
          <w:trHeight w:val="170"/>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4.</w:t>
            </w:r>
          </w:p>
        </w:tc>
        <w:tc>
          <w:tcPr>
            <w:tcW w:w="8260" w:type="dxa"/>
            <w:vAlign w:val="bottom"/>
          </w:tcPr>
          <w:p>
            <w:pPr>
              <w:ind w:left="200"/>
              <w:spacing w:after="0"/>
              <w:rPr>
                <w:sz w:val="20"/>
                <w:szCs w:val="20"/>
                <w:color w:val="auto"/>
              </w:rPr>
            </w:pPr>
            <w:r>
              <w:rPr>
                <w:rFonts w:ascii="Arial" w:cs="Arial" w:eastAsia="Arial" w:hAnsi="Arial"/>
                <w:sz w:val="11"/>
                <w:szCs w:val="11"/>
                <w:color w:val="0000FF"/>
              </w:rPr>
              <w:t>Controls and Procedures</w:t>
            </w:r>
          </w:p>
        </w:tc>
        <w:tc>
          <w:tcPr>
            <w:tcW w:w="2280" w:type="dxa"/>
            <w:vAlign w:val="bottom"/>
          </w:tcPr>
          <w:p>
            <w:pPr>
              <w:jc w:val="right"/>
              <w:spacing w:after="0"/>
              <w:rPr>
                <w:sz w:val="20"/>
                <w:szCs w:val="20"/>
                <w:color w:val="auto"/>
              </w:rPr>
            </w:pPr>
            <w:r>
              <w:rPr>
                <w:rFonts w:ascii="Arial" w:cs="Arial" w:eastAsia="Arial" w:hAnsi="Arial"/>
                <w:sz w:val="11"/>
                <w:szCs w:val="11"/>
                <w:color w:val="0000FF"/>
              </w:rPr>
              <w:t>54</w:t>
            </w:r>
          </w:p>
        </w:tc>
      </w:tr>
      <w:tr>
        <w:trPr>
          <w:trHeight w:val="340"/>
        </w:trPr>
        <w:tc>
          <w:tcPr>
            <w:tcW w:w="620" w:type="dxa"/>
            <w:vAlign w:val="bottom"/>
          </w:tcPr>
          <w:p>
            <w:pPr>
              <w:spacing w:after="0"/>
              <w:rPr>
                <w:sz w:val="24"/>
                <w:szCs w:val="24"/>
                <w:color w:val="auto"/>
              </w:rPr>
            </w:pPr>
          </w:p>
        </w:tc>
        <w:tc>
          <w:tcPr>
            <w:tcW w:w="8260" w:type="dxa"/>
            <w:vAlign w:val="bottom"/>
          </w:tcPr>
          <w:p>
            <w:pPr>
              <w:ind w:left="4380"/>
              <w:spacing w:after="0"/>
              <w:rPr>
                <w:sz w:val="20"/>
                <w:szCs w:val="20"/>
                <w:color w:val="auto"/>
              </w:rPr>
            </w:pPr>
            <w:r>
              <w:rPr>
                <w:rFonts w:ascii="Arial" w:cs="Arial" w:eastAsia="Arial" w:hAnsi="Arial"/>
                <w:sz w:val="11"/>
                <w:szCs w:val="11"/>
                <w:b w:val="1"/>
                <w:bCs w:val="1"/>
                <w:color w:val="006EBF"/>
              </w:rPr>
              <w:t>PART II - OTHER INFORMATION</w:t>
            </w:r>
          </w:p>
        </w:tc>
        <w:tc>
          <w:tcPr>
            <w:tcW w:w="2280" w:type="dxa"/>
            <w:vAlign w:val="bottom"/>
          </w:tcPr>
          <w:p>
            <w:pPr>
              <w:spacing w:after="0"/>
              <w:rPr>
                <w:sz w:val="24"/>
                <w:szCs w:val="24"/>
                <w:color w:val="auto"/>
              </w:rPr>
            </w:pPr>
          </w:p>
        </w:tc>
      </w:tr>
      <w:tr>
        <w:trPr>
          <w:trHeight w:val="170"/>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1.</w:t>
            </w:r>
          </w:p>
        </w:tc>
        <w:tc>
          <w:tcPr>
            <w:tcW w:w="8260" w:type="dxa"/>
            <w:vAlign w:val="bottom"/>
          </w:tcPr>
          <w:p>
            <w:pPr>
              <w:ind w:left="200"/>
              <w:spacing w:after="0"/>
              <w:rPr>
                <w:sz w:val="20"/>
                <w:szCs w:val="20"/>
                <w:color w:val="auto"/>
              </w:rPr>
            </w:pPr>
            <w:r>
              <w:rPr>
                <w:rFonts w:ascii="Arial" w:cs="Arial" w:eastAsia="Arial" w:hAnsi="Arial"/>
                <w:sz w:val="11"/>
                <w:szCs w:val="11"/>
                <w:color w:val="0000FF"/>
              </w:rPr>
              <w:t>Legal Proceedings</w:t>
            </w:r>
          </w:p>
        </w:tc>
        <w:tc>
          <w:tcPr>
            <w:tcW w:w="2280" w:type="dxa"/>
            <w:vAlign w:val="bottom"/>
          </w:tcPr>
          <w:p>
            <w:pPr>
              <w:jc w:val="right"/>
              <w:spacing w:after="0"/>
              <w:rPr>
                <w:sz w:val="20"/>
                <w:szCs w:val="20"/>
                <w:color w:val="auto"/>
              </w:rPr>
            </w:pPr>
            <w:r>
              <w:rPr>
                <w:rFonts w:ascii="Arial" w:cs="Arial" w:eastAsia="Arial" w:hAnsi="Arial"/>
                <w:sz w:val="11"/>
                <w:szCs w:val="11"/>
                <w:color w:val="0000FF"/>
              </w:rPr>
              <w:t>55</w:t>
            </w:r>
          </w:p>
        </w:tc>
      </w:tr>
      <w:tr>
        <w:trPr>
          <w:trHeight w:val="170"/>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1A.</w:t>
            </w:r>
          </w:p>
        </w:tc>
        <w:tc>
          <w:tcPr>
            <w:tcW w:w="8260" w:type="dxa"/>
            <w:vAlign w:val="bottom"/>
          </w:tcPr>
          <w:p>
            <w:pPr>
              <w:ind w:left="200"/>
              <w:spacing w:after="0"/>
              <w:rPr>
                <w:sz w:val="20"/>
                <w:szCs w:val="20"/>
                <w:color w:val="auto"/>
              </w:rPr>
            </w:pPr>
            <w:r>
              <w:rPr>
                <w:rFonts w:ascii="Arial" w:cs="Arial" w:eastAsia="Arial" w:hAnsi="Arial"/>
                <w:sz w:val="11"/>
                <w:szCs w:val="11"/>
                <w:color w:val="0000FF"/>
              </w:rPr>
              <w:t>Risk Factors</w:t>
            </w:r>
          </w:p>
        </w:tc>
        <w:tc>
          <w:tcPr>
            <w:tcW w:w="2280" w:type="dxa"/>
            <w:vAlign w:val="bottom"/>
          </w:tcPr>
          <w:p>
            <w:pPr>
              <w:jc w:val="right"/>
              <w:spacing w:after="0"/>
              <w:rPr>
                <w:sz w:val="20"/>
                <w:szCs w:val="20"/>
                <w:color w:val="auto"/>
              </w:rPr>
            </w:pPr>
            <w:r>
              <w:rPr>
                <w:rFonts w:ascii="Arial" w:cs="Arial" w:eastAsia="Arial" w:hAnsi="Arial"/>
                <w:sz w:val="11"/>
                <w:szCs w:val="11"/>
                <w:color w:val="0000FF"/>
              </w:rPr>
              <w:t>55</w:t>
            </w:r>
          </w:p>
        </w:tc>
      </w:tr>
      <w:tr>
        <w:trPr>
          <w:trHeight w:val="170"/>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2.</w:t>
            </w:r>
          </w:p>
        </w:tc>
        <w:tc>
          <w:tcPr>
            <w:tcW w:w="8260" w:type="dxa"/>
            <w:vAlign w:val="bottom"/>
          </w:tcPr>
          <w:p>
            <w:pPr>
              <w:ind w:left="200"/>
              <w:spacing w:after="0"/>
              <w:rPr>
                <w:sz w:val="20"/>
                <w:szCs w:val="20"/>
                <w:color w:val="auto"/>
              </w:rPr>
            </w:pPr>
            <w:r>
              <w:rPr>
                <w:rFonts w:ascii="Arial" w:cs="Arial" w:eastAsia="Arial" w:hAnsi="Arial"/>
                <w:sz w:val="11"/>
                <w:szCs w:val="11"/>
                <w:color w:val="0000FF"/>
              </w:rPr>
              <w:t>Unregistered Sales of Equity Securities and Use of Proceeds</w:t>
            </w:r>
          </w:p>
        </w:tc>
        <w:tc>
          <w:tcPr>
            <w:tcW w:w="2280" w:type="dxa"/>
            <w:vAlign w:val="bottom"/>
          </w:tcPr>
          <w:p>
            <w:pPr>
              <w:jc w:val="right"/>
              <w:spacing w:after="0"/>
              <w:rPr>
                <w:sz w:val="20"/>
                <w:szCs w:val="20"/>
                <w:color w:val="auto"/>
              </w:rPr>
            </w:pPr>
            <w:r>
              <w:rPr>
                <w:rFonts w:ascii="Arial" w:cs="Arial" w:eastAsia="Arial" w:hAnsi="Arial"/>
                <w:sz w:val="11"/>
                <w:szCs w:val="11"/>
                <w:color w:val="0000FF"/>
              </w:rPr>
              <w:t>70</w:t>
            </w:r>
          </w:p>
        </w:tc>
      </w:tr>
      <w:tr>
        <w:trPr>
          <w:trHeight w:val="170"/>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3.</w:t>
            </w:r>
          </w:p>
        </w:tc>
        <w:tc>
          <w:tcPr>
            <w:tcW w:w="8260" w:type="dxa"/>
            <w:vAlign w:val="bottom"/>
          </w:tcPr>
          <w:p>
            <w:pPr>
              <w:ind w:left="200"/>
              <w:spacing w:after="0"/>
              <w:rPr>
                <w:sz w:val="20"/>
                <w:szCs w:val="20"/>
                <w:color w:val="auto"/>
              </w:rPr>
            </w:pPr>
            <w:r>
              <w:rPr>
                <w:rFonts w:ascii="Arial" w:cs="Arial" w:eastAsia="Arial" w:hAnsi="Arial"/>
                <w:sz w:val="11"/>
                <w:szCs w:val="11"/>
                <w:color w:val="0000FF"/>
              </w:rPr>
              <w:t>Defaults Upon Senior Securities</w:t>
            </w:r>
          </w:p>
        </w:tc>
        <w:tc>
          <w:tcPr>
            <w:tcW w:w="2280" w:type="dxa"/>
            <w:vAlign w:val="bottom"/>
          </w:tcPr>
          <w:p>
            <w:pPr>
              <w:jc w:val="right"/>
              <w:spacing w:after="0"/>
              <w:rPr>
                <w:sz w:val="20"/>
                <w:szCs w:val="20"/>
                <w:color w:val="auto"/>
              </w:rPr>
            </w:pPr>
            <w:r>
              <w:rPr>
                <w:rFonts w:ascii="Arial" w:cs="Arial" w:eastAsia="Arial" w:hAnsi="Arial"/>
                <w:sz w:val="11"/>
                <w:szCs w:val="11"/>
                <w:color w:val="0000FF"/>
              </w:rPr>
              <w:t>71</w:t>
            </w:r>
          </w:p>
        </w:tc>
      </w:tr>
      <w:tr>
        <w:trPr>
          <w:trHeight w:val="170"/>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4.</w:t>
            </w:r>
          </w:p>
        </w:tc>
        <w:tc>
          <w:tcPr>
            <w:tcW w:w="8260" w:type="dxa"/>
            <w:vAlign w:val="bottom"/>
          </w:tcPr>
          <w:p>
            <w:pPr>
              <w:ind w:left="200"/>
              <w:spacing w:after="0"/>
              <w:rPr>
                <w:sz w:val="20"/>
                <w:szCs w:val="20"/>
                <w:color w:val="auto"/>
              </w:rPr>
            </w:pPr>
            <w:r>
              <w:rPr>
                <w:rFonts w:ascii="Arial" w:cs="Arial" w:eastAsia="Arial" w:hAnsi="Arial"/>
                <w:sz w:val="11"/>
                <w:szCs w:val="11"/>
                <w:color w:val="0000FF"/>
              </w:rPr>
              <w:t>Mine Safety Disclosures</w:t>
            </w:r>
          </w:p>
        </w:tc>
        <w:tc>
          <w:tcPr>
            <w:tcW w:w="2280" w:type="dxa"/>
            <w:vAlign w:val="bottom"/>
          </w:tcPr>
          <w:p>
            <w:pPr>
              <w:jc w:val="right"/>
              <w:spacing w:after="0"/>
              <w:rPr>
                <w:sz w:val="20"/>
                <w:szCs w:val="20"/>
                <w:color w:val="auto"/>
              </w:rPr>
            </w:pPr>
            <w:r>
              <w:rPr>
                <w:rFonts w:ascii="Arial" w:cs="Arial" w:eastAsia="Arial" w:hAnsi="Arial"/>
                <w:sz w:val="11"/>
                <w:szCs w:val="11"/>
                <w:color w:val="0000FF"/>
              </w:rPr>
              <w:t>71</w:t>
            </w:r>
          </w:p>
        </w:tc>
      </w:tr>
      <w:tr>
        <w:trPr>
          <w:trHeight w:val="170"/>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5.</w:t>
            </w:r>
          </w:p>
        </w:tc>
        <w:tc>
          <w:tcPr>
            <w:tcW w:w="8260" w:type="dxa"/>
            <w:vAlign w:val="bottom"/>
          </w:tcPr>
          <w:p>
            <w:pPr>
              <w:ind w:left="200"/>
              <w:spacing w:after="0"/>
              <w:rPr>
                <w:sz w:val="20"/>
                <w:szCs w:val="20"/>
                <w:color w:val="auto"/>
              </w:rPr>
            </w:pPr>
            <w:r>
              <w:rPr>
                <w:rFonts w:ascii="Arial" w:cs="Arial" w:eastAsia="Arial" w:hAnsi="Arial"/>
                <w:sz w:val="11"/>
                <w:szCs w:val="11"/>
                <w:color w:val="0000FF"/>
              </w:rPr>
              <w:t>Other Information</w:t>
            </w:r>
          </w:p>
        </w:tc>
        <w:tc>
          <w:tcPr>
            <w:tcW w:w="2280" w:type="dxa"/>
            <w:vAlign w:val="bottom"/>
          </w:tcPr>
          <w:p>
            <w:pPr>
              <w:jc w:val="right"/>
              <w:spacing w:after="0"/>
              <w:rPr>
                <w:sz w:val="20"/>
                <w:szCs w:val="20"/>
                <w:color w:val="auto"/>
              </w:rPr>
            </w:pPr>
            <w:r>
              <w:rPr>
                <w:rFonts w:ascii="Arial" w:cs="Arial" w:eastAsia="Arial" w:hAnsi="Arial"/>
                <w:sz w:val="11"/>
                <w:szCs w:val="11"/>
                <w:color w:val="0000FF"/>
              </w:rPr>
              <w:t>71</w:t>
            </w:r>
          </w:p>
        </w:tc>
      </w:tr>
      <w:tr>
        <w:trPr>
          <w:trHeight w:val="170"/>
        </w:trPr>
        <w:tc>
          <w:tcPr>
            <w:tcW w:w="620" w:type="dxa"/>
            <w:vAlign w:val="bottom"/>
          </w:tcPr>
          <w:p>
            <w:pPr>
              <w:spacing w:after="0"/>
              <w:rPr>
                <w:sz w:val="20"/>
                <w:szCs w:val="20"/>
                <w:color w:val="auto"/>
              </w:rPr>
            </w:pPr>
            <w:r>
              <w:rPr>
                <w:rFonts w:ascii="Arial" w:cs="Arial" w:eastAsia="Arial" w:hAnsi="Arial"/>
                <w:sz w:val="11"/>
                <w:szCs w:val="11"/>
                <w:b w:val="1"/>
                <w:bCs w:val="1"/>
                <w:color w:val="006EBF"/>
              </w:rPr>
              <w:t>Item 6.</w:t>
            </w:r>
          </w:p>
        </w:tc>
        <w:tc>
          <w:tcPr>
            <w:tcW w:w="8260" w:type="dxa"/>
            <w:vAlign w:val="bottom"/>
          </w:tcPr>
          <w:p>
            <w:pPr>
              <w:ind w:left="200"/>
              <w:spacing w:after="0"/>
              <w:rPr>
                <w:sz w:val="20"/>
                <w:szCs w:val="20"/>
                <w:color w:val="auto"/>
              </w:rPr>
            </w:pPr>
            <w:r>
              <w:rPr>
                <w:rFonts w:ascii="Arial" w:cs="Arial" w:eastAsia="Arial" w:hAnsi="Arial"/>
                <w:sz w:val="11"/>
                <w:szCs w:val="11"/>
                <w:color w:val="0000FF"/>
              </w:rPr>
              <w:t>Exhibits</w:t>
            </w:r>
          </w:p>
        </w:tc>
        <w:tc>
          <w:tcPr>
            <w:tcW w:w="2280" w:type="dxa"/>
            <w:vAlign w:val="bottom"/>
          </w:tcPr>
          <w:p>
            <w:pPr>
              <w:jc w:val="right"/>
              <w:spacing w:after="0"/>
              <w:rPr>
                <w:sz w:val="20"/>
                <w:szCs w:val="20"/>
                <w:color w:val="auto"/>
              </w:rPr>
            </w:pPr>
            <w:r>
              <w:rPr>
                <w:rFonts w:ascii="Arial" w:cs="Arial" w:eastAsia="Arial" w:hAnsi="Arial"/>
                <w:sz w:val="11"/>
                <w:szCs w:val="11"/>
                <w:color w:val="0000FF"/>
              </w:rPr>
              <w:t>72</w:t>
            </w:r>
          </w:p>
        </w:tc>
      </w:tr>
    </w:tbl>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20" w:top="882"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006EBF"/>
        </w:rPr>
        <w:t>PART I—FINANCIAL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1.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FTAI AVIATION LTD.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 except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(Unaudited)</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66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Notes</w:t>
            </w:r>
          </w:p>
        </w:tc>
        <w:tc>
          <w:tcPr>
            <w:tcW w:w="24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September 30, 2026</w:t>
            </w:r>
          </w:p>
        </w:tc>
        <w:tc>
          <w:tcPr>
            <w:tcW w:w="260" w:type="dxa"/>
            <w:vAlign w:val="bottom"/>
          </w:tcPr>
          <w:p>
            <w:pPr>
              <w:spacing w:after="0"/>
              <w:rPr>
                <w:sz w:val="14"/>
                <w:szCs w:val="14"/>
                <w:color w:val="auto"/>
              </w:rPr>
            </w:pPr>
          </w:p>
        </w:tc>
        <w:tc>
          <w:tcPr>
            <w:tcW w:w="1600" w:type="dxa"/>
            <w:vAlign w:val="bottom"/>
          </w:tcPr>
          <w:p>
            <w:pPr>
              <w:jc w:val="right"/>
              <w:ind w:right="363"/>
              <w:spacing w:after="0"/>
              <w:rPr>
                <w:sz w:val="20"/>
                <w:szCs w:val="20"/>
                <w:color w:val="auto"/>
              </w:rPr>
            </w:pPr>
            <w:r>
              <w:rPr>
                <w:rFonts w:ascii="Arial" w:cs="Arial" w:eastAsia="Arial" w:hAnsi="Arial"/>
                <w:sz w:val="11"/>
                <w:szCs w:val="11"/>
                <w:b w:val="1"/>
                <w:bCs w:val="1"/>
                <w:color w:val="auto"/>
              </w:rPr>
              <w:t>December 31, 2025</w:t>
            </w:r>
          </w:p>
        </w:tc>
        <w:tc>
          <w:tcPr>
            <w:tcW w:w="0" w:type="dxa"/>
            <w:vAlign w:val="bottom"/>
          </w:tcPr>
          <w:p>
            <w:pPr>
              <w:spacing w:after="0"/>
              <w:rPr>
                <w:sz w:val="1"/>
                <w:szCs w:val="1"/>
                <w:color w:val="auto"/>
              </w:rPr>
            </w:pPr>
          </w:p>
        </w:tc>
      </w:tr>
      <w:tr>
        <w:trPr>
          <w:trHeight w:val="150"/>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b w:val="1"/>
                <w:bCs w:val="1"/>
                <w:color w:val="auto"/>
              </w:rPr>
              <w:t>Current Assets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Cash and cash equivalents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385,624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300,476</w:t>
            </w: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color w:val="auto"/>
              </w:rPr>
              <w:t xml:space="preserve">Accounts receivable, net </w:t>
            </w:r>
            <w:r>
              <w:rPr>
                <w:rFonts w:ascii="Arial" w:cs="Arial" w:eastAsia="Arial" w:hAnsi="Arial"/>
                <w:sz w:val="14"/>
                <w:szCs w:val="14"/>
                <w:color w:val="auto"/>
                <w:vertAlign w:val="superscript"/>
              </w:rPr>
              <w:t>(1)</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155,638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209,907</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Inventory, net</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1,932,298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1,193,773</w:t>
            </w:r>
          </w:p>
        </w:tc>
        <w:tc>
          <w:tcPr>
            <w:tcW w:w="0" w:type="dxa"/>
            <w:vAlign w:val="bottom"/>
          </w:tcPr>
          <w:p>
            <w:pPr>
              <w:spacing w:after="0"/>
              <w:rPr>
                <w:sz w:val="1"/>
                <w:szCs w:val="1"/>
                <w:color w:val="auto"/>
              </w:rPr>
            </w:pPr>
          </w:p>
        </w:tc>
      </w:tr>
      <w:tr>
        <w:trPr>
          <w:trHeight w:val="170"/>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 xml:space="preserve">Other current assets </w:t>
            </w:r>
            <w:r>
              <w:rPr>
                <w:rFonts w:ascii="Arial" w:cs="Arial" w:eastAsia="Arial" w:hAnsi="Arial"/>
                <w:sz w:val="14"/>
                <w:szCs w:val="14"/>
                <w:color w:val="auto"/>
                <w:vertAlign w:val="superscript"/>
              </w:rPr>
              <w:t>(2)</w:t>
            </w: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470,130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408,364</w:t>
            </w:r>
          </w:p>
        </w:tc>
        <w:tc>
          <w:tcPr>
            <w:tcW w:w="0" w:type="dxa"/>
            <w:vAlign w:val="bottom"/>
          </w:tcPr>
          <w:p>
            <w:pPr>
              <w:spacing w:after="0"/>
              <w:rPr>
                <w:sz w:val="1"/>
                <w:szCs w:val="1"/>
                <w:color w:val="auto"/>
              </w:rPr>
            </w:pPr>
          </w:p>
        </w:tc>
      </w:tr>
      <w:tr>
        <w:trPr>
          <w:trHeight w:val="16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Total current assets</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2,943,690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2,112,520</w:t>
            </w: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color w:val="auto"/>
              </w:rPr>
              <w:t>Leasing equipment, net</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1,035,039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1,545,804</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Property, plant, and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180,771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120,068</w:t>
            </w: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color w:val="auto"/>
              </w:rPr>
              <w:t>Investments</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400,883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314,156</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Intangible assets, net</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12,478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19,929</w:t>
            </w: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color w:val="auto"/>
              </w:rPr>
              <w:t>Goodwill</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94,221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94,221</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non-current assets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139,249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167,060</w:t>
            </w:r>
          </w:p>
        </w:tc>
        <w:tc>
          <w:tcPr>
            <w:tcW w:w="0" w:type="dxa"/>
            <w:vAlign w:val="bottom"/>
          </w:tcPr>
          <w:p>
            <w:pPr>
              <w:spacing w:after="0"/>
              <w:rPr>
                <w:sz w:val="1"/>
                <w:szCs w:val="1"/>
                <w:color w:val="auto"/>
              </w:rPr>
            </w:pPr>
          </w:p>
        </w:tc>
      </w:tr>
      <w:tr>
        <w:trPr>
          <w:trHeight w:val="161"/>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Total assets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4,806,331</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4,373,758</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Liabilities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Current Liabilities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179,867</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Pr>
          <w:p>
            <w:pPr>
              <w:jc w:val="right"/>
              <w:spacing w:after="0"/>
              <w:rPr>
                <w:sz w:val="20"/>
                <w:szCs w:val="20"/>
                <w:color w:val="auto"/>
              </w:rPr>
            </w:pPr>
            <w:r>
              <w:rPr>
                <w:rFonts w:ascii="Arial" w:cs="Arial" w:eastAsia="Arial" w:hAnsi="Arial"/>
                <w:sz w:val="11"/>
                <w:szCs w:val="11"/>
                <w:color w:val="auto"/>
              </w:rPr>
              <w:t>208,224</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Accrued liabilities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225,379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90,009</w:t>
            </w: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color w:val="auto"/>
              </w:rPr>
              <w:t>Current maintenance deposits</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18,254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25,439</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Current security deposits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10,094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14,001</w:t>
            </w: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color w:val="auto"/>
              </w:rPr>
              <w:t>Contract liabilities - affiliate</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234,000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current liabilities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103,431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62,202</w:t>
            </w:r>
          </w:p>
        </w:tc>
        <w:tc>
          <w:tcPr>
            <w:tcW w:w="0" w:type="dxa"/>
            <w:vAlign w:val="bottom"/>
          </w:tcPr>
          <w:p>
            <w:pPr>
              <w:spacing w:after="0"/>
              <w:rPr>
                <w:sz w:val="1"/>
                <w:szCs w:val="1"/>
                <w:color w:val="auto"/>
              </w:rPr>
            </w:pPr>
          </w:p>
        </w:tc>
      </w:tr>
      <w:tr>
        <w:trPr>
          <w:trHeight w:val="160"/>
        </w:trPr>
        <w:tc>
          <w:tcPr>
            <w:tcW w:w="6660" w:type="dxa"/>
            <w:vAlign w:val="bottom"/>
          </w:tcPr>
          <w:p>
            <w:pPr>
              <w:ind w:left="100"/>
              <w:spacing w:after="0"/>
              <w:rPr>
                <w:sz w:val="20"/>
                <w:szCs w:val="20"/>
                <w:color w:val="auto"/>
              </w:rPr>
            </w:pPr>
            <w:r>
              <w:rPr>
                <w:rFonts w:ascii="Arial" w:cs="Arial" w:eastAsia="Arial" w:hAnsi="Arial"/>
                <w:sz w:val="11"/>
                <w:szCs w:val="11"/>
                <w:b w:val="1"/>
                <w:bCs w:val="1"/>
                <w:color w:val="auto"/>
              </w:rPr>
              <w:t>Total current liabilities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771,025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399,875</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Long-term debt, net</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3,455,515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3,448,891</w:t>
            </w: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color w:val="auto"/>
              </w:rPr>
              <w:t>Non-current maintenance deposits</w:t>
            </w:r>
          </w:p>
        </w:tc>
        <w:tc>
          <w:tcPr>
            <w:tcW w:w="72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16,777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46,237</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Non-current security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6,989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15,211</w:t>
            </w:r>
          </w:p>
        </w:tc>
        <w:tc>
          <w:tcPr>
            <w:tcW w:w="0" w:type="dxa"/>
            <w:vAlign w:val="bottom"/>
          </w:tcPr>
          <w:p>
            <w:pPr>
              <w:spacing w:after="0"/>
              <w:rPr>
                <w:sz w:val="1"/>
                <w:szCs w:val="1"/>
                <w:color w:val="auto"/>
              </w:rPr>
            </w:pPr>
          </w:p>
        </w:tc>
      </w:tr>
      <w:tr>
        <w:trPr>
          <w:trHeight w:val="170"/>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non-current liabilities</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122,669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129,370</w:t>
            </w:r>
          </w:p>
        </w:tc>
        <w:tc>
          <w:tcPr>
            <w:tcW w:w="0" w:type="dxa"/>
            <w:vAlign w:val="bottom"/>
          </w:tcPr>
          <w:p>
            <w:pPr>
              <w:spacing w:after="0"/>
              <w:rPr>
                <w:sz w:val="1"/>
                <w:szCs w:val="1"/>
                <w:color w:val="auto"/>
              </w:rPr>
            </w:pPr>
          </w:p>
        </w:tc>
      </w:tr>
      <w:tr>
        <w:trPr>
          <w:trHeight w:val="160"/>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4,372,975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4,039,584</w:t>
            </w:r>
          </w:p>
        </w:tc>
        <w:tc>
          <w:tcPr>
            <w:tcW w:w="0" w:type="dxa"/>
            <w:vAlign w:val="bottom"/>
          </w:tcPr>
          <w:p>
            <w:pPr>
              <w:spacing w:after="0"/>
              <w:rPr>
                <w:sz w:val="1"/>
                <w:szCs w:val="1"/>
                <w:color w:val="auto"/>
              </w:rPr>
            </w:pPr>
          </w:p>
        </w:tc>
      </w:tr>
      <w:tr>
        <w:trPr>
          <w:trHeight w:val="150"/>
        </w:trPr>
        <w:tc>
          <w:tcPr>
            <w:tcW w:w="6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Commitments and contingencies</w:t>
            </w:r>
          </w:p>
        </w:tc>
        <w:tc>
          <w:tcPr>
            <w:tcW w:w="7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Equity</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660" w:type="dxa"/>
            <w:vAlign w:val="bottom"/>
          </w:tcPr>
          <w:p>
            <w:pPr>
              <w:ind w:left="100"/>
              <w:spacing w:after="0"/>
              <w:rPr>
                <w:sz w:val="20"/>
                <w:szCs w:val="20"/>
                <w:color w:val="auto"/>
              </w:rPr>
            </w:pPr>
            <w:r>
              <w:rPr>
                <w:rFonts w:ascii="Arial" w:cs="Arial" w:eastAsia="Arial" w:hAnsi="Arial"/>
                <w:sz w:val="11"/>
                <w:szCs w:val="11"/>
                <w:color w:val="auto"/>
              </w:rPr>
              <w:t>Ordinary shares: $0.01 par value per share; 2,000,000,000 shares authorized; 102,448,764 shares issued and outstanding as of</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62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1,024</w:t>
            </w:r>
          </w:p>
        </w:tc>
        <w:tc>
          <w:tcPr>
            <w:tcW w:w="80" w:type="dxa"/>
            <w:vAlign w:val="bottom"/>
          </w:tcPr>
          <w:p>
            <w:pPr>
              <w:spacing w:after="0"/>
              <w:rPr>
                <w:sz w:val="11"/>
                <w:szCs w:val="11"/>
                <w:color w:val="auto"/>
              </w:rPr>
            </w:pPr>
          </w:p>
        </w:tc>
        <w:tc>
          <w:tcPr>
            <w:tcW w:w="260" w:type="dxa"/>
            <w:vAlign w:val="bottom"/>
            <w:vMerge w:val="restart"/>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vMerge w:val="restart"/>
          </w:tcPr>
          <w:p>
            <w:pPr>
              <w:jc w:val="right"/>
              <w:spacing w:after="0"/>
              <w:rPr>
                <w:sz w:val="20"/>
                <w:szCs w:val="20"/>
                <w:color w:val="auto"/>
              </w:rPr>
            </w:pPr>
            <w:r>
              <w:rPr>
                <w:rFonts w:ascii="Arial" w:cs="Arial" w:eastAsia="Arial" w:hAnsi="Arial"/>
                <w:sz w:val="11"/>
                <w:szCs w:val="11"/>
                <w:color w:val="auto"/>
              </w:rPr>
              <w:t>1,026</w:t>
            </w:r>
          </w:p>
        </w:tc>
        <w:tc>
          <w:tcPr>
            <w:tcW w:w="0" w:type="dxa"/>
            <w:vAlign w:val="bottom"/>
          </w:tcPr>
          <w:p>
            <w:pPr>
              <w:spacing w:after="0"/>
              <w:rPr>
                <w:sz w:val="1"/>
                <w:szCs w:val="1"/>
                <w:color w:val="auto"/>
              </w:rPr>
            </w:pPr>
          </w:p>
        </w:tc>
      </w:tr>
      <w:tr>
        <w:trPr>
          <w:trHeight w:val="148"/>
        </w:trPr>
        <w:tc>
          <w:tcPr>
            <w:tcW w:w="6660" w:type="dxa"/>
            <w:vAlign w:val="bottom"/>
          </w:tcPr>
          <w:p>
            <w:pPr>
              <w:ind w:left="100"/>
              <w:spacing w:after="0"/>
              <w:rPr>
                <w:sz w:val="20"/>
                <w:szCs w:val="20"/>
                <w:color w:val="auto"/>
              </w:rPr>
            </w:pPr>
            <w:r>
              <w:rPr>
                <w:rFonts w:ascii="Arial" w:cs="Arial" w:eastAsia="Arial" w:hAnsi="Arial"/>
                <w:sz w:val="11"/>
                <w:szCs w:val="11"/>
                <w:color w:val="auto"/>
              </w:rPr>
              <w:t>September 30, 2026 (December 31, 2025 - 102,573,283)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Preferred shares: $0.01 par value per share; 200,000,000 shares authorized; 2,600,000 shares issued and outstanding as of</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September 30, 2026 (December 31, 2025 - 6,800,000)</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100"/>
              <w:spacing w:after="0"/>
              <w:rPr>
                <w:sz w:val="20"/>
                <w:szCs w:val="20"/>
                <w:color w:val="auto"/>
              </w:rPr>
            </w:pPr>
            <w:r>
              <w:rPr>
                <w:rFonts w:ascii="Arial" w:cs="Arial" w:eastAsia="Arial" w:hAnsi="Arial"/>
                <w:sz w:val="11"/>
                <w:szCs w:val="11"/>
                <w:color w:val="auto"/>
              </w:rPr>
              <w:t>Additional paid in capital</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50,567</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Retained earnings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432,306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282,513</w:t>
            </w:r>
          </w:p>
        </w:tc>
        <w:tc>
          <w:tcPr>
            <w:tcW w:w="0" w:type="dxa"/>
            <w:vAlign w:val="bottom"/>
          </w:tcPr>
          <w:p>
            <w:pPr>
              <w:spacing w:after="0"/>
              <w:rPr>
                <w:sz w:val="1"/>
                <w:szCs w:val="1"/>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Shareholders' equity</w:t>
            </w: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433,356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334,174</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equity</w:t>
            </w: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4,806,331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4,373,758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Includes accounts receivable from the SCI Partnerships of $10,951 as of September 30, 2026 (December 31, 2025 - $47,294).</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Includes receivables from the SCI Partnerships of $3,086 as of September 30, 2026 (December 31, 2025 - $20,681).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OPERATIONS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 except share and per share data)</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80" w:type="dxa"/>
            <w:vAlign w:val="bottom"/>
            <w:gridSpan w:val="5"/>
          </w:tcPr>
          <w:p>
            <w:pPr>
              <w:ind w:left="300"/>
              <w:spacing w:after="0"/>
              <w:rPr>
                <w:sz w:val="20"/>
                <w:szCs w:val="20"/>
                <w:color w:val="auto"/>
              </w:rPr>
            </w:pPr>
            <w:r>
              <w:rPr>
                <w:rFonts w:ascii="Arial" w:cs="Arial" w:eastAsia="Arial" w:hAnsi="Arial"/>
                <w:sz w:val="11"/>
                <w:szCs w:val="11"/>
                <w:b w:val="1"/>
                <w:bCs w:val="1"/>
                <w:color w:val="auto"/>
              </w:rPr>
              <w:t>Three Months Ended September 30,</w:t>
            </w:r>
          </w:p>
        </w:tc>
        <w:tc>
          <w:tcPr>
            <w:tcW w:w="380" w:type="dxa"/>
            <w:vAlign w:val="bottom"/>
          </w:tcPr>
          <w:p>
            <w:pPr>
              <w:spacing w:after="0"/>
              <w:rPr>
                <w:sz w:val="13"/>
                <w:szCs w:val="13"/>
                <w:color w:val="auto"/>
              </w:rPr>
            </w:pPr>
          </w:p>
        </w:tc>
        <w:tc>
          <w:tcPr>
            <w:tcW w:w="2900" w:type="dxa"/>
            <w:vAlign w:val="bottom"/>
            <w:gridSpan w:val="4"/>
          </w:tcPr>
          <w:p>
            <w:pPr>
              <w:jc w:val="right"/>
              <w:ind w:right="643"/>
              <w:spacing w:after="0"/>
              <w:rPr>
                <w:sz w:val="20"/>
                <w:szCs w:val="20"/>
                <w:color w:val="auto"/>
              </w:rPr>
            </w:pPr>
            <w:r>
              <w:rPr>
                <w:rFonts w:ascii="Arial" w:cs="Arial" w:eastAsia="Arial" w:hAnsi="Arial"/>
                <w:sz w:val="11"/>
                <w:szCs w:val="11"/>
                <w:b w:val="1"/>
                <w:bCs w:val="1"/>
                <w:color w:val="auto"/>
              </w:rPr>
              <w:t>Nine Months Ended September 30,</w:t>
            </w:r>
          </w:p>
        </w:tc>
      </w:tr>
      <w:tr>
        <w:trPr>
          <w:trHeight w:val="160"/>
        </w:trPr>
        <w:tc>
          <w:tcPr>
            <w:tcW w:w="3900" w:type="dxa"/>
            <w:vAlign w:val="bottom"/>
          </w:tcPr>
          <w:p>
            <w:pPr>
              <w:spacing w:after="0"/>
              <w:rPr>
                <w:sz w:val="13"/>
                <w:szCs w:val="13"/>
                <w:color w:val="auto"/>
              </w:rPr>
            </w:pP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Notes</w:t>
            </w: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ind w:left="300"/>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2025</w:t>
            </w:r>
          </w:p>
        </w:tc>
      </w:tr>
      <w:tr>
        <w:trPr>
          <w:trHeight w:val="15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4"/>
                <w:szCs w:val="14"/>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780,598</w:t>
            </w:r>
          </w:p>
        </w:tc>
        <w:tc>
          <w:tcPr>
            <w:tcW w:w="8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459,206</w:t>
            </w:r>
          </w:p>
        </w:tc>
        <w:tc>
          <w:tcPr>
            <w:tcW w:w="8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1,995,412</w:t>
            </w:r>
          </w:p>
        </w:tc>
        <w:tc>
          <w:tcPr>
            <w:tcW w:w="8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1,144,317</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 - affiliate</w:t>
            </w:r>
          </w:p>
        </w:tc>
        <w:tc>
          <w:tcPr>
            <w:tcW w:w="6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2, 10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129,408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58,663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533,437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228,886</w:t>
            </w: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25,281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55,072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92,938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185,951</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6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27,292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52,370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83,684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175,081</w:t>
            </w: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5,886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38,461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32,995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105,315</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revenue </w:t>
            </w:r>
            <w:r>
              <w:rPr>
                <w:rFonts w:ascii="Arial" w:cs="Arial" w:eastAsia="Arial" w:hAnsi="Arial"/>
                <w:sz w:val="14"/>
                <w:szCs w:val="14"/>
                <w:color w:val="auto"/>
                <w:vertAlign w:val="superscript"/>
              </w:rPr>
              <w:t>(1)</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9,192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3,292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22,973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5,831</w:t>
            </w:r>
          </w:p>
        </w:tc>
      </w:tr>
      <w:tr>
        <w:trPr>
          <w:trHeight w:val="16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11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977,657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667,064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2,761,439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1,845,381</w:t>
            </w:r>
          </w:p>
        </w:tc>
      </w:tr>
      <w:tr>
        <w:trPr>
          <w:trHeight w:val="182"/>
        </w:trPr>
        <w:tc>
          <w:tcPr>
            <w:tcW w:w="3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623,821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362,922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1,783,871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980,894</w:t>
            </w: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62,327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39,092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175,434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105,858</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Research and development</w:t>
            </w:r>
          </w:p>
        </w:tc>
        <w:tc>
          <w:tcPr>
            <w:tcW w:w="6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22,014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41,461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2,305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1,829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6,963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7,387</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5,030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7,066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27,090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18,847</w:t>
            </w:r>
          </w:p>
        </w:tc>
      </w:tr>
      <w:tr>
        <w:trPr>
          <w:trHeight w:val="17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rPr>
              <w:t>3, 5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43,295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55,278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142,570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170,076</w:t>
            </w:r>
          </w:p>
        </w:tc>
      </w:tr>
      <w:tr>
        <w:trPr>
          <w:trHeight w:val="16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758,792</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466,187</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2,177,389</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1,283,062</w:t>
            </w:r>
          </w:p>
        </w:tc>
      </w:tr>
      <w:tr>
        <w:trPr>
          <w:trHeight w:val="182"/>
        </w:trPr>
        <w:tc>
          <w:tcPr>
            <w:tcW w:w="3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(65,119)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(60,784)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(190,628)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(186,789)</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Equity in earnings (losses) of unconsolidated entities </w:t>
            </w:r>
            <w:r>
              <w:rPr>
                <w:rFonts w:ascii="Arial" w:cs="Arial" w:eastAsia="Arial" w:hAnsi="Arial"/>
                <w:sz w:val="14"/>
                <w:szCs w:val="14"/>
                <w:color w:val="auto"/>
                <w:vertAlign w:val="superscript"/>
              </w:rPr>
              <w:t>(2)</w:t>
            </w:r>
          </w:p>
        </w:tc>
        <w:tc>
          <w:tcPr>
            <w:tcW w:w="6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16,933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24,540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(16,841)</w:t>
            </w: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color w:val="auto"/>
              </w:rPr>
              <w:t>Gain on sale to the 2025 Partnership - affiliate</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4,609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17,633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50,083</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2,168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3,570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57,324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63,797</w:t>
            </w:r>
          </w:p>
        </w:tc>
      </w:tr>
      <w:tr>
        <w:trPr>
          <w:trHeight w:val="16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expense</w:t>
            </w:r>
          </w:p>
        </w:tc>
        <w:tc>
          <w:tcPr>
            <w:tcW w:w="6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(46,018)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(56,829)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(91,131)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(89,750)</w:t>
            </w:r>
          </w:p>
        </w:tc>
      </w:tr>
      <w:tr>
        <w:trPr>
          <w:trHeight w:val="161"/>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172,847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144,048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492,919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472,569</w:t>
            </w:r>
          </w:p>
        </w:tc>
      </w:tr>
      <w:tr>
        <w:trPr>
          <w:trHeight w:val="17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22,239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26,330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79,318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87,067</w:t>
            </w:r>
          </w:p>
        </w:tc>
      </w:tr>
      <w:tr>
        <w:trPr>
          <w:trHeight w:val="16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150,608</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117,718</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413,601</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385,502</w:t>
            </w:r>
          </w:p>
        </w:tc>
      </w:tr>
      <w:tr>
        <w:trPr>
          <w:trHeight w:val="160"/>
        </w:trPr>
        <w:tc>
          <w:tcPr>
            <w:tcW w:w="3900" w:type="dxa"/>
            <w:vAlign w:val="bottom"/>
          </w:tcPr>
          <w:p>
            <w:pPr>
              <w:ind w:left="20"/>
              <w:spacing w:after="0"/>
              <w:rPr>
                <w:sz w:val="20"/>
                <w:szCs w:val="20"/>
                <w:color w:val="auto"/>
              </w:rPr>
            </w:pPr>
            <w:r>
              <w:rPr>
                <w:rFonts w:ascii="Arial" w:cs="Arial" w:eastAsia="Arial" w:hAnsi="Arial"/>
                <w:sz w:val="11"/>
                <w:szCs w:val="11"/>
                <w:color w:val="auto"/>
              </w:rPr>
              <w:t>Less: Dividends on preferred shares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1,544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3,709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8,962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13,533</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3,800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r>
      <w:tr>
        <w:trPr>
          <w:trHeight w:val="161"/>
        </w:trPr>
        <w:tc>
          <w:tcPr>
            <w:tcW w:w="3900" w:type="dxa"/>
            <w:vAlign w:val="bottom"/>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149,064</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114,009</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400,839</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365,642</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b w:val="1"/>
                <w:bCs w:val="1"/>
                <w:color w:val="auto"/>
              </w:rPr>
              <w:t>Earnings per share:</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Basic</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3.91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w:t>
            </w: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color w:val="auto"/>
              </w:rPr>
              <w:t>Diluted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1.43</w:t>
            </w:r>
          </w:p>
        </w:tc>
        <w:tc>
          <w:tcPr>
            <w:tcW w:w="8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3.85</w:t>
            </w:r>
          </w:p>
        </w:tc>
        <w:tc>
          <w:tcPr>
            <w:tcW w:w="8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3.52</w:t>
            </w:r>
          </w:p>
        </w:tc>
      </w:tr>
      <w:tr>
        <w:trPr>
          <w:trHeight w:val="117"/>
        </w:trPr>
        <w:tc>
          <w:tcPr>
            <w:tcW w:w="39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70"/>
        </w:trPr>
        <w:tc>
          <w:tcPr>
            <w:tcW w:w="3900" w:type="dxa"/>
            <w:vAlign w:val="bottom"/>
          </w:tcPr>
          <w:p>
            <w:pPr>
              <w:ind w:left="20"/>
              <w:spacing w:after="0"/>
              <w:rPr>
                <w:sz w:val="20"/>
                <w:szCs w:val="20"/>
                <w:color w:val="auto"/>
              </w:rPr>
            </w:pPr>
            <w:r>
              <w:rPr>
                <w:rFonts w:ascii="Arial" w:cs="Arial" w:eastAsia="Arial" w:hAnsi="Arial"/>
                <w:sz w:val="11"/>
                <w:szCs w:val="11"/>
                <w:b w:val="1"/>
                <w:bCs w:val="1"/>
                <w:color w:val="auto"/>
              </w:rPr>
              <w:t>Weighted average shares outstanding:</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Basic</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102,667,105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102,569,415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102,613,229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102,560,285</w:t>
            </w:r>
          </w:p>
        </w:tc>
      </w:tr>
      <w:tr>
        <w:trPr>
          <w:trHeight w:val="169"/>
        </w:trPr>
        <w:tc>
          <w:tcPr>
            <w:tcW w:w="3900" w:type="dxa"/>
            <w:vAlign w:val="bottom"/>
          </w:tcPr>
          <w:p>
            <w:pPr>
              <w:ind w:left="20"/>
              <w:spacing w:after="0"/>
              <w:rPr>
                <w:sz w:val="20"/>
                <w:szCs w:val="20"/>
                <w:color w:val="auto"/>
              </w:rPr>
            </w:pPr>
            <w:r>
              <w:rPr>
                <w:rFonts w:ascii="Arial" w:cs="Arial" w:eastAsia="Arial" w:hAnsi="Arial"/>
                <w:sz w:val="11"/>
                <w:szCs w:val="11"/>
                <w:color w:val="auto"/>
              </w:rPr>
              <w:t>Diluted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104,106,460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103,966,650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104,059,963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103,951,713</w:t>
            </w:r>
          </w:p>
        </w:tc>
      </w:tr>
    </w:tbl>
    <w:p>
      <w:pPr>
        <w:spacing w:after="0" w:line="164" w:lineRule="exact"/>
        <w:rPr>
          <w:sz w:val="20"/>
          <w:szCs w:val="20"/>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servicing fees of $4,704 and $17,553 for the three and nine months ended September 30, 2026, respectively (2025 - $3,035 and $5,635, respectively), from the SCI Partnerships.</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the profit elimination of $(5,055) and $(21,652) for the three and nine months ended September 30, 2026, respectively (2025 - $(3,908) and $(15,793), respectively), for sales to the SCI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00497F"/>
        </w:rPr>
        <w:t>FTAI AVIATION LTD.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CHANGES IN EQUITY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8"/>
          </w:tcPr>
          <w:p>
            <w:pPr>
              <w:ind w:left="520"/>
              <w:spacing w:after="0"/>
              <w:rPr>
                <w:sz w:val="20"/>
                <w:szCs w:val="20"/>
                <w:color w:val="auto"/>
              </w:rPr>
            </w:pPr>
            <w:r>
              <w:rPr>
                <w:rFonts w:ascii="Arial" w:cs="Arial" w:eastAsia="Arial" w:hAnsi="Arial"/>
                <w:sz w:val="11"/>
                <w:szCs w:val="11"/>
                <w:b w:val="1"/>
                <w:bCs w:val="1"/>
                <w:color w:val="auto"/>
              </w:rPr>
              <w:t>Three and Nine Months Ended September 30, 2026</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Ordinary Shares</w:t>
            </w:r>
          </w:p>
        </w:tc>
        <w:tc>
          <w:tcPr>
            <w:tcW w:w="8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Preferred Shares</w:t>
            </w:r>
          </w:p>
        </w:tc>
        <w:tc>
          <w:tcPr>
            <w:tcW w:w="1200" w:type="dxa"/>
            <w:vAlign w:val="bottom"/>
            <w:gridSpan w:val="3"/>
          </w:tcPr>
          <w:p>
            <w:pPr>
              <w:jc w:val="center"/>
              <w:ind w:right="100"/>
              <w:spacing w:after="0" w:line="123" w:lineRule="exact"/>
              <w:rPr>
                <w:sz w:val="20"/>
                <w:szCs w:val="20"/>
                <w:color w:val="auto"/>
              </w:rPr>
            </w:pPr>
            <w:r>
              <w:rPr>
                <w:rFonts w:ascii="Arial" w:cs="Arial" w:eastAsia="Arial" w:hAnsi="Arial"/>
                <w:sz w:val="11"/>
                <w:szCs w:val="11"/>
                <w:b w:val="1"/>
                <w:bCs w:val="1"/>
                <w:color w:val="auto"/>
              </w:rPr>
              <w:t>Additional Paid In</w:t>
            </w:r>
          </w:p>
        </w:tc>
        <w:tc>
          <w:tcPr>
            <w:tcW w:w="120" w:type="dxa"/>
            <w:vAlign w:val="bottom"/>
          </w:tcPr>
          <w:p>
            <w:pPr>
              <w:spacing w:after="0"/>
              <w:rPr>
                <w:sz w:val="10"/>
                <w:szCs w:val="10"/>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Retained Earnings</w:t>
            </w:r>
          </w:p>
        </w:tc>
        <w:tc>
          <w:tcPr>
            <w:tcW w:w="220" w:type="dxa"/>
            <w:vAlign w:val="bottom"/>
          </w:tcPr>
          <w:p>
            <w:pPr>
              <w:spacing w:after="0"/>
              <w:rPr>
                <w:sz w:val="10"/>
                <w:szCs w:val="10"/>
                <w:color w:val="auto"/>
              </w:rPr>
            </w:pPr>
          </w:p>
        </w:tc>
        <w:tc>
          <w:tcPr>
            <w:tcW w:w="1100" w:type="dxa"/>
            <w:vAlign w:val="bottom"/>
            <w:vMerge w:val="restart"/>
          </w:tcPr>
          <w:p>
            <w:pPr>
              <w:jc w:val="right"/>
              <w:ind w:right="283"/>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Equity -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50,567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282,513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334,174</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262,993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262,993</w:t>
            </w:r>
          </w:p>
        </w:tc>
        <w:tc>
          <w:tcPr>
            <w:tcW w:w="0" w:type="dxa"/>
            <w:vAlign w:val="bottom"/>
          </w:tcPr>
          <w:p>
            <w:pPr>
              <w:spacing w:after="0"/>
              <w:rPr>
                <w:sz w:val="1"/>
                <w:szCs w:val="1"/>
                <w:color w:val="auto"/>
              </w:rPr>
            </w:pPr>
          </w:p>
        </w:tc>
      </w:tr>
      <w:tr>
        <w:trPr>
          <w:trHeight w:val="161"/>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262,993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262,993</w:t>
            </w:r>
          </w:p>
        </w:tc>
        <w:tc>
          <w:tcPr>
            <w:tcW w:w="0" w:type="dxa"/>
            <w:vAlign w:val="bottom"/>
          </w:tcPr>
          <w:p>
            <w:pPr>
              <w:spacing w:after="0"/>
              <w:rPr>
                <w:sz w:val="1"/>
                <w:szCs w:val="1"/>
                <w:color w:val="auto"/>
              </w:rPr>
            </w:pPr>
          </w:p>
        </w:tc>
      </w:tr>
      <w:tr>
        <w:trPr>
          <w:trHeight w:val="170"/>
        </w:trPr>
        <w:tc>
          <w:tcPr>
            <w:tcW w:w="4960" w:type="dxa"/>
            <w:vAlign w:val="bottom"/>
          </w:tcPr>
          <w:p>
            <w:pPr>
              <w:ind w:left="20"/>
              <w:spacing w:after="0"/>
              <w:rPr>
                <w:sz w:val="20"/>
                <w:szCs w:val="20"/>
                <w:color w:val="auto"/>
              </w:rPr>
            </w:pPr>
            <w:r>
              <w:rPr>
                <w:rFonts w:ascii="Arial" w:cs="Arial" w:eastAsia="Arial" w:hAnsi="Arial"/>
                <w:sz w:val="11"/>
                <w:szCs w:val="11"/>
                <w:color w:val="auto"/>
              </w:rPr>
              <w:t>Redemption of preferred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(57,492)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(44,159)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(101,693)</w:t>
            </w:r>
          </w:p>
        </w:tc>
        <w:tc>
          <w:tcPr>
            <w:tcW w:w="0" w:type="dxa"/>
            <w:vAlign w:val="bottom"/>
          </w:tcPr>
          <w:p>
            <w:pPr>
              <w:spacing w:after="0"/>
              <w:rPr>
                <w:sz w:val="1"/>
                <w:szCs w:val="1"/>
                <w:color w:val="auto"/>
              </w:rPr>
            </w:pP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redemption of preferred shares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(3,800)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(3,800)</w:t>
            </w:r>
          </w:p>
        </w:tc>
        <w:tc>
          <w:tcPr>
            <w:tcW w:w="0" w:type="dxa"/>
            <w:vAlign w:val="bottom"/>
          </w:tcPr>
          <w:p>
            <w:pPr>
              <w:spacing w:after="0"/>
              <w:rPr>
                <w:sz w:val="1"/>
                <w:szCs w:val="1"/>
                <w:color w:val="auto"/>
              </w:rPr>
            </w:pPr>
          </w:p>
        </w:tc>
      </w:tr>
      <w:tr>
        <w:trPr>
          <w:trHeight w:val="170"/>
        </w:trPr>
        <w:tc>
          <w:tcPr>
            <w:tcW w:w="4960" w:type="dxa"/>
            <w:vAlign w:val="bottom"/>
          </w:tcPr>
          <w:p>
            <w:pPr>
              <w:ind w:left="20"/>
              <w:spacing w:after="0"/>
              <w:rPr>
                <w:sz w:val="20"/>
                <w:szCs w:val="20"/>
                <w:color w:val="auto"/>
              </w:rPr>
            </w:pPr>
            <w:r>
              <w:rPr>
                <w:rFonts w:ascii="Arial" w:cs="Arial" w:eastAsia="Arial" w:hAnsi="Arial"/>
                <w:sz w:val="11"/>
                <w:szCs w:val="11"/>
                <w:color w:val="auto"/>
              </w:rPr>
              <w:t>Issuance of ordinary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b w:val="1"/>
                <w:bCs w:val="1"/>
                <w:color w:val="auto"/>
              </w:rPr>
              <w:t>710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710</w:t>
            </w:r>
          </w:p>
        </w:tc>
        <w:tc>
          <w:tcPr>
            <w:tcW w:w="0" w:type="dxa"/>
            <w:vAlign w:val="bottom"/>
          </w:tcPr>
          <w:p>
            <w:pPr>
              <w:spacing w:after="0"/>
              <w:rPr>
                <w:sz w:val="1"/>
                <w:szCs w:val="1"/>
                <w:color w:val="auto"/>
              </w:rPr>
            </w:pP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(87,194)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(87,194)</w:t>
            </w:r>
          </w:p>
        </w:tc>
        <w:tc>
          <w:tcPr>
            <w:tcW w:w="0" w:type="dxa"/>
            <w:vAlign w:val="bottom"/>
          </w:tcPr>
          <w:p>
            <w:pPr>
              <w:spacing w:after="0"/>
              <w:rPr>
                <w:sz w:val="1"/>
                <w:szCs w:val="1"/>
                <w:color w:val="auto"/>
              </w:rPr>
            </w:pPr>
          </w:p>
        </w:tc>
      </w:tr>
      <w:tr>
        <w:trPr>
          <w:trHeight w:val="170"/>
        </w:trPr>
        <w:tc>
          <w:tcPr>
            <w:tcW w:w="4960" w:type="dxa"/>
            <w:vAlign w:val="bottom"/>
          </w:tcPr>
          <w:p>
            <w:pPr>
              <w:ind w:left="20"/>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(7,418)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(7,418)</w:t>
            </w:r>
          </w:p>
        </w:tc>
        <w:tc>
          <w:tcPr>
            <w:tcW w:w="0" w:type="dxa"/>
            <w:vAlign w:val="bottom"/>
          </w:tcPr>
          <w:p>
            <w:pPr>
              <w:spacing w:after="0"/>
              <w:rPr>
                <w:sz w:val="1"/>
                <w:szCs w:val="1"/>
                <w:color w:val="auto"/>
              </w:rPr>
            </w:pP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13,679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13,679</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settlement on vesting of equity awards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(7,464)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(7,464)</w:t>
            </w:r>
          </w:p>
        </w:tc>
        <w:tc>
          <w:tcPr>
            <w:tcW w:w="0" w:type="dxa"/>
            <w:vAlign w:val="bottom"/>
          </w:tcPr>
          <w:p>
            <w:pPr>
              <w:spacing w:after="0"/>
              <w:rPr>
                <w:sz w:val="1"/>
                <w:szCs w:val="1"/>
                <w:color w:val="auto"/>
              </w:rPr>
            </w:pPr>
          </w:p>
        </w:tc>
      </w:tr>
      <w:tr>
        <w:trPr>
          <w:trHeight w:val="16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Equity - June 30, 2026</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1,026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402,935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403,987</w:t>
            </w:r>
          </w:p>
        </w:tc>
        <w:tc>
          <w:tcPr>
            <w:tcW w:w="0" w:type="dxa"/>
            <w:vAlign w:val="bottom"/>
          </w:tcPr>
          <w:p>
            <w:pPr>
              <w:spacing w:after="0"/>
              <w:rPr>
                <w:sz w:val="1"/>
                <w:szCs w:val="1"/>
                <w:color w:val="auto"/>
              </w:rPr>
            </w:pPr>
          </w:p>
        </w:tc>
      </w:tr>
      <w:tr>
        <w:trPr>
          <w:trHeight w:val="160"/>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150,608</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150,608</w:t>
            </w:r>
          </w:p>
        </w:tc>
        <w:tc>
          <w:tcPr>
            <w:tcW w:w="0" w:type="dxa"/>
            <w:vAlign w:val="bottom"/>
          </w:tcPr>
          <w:p>
            <w:pPr>
              <w:spacing w:after="0"/>
              <w:rPr>
                <w:sz w:val="1"/>
                <w:szCs w:val="1"/>
                <w:color w:val="auto"/>
              </w:rPr>
            </w:pPr>
          </w:p>
        </w:tc>
      </w:tr>
      <w:tr>
        <w:trPr>
          <w:trHeight w:val="161"/>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150,608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150,608</w:t>
            </w:r>
          </w:p>
        </w:tc>
        <w:tc>
          <w:tcPr>
            <w:tcW w:w="0" w:type="dxa"/>
            <w:vAlign w:val="bottom"/>
          </w:tcPr>
          <w:p>
            <w:pPr>
              <w:spacing w:after="0"/>
              <w:rPr>
                <w:sz w:val="1"/>
                <w:szCs w:val="1"/>
                <w:color w:val="auto"/>
              </w:rPr>
            </w:pPr>
          </w:p>
        </w:tc>
      </w:tr>
      <w:tr>
        <w:trPr>
          <w:trHeight w:val="170"/>
        </w:trPr>
        <w:tc>
          <w:tcPr>
            <w:tcW w:w="4960" w:type="dxa"/>
            <w:vAlign w:val="bottom"/>
          </w:tcPr>
          <w:p>
            <w:pPr>
              <w:ind w:left="20"/>
              <w:spacing w:after="0"/>
              <w:rPr>
                <w:sz w:val="20"/>
                <w:szCs w:val="20"/>
                <w:color w:val="auto"/>
              </w:rPr>
            </w:pPr>
            <w:r>
              <w:rPr>
                <w:rFonts w:ascii="Arial" w:cs="Arial" w:eastAsia="Arial" w:hAnsi="Arial"/>
                <w:sz w:val="11"/>
                <w:szCs w:val="11"/>
                <w:color w:val="auto"/>
              </w:rPr>
              <w:t>Share repurchases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(49,953)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(49,955)</w:t>
            </w:r>
          </w:p>
        </w:tc>
        <w:tc>
          <w:tcPr>
            <w:tcW w:w="0" w:type="dxa"/>
            <w:vAlign w:val="bottom"/>
          </w:tcPr>
          <w:p>
            <w:pPr>
              <w:spacing w:after="0"/>
              <w:rPr>
                <w:sz w:val="1"/>
                <w:szCs w:val="1"/>
                <w:color w:val="auto"/>
              </w:rPr>
            </w:pP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(51,360)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(51,360)</w:t>
            </w:r>
          </w:p>
        </w:tc>
        <w:tc>
          <w:tcPr>
            <w:tcW w:w="0" w:type="dxa"/>
            <w:vAlign w:val="bottom"/>
          </w:tcPr>
          <w:p>
            <w:pPr>
              <w:spacing w:after="0"/>
              <w:rPr>
                <w:sz w:val="1"/>
                <w:szCs w:val="1"/>
                <w:color w:val="auto"/>
              </w:rPr>
            </w:pPr>
          </w:p>
        </w:tc>
      </w:tr>
      <w:tr>
        <w:trPr>
          <w:trHeight w:val="170"/>
        </w:trPr>
        <w:tc>
          <w:tcPr>
            <w:tcW w:w="4960" w:type="dxa"/>
            <w:vAlign w:val="bottom"/>
          </w:tcPr>
          <w:p>
            <w:pPr>
              <w:ind w:left="20"/>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(1,544)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(1,544)</w:t>
            </w:r>
          </w:p>
        </w:tc>
        <w:tc>
          <w:tcPr>
            <w:tcW w:w="0" w:type="dxa"/>
            <w:vAlign w:val="bottom"/>
          </w:tcPr>
          <w:p>
            <w:pPr>
              <w:spacing w:after="0"/>
              <w:rPr>
                <w:sz w:val="1"/>
                <w:szCs w:val="1"/>
                <w:color w:val="auto"/>
              </w:rPr>
            </w:pP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7,767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7,767</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settlement on vesting of equity awards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(7,767)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(18,380)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(26,147)</w:t>
            </w:r>
          </w:p>
        </w:tc>
        <w:tc>
          <w:tcPr>
            <w:tcW w:w="0" w:type="dxa"/>
            <w:vAlign w:val="bottom"/>
          </w:tcPr>
          <w:p>
            <w:pPr>
              <w:spacing w:after="0"/>
              <w:rPr>
                <w:sz w:val="1"/>
                <w:szCs w:val="1"/>
                <w:color w:val="auto"/>
              </w:rPr>
            </w:pPr>
          </w:p>
        </w:tc>
      </w:tr>
      <w:tr>
        <w:trPr>
          <w:trHeight w:val="181"/>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Equity - September 30, 2026</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432,306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433,356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00497F"/>
        </w:rPr>
        <w:t>FTAI AVIATION LTD.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CHANGES IN EQUITY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8"/>
          </w:tcPr>
          <w:p>
            <w:pPr>
              <w:ind w:left="520"/>
              <w:spacing w:after="0"/>
              <w:rPr>
                <w:sz w:val="20"/>
                <w:szCs w:val="20"/>
                <w:color w:val="auto"/>
              </w:rPr>
            </w:pPr>
            <w:r>
              <w:rPr>
                <w:rFonts w:ascii="Arial" w:cs="Arial" w:eastAsia="Arial" w:hAnsi="Arial"/>
                <w:sz w:val="11"/>
                <w:szCs w:val="11"/>
                <w:b w:val="1"/>
                <w:bCs w:val="1"/>
                <w:color w:val="auto"/>
              </w:rPr>
              <w:t>Three and Nine Months Ended September 30, 2025</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Ordinary Shares</w:t>
            </w:r>
          </w:p>
        </w:tc>
        <w:tc>
          <w:tcPr>
            <w:tcW w:w="8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Preferred Shares</w:t>
            </w:r>
          </w:p>
        </w:tc>
        <w:tc>
          <w:tcPr>
            <w:tcW w:w="1200" w:type="dxa"/>
            <w:vAlign w:val="bottom"/>
            <w:gridSpan w:val="3"/>
          </w:tcPr>
          <w:p>
            <w:pPr>
              <w:jc w:val="center"/>
              <w:ind w:right="100"/>
              <w:spacing w:after="0" w:line="123" w:lineRule="exact"/>
              <w:rPr>
                <w:sz w:val="20"/>
                <w:szCs w:val="20"/>
                <w:color w:val="auto"/>
              </w:rPr>
            </w:pPr>
            <w:r>
              <w:rPr>
                <w:rFonts w:ascii="Arial" w:cs="Arial" w:eastAsia="Arial" w:hAnsi="Arial"/>
                <w:sz w:val="11"/>
                <w:szCs w:val="11"/>
                <w:b w:val="1"/>
                <w:bCs w:val="1"/>
                <w:color w:val="auto"/>
              </w:rPr>
              <w:t>Additional Paid In</w:t>
            </w:r>
          </w:p>
        </w:tc>
        <w:tc>
          <w:tcPr>
            <w:tcW w:w="80" w:type="dxa"/>
            <w:vAlign w:val="bottom"/>
          </w:tcPr>
          <w:p>
            <w:pPr>
              <w:spacing w:after="0"/>
              <w:rPr>
                <w:sz w:val="10"/>
                <w:szCs w:val="10"/>
                <w:color w:val="auto"/>
              </w:rPr>
            </w:pPr>
          </w:p>
        </w:tc>
        <w:tc>
          <w:tcPr>
            <w:tcW w:w="132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rPr>
              <w:t>(Accumulated Deficit)</w:t>
            </w:r>
          </w:p>
        </w:tc>
        <w:tc>
          <w:tcPr>
            <w:tcW w:w="220" w:type="dxa"/>
            <w:vAlign w:val="bottom"/>
          </w:tcPr>
          <w:p>
            <w:pPr>
              <w:spacing w:after="0"/>
              <w:rPr>
                <w:sz w:val="10"/>
                <w:szCs w:val="10"/>
                <w:color w:val="auto"/>
              </w:rPr>
            </w:pPr>
          </w:p>
        </w:tc>
        <w:tc>
          <w:tcPr>
            <w:tcW w:w="1100" w:type="dxa"/>
            <w:vAlign w:val="bottom"/>
            <w:vMerge w:val="restart"/>
          </w:tcPr>
          <w:p>
            <w:pPr>
              <w:jc w:val="right"/>
              <w:ind w:right="283"/>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Retained Earnings</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Equity -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153,328</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(73,103)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81,368</w:t>
            </w:r>
          </w:p>
        </w:tc>
        <w:tc>
          <w:tcPr>
            <w:tcW w:w="0" w:type="dxa"/>
            <w:vAlign w:val="bottom"/>
          </w:tcPr>
          <w:p>
            <w:pPr>
              <w:spacing w:after="0"/>
              <w:rPr>
                <w:sz w:val="1"/>
                <w:szCs w:val="1"/>
                <w:color w:val="auto"/>
              </w:rPr>
            </w:pPr>
          </w:p>
        </w:tc>
      </w:tr>
      <w:tr>
        <w:trPr>
          <w:trHeight w:val="167"/>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267,784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267,784</w:t>
            </w:r>
          </w:p>
        </w:tc>
        <w:tc>
          <w:tcPr>
            <w:tcW w:w="0" w:type="dxa"/>
            <w:vAlign w:val="bottom"/>
          </w:tcPr>
          <w:p>
            <w:pPr>
              <w:spacing w:after="0"/>
              <w:rPr>
                <w:sz w:val="1"/>
                <w:szCs w:val="1"/>
                <w:color w:val="auto"/>
              </w:rPr>
            </w:pPr>
          </w:p>
        </w:tc>
      </w:tr>
      <w:tr>
        <w:trPr>
          <w:trHeight w:val="164"/>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267,784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267,784</w:t>
            </w:r>
          </w:p>
        </w:tc>
        <w:tc>
          <w:tcPr>
            <w:tcW w:w="0" w:type="dxa"/>
            <w:vAlign w:val="bottom"/>
          </w:tcPr>
          <w:p>
            <w:pPr>
              <w:spacing w:after="0"/>
              <w:rPr>
                <w:sz w:val="1"/>
                <w:szCs w:val="1"/>
                <w:color w:val="auto"/>
              </w:rPr>
            </w:pPr>
          </w:p>
        </w:tc>
      </w:tr>
      <w:tr>
        <w:trPr>
          <w:trHeight w:val="167"/>
        </w:trPr>
        <w:tc>
          <w:tcPr>
            <w:tcW w:w="4960" w:type="dxa"/>
            <w:vAlign w:val="bottom"/>
          </w:tcPr>
          <w:p>
            <w:pPr>
              <w:ind w:left="20"/>
              <w:spacing w:after="0"/>
              <w:rPr>
                <w:sz w:val="20"/>
                <w:szCs w:val="20"/>
                <w:color w:val="auto"/>
              </w:rPr>
            </w:pPr>
            <w:r>
              <w:rPr>
                <w:rFonts w:ascii="Arial" w:cs="Arial" w:eastAsia="Arial" w:hAnsi="Arial"/>
                <w:sz w:val="11"/>
                <w:szCs w:val="11"/>
                <w:color w:val="auto"/>
              </w:rPr>
              <w:t>Redemption of preferred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(117,791)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(117,840)</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redemption of preferred shares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c>
          <w:tcPr>
            <w:tcW w:w="0" w:type="dxa"/>
            <w:vAlign w:val="bottom"/>
          </w:tcPr>
          <w:p>
            <w:pPr>
              <w:spacing w:after="0"/>
              <w:rPr>
                <w:sz w:val="1"/>
                <w:szCs w:val="1"/>
                <w:color w:val="auto"/>
              </w:rPr>
            </w:pPr>
          </w:p>
        </w:tc>
      </w:tr>
      <w:tr>
        <w:trPr>
          <w:trHeight w:val="167"/>
        </w:trPr>
        <w:tc>
          <w:tcPr>
            <w:tcW w:w="4960" w:type="dxa"/>
            <w:vAlign w:val="bottom"/>
          </w:tcPr>
          <w:p>
            <w:pPr>
              <w:ind w:left="20"/>
              <w:spacing w:after="0"/>
              <w:rPr>
                <w:sz w:val="20"/>
                <w:szCs w:val="20"/>
                <w:color w:val="auto"/>
              </w:rPr>
            </w:pPr>
            <w:r>
              <w:rPr>
                <w:rFonts w:ascii="Arial" w:cs="Arial" w:eastAsia="Arial" w:hAnsi="Arial"/>
                <w:sz w:val="11"/>
                <w:szCs w:val="11"/>
                <w:color w:val="auto"/>
              </w:rPr>
              <w:t>Issuance of ordinary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913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913</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(61,534)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(61,534)</w:t>
            </w:r>
          </w:p>
        </w:tc>
        <w:tc>
          <w:tcPr>
            <w:tcW w:w="0" w:type="dxa"/>
            <w:vAlign w:val="bottom"/>
          </w:tcPr>
          <w:p>
            <w:pPr>
              <w:spacing w:after="0"/>
              <w:rPr>
                <w:sz w:val="1"/>
                <w:szCs w:val="1"/>
                <w:color w:val="auto"/>
              </w:rPr>
            </w:pPr>
          </w:p>
        </w:tc>
      </w:tr>
      <w:tr>
        <w:trPr>
          <w:trHeight w:val="167"/>
        </w:trPr>
        <w:tc>
          <w:tcPr>
            <w:tcW w:w="4960" w:type="dxa"/>
            <w:vAlign w:val="bottom"/>
          </w:tcPr>
          <w:p>
            <w:pPr>
              <w:ind w:left="20"/>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(9,824)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(9,824)</w:t>
            </w:r>
          </w:p>
        </w:tc>
        <w:tc>
          <w:tcPr>
            <w:tcW w:w="0" w:type="dxa"/>
            <w:vAlign w:val="bottom"/>
          </w:tcPr>
          <w:p>
            <w:pPr>
              <w:spacing w:after="0"/>
              <w:rPr>
                <w:sz w:val="1"/>
                <w:szCs w:val="1"/>
                <w:color w:val="auto"/>
              </w:rPr>
            </w:pP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10,404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10,404</w:t>
            </w:r>
          </w:p>
        </w:tc>
        <w:tc>
          <w:tcPr>
            <w:tcW w:w="0" w:type="dxa"/>
            <w:vAlign w:val="bottom"/>
          </w:tcPr>
          <w:p>
            <w:pPr>
              <w:spacing w:after="0"/>
              <w:rPr>
                <w:sz w:val="1"/>
                <w:szCs w:val="1"/>
                <w:color w:val="auto"/>
              </w:rPr>
            </w:pPr>
          </w:p>
        </w:tc>
      </w:tr>
      <w:tr>
        <w:trPr>
          <w:trHeight w:val="16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Equity - June 30, 2025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(30,831)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194,681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164,944</w:t>
            </w:r>
          </w:p>
        </w:tc>
        <w:tc>
          <w:tcPr>
            <w:tcW w:w="0" w:type="dxa"/>
            <w:vAlign w:val="bottom"/>
          </w:tcPr>
          <w:p>
            <w:pPr>
              <w:spacing w:after="0"/>
              <w:rPr>
                <w:sz w:val="1"/>
                <w:szCs w:val="1"/>
                <w:color w:val="auto"/>
              </w:rPr>
            </w:pPr>
          </w:p>
        </w:tc>
      </w:tr>
      <w:tr>
        <w:trPr>
          <w:trHeight w:val="157"/>
        </w:trPr>
        <w:tc>
          <w:tcPr>
            <w:tcW w:w="49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117,718</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117,718</w:t>
            </w:r>
          </w:p>
        </w:tc>
        <w:tc>
          <w:tcPr>
            <w:tcW w:w="0" w:type="dxa"/>
            <w:vAlign w:val="bottom"/>
          </w:tcPr>
          <w:p>
            <w:pPr>
              <w:spacing w:after="0"/>
              <w:rPr>
                <w:sz w:val="1"/>
                <w:szCs w:val="1"/>
                <w:color w:val="auto"/>
              </w:rPr>
            </w:pPr>
          </w:p>
        </w:tc>
      </w:tr>
      <w:tr>
        <w:trPr>
          <w:trHeight w:val="160"/>
        </w:trPr>
        <w:tc>
          <w:tcPr>
            <w:tcW w:w="4960" w:type="dxa"/>
            <w:vAlign w:val="bottom"/>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117,718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117,718</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ordinary shares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67"/>
        </w:trPr>
        <w:tc>
          <w:tcPr>
            <w:tcW w:w="4960" w:type="dxa"/>
            <w:vAlign w:val="bottom"/>
          </w:tcPr>
          <w:p>
            <w:pPr>
              <w:ind w:left="20"/>
              <w:spacing w:after="0"/>
              <w:rPr>
                <w:sz w:val="20"/>
                <w:szCs w:val="20"/>
                <w:color w:val="auto"/>
              </w:rPr>
            </w:pPr>
            <w:r>
              <w:rPr>
                <w:rFonts w:ascii="Arial" w:cs="Arial" w:eastAsia="Arial" w:hAnsi="Arial"/>
                <w:sz w:val="11"/>
                <w:szCs w:val="11"/>
                <w:color w:val="auto"/>
              </w:rPr>
              <w:t>Dividends declared - ordinary shares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(30,771)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(30,771)</w:t>
            </w:r>
          </w:p>
        </w:tc>
        <w:tc>
          <w:tcPr>
            <w:tcW w:w="0" w:type="dxa"/>
            <w:vAlign w:val="bottom"/>
          </w:tcPr>
          <w:p>
            <w:pPr>
              <w:spacing w:after="0"/>
              <w:rPr>
                <w:sz w:val="1"/>
                <w:szCs w:val="1"/>
                <w:color w:val="auto"/>
              </w:rPr>
            </w:pPr>
          </w:p>
        </w:tc>
      </w:tr>
      <w:tr>
        <w:trPr>
          <w:trHeight w:val="173"/>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 - preferred shares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(3,709)</w:t>
            </w:r>
          </w:p>
        </w:tc>
        <w:tc>
          <w:tcPr>
            <w:tcW w:w="0" w:type="dxa"/>
            <w:vAlign w:val="bottom"/>
          </w:tcPr>
          <w:p>
            <w:pPr>
              <w:spacing w:after="0"/>
              <w:rPr>
                <w:sz w:val="1"/>
                <w:szCs w:val="1"/>
                <w:color w:val="auto"/>
              </w:rPr>
            </w:pPr>
          </w:p>
        </w:tc>
      </w:tr>
      <w:tr>
        <w:trPr>
          <w:trHeight w:val="167"/>
        </w:trPr>
        <w:tc>
          <w:tcPr>
            <w:tcW w:w="4960" w:type="dxa"/>
            <w:vAlign w:val="bottom"/>
          </w:tcPr>
          <w:p>
            <w:pPr>
              <w:ind w:left="20"/>
              <w:spacing w:after="0"/>
              <w:rPr>
                <w:sz w:val="20"/>
                <w:szCs w:val="20"/>
                <w:color w:val="auto"/>
              </w:rPr>
            </w:pPr>
            <w:r>
              <w:rPr>
                <w:rFonts w:ascii="Arial" w:cs="Arial" w:eastAsia="Arial" w:hAnsi="Arial"/>
                <w:sz w:val="11"/>
                <w:szCs w:val="11"/>
                <w:color w:val="auto"/>
              </w:rPr>
              <w:t>Equity-based compensation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5,655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5,655</w:t>
            </w:r>
          </w:p>
        </w:tc>
        <w:tc>
          <w:tcPr>
            <w:tcW w:w="0" w:type="dxa"/>
            <w:vAlign w:val="bottom"/>
          </w:tcPr>
          <w:p>
            <w:pPr>
              <w:spacing w:after="0"/>
              <w:rPr>
                <w:sz w:val="1"/>
                <w:szCs w:val="1"/>
                <w:color w:val="auto"/>
              </w:rPr>
            </w:pP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settlement on vesting of equity awards</w:t>
            </w: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(1,497)</w:t>
            </w:r>
          </w:p>
        </w:tc>
        <w:tc>
          <w:tcPr>
            <w:tcW w:w="0" w:type="dxa"/>
            <w:vAlign w:val="bottom"/>
          </w:tcPr>
          <w:p>
            <w:pPr>
              <w:spacing w:after="0"/>
              <w:rPr>
                <w:sz w:val="1"/>
                <w:szCs w:val="1"/>
                <w:color w:val="auto"/>
              </w:rPr>
            </w:pPr>
          </w:p>
        </w:tc>
      </w:tr>
      <w:tr>
        <w:trPr>
          <w:trHeight w:val="164"/>
        </w:trPr>
        <w:tc>
          <w:tcPr>
            <w:tcW w:w="4960" w:type="dxa"/>
            <w:vAlign w:val="bottom"/>
          </w:tcPr>
          <w:p>
            <w:pPr>
              <w:ind w:left="20"/>
              <w:spacing w:after="0"/>
              <w:rPr>
                <w:sz w:val="20"/>
                <w:szCs w:val="20"/>
                <w:color w:val="auto"/>
              </w:rPr>
            </w:pPr>
            <w:r>
              <w:rPr>
                <w:rFonts w:ascii="Arial" w:cs="Arial" w:eastAsia="Arial" w:hAnsi="Arial"/>
                <w:sz w:val="11"/>
                <w:szCs w:val="11"/>
                <w:b w:val="1"/>
                <w:bCs w:val="1"/>
                <w:color w:val="auto"/>
              </w:rPr>
              <w:t>Equity - September 30, 2025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(26,549)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277,919</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252,464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CASH FLOWS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1"/>
                <w:szCs w:val="11"/>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r>
      <w:tr>
        <w:trPr>
          <w:trHeight w:val="160"/>
        </w:trPr>
        <w:tc>
          <w:tcPr>
            <w:tcW w:w="79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040" w:type="dxa"/>
            <w:vAlign w:val="bottom"/>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413,601</w:t>
            </w:r>
          </w:p>
        </w:tc>
        <w:tc>
          <w:tcPr>
            <w:tcW w:w="100" w:type="dxa"/>
            <w:vAlign w:val="bottom"/>
          </w:tcPr>
          <w:p>
            <w:pPr>
              <w:spacing w:after="0"/>
              <w:rPr>
                <w:sz w:val="14"/>
                <w:szCs w:val="14"/>
                <w:color w:val="auto"/>
              </w:rPr>
            </w:pPr>
          </w:p>
        </w:tc>
        <w:tc>
          <w:tcPr>
            <w:tcW w:w="1040" w:type="dxa"/>
            <w:vAlign w:val="bottom"/>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385,502</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 to net cash used in operating activities: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 xml:space="preserve">Equity in (earnings) losses of unconsolidated entities </w:t>
            </w:r>
            <w:r>
              <w:rPr>
                <w:rFonts w:ascii="Arial" w:cs="Arial" w:eastAsia="Arial" w:hAnsi="Arial"/>
                <w:sz w:val="14"/>
                <w:szCs w:val="14"/>
                <w:color w:val="auto"/>
                <w:vertAlign w:val="superscript"/>
              </w:rPr>
              <w:t>(1)</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(24,540)</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16,841</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of assets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(285,068)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(294,761)</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Gain on sale of assets to the 2025 Partnership - affiliate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(17,633)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(50,083)</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insurance recoveries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(49,545)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(54,325)</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Security deposits and maintenance claims included in earnings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(6,763)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(24,919)</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21,446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16,059</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142,570</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170,076</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income taxes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13,148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77,559</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Change in fair value of guarantees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1,255</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2,460</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lease intangibles and incentives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18,243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31,843</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Amortization of deferred financing costs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9,026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8,772</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credit losses</w:t>
            </w:r>
          </w:p>
        </w:tc>
        <w:tc>
          <w:tcPr>
            <w:tcW w:w="10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Other</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4,807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710</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0"/>
        </w:trPr>
        <w:tc>
          <w:tcPr>
            <w:tcW w:w="7900" w:type="dxa"/>
            <w:vAlign w:val="bottom"/>
          </w:tcPr>
          <w:p>
            <w:pPr>
              <w:ind w:left="140"/>
              <w:spacing w:after="0"/>
              <w:rPr>
                <w:sz w:val="20"/>
                <w:szCs w:val="20"/>
                <w:color w:val="auto"/>
              </w:rPr>
            </w:pPr>
            <w:r>
              <w:rPr>
                <w:rFonts w:ascii="Arial" w:cs="Arial" w:eastAsia="Arial" w:hAnsi="Arial"/>
                <w:sz w:val="11"/>
                <w:szCs w:val="11"/>
                <w:color w:val="auto"/>
              </w:rPr>
              <w:t>Accounts receivable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52,927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(38,968)</w:t>
            </w:r>
          </w:p>
        </w:tc>
      </w:tr>
      <w:tr>
        <w:trPr>
          <w:trHeight w:val="170"/>
        </w:trPr>
        <w:tc>
          <w:tcPr>
            <w:tcW w:w="7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Contract liabilities - affiliate</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234,000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7900" w:type="dxa"/>
            <w:vAlign w:val="bottom"/>
          </w:tcPr>
          <w:p>
            <w:pPr>
              <w:ind w:left="140"/>
              <w:spacing w:after="0"/>
              <w:rPr>
                <w:sz w:val="20"/>
                <w:szCs w:val="20"/>
                <w:color w:val="auto"/>
              </w:rPr>
            </w:pPr>
            <w:r>
              <w:rPr>
                <w:rFonts w:ascii="Arial" w:cs="Arial" w:eastAsia="Arial" w:hAnsi="Arial"/>
                <w:sz w:val="11"/>
                <w:szCs w:val="11"/>
                <w:color w:val="auto"/>
              </w:rPr>
              <w:t>Inventory</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(885,934)</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(391,908)</w:t>
            </w:r>
          </w:p>
        </w:tc>
      </w:tr>
      <w:tr>
        <w:trPr>
          <w:trHeight w:val="170"/>
        </w:trPr>
        <w:tc>
          <w:tcPr>
            <w:tcW w:w="79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assets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(112,055)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(64,011)</w:t>
            </w:r>
          </w:p>
        </w:tc>
      </w:tr>
      <w:tr>
        <w:trPr>
          <w:trHeight w:val="170"/>
        </w:trPr>
        <w:tc>
          <w:tcPr>
            <w:tcW w:w="7900" w:type="dxa"/>
            <w:vAlign w:val="bottom"/>
          </w:tcPr>
          <w:p>
            <w:pPr>
              <w:ind w:left="140"/>
              <w:spacing w:after="0"/>
              <w:rPr>
                <w:sz w:val="20"/>
                <w:szCs w:val="20"/>
                <w:color w:val="auto"/>
              </w:rPr>
            </w:pPr>
            <w:r>
              <w:rPr>
                <w:rFonts w:ascii="Arial" w:cs="Arial" w:eastAsia="Arial" w:hAnsi="Arial"/>
                <w:sz w:val="11"/>
                <w:szCs w:val="11"/>
                <w:color w:val="auto"/>
              </w:rPr>
              <w:t>Accounts payable and accrued liabilities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105,209</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100,739</w:t>
            </w:r>
          </w:p>
        </w:tc>
      </w:tr>
      <w:tr>
        <w:trPr>
          <w:trHeight w:val="170"/>
        </w:trPr>
        <w:tc>
          <w:tcPr>
            <w:tcW w:w="79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Management fees payable to affiliate</w:t>
            </w:r>
          </w:p>
        </w:tc>
        <w:tc>
          <w:tcPr>
            <w:tcW w:w="10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(960)</w:t>
            </w:r>
          </w:p>
        </w:tc>
      </w:tr>
      <w:tr>
        <w:trPr>
          <w:trHeight w:val="170"/>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liabilities</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32,289</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(22,568)</w:t>
            </w:r>
          </w:p>
        </w:tc>
      </w:tr>
      <w:tr>
        <w:trPr>
          <w:trHeight w:val="16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operating activities</w:t>
            </w:r>
          </w:p>
        </w:tc>
        <w:tc>
          <w:tcPr>
            <w:tcW w:w="10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(333,017)</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(131,666)</w:t>
            </w:r>
          </w:p>
        </w:tc>
      </w:tr>
      <w:tr>
        <w:trPr>
          <w:trHeight w:val="150"/>
        </w:trPr>
        <w:tc>
          <w:tcPr>
            <w:tcW w:w="7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Investment in unconsolidated entities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(129,540)</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(188,698)</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Return of capital from unconsolidated entities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67,352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27,113</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Principal collections on finance leases</w:t>
            </w:r>
          </w:p>
        </w:tc>
        <w:tc>
          <w:tcPr>
            <w:tcW w:w="10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1,580</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Principal collections on notes receivable</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2,823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4,328</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Acquisition of business, net of cash acquired</w:t>
            </w:r>
          </w:p>
        </w:tc>
        <w:tc>
          <w:tcPr>
            <w:tcW w:w="10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(37,133)</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of leasing equipment</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(298,126)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(489,781)</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Investments in financing receivables</w:t>
            </w:r>
          </w:p>
        </w:tc>
        <w:tc>
          <w:tcPr>
            <w:tcW w:w="10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(2,764)</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 in promissory notes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(4,754)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Acquisition of property, plant and equipment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(66,373)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(17,511)</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of lease intangibles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(1,034)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2,757</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 xml:space="preserve">Deposits for acquisition of leasing equipment </w:t>
            </w:r>
            <w:r>
              <w:rPr>
                <w:rFonts w:ascii="Arial" w:cs="Arial" w:eastAsia="Arial" w:hAnsi="Arial"/>
                <w:sz w:val="14"/>
                <w:szCs w:val="14"/>
                <w:color w:val="auto"/>
                <w:vertAlign w:val="superscript"/>
              </w:rPr>
              <w:t>(2)</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(34,446)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(58,646)</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sale of assets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988,218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890,434</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Proceeds from sale of assets to the 2025 Partnership - affiliate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175,657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485,108</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settlement of insurance claims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49,533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54,325</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Proceeds from deposits on sale of leasing equipment</w:t>
            </w:r>
          </w:p>
        </w:tc>
        <w:tc>
          <w:tcPr>
            <w:tcW w:w="10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6,405</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Return of deposits for acquisition of leasing equipment </w:t>
            </w:r>
            <w:r>
              <w:rPr>
                <w:rFonts w:ascii="Arial" w:cs="Arial" w:eastAsia="Arial" w:hAnsi="Arial"/>
                <w:sz w:val="14"/>
                <w:szCs w:val="14"/>
                <w:color w:val="auto"/>
                <w:vertAlign w:val="superscript"/>
              </w:rPr>
              <w:t>(2)</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8,362</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45,151</w:t>
            </w:r>
          </w:p>
        </w:tc>
      </w:tr>
      <w:tr>
        <w:trPr>
          <w:trHeight w:val="160"/>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Net cash provided by investing activities</w:t>
            </w: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757,672</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722,668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CONSOLIDATED STATEMENTS OF CASH FLOWS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thousands)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1"/>
                <w:szCs w:val="11"/>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r>
      <w:tr>
        <w:trPr>
          <w:trHeight w:val="160"/>
        </w:trPr>
        <w:tc>
          <w:tcPr>
            <w:tcW w:w="79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r>
      <w:tr>
        <w:trPr>
          <w:trHeight w:val="15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Proceeds from debt</w:t>
            </w:r>
          </w:p>
        </w:tc>
        <w:tc>
          <w:tcPr>
            <w:tcW w:w="1000" w:type="dxa"/>
            <w:vAlign w:val="bottom"/>
          </w:tcPr>
          <w:p>
            <w:pPr>
              <w:jc w:val="right"/>
              <w:ind w:right="863"/>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1,225,000</w:t>
            </w:r>
          </w:p>
        </w:tc>
        <w:tc>
          <w:tcPr>
            <w:tcW w:w="100" w:type="dxa"/>
            <w:vAlign w:val="bottom"/>
          </w:tcPr>
          <w:p>
            <w:pPr>
              <w:spacing w:after="0"/>
              <w:rPr>
                <w:sz w:val="14"/>
                <w:szCs w:val="14"/>
                <w:color w:val="auto"/>
              </w:rPr>
            </w:pPr>
          </w:p>
        </w:tc>
        <w:tc>
          <w:tcPr>
            <w:tcW w:w="1040" w:type="dxa"/>
            <w:vAlign w:val="bottom"/>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430,000</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 of debt</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(1,225,000)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(430,000)</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Payment of deferred financing costs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(12,123)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(524)</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Receipt of security deposits under operating lease agreements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1,005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4,490</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Return of security deposits under operating lease agreements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(1,514)</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(3,469)</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Receipt of maintenance deposits under operating lease agreements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15,420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40,284</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Release of maintenance deposits under operating lease agreements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(5,720)</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(5,452)</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repurchases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(49,955)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Settlement of equity-based compensation</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(33,611)</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(1,497)</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Redemption of preferred shares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(105,493)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(124,167)</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Cash dividends - ordinary shares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(138,554)</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(92,305)</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 preferred shares</w:t>
            </w: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(8,962)</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(13,533)</w:t>
            </w:r>
          </w:p>
        </w:tc>
      </w:tr>
      <w:tr>
        <w:trPr>
          <w:trHeight w:val="16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cash used in financing activities</w:t>
            </w:r>
          </w:p>
        </w:tc>
        <w:tc>
          <w:tcPr>
            <w:tcW w:w="100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(339,507)</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(196,173)</w:t>
            </w:r>
          </w:p>
        </w:tc>
      </w:tr>
      <w:tr>
        <w:trPr>
          <w:trHeight w:val="150"/>
        </w:trPr>
        <w:tc>
          <w:tcPr>
            <w:tcW w:w="7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Net increase in cash and cash equivalents and restricted cash</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85,148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394,829</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 and restricted cash, beginning of period</w:t>
            </w: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300,626</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115,266</w:t>
            </w:r>
          </w:p>
        </w:tc>
      </w:tr>
      <w:tr>
        <w:trPr>
          <w:trHeight w:val="161"/>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and restricted cash, end of period</w:t>
            </w:r>
          </w:p>
        </w:tc>
        <w:tc>
          <w:tcPr>
            <w:tcW w:w="100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385,774</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510,095</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31"/>
        </w:trPr>
        <w:tc>
          <w:tcPr>
            <w:tcW w:w="79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32"/>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Supplemental disclosure of non-cash investing and financing activities</w:t>
            </w: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4"/>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(see Note 2 for additional non-cash information):</w:t>
            </w: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Receipt of notes receivable in connection with the sale of leasing equipment</w:t>
            </w:r>
          </w:p>
        </w:tc>
        <w:tc>
          <w:tcPr>
            <w:tcW w:w="1000" w:type="dxa"/>
            <w:vAlign w:val="bottom"/>
            <w:shd w:val="clear" w:color="auto" w:fill="CCEEFF"/>
          </w:tcPr>
          <w:p>
            <w:pPr>
              <w:jc w:val="right"/>
              <w:ind w:right="863"/>
              <w:spacing w:after="0"/>
              <w:rPr>
                <w:sz w:val="20"/>
                <w:szCs w:val="20"/>
                <w:color w:val="auto"/>
              </w:rPr>
            </w:pPr>
            <w:r>
              <w:rPr>
                <w:rFonts w:ascii="Arial" w:cs="Arial" w:eastAsia="Arial" w:hAnsi="Arial"/>
                <w:sz w:val="11"/>
                <w:szCs w:val="11"/>
                <w:b w:val="1"/>
                <w:bCs w:val="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47,181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32,996</w:t>
            </w:r>
          </w:p>
        </w:tc>
      </w:tr>
      <w:tr>
        <w:trPr>
          <w:trHeight w:val="170"/>
        </w:trPr>
        <w:tc>
          <w:tcPr>
            <w:tcW w:w="7900" w:type="dxa"/>
            <w:vAlign w:val="bottom"/>
          </w:tcPr>
          <w:p>
            <w:pPr>
              <w:ind w:left="20"/>
              <w:spacing w:after="0"/>
              <w:rPr>
                <w:sz w:val="20"/>
                <w:szCs w:val="20"/>
                <w:color w:val="auto"/>
              </w:rPr>
            </w:pPr>
            <w:r>
              <w:rPr>
                <w:rFonts w:ascii="Arial" w:cs="Arial" w:eastAsia="Arial" w:hAnsi="Arial"/>
                <w:sz w:val="11"/>
                <w:szCs w:val="11"/>
                <w:color w:val="auto"/>
              </w:rPr>
              <w:t>Acquisition of leasing equipment in accrued liabilities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(2,303)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(22,634)</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deposits reclassified to leasing equipment from other assets upon acquisition</w:t>
            </w:r>
          </w:p>
        </w:tc>
        <w:tc>
          <w:tcPr>
            <w:tcW w:w="10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(52,817)</w:t>
            </w:r>
          </w:p>
        </w:tc>
      </w:tr>
      <w:tr>
        <w:trPr>
          <w:trHeight w:val="169"/>
        </w:trPr>
        <w:tc>
          <w:tcPr>
            <w:tcW w:w="7900" w:type="dxa"/>
            <w:vAlign w:val="bottom"/>
          </w:tcPr>
          <w:p>
            <w:pPr>
              <w:ind w:left="20"/>
              <w:spacing w:after="0"/>
              <w:rPr>
                <w:sz w:val="20"/>
                <w:szCs w:val="20"/>
                <w:color w:val="auto"/>
              </w:rPr>
            </w:pPr>
            <w:r>
              <w:rPr>
                <w:rFonts w:ascii="Arial" w:cs="Arial" w:eastAsia="Arial" w:hAnsi="Arial"/>
                <w:sz w:val="11"/>
                <w:szCs w:val="11"/>
                <w:color w:val="auto"/>
              </w:rPr>
              <w:t>Accounts receivable settled with maintenance deposits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(10,427)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(23,883)</w:t>
            </w:r>
          </w:p>
        </w:tc>
      </w:tr>
    </w:tbl>
    <w:p>
      <w:pPr>
        <w:spacing w:after="0" w:line="153" w:lineRule="exact"/>
        <w:rPr>
          <w:sz w:val="20"/>
          <w:szCs w:val="20"/>
          <w:color w:val="auto"/>
        </w:rPr>
      </w:pP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the profit elimination of $(21,652) for the nine months ended September 30, 2026 (2025 - $(15,793)) for sales to the SCI Partnerships within the Aerospace Products segment.</w:t>
      </w:r>
    </w:p>
    <w:p>
      <w:pPr>
        <w:spacing w:after="0" w:line="85" w:lineRule="exact"/>
        <w:rPr>
          <w:rFonts w:ascii="Arial" w:cs="Arial" w:eastAsia="Arial" w:hAnsi="Arial"/>
          <w:sz w:val="11"/>
          <w:szCs w:val="11"/>
          <w:color w:val="auto"/>
        </w:rPr>
      </w:pPr>
    </w:p>
    <w:p>
      <w:pPr>
        <w:ind w:left="260" w:hanging="255"/>
        <w:spacing w:after="0" w:line="303" w:lineRule="auto"/>
        <w:tabs>
          <w:tab w:leader="none" w:pos="249"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deposits for acquisition of leasing equipment paid on behalf of the SCI Partnerships of $2,932 for the nine months ended September 30, 2026 (2025 - $23,473), and return of deposits for the acquisition of leasing equipment reimbursed from the SCI Partnerships of $2,932 for the nine months ended September 30, 2026 (2025 - $42,813).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00497F"/>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 ORGANIZATION</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This report on Form 10-Q should be read in conjunction with the FTAI Aviation Ltd. (“FTAI”, “FTAI Aviation” or “the Company”) Annual Report on Form 10-K for the fiscal year ended December 31, 2025 (“Form 10-K”).</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FTAI Aviation is a Cayman Islands exempted company which, through its subsidiaries, is a leading independent engine maintenance platform focused on the CFM56-5B, CFM56-7B and V2500 aircraft engines which power the 737NG and A320ceo aircraft. The Company repairs and rebuilds engines and aftermarket components of engines as well as develops and manufactures Parts Manufacturer Approval (“PMA”) parts through a joint venture. Additionally, the Company owns and manages leased aircraft and engines to airlines and asset owners globally. On December 30, 2025, the Company announced the launch of FTAI Power, a platform focused on converting CFM56 aircraft engines to aeroderivative power turbines. The Company has two reportable segments, (i) Aerospace Products and (ii) Aviation Leasing (see Note 11).</w: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conducts engine maintenance at its 100% owned facilities in Montréal, Miami, Lisbon, and Orange, as well as through its 50% equity ownership in QuickTurn Europe, located in Rome, and 50% equity ownership in Prime Engine Accessories, located in Bristol. Collectively, these facilities span over one million square feet and are equipped with advanced tooling, engine test cells, and engineering capabilities to support a wide range of component repairs and service requirements. In addition, the Company also supports global operations through exclusive arrangements and strategic partnerships at key locations worldwide. The Company’s principal corporate location is in New York City, and has a global presence through offices in Cardiff, Dubai, Dublin and Singapore, in addition to Montréal, Miami, Orange, Lisbon, Rome, Bristol and Indianapolis.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majority of FTAI’s target customers are small and medium sized airlines which have narrowbody fleets powered by CFM56-5B, CFM56-7B and V2500 engines. There are hundreds of these operators worldwide, which creates a large addressable market in which FTAI focuses and can provide significant value versus competitors.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2. SUMMARY OF SIGNIFICANT ACCOUNTING POLICIES</w:t>
      </w:r>
    </w:p>
    <w:p>
      <w:pPr>
        <w:spacing w:after="0" w:line="9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00497F"/>
        </w:rPr>
        <w:t>Basis of Accounting</w:t>
      </w:r>
      <w:r>
        <w:rPr>
          <w:rFonts w:ascii="Arial" w:cs="Arial" w:eastAsia="Arial" w:hAnsi="Arial"/>
          <w:sz w:val="13"/>
          <w:szCs w:val="13"/>
          <w:color w:val="00497F"/>
        </w:rPr>
        <w:t>—</w:t>
      </w:r>
      <w:r>
        <w:rPr>
          <w:rFonts w:ascii="Arial" w:cs="Arial" w:eastAsia="Arial" w:hAnsi="Arial"/>
          <w:sz w:val="13"/>
          <w:szCs w:val="13"/>
          <w:color w:val="000000"/>
        </w:rPr>
        <w:t>The accompanying consolidated financial statements are prepared in accordance with U.S. generally accepted accounting principles (“U.S. GAAP”) and include the accounts of</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the Company and its subsidiaries.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00497F"/>
        </w:rPr>
        <w:t>Principles of Consolidation</w:t>
      </w:r>
      <w:r>
        <w:rPr>
          <w:rFonts w:ascii="Arial" w:cs="Arial" w:eastAsia="Arial" w:hAnsi="Arial"/>
          <w:sz w:val="13"/>
          <w:szCs w:val="13"/>
          <w:color w:val="00497F"/>
        </w:rPr>
        <w:t>—</w:t>
      </w:r>
      <w:r>
        <w:rPr>
          <w:rFonts w:ascii="Arial" w:cs="Arial" w:eastAsia="Arial" w:hAnsi="Arial"/>
          <w:sz w:val="13"/>
          <w:szCs w:val="13"/>
          <w:color w:val="000000"/>
        </w:rPr>
        <w:t>The Company consolidates all entities in which it has a controlling financial interest based on either the variable interest entity (“VIE”) model or voting interest entity</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(“VOE”) model. All intercompany balances and transactions have been eliminated in consolidation. All adjustments (consisting of normal recurring accruals) considered necessary for a fair presentation have been included.</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When assessing an entity for consolidation, the Company first evaluates whether it has a variable interest in the entity. The Company does not consolidate any entity for which it does not have a variable interest.</w:t>
      </w:r>
    </w:p>
    <w:p>
      <w:pPr>
        <w:spacing w:after="0" w:line="4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next determines whether the entity is a VIE. Under ASC 810-10-15-14, an entity is a VIE if, by design, (i) the total equity investment at risk is not sufficient to permit the entity to finance its activities without additional subordinated financial support; (ii) the holders of the equity investment at risk as a group lack the power to direct the activities that most significantly affect the entity’s economic performance, the obligation to absorb its expected losses, or the right to receive its expected residual returns; or (iii) the voting rights of some investors are not proportionate to their obligations to absorb the entity’s expected losses or rights to receive its expected residual returns, and substantially all of the entity’s activities either involve or are conducted on behalf of an investor with disproportionately few voting rights. For limited partnerships and similar entities, the holders of the equity investment at risk lack the power described in (ii) unless a simple majority or lower threshold of the limited partners (excluding the general partner, entities under common control with the general partner, and other parties acting on behalf of the general partner) hold substantive kick-out rights or participating rights. For this purpose, kick-out rights include the ability to dissolve (liquidate) the partnership without cause.</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consolidates a VIE when it concludes it is the primary beneficiary. The primary beneficiary is defined as the variable interest holder with (a) the power to direct the activities of a VIE that most significantly impact the entity’s economic performance and (b) the obligation to absorb losses of the entity or the right to receive benefits from the entity that could potentially be significant to the VIE. The Company does not consolidate an entity if it is not deemed to be its primary beneficiary.</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Entities that do not qualify as VIEs are assessed for consolidation as VOEs. The Company consolidates a VOE when the Company owns the majority of an entity’s voting interests or otherwise has the ability to control the entity. For limited partnerships in which the Company is the general partner, the Company is presumed to control the partnership unless the limited partners hold substantive kick-out or participating rights.</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applies the equity method of accounting for investments in entities that it does not control but over which it exercises significant influence. Under the equity method, the Company records its proportionate share of the underlying net income (loss) of these entities.</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Use of Estimates</w:t>
      </w:r>
      <w:r>
        <w:rPr>
          <w:rFonts w:ascii="Arial" w:cs="Arial" w:eastAsia="Arial" w:hAnsi="Arial"/>
          <w:sz w:val="13"/>
          <w:szCs w:val="13"/>
          <w:color w:val="00497F"/>
        </w:rPr>
        <w:t>—</w:t>
      </w:r>
      <w:r>
        <w:rPr>
          <w:rFonts w:ascii="Arial" w:cs="Arial" w:eastAsia="Arial" w:hAnsi="Arial"/>
          <w:sz w:val="13"/>
          <w:szCs w:val="13"/>
          <w:color w:val="000000"/>
        </w:rPr>
        <w:t>The preparation of financial statements in conformity with U.S. GAAP requires management to make estimates and assumptions that affect the reported amounts of assets and</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liabilities, the disclosure of contingent assets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liabilities at the date of the consolidated financial statements and the reported amounts of revenues and expenses during the reporting period. Actual results could differ from those estimates.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Reclassifications</w:t>
      </w:r>
      <w:r>
        <w:rPr>
          <w:rFonts w:ascii="Arial" w:cs="Arial" w:eastAsia="Arial" w:hAnsi="Arial"/>
          <w:sz w:val="13"/>
          <w:szCs w:val="13"/>
          <w:color w:val="00497F"/>
        </w:rPr>
        <w:t>—</w:t>
      </w:r>
      <w:r>
        <w:rPr>
          <w:rFonts w:ascii="Arial" w:cs="Arial" w:eastAsia="Arial" w:hAnsi="Arial"/>
          <w:sz w:val="13"/>
          <w:szCs w:val="13"/>
          <w:color w:val="000000"/>
        </w:rPr>
        <w:t>Certain amounts from prior periods in the Company’s consolidated financial statements have been reclassified to align with the presentation in the current period.</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00497F"/>
        </w:rPr>
        <w:t>Risks and Uncertainties</w:t>
      </w:r>
      <w:r>
        <w:rPr>
          <w:rFonts w:ascii="Arial" w:cs="Arial" w:eastAsia="Arial" w:hAnsi="Arial"/>
          <w:sz w:val="13"/>
          <w:szCs w:val="13"/>
          <w:color w:val="00497F"/>
        </w:rPr>
        <w:t>—</w:t>
      </w:r>
      <w:r>
        <w:rPr>
          <w:rFonts w:ascii="Arial" w:cs="Arial" w:eastAsia="Arial" w:hAnsi="Arial"/>
          <w:sz w:val="13"/>
          <w:szCs w:val="13"/>
          <w:color w:val="000000"/>
        </w:rPr>
        <w:t>In the normal course of business, the Company encounters several significant types of economic risk including credit, market, and capital market risks. Credit risk is the risk</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of the inability or unwillingness of a lessee or customer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the Company’s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and sale arrangements are denominated in U.S. dollars.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Cash and Cash Equivalents</w:t>
      </w:r>
      <w:r>
        <w:rPr>
          <w:rFonts w:ascii="Arial" w:cs="Arial" w:eastAsia="Arial" w:hAnsi="Arial"/>
          <w:sz w:val="13"/>
          <w:szCs w:val="13"/>
          <w:color w:val="00497F"/>
        </w:rPr>
        <w:t>—</w:t>
      </w:r>
      <w:r>
        <w:rPr>
          <w:rFonts w:ascii="Arial" w:cs="Arial" w:eastAsia="Arial" w:hAnsi="Arial"/>
          <w:sz w:val="13"/>
          <w:szCs w:val="13"/>
          <w:color w:val="000000"/>
        </w:rPr>
        <w:t>The Company considers all highly liquid short-term investments with a maturity of 90 days or less when purchased to be cash equivalents.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00497F"/>
        </w:rPr>
        <w:t>Inventory, net</w:t>
      </w:r>
      <w:r>
        <w:rPr>
          <w:rFonts w:ascii="Arial" w:cs="Arial" w:eastAsia="Arial" w:hAnsi="Arial"/>
          <w:sz w:val="13"/>
          <w:szCs w:val="13"/>
          <w:color w:val="00497F"/>
        </w:rPr>
        <w:t>—</w:t>
      </w:r>
      <w:r>
        <w:rPr>
          <w:rFonts w:ascii="Arial" w:cs="Arial" w:eastAsia="Arial" w:hAnsi="Arial"/>
          <w:sz w:val="13"/>
          <w:szCs w:val="13"/>
          <w:color w:val="000000"/>
        </w:rPr>
        <w:t>The Company holds aircraft engines, engine modules, spare parts and used material inventory for sale. At times, inventory is transferred to leasing equipment in connection with a</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rebuilt engine or engine repair. Inventory is carried at the lower of cost or net realizable value on the Company’s Consolidated Balance Sheets.</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Revenues</w:t>
      </w:r>
      <w:r>
        <w:rPr>
          <w:rFonts w:ascii="Arial" w:cs="Arial" w:eastAsia="Arial" w:hAnsi="Arial"/>
          <w:sz w:val="13"/>
          <w:szCs w:val="13"/>
          <w:color w:val="00497F"/>
        </w:rPr>
        <w:t>—</w:t>
      </w:r>
      <w:r>
        <w:rPr>
          <w:rFonts w:ascii="Arial" w:cs="Arial" w:eastAsia="Arial" w:hAnsi="Arial"/>
          <w:sz w:val="13"/>
          <w:szCs w:val="13"/>
          <w:color w:val="000000"/>
        </w:rPr>
        <w:t>Revenues are within the scope of ASC 606,</w:t>
      </w:r>
      <w:r>
        <w:rPr>
          <w:rFonts w:ascii="Arial" w:cs="Arial" w:eastAsia="Arial" w:hAnsi="Arial"/>
          <w:sz w:val="13"/>
          <w:szCs w:val="13"/>
          <w:b w:val="1"/>
          <w:bCs w:val="1"/>
          <w:i w:val="1"/>
          <w:iCs w:val="1"/>
          <w:color w:val="00497F"/>
        </w:rPr>
        <w:t xml:space="preserve"> </w:t>
      </w:r>
      <w:r>
        <w:rPr>
          <w:rFonts w:ascii="Arial" w:cs="Arial" w:eastAsia="Arial" w:hAnsi="Arial"/>
          <w:sz w:val="13"/>
          <w:szCs w:val="13"/>
          <w:i w:val="1"/>
          <w:iCs w:val="1"/>
          <w:color w:val="000000"/>
        </w:rPr>
        <w:t>Revenue from contracts with customers</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and ASC 842,</w:t>
      </w:r>
      <w:r>
        <w:rPr>
          <w:rFonts w:ascii="Arial" w:cs="Arial" w:eastAsia="Arial" w:hAnsi="Arial"/>
          <w:sz w:val="13"/>
          <w:szCs w:val="13"/>
          <w:b w:val="1"/>
          <w:bCs w:val="1"/>
          <w:i w:val="1"/>
          <w:iCs w:val="1"/>
          <w:color w:val="00497F"/>
        </w:rPr>
        <w:t xml:space="preserve"> </w:t>
      </w:r>
      <w:r>
        <w:rPr>
          <w:rFonts w:ascii="Arial" w:cs="Arial" w:eastAsia="Arial" w:hAnsi="Arial"/>
          <w:sz w:val="13"/>
          <w:szCs w:val="13"/>
          <w:i w:val="1"/>
          <w:iCs w:val="1"/>
          <w:color w:val="000000"/>
        </w:rPr>
        <w:t>Leases,</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unless otherwise noted</w:t>
      </w:r>
      <w:r>
        <w:rPr>
          <w:rFonts w:ascii="Arial" w:cs="Arial" w:eastAsia="Arial" w:hAnsi="Arial"/>
          <w:sz w:val="13"/>
          <w:szCs w:val="13"/>
          <w:i w:val="1"/>
          <w:iCs w:val="1"/>
          <w:color w:val="000000"/>
        </w:rPr>
        <w:t>.</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The Company has elected to exclude sales tax and</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other similar taxes from revenues.</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i w:val="1"/>
          <w:iCs w:val="1"/>
          <w:color w:val="00497F"/>
        </w:rPr>
        <w:t>Aerospace Products Revenue</w:t>
      </w:r>
      <w:r>
        <w:rPr>
          <w:rFonts w:ascii="Arial" w:cs="Arial" w:eastAsia="Arial" w:hAnsi="Arial"/>
          <w:sz w:val="13"/>
          <w:szCs w:val="13"/>
          <w:color w:val="00497F"/>
        </w:rPr>
        <w:t>—</w:t>
      </w:r>
      <w:r>
        <w:rPr>
          <w:rFonts w:ascii="Arial" w:cs="Arial" w:eastAsia="Arial" w:hAnsi="Arial"/>
          <w:sz w:val="13"/>
          <w:szCs w:val="13"/>
          <w:color w:val="000000"/>
        </w:rPr>
        <w:t>Aerospace products revenue primarily consists of the transaction price related to the sale of CFM56-5B, CFM56-7B and V2500 engines, engine modules, spare parts</w:t>
      </w:r>
      <w:r>
        <w:rPr>
          <w:rFonts w:ascii="Arial" w:cs="Arial" w:eastAsia="Arial" w:hAnsi="Arial"/>
          <w:sz w:val="13"/>
          <w:szCs w:val="13"/>
          <w:i w:val="1"/>
          <w:iCs w:val="1"/>
          <w:color w:val="00497F"/>
        </w:rPr>
        <w:t xml:space="preserve"> </w:t>
      </w:r>
      <w:r>
        <w:rPr>
          <w:rFonts w:ascii="Arial" w:cs="Arial" w:eastAsia="Arial" w:hAnsi="Arial"/>
          <w:sz w:val="13"/>
          <w:szCs w:val="13"/>
          <w:color w:val="000000"/>
        </w:rPr>
        <w:t>and used material inventory, and are accounted for within the scope of ASC 606. Revenue is recognized at the point in time when a performance obligation is satisfied by transferring control over the related asset to a customer along with corresponding costs of sales. In certain transactions, the Company may receive noncash consideration from a customer in the form of engines or modules. Such noncash consideration is measured at fair value at the time of the sale and is included in the transaction price used to recognize revenue. Aerospace products revenue also consists of engine management service contracts, where the Company has a stand-ready obligation to provide replacement CFM56-5B and CFM56-7B engines to customers as they become unserviceable during the contract term. The Company recognizes revenue related to these engine management service contracts over time using a straight-line attribution method and the costs related to fulfilling the performance obligation are expensed as incurred.</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00497F"/>
        </w:rPr>
        <w:t>Maintenance, Repair and Exchange (“MRE”) Contract revenue - affiliate</w:t>
      </w:r>
      <w:r>
        <w:rPr>
          <w:rFonts w:ascii="Arial" w:cs="Arial" w:eastAsia="Arial" w:hAnsi="Arial"/>
          <w:sz w:val="13"/>
          <w:szCs w:val="13"/>
          <w:color w:val="00497F"/>
        </w:rPr>
        <w:t>—</w:t>
      </w:r>
      <w:r>
        <w:rPr>
          <w:rFonts w:ascii="Arial" w:cs="Arial" w:eastAsia="Arial" w:hAnsi="Arial"/>
          <w:sz w:val="13"/>
          <w:szCs w:val="13"/>
          <w:color w:val="000000"/>
        </w:rPr>
        <w:t>MRE Contract revenue - affiliate consists of the transaction price related to the sale of CFM56-5B, CFM56-7B and V2500</w:t>
      </w:r>
      <w:r>
        <w:rPr>
          <w:rFonts w:ascii="Arial" w:cs="Arial" w:eastAsia="Arial" w:hAnsi="Arial"/>
          <w:sz w:val="13"/>
          <w:szCs w:val="13"/>
          <w:i w:val="1"/>
          <w:iCs w:val="1"/>
          <w:color w:val="00497F"/>
        </w:rPr>
        <w:t xml:space="preserve"> </w:t>
      </w:r>
      <w:r>
        <w:rPr>
          <w:rFonts w:ascii="Arial" w:cs="Arial" w:eastAsia="Arial" w:hAnsi="Arial"/>
          <w:sz w:val="13"/>
          <w:szCs w:val="13"/>
          <w:color w:val="000000"/>
        </w:rPr>
        <w:t>commercial aircraft engines and related modules to, and subsequent exchange of unserviceable engines and modules from, the special purpose entities (the “SPVs”) of the first and second partnership of the Strategic Capital Initiative (the “2025 Partnership” and “2026 Partnership”, respectively; collectively the “SCI Partnerships”). The net cash purchase price received by the Company is contractual and customary market-based compensation for fulfilling such performance obligations. MRE Contract revenue - affiliate is recognized under ASC 606 at the point in time when a performance obligation is satisfied by transferring control of the serviceable engine or module to the SCI Partnerships, along with corresponding costs of sales. Refer to Note 10 “Affiliate Transactions and Former Management Agreement” for additional information on the SCI Partnerships and the Strategic Capital Initiative.</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i w:val="1"/>
          <w:iCs w:val="1"/>
          <w:color w:val="00497F"/>
        </w:rPr>
        <w:t>Operating Leases</w:t>
      </w:r>
      <w:r>
        <w:rPr>
          <w:rFonts w:ascii="Arial" w:cs="Arial" w:eastAsia="Arial" w:hAnsi="Arial"/>
          <w:sz w:val="13"/>
          <w:szCs w:val="13"/>
          <w:color w:val="00497F"/>
        </w:rPr>
        <w:t>—</w:t>
      </w:r>
      <w:r>
        <w:rPr>
          <w:rFonts w:ascii="Arial" w:cs="Arial" w:eastAsia="Arial" w:hAnsi="Arial"/>
          <w:sz w:val="13"/>
          <w:szCs w:val="13"/>
          <w:color w:val="000000"/>
        </w:rPr>
        <w:t>The Company leases equipment pursuant to operating leases. Operating leases with fixed rentals and step rentals are recognized on a straight-line basis over the term of the lease,</w:t>
      </w:r>
      <w:r>
        <w:rPr>
          <w:rFonts w:ascii="Arial" w:cs="Arial" w:eastAsia="Arial" w:hAnsi="Arial"/>
          <w:sz w:val="13"/>
          <w:szCs w:val="13"/>
          <w:i w:val="1"/>
          <w:iCs w:val="1"/>
          <w:color w:val="00497F"/>
        </w:rPr>
        <w:t xml:space="preserve"> </w:t>
      </w:r>
      <w:r>
        <w:rPr>
          <w:rFonts w:ascii="Arial" w:cs="Arial" w:eastAsia="Arial" w:hAnsi="Arial"/>
          <w:sz w:val="13"/>
          <w:szCs w:val="13"/>
          <w:color w:val="000000"/>
        </w:rPr>
        <w:t>assuming no renewals. Revenue is not recognized when collection is not reasonably assured. When collectability is not reasonably assured, the lessee is placed on non-accrual status and revenue is recognized when cash payments are received.</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Generally, under the Company’s aircraft lease and engine agreements, the lessee is required to make periodic maintenance payments calculated based on the lessee’s utilization of the leased asset or at the end of the lease. Typically, under the Company’s aircraft lease agreements, the lessee is responsible for maintenance, repairs and other operating expenses throughout the term of the lease. These periodic maintenance payments accumulate over the term of the lease to fund major maintenance events, and the Company is contractually obligated to return maintenance payments to the lessee up to the cost of maintenance events paid by the lessee. In the event the total cost of maintenance events over the term of a lease is less than the cumulative maintenance payments, the Company is not required to return any unused maintenance payments to the lessee.</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Maintenance payments received for which the Company expects to repay to the lessee are presented as current and non-current Maintenance deposits in its Consolidated Balance Sheets. Excess maintenance payments received that the Company does not expect to repay to the lessee are recorded as Maintenance revenue on its Consolidated Statements of Operations. Estimates in recognizing revenue include mean time between removal for engines on leased aircraft, projected costs for engine maintenance,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and forecasted utilization, which are affected by historical usage patterns and overall industry, market and economic conditions. Significant changes to these estimates could have a material effect on the amount of revenue recognized in the period.</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6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00497F"/>
        </w:rPr>
        <w:t>Finance Leases</w:t>
      </w:r>
      <w:r>
        <w:rPr>
          <w:rFonts w:ascii="Arial" w:cs="Arial" w:eastAsia="Arial" w:hAnsi="Arial"/>
          <w:sz w:val="13"/>
          <w:szCs w:val="13"/>
          <w:color w:val="00497F"/>
        </w:rPr>
        <w:t>—</w:t>
      </w:r>
      <w:r>
        <w:rPr>
          <w:rFonts w:ascii="Arial" w:cs="Arial" w:eastAsia="Arial" w:hAnsi="Arial"/>
          <w:sz w:val="13"/>
          <w:szCs w:val="13"/>
          <w:color w:val="000000"/>
        </w:rPr>
        <w:t>From time to time the Company enters into finance lease arrangements that include a lessee obligation to purchase the leased equipment at the end of the lease term, a bargain</w:t>
      </w:r>
      <w:r>
        <w:rPr>
          <w:rFonts w:ascii="Arial" w:cs="Arial" w:eastAsia="Arial" w:hAnsi="Arial"/>
          <w:sz w:val="13"/>
          <w:szCs w:val="13"/>
          <w:i w:val="1"/>
          <w:iCs w:val="1"/>
          <w:color w:val="00497F"/>
        </w:rPr>
        <w:t xml:space="preserve"> </w:t>
      </w:r>
      <w:r>
        <w:rPr>
          <w:rFonts w:ascii="Arial" w:cs="Arial" w:eastAsia="Arial" w:hAnsi="Arial"/>
          <w:sz w:val="13"/>
          <w:szCs w:val="13"/>
          <w:color w:val="000000"/>
        </w:rPr>
        <w:t>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lessee is placed on non-accrual status and revenue is recognized when cash payments are received.</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00497F"/>
        </w:rPr>
        <w:t>Asset Sales Revenue</w:t>
      </w:r>
      <w:r>
        <w:rPr>
          <w:rFonts w:ascii="Arial" w:cs="Arial" w:eastAsia="Arial" w:hAnsi="Arial"/>
          <w:sz w:val="13"/>
          <w:szCs w:val="13"/>
          <w:color w:val="00497F"/>
        </w:rPr>
        <w:t>—</w:t>
      </w:r>
      <w:r>
        <w:rPr>
          <w:rFonts w:ascii="Arial" w:cs="Arial" w:eastAsia="Arial" w:hAnsi="Arial"/>
          <w:sz w:val="13"/>
          <w:szCs w:val="13"/>
          <w:color w:val="000000"/>
        </w:rPr>
        <w:t>Asset sales revenue primarily consists of the transaction price related to the sale of aircraft and aircraft engines from the Company’s Aviation Leasing segment. From time to</w:t>
      </w:r>
      <w:r>
        <w:rPr>
          <w:rFonts w:ascii="Arial" w:cs="Arial" w:eastAsia="Arial" w:hAnsi="Arial"/>
          <w:sz w:val="13"/>
          <w:szCs w:val="13"/>
          <w:i w:val="1"/>
          <w:iCs w:val="1"/>
          <w:color w:val="00497F"/>
        </w:rPr>
        <w:t xml:space="preserve"> </w:t>
      </w:r>
      <w:r>
        <w:rPr>
          <w:rFonts w:ascii="Arial" w:cs="Arial" w:eastAsia="Arial" w:hAnsi="Arial"/>
          <w:sz w:val="13"/>
          <w:szCs w:val="13"/>
          <w:color w:val="000000"/>
        </w:rPr>
        <w:t>time, the Company may also assign the related lease agreements to the customer as part of the sale of these assets. The Company routinely sells leasing equipment to customers and such transactions are considered recurring and ordinary in nature to its business. As such, these sales are accounted for within the scope of ASC 606. Revenue is recognized when a performance obligation is satisfied by transferring control of an asset to the customer along with corresponding costs of sales.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i w:val="1"/>
          <w:iCs w:val="1"/>
          <w:color w:val="00497F"/>
        </w:rPr>
        <w:t>Servicing Fees</w:t>
      </w:r>
      <w:r>
        <w:rPr>
          <w:rFonts w:ascii="Arial" w:cs="Arial" w:eastAsia="Arial" w:hAnsi="Arial"/>
          <w:sz w:val="13"/>
          <w:szCs w:val="13"/>
          <w:color w:val="00497F"/>
        </w:rPr>
        <w:t>—</w:t>
      </w:r>
      <w:r>
        <w:rPr>
          <w:rFonts w:ascii="Arial" w:cs="Arial" w:eastAsia="Arial" w:hAnsi="Arial"/>
          <w:sz w:val="13"/>
          <w:szCs w:val="13"/>
          <w:color w:val="000000"/>
        </w:rPr>
        <w:t>The Company provides services to the SCI Partnerships related to acquiring, leasing, remarketing and selling aircraft, administering leases and collections, overseeing lessee</w:t>
      </w:r>
      <w:r>
        <w:rPr>
          <w:rFonts w:ascii="Arial" w:cs="Arial" w:eastAsia="Arial" w:hAnsi="Arial"/>
          <w:sz w:val="13"/>
          <w:szCs w:val="13"/>
          <w:i w:val="1"/>
          <w:iCs w:val="1"/>
          <w:color w:val="00497F"/>
        </w:rPr>
        <w:t xml:space="preserve"> </w:t>
      </w:r>
      <w:r>
        <w:rPr>
          <w:rFonts w:ascii="Arial" w:cs="Arial" w:eastAsia="Arial" w:hAnsi="Arial"/>
          <w:sz w:val="13"/>
          <w:szCs w:val="13"/>
          <w:color w:val="000000"/>
        </w:rPr>
        <w:t>maintenance and insurance, and obtaining valuations. The Company receives customary, market-based servicing fees in exchange for the services rendered. Servicing fees are recognized over time as the services are performed and are included in Other revenue on the Company’s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i w:val="1"/>
          <w:iCs w:val="1"/>
          <w:color w:val="00497F"/>
        </w:rPr>
        <w:t>Research and Development</w:t>
      </w:r>
      <w:r>
        <w:rPr>
          <w:rFonts w:ascii="Arial" w:cs="Arial" w:eastAsia="Arial" w:hAnsi="Arial"/>
          <w:sz w:val="13"/>
          <w:szCs w:val="13"/>
          <w:color w:val="00497F"/>
        </w:rPr>
        <w:t>—</w:t>
      </w:r>
      <w:r>
        <w:rPr>
          <w:rFonts w:ascii="Arial" w:cs="Arial" w:eastAsia="Arial" w:hAnsi="Arial"/>
          <w:sz w:val="13"/>
          <w:szCs w:val="13"/>
          <w:i w:val="1"/>
          <w:iCs w:val="1"/>
          <w:color w:val="00497F"/>
        </w:rPr>
        <w:t xml:space="preserve"> </w:t>
      </w:r>
      <w:r>
        <w:rPr>
          <w:rFonts w:ascii="Arial" w:cs="Arial" w:eastAsia="Arial" w:hAnsi="Arial"/>
          <w:sz w:val="13"/>
          <w:szCs w:val="13"/>
          <w:color w:val="000000"/>
        </w:rPr>
        <w:t>Research and development (“R&amp;D”) consists of costs incurred for design and testing related to the development of aeroderivative turbines for FTAI Power. R&amp;D costs</w:t>
      </w:r>
      <w:r>
        <w:rPr>
          <w:rFonts w:ascii="Arial" w:cs="Arial" w:eastAsia="Arial" w:hAnsi="Arial"/>
          <w:sz w:val="13"/>
          <w:szCs w:val="13"/>
          <w:i w:val="1"/>
          <w:iCs w:val="1"/>
          <w:color w:val="00497F"/>
        </w:rPr>
        <w:t xml:space="preserve"> </w:t>
      </w:r>
      <w:r>
        <w:rPr>
          <w:rFonts w:ascii="Arial" w:cs="Arial" w:eastAsia="Arial" w:hAnsi="Arial"/>
          <w:sz w:val="13"/>
          <w:szCs w:val="13"/>
          <w:color w:val="000000"/>
        </w:rPr>
        <w:t>that have no alternative use are expensed as incurred in accordance with ASC 730.</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R&amp;D expense was $22.0 million and $41.5 million for the three and nine months ended September 30, 2026, respectively (2025 - $0.0 million and $0.0 million,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(Expense) Income</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i w:val="1"/>
          <w:iCs w:val="1"/>
          <w:color w:val="00497F"/>
        </w:rPr>
        <w:t>Gain on Sale to the 2025 Partnership - affiliate</w:t>
      </w:r>
      <w:r>
        <w:rPr>
          <w:rFonts w:ascii="Arial" w:cs="Arial" w:eastAsia="Arial" w:hAnsi="Arial"/>
          <w:sz w:val="13"/>
          <w:szCs w:val="13"/>
          <w:color w:val="00497F"/>
        </w:rPr>
        <w:t>—</w:t>
      </w:r>
      <w:r>
        <w:rPr>
          <w:rFonts w:ascii="Arial" w:cs="Arial" w:eastAsia="Arial" w:hAnsi="Arial"/>
          <w:sz w:val="13"/>
          <w:szCs w:val="13"/>
          <w:color w:val="000000"/>
        </w:rPr>
        <w:t>The 2025 Partnership acquired on-lease narrowbody aircraft from the Company (the “Seed Assets”) and receives replacement aircraft engines and</w:t>
      </w:r>
      <w:r>
        <w:rPr>
          <w:rFonts w:ascii="Arial" w:cs="Arial" w:eastAsia="Arial" w:hAnsi="Arial"/>
          <w:sz w:val="13"/>
          <w:szCs w:val="13"/>
          <w:i w:val="1"/>
          <w:iCs w:val="1"/>
          <w:color w:val="00497F"/>
        </w:rPr>
        <w:t xml:space="preserve"> </w:t>
      </w:r>
      <w:r>
        <w:rPr>
          <w:rFonts w:ascii="Arial" w:cs="Arial" w:eastAsia="Arial" w:hAnsi="Arial"/>
          <w:sz w:val="13"/>
          <w:szCs w:val="13"/>
          <w:color w:val="000000"/>
        </w:rPr>
        <w:t xml:space="preserve">modules through the Company’s MRE business. During the three and nine months ended September 30, 2026, 0 and 15 aircraft were sold to the 2025 Partnership for a gain of $0.0 million and $17.6 million, respectively (2025 - 8 and 45 aircraft sold for a gain of $4.6 million and $50.1 million, respectively). The aircraft sales were accounted for under ASC 610-20, </w:t>
      </w:r>
      <w:r>
        <w:rPr>
          <w:rFonts w:ascii="Arial" w:cs="Arial" w:eastAsia="Arial" w:hAnsi="Arial"/>
          <w:sz w:val="13"/>
          <w:szCs w:val="13"/>
          <w:i w:val="1"/>
          <w:iCs w:val="1"/>
          <w:color w:val="000000"/>
        </w:rPr>
        <w:t>Other Income — Gains and Losses</w:t>
      </w:r>
      <w:r>
        <w:rPr>
          <w:rFonts w:ascii="Arial" w:cs="Arial" w:eastAsia="Arial" w:hAnsi="Arial"/>
          <w:sz w:val="13"/>
          <w:szCs w:val="13"/>
          <w:color w:val="000000"/>
        </w:rPr>
        <w:t xml:space="preserve"> </w:t>
      </w:r>
      <w:r>
        <w:rPr>
          <w:rFonts w:ascii="Arial" w:cs="Arial" w:eastAsia="Arial" w:hAnsi="Arial"/>
          <w:sz w:val="13"/>
          <w:szCs w:val="13"/>
          <w:i w:val="1"/>
          <w:iCs w:val="1"/>
          <w:color w:val="000000"/>
        </w:rPr>
        <w:t>from the Derecognition of Nonfinancial Assets</w:t>
      </w:r>
      <w:r>
        <w:rPr>
          <w:rFonts w:ascii="Arial" w:cs="Arial" w:eastAsia="Arial" w:hAnsi="Arial"/>
          <w:sz w:val="13"/>
          <w:szCs w:val="13"/>
          <w:color w:val="000000"/>
        </w:rPr>
        <w:t>, as they were non-recurring in nature and not considered part of the Company’s ordinary activities. Refer to Note 10 “Affiliate Transactions and Former</w:t>
      </w:r>
      <w:r>
        <w:rPr>
          <w:rFonts w:ascii="Arial" w:cs="Arial" w:eastAsia="Arial" w:hAnsi="Arial"/>
          <w:sz w:val="13"/>
          <w:szCs w:val="13"/>
          <w:i w:val="1"/>
          <w:iCs w:val="1"/>
          <w:color w:val="000000"/>
        </w:rPr>
        <w:t xml:space="preserve"> </w:t>
      </w:r>
      <w:r>
        <w:rPr>
          <w:rFonts w:ascii="Arial" w:cs="Arial" w:eastAsia="Arial" w:hAnsi="Arial"/>
          <w:sz w:val="13"/>
          <w:szCs w:val="13"/>
          <w:color w:val="000000"/>
        </w:rPr>
        <w:t>Management Agreement” for additional information on the 2025 Partnership and the Strategic Capital Initiative.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i w:val="1"/>
          <w:iCs w:val="1"/>
          <w:color w:val="00497F"/>
        </w:rPr>
        <w:t>Other Income</w:t>
      </w:r>
      <w:r>
        <w:rPr>
          <w:rFonts w:ascii="Arial" w:cs="Arial" w:eastAsia="Arial" w:hAnsi="Arial"/>
          <w:sz w:val="13"/>
          <w:szCs w:val="13"/>
          <w:color w:val="00497F"/>
        </w:rPr>
        <w:t>—</w:t>
      </w:r>
      <w:r>
        <w:rPr>
          <w:rFonts w:ascii="Arial" w:cs="Arial" w:eastAsia="Arial" w:hAnsi="Arial"/>
          <w:sz w:val="13"/>
          <w:szCs w:val="13"/>
          <w:color w:val="000000"/>
        </w:rPr>
        <w:t>During the three and nine months ended September 30, 2026, the Company recognized $0.0 million and $49.5 million, respectively (2025 - $0.0 million and $54.3 million, respectively),</w:t>
      </w:r>
      <w:r>
        <w:rPr>
          <w:rFonts w:ascii="Arial" w:cs="Arial" w:eastAsia="Arial" w:hAnsi="Arial"/>
          <w:sz w:val="13"/>
          <w:szCs w:val="13"/>
          <w:i w:val="1"/>
          <w:iCs w:val="1"/>
          <w:color w:val="00497F"/>
        </w:rPr>
        <w:t xml:space="preserve"> </w:t>
      </w:r>
      <w:r>
        <w:rPr>
          <w:rFonts w:ascii="Arial" w:cs="Arial" w:eastAsia="Arial" w:hAnsi="Arial"/>
          <w:sz w:val="13"/>
          <w:szCs w:val="13"/>
          <w:color w:val="000000"/>
        </w:rPr>
        <w:t>in insurance recoveries in connection with the settlement of claims related to the aircraft and engines located in Russia and recorded the gain within other income.</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00497F"/>
        </w:rPr>
        <w:t>Concentration of Credit Risk</w:t>
      </w:r>
      <w:r>
        <w:rPr>
          <w:rFonts w:ascii="Arial" w:cs="Arial" w:eastAsia="Arial" w:hAnsi="Arial"/>
          <w:sz w:val="13"/>
          <w:szCs w:val="13"/>
          <w:color w:val="00497F"/>
        </w:rPr>
        <w:t>—</w:t>
      </w:r>
      <w:r>
        <w:rPr>
          <w:rFonts w:ascii="Arial" w:cs="Arial" w:eastAsia="Arial" w:hAnsi="Arial"/>
          <w:sz w:val="13"/>
          <w:szCs w:val="13"/>
          <w:color w:val="000000"/>
        </w:rPr>
        <w:t>The Company is subject to concentrations of credit risk with respect to amounts due from customers and lessees. The Company attempts to limit its credit risk by</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performing ongoing credit evaluations. The Company earned 37%, 14% and 14% of its revenue from three customers in the Aerospace Products segment during the three months ended September 30, 2026, and 27% and 20% of its revenue from two customers in the Aerospace Products segment during the nine months ended September 30, 2026. The Company earned 16% and 11% of its revenue from two customers in the Aerospace Products segment during the three months ended September 30, 2025, and 12% of its revenue from one customer in the Aerospace Products segment during the nine months ended September 30, 2025.</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September 30, 2026, there was one customer in the Aerospace Products segment that represented 21% of total accounts receivable, net. As of December 31, 2025, there was one customer in the Aerospace Products segment that represented 23% of total accounts receivable, net.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i w:val="1"/>
          <w:iCs w:val="1"/>
          <w:color w:val="00497F"/>
        </w:rPr>
        <w:t>Allowance for Doubtful Accounts</w:t>
      </w:r>
      <w:r>
        <w:rPr>
          <w:rFonts w:ascii="Arial" w:cs="Arial" w:eastAsia="Arial" w:hAnsi="Arial"/>
          <w:sz w:val="12"/>
          <w:szCs w:val="12"/>
          <w:color w:val="00497F"/>
        </w:rPr>
        <w:t>—</w:t>
      </w:r>
      <w:r>
        <w:rPr>
          <w:rFonts w:ascii="Arial" w:cs="Arial" w:eastAsia="Arial" w:hAnsi="Arial"/>
          <w:sz w:val="12"/>
          <w:szCs w:val="12"/>
          <w:color w:val="000000"/>
        </w:rPr>
        <w:t>The Company determines the allowance for doubtful accounts based on its assessment of the collectability of its leasing receivables, notes receivables and</w:t>
      </w:r>
      <w:r>
        <w:rPr>
          <w:rFonts w:ascii="Arial" w:cs="Arial" w:eastAsia="Arial" w:hAnsi="Arial"/>
          <w:sz w:val="12"/>
          <w:szCs w:val="12"/>
          <w:b w:val="1"/>
          <w:bCs w:val="1"/>
          <w:i w:val="1"/>
          <w:iCs w:val="1"/>
          <w:color w:val="00497F"/>
        </w:rPr>
        <w:t xml:space="preserve"> </w:t>
      </w:r>
      <w:r>
        <w:rPr>
          <w:rFonts w:ascii="Arial" w:cs="Arial" w:eastAsia="Arial" w:hAnsi="Arial"/>
          <w:sz w:val="12"/>
          <w:szCs w:val="12"/>
          <w:color w:val="000000"/>
        </w:rPr>
        <w:t>inventory sales. In assessing the allowance, the Company considers past collection history and specific risks identified among uncollected accounts. The assessment of collectability of its leasing receivables, notes receivables and inventory sales is done quarterly, on a customer-by-customer basis. The allowance for doubtful accounts was $28.4 million as of September 30, 2026 (December 31, 2025 - $28.4 million). There was no provision for credit losses for the three and nine months ended September 30, 2026, respectively (2025 - $0.1 million and $0.3 million, respectively). The provision for credit losses is included in the Company's operating expenses. Receivables are written off after all reasonable means to collect the full amount have been exhausted. For the three and nine months ended September 30, 2026, the Company recorded no write-offs and recoveries, net of its allowance for doubtful accounts (2025 - $0.1 million and $46.8 million,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Current Assets</w:t>
      </w:r>
      <w:r>
        <w:rPr>
          <w:rFonts w:ascii="Arial" w:cs="Arial" w:eastAsia="Arial" w:hAnsi="Arial"/>
          <w:sz w:val="13"/>
          <w:szCs w:val="13"/>
          <w:color w:val="00497F"/>
        </w:rPr>
        <w:t>—</w:t>
      </w:r>
      <w:r>
        <w:rPr>
          <w:rFonts w:ascii="Arial" w:cs="Arial" w:eastAsia="Arial" w:hAnsi="Arial"/>
          <w:sz w:val="13"/>
          <w:szCs w:val="13"/>
          <w:color w:val="000000"/>
        </w:rPr>
        <w:t>Other current assets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ind w:left="40"/>
              <w:spacing w:after="0"/>
              <w:rPr>
                <w:sz w:val="20"/>
                <w:szCs w:val="20"/>
                <w:color w:val="auto"/>
              </w:rPr>
            </w:pPr>
            <w:r>
              <w:rPr>
                <w:rFonts w:ascii="Arial" w:cs="Arial" w:eastAsia="Arial" w:hAnsi="Arial"/>
                <w:sz w:val="11"/>
                <w:szCs w:val="11"/>
                <w:b w:val="1"/>
                <w:bCs w:val="1"/>
                <w:color w:val="auto"/>
              </w:rPr>
              <w:t>September 30, 2026 (unaudited)</w:t>
            </w:r>
          </w:p>
        </w:tc>
        <w:tc>
          <w:tcPr>
            <w:tcW w:w="280" w:type="dxa"/>
            <w:vAlign w:val="bottom"/>
          </w:tcPr>
          <w:p>
            <w:pPr>
              <w:spacing w:after="0"/>
              <w:rPr>
                <w:sz w:val="13"/>
                <w:szCs w:val="13"/>
                <w:color w:val="auto"/>
              </w:rPr>
            </w:pPr>
          </w:p>
        </w:tc>
        <w:tc>
          <w:tcPr>
            <w:tcW w:w="1700" w:type="dxa"/>
            <w:vAlign w:val="bottom"/>
          </w:tcPr>
          <w:p>
            <w:pPr>
              <w:jc w:val="right"/>
              <w:ind w:right="423"/>
              <w:spacing w:after="0"/>
              <w:rPr>
                <w:sz w:val="20"/>
                <w:szCs w:val="20"/>
                <w:color w:val="auto"/>
              </w:rPr>
            </w:pPr>
            <w:r>
              <w:rPr>
                <w:rFonts w:ascii="Arial" w:cs="Arial" w:eastAsia="Arial" w:hAnsi="Arial"/>
                <w:sz w:val="11"/>
                <w:szCs w:val="11"/>
                <w:b w:val="1"/>
                <w:bCs w:val="1"/>
                <w:color w:val="auto"/>
              </w:rPr>
              <w:t>December 31, 2025</w:t>
            </w:r>
          </w:p>
        </w:tc>
      </w:tr>
      <w:tr>
        <w:trPr>
          <w:trHeight w:val="161"/>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Notes receivable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214,981</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216,298</w:t>
            </w:r>
          </w:p>
        </w:tc>
      </w:tr>
      <w:tr>
        <w:trPr>
          <w:trHeight w:val="170"/>
        </w:trPr>
        <w:tc>
          <w:tcPr>
            <w:tcW w:w="7240" w:type="dxa"/>
            <w:vAlign w:val="bottom"/>
          </w:tcPr>
          <w:p>
            <w:pPr>
              <w:ind w:left="20"/>
              <w:spacing w:after="0"/>
              <w:rPr>
                <w:sz w:val="20"/>
                <w:szCs w:val="20"/>
                <w:color w:val="auto"/>
              </w:rPr>
            </w:pPr>
            <w:r>
              <w:rPr>
                <w:rFonts w:ascii="Arial" w:cs="Arial" w:eastAsia="Arial" w:hAnsi="Arial"/>
                <w:sz w:val="11"/>
                <w:szCs w:val="11"/>
                <w:color w:val="auto"/>
              </w:rPr>
              <w:t>Prepaid expenses including prepayments for maintenance that has not yet been incurred</w:t>
            </w:r>
          </w:p>
        </w:tc>
        <w:tc>
          <w:tcPr>
            <w:tcW w:w="100" w:type="dxa"/>
            <w:vAlign w:val="bottom"/>
          </w:tcPr>
          <w:p>
            <w:pPr>
              <w:spacing w:after="0"/>
              <w:rPr>
                <w:sz w:val="14"/>
                <w:szCs w:val="14"/>
                <w:color w:val="auto"/>
              </w:rPr>
            </w:pPr>
          </w:p>
        </w:tc>
        <w:tc>
          <w:tcPr>
            <w:tcW w:w="1880" w:type="dxa"/>
            <w:vAlign w:val="bottom"/>
          </w:tcPr>
          <w:p>
            <w:pPr>
              <w:jc w:val="right"/>
              <w:ind w:right="3"/>
              <w:spacing w:after="0"/>
              <w:rPr>
                <w:sz w:val="20"/>
                <w:szCs w:val="20"/>
                <w:color w:val="auto"/>
              </w:rPr>
            </w:pPr>
            <w:r>
              <w:rPr>
                <w:rFonts w:ascii="Arial" w:cs="Arial" w:eastAsia="Arial" w:hAnsi="Arial"/>
                <w:sz w:val="11"/>
                <w:szCs w:val="11"/>
                <w:b w:val="1"/>
                <w:bCs w:val="1"/>
                <w:color w:val="auto"/>
              </w:rPr>
              <w:t>175,799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79,806</w:t>
            </w:r>
          </w:p>
        </w:tc>
      </w:tr>
      <w:tr>
        <w:trPr>
          <w:trHeight w:val="170"/>
        </w:trPr>
        <w:tc>
          <w:tcPr>
            <w:tcW w:w="7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79,350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112,260</w:t>
            </w:r>
          </w:p>
        </w:tc>
      </w:tr>
      <w:tr>
        <w:trPr>
          <w:trHeight w:val="161"/>
        </w:trPr>
        <w:tc>
          <w:tcPr>
            <w:tcW w:w="7240" w:type="dxa"/>
            <w:vAlign w:val="bottom"/>
          </w:tcPr>
          <w:p>
            <w:pPr>
              <w:ind w:left="20"/>
              <w:spacing w:after="0"/>
              <w:rPr>
                <w:sz w:val="20"/>
                <w:szCs w:val="20"/>
                <w:color w:val="auto"/>
              </w:rPr>
            </w:pPr>
            <w:r>
              <w:rPr>
                <w:rFonts w:ascii="Arial" w:cs="Arial" w:eastAsia="Arial" w:hAnsi="Arial"/>
                <w:sz w:val="11"/>
                <w:szCs w:val="11"/>
                <w:b w:val="1"/>
                <w:bCs w:val="1"/>
                <w:color w:val="auto"/>
              </w:rPr>
              <w:t>Other current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470,130</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408,364</w:t>
            </w:r>
          </w:p>
        </w:tc>
      </w:tr>
      <w:tr>
        <w:trPr>
          <w:trHeight w:val="20"/>
        </w:trPr>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Current Liabilities</w:t>
      </w:r>
      <w:r>
        <w:rPr>
          <w:rFonts w:ascii="Arial" w:cs="Arial" w:eastAsia="Arial" w:hAnsi="Arial"/>
          <w:sz w:val="13"/>
          <w:szCs w:val="13"/>
          <w:color w:val="00497F"/>
        </w:rPr>
        <w:t>—</w:t>
      </w:r>
      <w:r>
        <w:rPr>
          <w:rFonts w:ascii="Arial" w:cs="Arial" w:eastAsia="Arial" w:hAnsi="Arial"/>
          <w:sz w:val="13"/>
          <w:szCs w:val="13"/>
          <w:color w:val="000000"/>
        </w:rPr>
        <w:t>Other current liabilities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ind w:left="40"/>
              <w:spacing w:after="0"/>
              <w:rPr>
                <w:sz w:val="20"/>
                <w:szCs w:val="20"/>
                <w:color w:val="auto"/>
              </w:rPr>
            </w:pPr>
            <w:r>
              <w:rPr>
                <w:rFonts w:ascii="Arial" w:cs="Arial" w:eastAsia="Arial" w:hAnsi="Arial"/>
                <w:sz w:val="11"/>
                <w:szCs w:val="11"/>
                <w:b w:val="1"/>
                <w:bCs w:val="1"/>
                <w:color w:val="auto"/>
              </w:rPr>
              <w:t>September 30, 2026 (unaudited)</w:t>
            </w:r>
          </w:p>
        </w:tc>
        <w:tc>
          <w:tcPr>
            <w:tcW w:w="280" w:type="dxa"/>
            <w:vAlign w:val="bottom"/>
          </w:tcPr>
          <w:p>
            <w:pPr>
              <w:spacing w:after="0"/>
              <w:rPr>
                <w:sz w:val="13"/>
                <w:szCs w:val="13"/>
                <w:color w:val="auto"/>
              </w:rPr>
            </w:pPr>
          </w:p>
        </w:tc>
        <w:tc>
          <w:tcPr>
            <w:tcW w:w="1700" w:type="dxa"/>
            <w:vAlign w:val="bottom"/>
          </w:tcPr>
          <w:p>
            <w:pPr>
              <w:jc w:val="right"/>
              <w:ind w:right="423"/>
              <w:spacing w:after="0"/>
              <w:rPr>
                <w:sz w:val="20"/>
                <w:szCs w:val="20"/>
                <w:color w:val="auto"/>
              </w:rPr>
            </w:pPr>
            <w:r>
              <w:rPr>
                <w:rFonts w:ascii="Arial" w:cs="Arial" w:eastAsia="Arial" w:hAnsi="Arial"/>
                <w:sz w:val="11"/>
                <w:szCs w:val="11"/>
                <w:b w:val="1"/>
                <w:bCs w:val="1"/>
                <w:color w:val="auto"/>
              </w:rPr>
              <w:t>December 31, 2025</w:t>
            </w:r>
          </w:p>
        </w:tc>
      </w:tr>
      <w:tr>
        <w:trPr>
          <w:trHeight w:val="161"/>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Customer deposits and advanced payments</w:t>
            </w:r>
          </w:p>
        </w:tc>
        <w:tc>
          <w:tcPr>
            <w:tcW w:w="10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28,466</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33,755</w:t>
            </w:r>
          </w:p>
        </w:tc>
      </w:tr>
      <w:tr>
        <w:trPr>
          <w:trHeight w:val="170"/>
        </w:trPr>
        <w:tc>
          <w:tcPr>
            <w:tcW w:w="7240" w:type="dxa"/>
            <w:vAlign w:val="bottom"/>
          </w:tcPr>
          <w:p>
            <w:pPr>
              <w:ind w:left="20"/>
              <w:spacing w:after="0"/>
              <w:rPr>
                <w:sz w:val="20"/>
                <w:szCs w:val="20"/>
                <w:color w:val="auto"/>
              </w:rPr>
            </w:pPr>
            <w:r>
              <w:rPr>
                <w:rFonts w:ascii="Arial" w:cs="Arial" w:eastAsia="Arial" w:hAnsi="Arial"/>
                <w:sz w:val="11"/>
                <w:szCs w:val="11"/>
                <w:color w:val="auto"/>
              </w:rPr>
              <w:t>Tax liabilities</w:t>
            </w:r>
          </w:p>
        </w:tc>
        <w:tc>
          <w:tcPr>
            <w:tcW w:w="100" w:type="dxa"/>
            <w:vAlign w:val="bottom"/>
          </w:tcPr>
          <w:p>
            <w:pPr>
              <w:spacing w:after="0"/>
              <w:rPr>
                <w:sz w:val="14"/>
                <w:szCs w:val="14"/>
                <w:color w:val="auto"/>
              </w:rPr>
            </w:pPr>
          </w:p>
        </w:tc>
        <w:tc>
          <w:tcPr>
            <w:tcW w:w="1880" w:type="dxa"/>
            <w:vAlign w:val="bottom"/>
          </w:tcPr>
          <w:p>
            <w:pPr>
              <w:jc w:val="right"/>
              <w:ind w:right="3"/>
              <w:spacing w:after="0"/>
              <w:rPr>
                <w:sz w:val="20"/>
                <w:szCs w:val="20"/>
                <w:color w:val="auto"/>
              </w:rPr>
            </w:pPr>
            <w:r>
              <w:rPr>
                <w:rFonts w:ascii="Arial" w:cs="Arial" w:eastAsia="Arial" w:hAnsi="Arial"/>
                <w:sz w:val="11"/>
                <w:szCs w:val="11"/>
                <w:b w:val="1"/>
                <w:bCs w:val="1"/>
                <w:color w:val="auto"/>
              </w:rPr>
              <w:t>59,002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15,264</w:t>
            </w:r>
          </w:p>
        </w:tc>
      </w:tr>
      <w:tr>
        <w:trPr>
          <w:trHeight w:val="170"/>
        </w:trPr>
        <w:tc>
          <w:tcPr>
            <w:tcW w:w="7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15,963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13,183</w:t>
            </w:r>
          </w:p>
        </w:tc>
      </w:tr>
      <w:tr>
        <w:trPr>
          <w:trHeight w:val="161"/>
        </w:trPr>
        <w:tc>
          <w:tcPr>
            <w:tcW w:w="7240" w:type="dxa"/>
            <w:vAlign w:val="bottom"/>
          </w:tcPr>
          <w:p>
            <w:pPr>
              <w:ind w:left="20"/>
              <w:spacing w:after="0"/>
              <w:rPr>
                <w:sz w:val="20"/>
                <w:szCs w:val="20"/>
                <w:color w:val="auto"/>
              </w:rPr>
            </w:pPr>
            <w:r>
              <w:rPr>
                <w:rFonts w:ascii="Arial" w:cs="Arial" w:eastAsia="Arial" w:hAnsi="Arial"/>
                <w:sz w:val="11"/>
                <w:szCs w:val="11"/>
                <w:b w:val="1"/>
                <w:bCs w:val="1"/>
                <w:color w:val="auto"/>
              </w:rPr>
              <w:t>Other 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103,431</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62,202</w:t>
            </w:r>
          </w:p>
        </w:tc>
      </w:tr>
      <w:tr>
        <w:trPr>
          <w:trHeight w:val="20"/>
        </w:trPr>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2"/>
          <w:szCs w:val="12"/>
          <w:b w:val="1"/>
          <w:bCs w:val="1"/>
          <w:i w:val="1"/>
          <w:iCs w:val="1"/>
          <w:color w:val="00497F"/>
        </w:rPr>
        <w:t>Contract Liabilities - affiliate</w:t>
      </w:r>
      <w:r>
        <w:rPr>
          <w:rFonts w:ascii="Arial" w:cs="Arial" w:eastAsia="Arial" w:hAnsi="Arial"/>
          <w:sz w:val="12"/>
          <w:szCs w:val="12"/>
          <w:color w:val="00497F"/>
        </w:rPr>
        <w:t>—</w:t>
      </w:r>
      <w:r>
        <w:rPr>
          <w:rFonts w:ascii="Arial" w:cs="Arial" w:eastAsia="Arial" w:hAnsi="Arial"/>
          <w:sz w:val="12"/>
          <w:szCs w:val="12"/>
          <w:color w:val="000000"/>
        </w:rPr>
        <w:t>Contract liabilities - affiliate represent cash received from J&amp;F Power Systems LLC ("J&amp;F") in advance of delivery of equipment orders. There was no contract liability</w:t>
      </w:r>
      <w:r>
        <w:rPr>
          <w:rFonts w:ascii="Arial" w:cs="Arial" w:eastAsia="Arial" w:hAnsi="Arial"/>
          <w:sz w:val="12"/>
          <w:szCs w:val="12"/>
          <w:b w:val="1"/>
          <w:bCs w:val="1"/>
          <w:i w:val="1"/>
          <w:iCs w:val="1"/>
          <w:color w:val="00497F"/>
        </w:rPr>
        <w:t xml:space="preserve"> </w:t>
      </w:r>
      <w:r>
        <w:rPr>
          <w:rFonts w:ascii="Arial" w:cs="Arial" w:eastAsia="Arial" w:hAnsi="Arial"/>
          <w:sz w:val="12"/>
          <w:szCs w:val="12"/>
          <w:color w:val="000000"/>
        </w:rPr>
        <w:t>balance as of December 31, 2025 and as a result, no revenue was recognized during the nine months ended September 30, 2026 related to the contract liability balance as of December 31, 2025.</w:t>
      </w:r>
    </w:p>
    <w:p>
      <w:pPr>
        <w:spacing w:after="0" w:line="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Contract liabilities - affiliate increased by $234.0 million during the nine months ended September 30, 2026, due to an increase in cash consideration received from J&amp;F, which preceded the Company's satisfaction of the associated performance obligations (i.e. delivery of equipment orders) relating to equipment sales expected to be fulfilled in the next 12 months. Refer to Note 10 “Affiliate Transactions and Former Management Agreement” for additional information on J&amp;F.</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00497F"/>
        </w:rPr>
        <w:t>Dividends</w:t>
      </w:r>
      <w:r>
        <w:rPr>
          <w:rFonts w:ascii="Arial" w:cs="Arial" w:eastAsia="Arial" w:hAnsi="Arial"/>
          <w:sz w:val="13"/>
          <w:szCs w:val="13"/>
          <w:color w:val="00497F"/>
        </w:rPr>
        <w:t>—</w:t>
      </w:r>
      <w:r>
        <w:rPr>
          <w:rFonts w:ascii="Arial" w:cs="Arial" w:eastAsia="Arial" w:hAnsi="Arial"/>
          <w:sz w:val="13"/>
          <w:szCs w:val="13"/>
          <w:color w:val="000000"/>
        </w:rPr>
        <w:t>Dividends are recorded if and when declared by the Board of Directors. For the three and nine months ended September 30, 2026, the Board of Directors declared cash dividends of $0.50</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and $1.45 per ordinary share, respectively (2025 - $0.35 and $0.95, respectively).</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Additionally, for the three months ended September 30, 2026, the Board of Directors declared cash dividends on the Series D Preferred Shares of $0.59 per share (2025 - Series C Preferred Shares of $0.52 and Series D Preferred Shares of $0.59).</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00497F"/>
        </w:rPr>
        <w:t>Cash Flow Presentation</w:t>
      </w:r>
      <w:r>
        <w:rPr>
          <w:rFonts w:ascii="Arial" w:cs="Arial" w:eastAsia="Arial" w:hAnsi="Arial"/>
          <w:sz w:val="13"/>
          <w:szCs w:val="13"/>
          <w:color w:val="00497F"/>
        </w:rPr>
        <w:t>—</w:t>
      </w:r>
      <w:r>
        <w:rPr>
          <w:rFonts w:ascii="Arial" w:cs="Arial" w:eastAsia="Arial" w:hAnsi="Arial"/>
          <w:sz w:val="13"/>
          <w:szCs w:val="13"/>
          <w:color w:val="000000"/>
        </w:rPr>
        <w:t>Included in net cash (used in) provided by operating activities are inflows from the sale of engine modules and parts that were on engines originally purchased and reported</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as leasing equipment, net. The purchase of the original engine was reported as an outflow in net cash used in investing activities at the time of purchase through the acquisition of leasing equipment line item. As part of the aerospace products business, the Company breaks down generally unserviceable engines with the intent to manufacture modules and parts for creation and sale of new assets. To manufacture the modules and parts and bring them into a salable condition, the Company spends significant costs, often over multiple reporting periods, for new inventory and capitalizable labor (e.g., engineering) that are included in net cash (used in) provided by operating activities as components of the changes in the related working capital accounts.</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Therefore, when the costs to manufacture the assets are greater than (predominant to) the estimated value transferred from leasing equipment into inventory, the related cash receipt has been reported as an inflow in net cash (used in) provided by operating activities.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Additionally, the Company buys inventory from third parties with the intent to use the parts in the manufacturing of the items discussed above, which is reported as an outflow in net cash (used in) provided by operating activities. When rebuilding whole engines for resale, for which the cash inflow upon sale is reported as a cash inflow from investing activities, the Company will transfer modules and parts needed (those purchased from third parties as well as parts from engines previously transferred to inventory from leasing equipment and rebuilt as discussed above) in the rebuild from inventory to leasing equipment.</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With respect to purchases of aircraft and engines, when the expected predominant source of cash inflows from the acquired leasing equipment at the time of acquisition is from leasing activities, the related cash outflow is reported as an outflow in net cash used in investing activities. When the expected predominant source of cash inflows is from sales transactions, the related cash outflow is reported as an outflow in net cash (used in) provided by operating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The cash and noncash related activities described above during the nine months ended September 30, 2026 and 2025 are detailed below (unaudited):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1"/>
                <w:szCs w:val="11"/>
                <w:b w:val="1"/>
                <w:bCs w:val="1"/>
                <w:color w:val="auto"/>
              </w:rPr>
              <w:t>Nine Months Ended September 30,</w:t>
            </w:r>
          </w:p>
        </w:tc>
      </w:tr>
      <w:tr>
        <w:trPr>
          <w:trHeight w:val="16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r>
      <w:tr>
        <w:trPr>
          <w:trHeight w:val="150"/>
        </w:trPr>
        <w:tc>
          <w:tcPr>
            <w:tcW w:w="8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70"/>
        </w:trPr>
        <w:tc>
          <w:tcPr>
            <w:tcW w:w="8140" w:type="dxa"/>
            <w:vAlign w:val="bottom"/>
          </w:tcPr>
          <w:p>
            <w:pPr>
              <w:ind w:left="20"/>
              <w:spacing w:after="0"/>
              <w:rPr>
                <w:sz w:val="20"/>
                <w:szCs w:val="20"/>
                <w:color w:val="auto"/>
              </w:rPr>
            </w:pPr>
            <w:r>
              <w:rPr>
                <w:rFonts w:ascii="Arial" w:cs="Arial" w:eastAsia="Arial" w:hAnsi="Arial"/>
                <w:sz w:val="11"/>
                <w:szCs w:val="11"/>
                <w:color w:val="auto"/>
              </w:rPr>
              <w:t>Cost of modules and parts sold sourced from engines originally within leasing equipment</w:t>
            </w:r>
          </w:p>
        </w:tc>
        <w:tc>
          <w:tcPr>
            <w:tcW w:w="340" w:type="dxa"/>
            <w:vAlign w:val="bottom"/>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11,262</w:t>
            </w:r>
          </w:p>
        </w:tc>
        <w:tc>
          <w:tcPr>
            <w:tcW w:w="100" w:type="dxa"/>
            <w:vAlign w:val="bottom"/>
          </w:tcPr>
          <w:p>
            <w:pPr>
              <w:spacing w:after="0"/>
              <w:rPr>
                <w:sz w:val="14"/>
                <w:szCs w:val="14"/>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22,429</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Transfers of engines from leasing equipment to inventory for manufacturing and sale</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107,658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219,732</w:t>
            </w:r>
          </w:p>
        </w:tc>
      </w:tr>
      <w:tr>
        <w:trPr>
          <w:trHeight w:val="170"/>
        </w:trPr>
        <w:tc>
          <w:tcPr>
            <w:tcW w:w="8140" w:type="dxa"/>
            <w:vAlign w:val="bottom"/>
          </w:tcPr>
          <w:p>
            <w:pPr>
              <w:ind w:left="20"/>
              <w:spacing w:after="0"/>
              <w:rPr>
                <w:sz w:val="20"/>
                <w:szCs w:val="20"/>
                <w:color w:val="auto"/>
              </w:rPr>
            </w:pPr>
            <w:r>
              <w:rPr>
                <w:rFonts w:ascii="Arial" w:cs="Arial" w:eastAsia="Arial" w:hAnsi="Arial"/>
                <w:sz w:val="11"/>
                <w:szCs w:val="11"/>
                <w:color w:val="auto"/>
              </w:rPr>
              <w:t>Transfers of inventory to leasing equipment for rebuilding and sale of engines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(235,244)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(228,691)</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outflows related to manufacturing modules and parts - included in net cash used in operating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(964,904)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(478,642)</w:t>
            </w:r>
          </w:p>
        </w:tc>
      </w:tr>
      <w:tr>
        <w:trPr>
          <w:trHeight w:val="170"/>
        </w:trPr>
        <w:tc>
          <w:tcPr>
            <w:tcW w:w="8140" w:type="dxa"/>
            <w:vAlign w:val="bottom"/>
          </w:tcPr>
          <w:p>
            <w:pPr>
              <w:ind w:left="20"/>
              <w:spacing w:after="0"/>
              <w:rPr>
                <w:sz w:val="20"/>
                <w:szCs w:val="20"/>
                <w:color w:val="auto"/>
              </w:rPr>
            </w:pPr>
            <w:r>
              <w:rPr>
                <w:rFonts w:ascii="Arial" w:cs="Arial" w:eastAsia="Arial" w:hAnsi="Arial"/>
                <w:sz w:val="11"/>
                <w:szCs w:val="11"/>
                <w:color w:val="auto"/>
              </w:rPr>
              <w:t>Cash received for assets sold sourced from leasing equipment - inflow included in net cash used in operating activities</w:t>
            </w:r>
          </w:p>
        </w:tc>
        <w:tc>
          <w:tcPr>
            <w:tcW w:w="3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23,619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54,853</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received for sales of leasing equipment that include components sourced from inventory - inflow included in net cash provided by investing activities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795,322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635,865</w:t>
            </w:r>
          </w:p>
        </w:tc>
      </w:tr>
      <w:tr>
        <w:trPr>
          <w:trHeight w:val="169"/>
        </w:trPr>
        <w:tc>
          <w:tcPr>
            <w:tcW w:w="8140" w:type="dxa"/>
            <w:vAlign w:val="bottom"/>
          </w:tcPr>
          <w:p>
            <w:pPr>
              <w:ind w:left="20"/>
              <w:spacing w:after="0"/>
              <w:rPr>
                <w:sz w:val="20"/>
                <w:szCs w:val="20"/>
                <w:color w:val="auto"/>
              </w:rPr>
            </w:pPr>
            <w:r>
              <w:rPr>
                <w:rFonts w:ascii="Arial" w:cs="Arial" w:eastAsia="Arial" w:hAnsi="Arial"/>
                <w:sz w:val="11"/>
                <w:szCs w:val="11"/>
                <w:color w:val="auto"/>
              </w:rPr>
              <w:t>Cash paid for engine and aircraft inventory - outflow included in net cash used in operating activities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(728,205)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(127,260)</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Recent Accounting Pronouncements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Recently Adopted Accounting Pronouncements</w:t>
      </w:r>
      <w:r>
        <w:rPr>
          <w:rFonts w:ascii="Arial" w:cs="Arial" w:eastAsia="Arial" w:hAnsi="Arial"/>
          <w:sz w:val="13"/>
          <w:szCs w:val="13"/>
          <w:color w:val="00497F"/>
        </w:rPr>
        <w:t>—</w:t>
      </w:r>
      <w:r>
        <w:rPr>
          <w:rFonts w:ascii="Arial" w:cs="Arial" w:eastAsia="Arial" w:hAnsi="Arial"/>
          <w:sz w:val="13"/>
          <w:szCs w:val="13"/>
          <w:i w:val="1"/>
          <w:iCs w:val="1"/>
          <w:color w:val="00497F"/>
        </w:rPr>
        <w:t xml:space="preserve"> </w:t>
      </w:r>
      <w:r>
        <w:rPr>
          <w:rFonts w:ascii="Arial" w:cs="Arial" w:eastAsia="Arial" w:hAnsi="Arial"/>
          <w:sz w:val="13"/>
          <w:szCs w:val="13"/>
          <w:color w:val="000000"/>
        </w:rPr>
        <w:t>In July 2025, the FASB issued ASU 2025-05,</w:t>
      </w:r>
      <w:r>
        <w:rPr>
          <w:rFonts w:ascii="Arial" w:cs="Arial" w:eastAsia="Arial" w:hAnsi="Arial"/>
          <w:sz w:val="13"/>
          <w:szCs w:val="13"/>
          <w:i w:val="1"/>
          <w:iCs w:val="1"/>
          <w:color w:val="00497F"/>
        </w:rPr>
        <w:t xml:space="preserve"> </w:t>
      </w:r>
      <w:r>
        <w:rPr>
          <w:rFonts w:ascii="Arial" w:cs="Arial" w:eastAsia="Arial" w:hAnsi="Arial"/>
          <w:sz w:val="13"/>
          <w:szCs w:val="13"/>
          <w:i w:val="1"/>
          <w:iCs w:val="1"/>
          <w:color w:val="000000"/>
        </w:rPr>
        <w:t>Financial Instruments - Credit Losses (Topic 326): Measurement of Credit Losses for Accounts</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i w:val="1"/>
          <w:iCs w:val="1"/>
          <w:color w:val="auto"/>
        </w:rPr>
        <w:t xml:space="preserve">Receivable and Contract Assets, </w:t>
      </w:r>
      <w:r>
        <w:rPr>
          <w:rFonts w:ascii="Arial" w:cs="Arial" w:eastAsia="Arial" w:hAnsi="Arial"/>
          <w:sz w:val="13"/>
          <w:szCs w:val="13"/>
          <w:color w:val="auto"/>
        </w:rPr>
        <w:t>which provides a practical expedient in developing reasonable and supportable forecasts as a part of estimating expected credit losses, allowing entities to assume</w:t>
      </w:r>
      <w:r>
        <w:rPr>
          <w:rFonts w:ascii="Arial" w:cs="Arial" w:eastAsia="Arial" w:hAnsi="Arial"/>
          <w:sz w:val="13"/>
          <w:szCs w:val="13"/>
          <w:i w:val="1"/>
          <w:iCs w:val="1"/>
          <w:color w:val="auto"/>
        </w:rPr>
        <w:t xml:space="preserve"> </w:t>
      </w:r>
      <w:r>
        <w:rPr>
          <w:rFonts w:ascii="Arial" w:cs="Arial" w:eastAsia="Arial" w:hAnsi="Arial"/>
          <w:sz w:val="13"/>
          <w:szCs w:val="13"/>
          <w:color w:val="auto"/>
        </w:rPr>
        <w:t>that current conditions as of the balance sheet date do not change for the remaining life of the asset. The amendments in ASU 2025-05 are effective for annual reporting periods beginning after December 15, 2025, and interim reporting periods within those annual reporting periods. The Company adopted this guidance in the first quarter of 2026. However, the Company did not elect the practical expedient or make the accounting policy election provided by the ASU and, accordingly, the amendments did not have an impact on its consolidated financial statements.</w:t>
      </w:r>
    </w:p>
    <w:p>
      <w:pPr>
        <w:spacing w:after="0" w:line="32" w:lineRule="exact"/>
        <w:rPr>
          <w:sz w:val="20"/>
          <w:szCs w:val="20"/>
          <w:color w:val="auto"/>
        </w:rPr>
      </w:pPr>
    </w:p>
    <w:p>
      <w:pPr>
        <w:jc w:val="both"/>
        <w:spacing w:after="0" w:line="163" w:lineRule="exact"/>
        <w:rPr>
          <w:sz w:val="20"/>
          <w:szCs w:val="20"/>
          <w:color w:val="auto"/>
        </w:rPr>
      </w:pPr>
      <w:r>
        <w:rPr>
          <w:rFonts w:ascii="Arial" w:cs="Arial" w:eastAsia="Arial" w:hAnsi="Arial"/>
          <w:sz w:val="13"/>
          <w:szCs w:val="13"/>
          <w:i w:val="1"/>
          <w:iCs w:val="1"/>
          <w:color w:val="00497F"/>
        </w:rPr>
        <w:t>Accounting Pronouncements Not Yet Adopted</w:t>
      </w:r>
      <w:r>
        <w:rPr>
          <w:rFonts w:ascii="Arial" w:cs="Arial" w:eastAsia="Arial" w:hAnsi="Arial"/>
          <w:sz w:val="13"/>
          <w:szCs w:val="13"/>
          <w:color w:val="00497F"/>
        </w:rPr>
        <w:t>—</w:t>
      </w:r>
      <w:r>
        <w:rPr>
          <w:rFonts w:ascii="Arial" w:cs="Arial" w:eastAsia="Arial" w:hAnsi="Arial"/>
          <w:sz w:val="13"/>
          <w:szCs w:val="13"/>
          <w:color w:val="000000"/>
        </w:rPr>
        <w:t>There have been no other changes to the discussion of recently issued accounting standards included in our Annual Report on Form 10</w:t>
      </w:r>
      <w:r>
        <w:rPr>
          <w:rFonts w:ascii="MS PGothic" w:cs="MS PGothic" w:eastAsia="MS PGothic" w:hAnsi="MS PGothic"/>
          <w:sz w:val="13"/>
          <w:szCs w:val="13"/>
          <w:color w:val="000000"/>
        </w:rPr>
        <w:t>‑</w:t>
      </w:r>
      <w:r>
        <w:rPr>
          <w:rFonts w:ascii="Arial" w:cs="Arial" w:eastAsia="Arial" w:hAnsi="Arial"/>
          <w:sz w:val="13"/>
          <w:szCs w:val="13"/>
          <w:color w:val="000000"/>
        </w:rPr>
        <w:t>K for the year</w:t>
      </w:r>
      <w:r>
        <w:rPr>
          <w:rFonts w:ascii="Arial" w:cs="Arial" w:eastAsia="Arial" w:hAnsi="Arial"/>
          <w:sz w:val="13"/>
          <w:szCs w:val="13"/>
          <w:i w:val="1"/>
          <w:iCs w:val="1"/>
          <w:color w:val="00497F"/>
        </w:rPr>
        <w:t xml:space="preserve"> </w:t>
      </w:r>
      <w:r>
        <w:rPr>
          <w:rFonts w:ascii="Arial" w:cs="Arial" w:eastAsia="Arial" w:hAnsi="Arial"/>
          <w:sz w:val="13"/>
          <w:szCs w:val="13"/>
          <w:color w:val="000000"/>
        </w:rPr>
        <w:t>ended December 31, 2025. Specifically, the Company continues to monitor the future adoption of ASU 2024</w:t>
      </w:r>
      <w:r>
        <w:rPr>
          <w:rFonts w:ascii="MS PGothic" w:cs="MS PGothic" w:eastAsia="MS PGothic" w:hAnsi="MS PGothic"/>
          <w:sz w:val="13"/>
          <w:szCs w:val="13"/>
          <w:color w:val="000000"/>
        </w:rPr>
        <w:t>‑</w:t>
      </w:r>
      <w:r>
        <w:rPr>
          <w:rFonts w:ascii="Arial" w:cs="Arial" w:eastAsia="Arial" w:hAnsi="Arial"/>
          <w:sz w:val="13"/>
          <w:szCs w:val="13"/>
          <w:color w:val="000000"/>
        </w:rPr>
        <w:t xml:space="preserve">03, </w:t>
      </w:r>
      <w:r>
        <w:rPr>
          <w:rFonts w:ascii="Arial" w:cs="Arial" w:eastAsia="Arial" w:hAnsi="Arial"/>
          <w:sz w:val="13"/>
          <w:szCs w:val="13"/>
          <w:i w:val="1"/>
          <w:iCs w:val="1"/>
          <w:color w:val="000000"/>
        </w:rPr>
        <w:t>Income Statement—Reporting Comprehensive Income (Topic 220): Improvements to</w:t>
      </w:r>
      <w:r>
        <w:rPr>
          <w:rFonts w:ascii="Arial" w:cs="Arial" w:eastAsia="Arial" w:hAnsi="Arial"/>
          <w:sz w:val="13"/>
          <w:szCs w:val="13"/>
          <w:color w:val="000000"/>
        </w:rPr>
        <w:t xml:space="preserve"> </w:t>
      </w:r>
      <w:r>
        <w:rPr>
          <w:rFonts w:ascii="Arial" w:cs="Arial" w:eastAsia="Arial" w:hAnsi="Arial"/>
          <w:sz w:val="13"/>
          <w:szCs w:val="13"/>
          <w:i w:val="1"/>
          <w:iCs w:val="1"/>
          <w:color w:val="000000"/>
        </w:rPr>
        <w:t>Reportable Segment Expense Disclosures</w:t>
      </w:r>
      <w:r>
        <w:rPr>
          <w:rFonts w:ascii="Arial" w:cs="Arial" w:eastAsia="Arial" w:hAnsi="Arial"/>
          <w:sz w:val="13"/>
          <w:szCs w:val="13"/>
          <w:color w:val="000000"/>
        </w:rPr>
        <w:t>, which has a future effective date. The Company is currently evaluating the impact this standard may have on its consolidated financial statements and</w:t>
      </w:r>
      <w:r>
        <w:rPr>
          <w:rFonts w:ascii="Arial" w:cs="Arial" w:eastAsia="Arial" w:hAnsi="Arial"/>
          <w:sz w:val="13"/>
          <w:szCs w:val="13"/>
          <w:i w:val="1"/>
          <w:iCs w:val="1"/>
          <w:color w:val="000000"/>
        </w:rPr>
        <w:t xml:space="preserve"> </w:t>
      </w:r>
      <w:r>
        <w:rPr>
          <w:rFonts w:ascii="Arial" w:cs="Arial" w:eastAsia="Arial" w:hAnsi="Arial"/>
          <w:sz w:val="13"/>
          <w:szCs w:val="13"/>
          <w:color w:val="000000"/>
        </w:rPr>
        <w:t>related disclosures.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3. LEASING EQUIPMENT, NET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Leasing equipment, net is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tcPr>
          <w:p>
            <w:pPr>
              <w:spacing w:after="0"/>
              <w:rPr>
                <w:sz w:val="13"/>
                <w:szCs w:val="13"/>
                <w:color w:val="auto"/>
              </w:rPr>
            </w:pPr>
          </w:p>
        </w:tc>
        <w:tc>
          <w:tcPr>
            <w:tcW w:w="1860" w:type="dxa"/>
            <w:vAlign w:val="bottom"/>
            <w:gridSpan w:val="3"/>
          </w:tcPr>
          <w:p>
            <w:pPr>
              <w:ind w:left="20"/>
              <w:spacing w:after="0"/>
              <w:rPr>
                <w:sz w:val="20"/>
                <w:szCs w:val="20"/>
                <w:color w:val="auto"/>
              </w:rPr>
            </w:pPr>
            <w:r>
              <w:rPr>
                <w:rFonts w:ascii="Arial" w:cs="Arial" w:eastAsia="Arial" w:hAnsi="Arial"/>
                <w:sz w:val="11"/>
                <w:szCs w:val="11"/>
                <w:b w:val="1"/>
                <w:bCs w:val="1"/>
                <w:color w:val="auto"/>
              </w:rPr>
              <w:t>September 30, 2026 (unaudited)</w:t>
            </w:r>
          </w:p>
        </w:tc>
        <w:tc>
          <w:tcPr>
            <w:tcW w:w="160" w:type="dxa"/>
            <w:vAlign w:val="bottom"/>
          </w:tcPr>
          <w:p>
            <w:pPr>
              <w:spacing w:after="0"/>
              <w:rPr>
                <w:sz w:val="13"/>
                <w:szCs w:val="13"/>
                <w:color w:val="auto"/>
              </w:rPr>
            </w:pPr>
          </w:p>
        </w:tc>
        <w:tc>
          <w:tcPr>
            <w:tcW w:w="1360" w:type="dxa"/>
            <w:vAlign w:val="bottom"/>
          </w:tcPr>
          <w:p>
            <w:pPr>
              <w:jc w:val="right"/>
              <w:ind w:right="203"/>
              <w:spacing w:after="0"/>
              <w:rPr>
                <w:sz w:val="20"/>
                <w:szCs w:val="20"/>
                <w:color w:val="auto"/>
              </w:rPr>
            </w:pPr>
            <w:r>
              <w:rPr>
                <w:rFonts w:ascii="Arial" w:cs="Arial" w:eastAsia="Arial" w:hAnsi="Arial"/>
                <w:sz w:val="11"/>
                <w:szCs w:val="11"/>
                <w:b w:val="1"/>
                <w:bCs w:val="1"/>
                <w:color w:val="auto"/>
              </w:rPr>
              <w:t>December 31, 2025</w:t>
            </w:r>
          </w:p>
        </w:tc>
      </w:tr>
      <w:tr>
        <w:trPr>
          <w:trHeight w:val="161"/>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Leasing equipment</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1,389,689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2,057,624</w:t>
            </w:r>
          </w:p>
        </w:tc>
      </w:tr>
      <w:tr>
        <w:trPr>
          <w:trHeight w:val="17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depreciation</w:t>
            </w: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(354,650)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(511,820)</w:t>
            </w:r>
          </w:p>
        </w:tc>
      </w:tr>
      <w:tr>
        <w:trPr>
          <w:trHeight w:val="18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Leasing equipment, net</w:t>
            </w: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1,035,039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1,545,804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identified certain assets in its leasing equipment portfolio with indicators of impairment. During the three and nine months ended September 30, 2026 and 2025, these indicators of impairment did not result in the Company recording any transactional impairment charges.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for leasing equipment is summarized as follows (unaudited):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2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1"/>
                <w:szCs w:val="11"/>
                <w:b w:val="1"/>
                <w:bCs w:val="1"/>
                <w:color w:val="auto"/>
              </w:rPr>
              <w:t>Three Months Ended September 30,</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ind w:left="280"/>
              <w:spacing w:after="0"/>
              <w:rPr>
                <w:sz w:val="20"/>
                <w:szCs w:val="20"/>
                <w:color w:val="auto"/>
              </w:rPr>
            </w:pPr>
            <w:r>
              <w:rPr>
                <w:rFonts w:ascii="Arial" w:cs="Arial" w:eastAsia="Arial" w:hAnsi="Arial"/>
                <w:sz w:val="11"/>
                <w:szCs w:val="11"/>
                <w:b w:val="1"/>
                <w:bCs w:val="1"/>
                <w:color w:val="auto"/>
              </w:rPr>
              <w:t>Nine Months Ended September 30,</w:t>
            </w:r>
          </w:p>
        </w:tc>
      </w:tr>
      <w:tr>
        <w:trPr>
          <w:trHeight w:val="160"/>
        </w:trPr>
        <w:tc>
          <w:tcPr>
            <w:tcW w:w="49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r>
      <w:tr>
        <w:trPr>
          <w:trHeight w:val="161"/>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expense for leasing equipment</w:t>
            </w:r>
          </w:p>
        </w:tc>
        <w:tc>
          <w:tcPr>
            <w:tcW w:w="1000" w:type="dxa"/>
            <w:vAlign w:val="bottom"/>
            <w:shd w:val="clear" w:color="auto" w:fill="CCEEFF"/>
          </w:tcPr>
          <w:p>
            <w:pPr>
              <w:jc w:val="right"/>
              <w:ind w:right="863"/>
              <w:spacing w:after="0"/>
              <w:rPr>
                <w:sz w:val="20"/>
                <w:szCs w:val="20"/>
                <w:color w:val="auto"/>
              </w:rPr>
            </w:pPr>
            <w:r>
              <w:rPr>
                <w:rFonts w:ascii="Arial" w:cs="Arial" w:eastAsia="Arial" w:hAnsi="Arial"/>
                <w:sz w:val="11"/>
                <w:szCs w:val="11"/>
                <w:b w:val="1"/>
                <w:bCs w:val="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38,067</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51,050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127,187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158,185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4. INVESTMENTS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ownership interests and carrying values of the Company’s investments: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Carrying Value</w:t>
            </w:r>
          </w:p>
        </w:tc>
        <w:tc>
          <w:tcPr>
            <w:tcW w:w="1520" w:type="dxa"/>
            <w:vAlign w:val="bottom"/>
            <w:tcBorders>
              <w:bottom w:val="single" w:sz="8" w:color="auto"/>
            </w:tcBorders>
          </w:tcPr>
          <w:p>
            <w:pPr>
              <w:spacing w:after="0"/>
              <w:rPr>
                <w:sz w:val="13"/>
                <w:szCs w:val="13"/>
                <w:color w:val="auto"/>
              </w:rPr>
            </w:pPr>
          </w:p>
        </w:tc>
      </w:tr>
      <w:tr>
        <w:trPr>
          <w:trHeight w:val="160"/>
        </w:trPr>
        <w:tc>
          <w:tcPr>
            <w:tcW w:w="3120" w:type="dxa"/>
            <w:vAlign w:val="bottom"/>
            <w:tcBorders>
              <w:bottom w:val="single" w:sz="8" w:color="CCEEFF"/>
            </w:tcBorders>
          </w:tcPr>
          <w:p>
            <w:pPr>
              <w:spacing w:after="0"/>
              <w:rPr>
                <w:sz w:val="13"/>
                <w:szCs w:val="13"/>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Investment</w:t>
            </w:r>
          </w:p>
        </w:tc>
        <w:tc>
          <w:tcPr>
            <w:tcW w:w="8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Ownership Percentage</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September 30, 2026 (unaudited)</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December 31, 2025</w:t>
            </w:r>
          </w:p>
        </w:tc>
      </w:tr>
      <w:tr>
        <w:trPr>
          <w:trHeight w:val="161"/>
        </w:trPr>
        <w:tc>
          <w:tcPr>
            <w:tcW w:w="3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Advanced Engine Repair JV</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24,710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22,429</w:t>
            </w:r>
          </w:p>
        </w:tc>
      </w:tr>
      <w:tr>
        <w:trPr>
          <w:trHeight w:val="170"/>
        </w:trPr>
        <w:tc>
          <w:tcPr>
            <w:tcW w:w="3120" w:type="dxa"/>
            <w:vAlign w:val="bottom"/>
          </w:tcPr>
          <w:p>
            <w:pPr>
              <w:ind w:left="20"/>
              <w:spacing w:after="0"/>
              <w:rPr>
                <w:sz w:val="20"/>
                <w:szCs w:val="20"/>
                <w:color w:val="auto"/>
              </w:rPr>
            </w:pPr>
            <w:r>
              <w:rPr>
                <w:rFonts w:ascii="Arial" w:cs="Arial" w:eastAsia="Arial" w:hAnsi="Arial"/>
                <w:sz w:val="11"/>
                <w:szCs w:val="11"/>
                <w:color w:val="auto"/>
              </w:rPr>
              <w:t>2025 Partnership</w:t>
            </w:r>
          </w:p>
        </w:tc>
        <w:tc>
          <w:tcPr>
            <w:tcW w:w="1980" w:type="dxa"/>
            <w:vAlign w:val="bottom"/>
            <w:gridSpan w:val="2"/>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tcPr>
          <w:p>
            <w:pPr>
              <w:jc w:val="center"/>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1"/>
                <w:szCs w:val="11"/>
                <w:b w:val="1"/>
                <w:bCs w:val="1"/>
                <w:color w:val="auto"/>
              </w:rPr>
              <w:t>341,248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281,740</w:t>
            </w:r>
          </w:p>
        </w:tc>
      </w:tr>
      <w:tr>
        <w:trPr>
          <w:trHeight w:val="170"/>
        </w:trPr>
        <w:tc>
          <w:tcPr>
            <w:tcW w:w="3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 Partnership</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12,932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120" w:type="dxa"/>
            <w:vAlign w:val="bottom"/>
          </w:tcPr>
          <w:p>
            <w:pPr>
              <w:ind w:left="20"/>
              <w:spacing w:after="0"/>
              <w:rPr>
                <w:sz w:val="20"/>
                <w:szCs w:val="20"/>
                <w:color w:val="auto"/>
              </w:rPr>
            </w:pPr>
            <w:r>
              <w:rPr>
                <w:rFonts w:ascii="Arial" w:cs="Arial" w:eastAsia="Arial" w:hAnsi="Arial"/>
                <w:sz w:val="11"/>
                <w:szCs w:val="11"/>
                <w:color w:val="auto"/>
              </w:rPr>
              <w:t>QuickTurn Europe</w:t>
            </w:r>
          </w:p>
        </w:tc>
        <w:tc>
          <w:tcPr>
            <w:tcW w:w="1980" w:type="dxa"/>
            <w:vAlign w:val="bottom"/>
            <w:gridSpan w:val="2"/>
          </w:tcPr>
          <w:p>
            <w:pPr>
              <w:jc w:val="center"/>
              <w:ind w:right="100"/>
              <w:spacing w:after="0"/>
              <w:rPr>
                <w:sz w:val="20"/>
                <w:szCs w:val="20"/>
                <w:color w:val="auto"/>
              </w:rPr>
            </w:pPr>
            <w:r>
              <w:rPr>
                <w:rFonts w:ascii="Arial" w:cs="Arial" w:eastAsia="Arial" w:hAnsi="Arial"/>
                <w:sz w:val="11"/>
                <w:szCs w:val="11"/>
                <w:color w:val="auto"/>
              </w:rPr>
              <w:t>Equity method</w:t>
            </w:r>
          </w:p>
        </w:tc>
        <w:tc>
          <w:tcPr>
            <w:tcW w:w="2160" w:type="dxa"/>
            <w:vAlign w:val="bottom"/>
          </w:tcPr>
          <w:p>
            <w:pPr>
              <w:jc w:val="center"/>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1"/>
                <w:szCs w:val="11"/>
                <w:b w:val="1"/>
                <w:bCs w:val="1"/>
                <w:color w:val="auto"/>
              </w:rPr>
              <w:t>10,052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9,987</w:t>
            </w:r>
          </w:p>
        </w:tc>
      </w:tr>
      <w:tr>
        <w:trPr>
          <w:trHeight w:val="170"/>
        </w:trPr>
        <w:tc>
          <w:tcPr>
            <w:tcW w:w="3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Various</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6"/>
              </w:rPr>
              <w:t>Various</w:t>
            </w:r>
          </w:p>
        </w:tc>
        <w:tc>
          <w:tcPr>
            <w:tcW w:w="10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11,941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3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400,883</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314,156</w:t>
            </w:r>
          </w:p>
        </w:tc>
      </w:tr>
      <w:tr>
        <w:trPr>
          <w:trHeight w:val="20"/>
        </w:trPr>
        <w:tc>
          <w:tcPr>
            <w:tcW w:w="3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Company did not recognize any other-than-temporary impairments for the three and nine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Company’s proportionate share of equity in earnings (losses)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1"/>
                <w:szCs w:val="11"/>
                <w:b w:val="1"/>
                <w:bCs w:val="1"/>
                <w:color w:val="auto"/>
              </w:rPr>
              <w:t>Three Months Ended September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1"/>
                <w:szCs w:val="11"/>
                <w:b w:val="1"/>
                <w:bCs w:val="1"/>
                <w:color w:val="auto"/>
              </w:rPr>
              <w:t>Nine Months Ended September 30,</w:t>
            </w:r>
          </w:p>
        </w:tc>
      </w:tr>
      <w:tr>
        <w:trPr>
          <w:trHeight w:val="160"/>
        </w:trPr>
        <w:tc>
          <w:tcPr>
            <w:tcW w:w="48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r>
      <w:tr>
        <w:trPr>
          <w:trHeight w:val="161"/>
        </w:trPr>
        <w:tc>
          <w:tcPr>
            <w:tcW w:w="4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Advanced Engine Repair JV</w:t>
            </w:r>
          </w:p>
        </w:tc>
        <w:tc>
          <w:tcPr>
            <w:tcW w:w="1020" w:type="dxa"/>
            <w:vAlign w:val="bottom"/>
            <w:shd w:val="clear" w:color="auto" w:fill="CCEEFF"/>
          </w:tcPr>
          <w:p>
            <w:pPr>
              <w:jc w:val="right"/>
              <w:ind w:right="883"/>
              <w:spacing w:after="0"/>
              <w:rPr>
                <w:sz w:val="20"/>
                <w:szCs w:val="20"/>
                <w:color w:val="auto"/>
              </w:rPr>
            </w:pPr>
            <w:r>
              <w:rPr>
                <w:rFonts w:ascii="Arial" w:cs="Arial" w:eastAsia="Arial" w:hAnsi="Arial"/>
                <w:sz w:val="11"/>
                <w:szCs w:val="11"/>
                <w:b w:val="1"/>
                <w:bCs w:val="1"/>
                <w:color w:val="auto"/>
                <w:w w:val="97"/>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2,498</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2,281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1,576</w:t>
            </w:r>
          </w:p>
        </w:tc>
      </w:tr>
      <w:tr>
        <w:trPr>
          <w:trHeight w:val="170"/>
        </w:trPr>
        <w:tc>
          <w:tcPr>
            <w:tcW w:w="4880" w:type="dxa"/>
            <w:vAlign w:val="bottom"/>
          </w:tcPr>
          <w:p>
            <w:pPr>
              <w:ind w:left="20"/>
              <w:spacing w:after="0"/>
              <w:rPr>
                <w:sz w:val="20"/>
                <w:szCs w:val="20"/>
                <w:color w:val="auto"/>
              </w:rPr>
            </w:pPr>
            <w:r>
              <w:rPr>
                <w:rFonts w:ascii="Arial" w:cs="Arial" w:eastAsia="Arial" w:hAnsi="Arial"/>
                <w:sz w:val="11"/>
                <w:szCs w:val="11"/>
                <w:color w:val="auto"/>
              </w:rPr>
              <w:t xml:space="preserve">2025 Partnership </w:t>
            </w:r>
            <w:r>
              <w:rPr>
                <w:rFonts w:ascii="Arial" w:cs="Arial" w:eastAsia="Arial" w:hAnsi="Arial"/>
                <w:sz w:val="14"/>
                <w:szCs w:val="14"/>
                <w:color w:val="auto"/>
                <w:vertAlign w:val="superscript"/>
              </w:rPr>
              <w:t>(1)</w:t>
            </w:r>
          </w:p>
        </w:tc>
        <w:tc>
          <w:tcPr>
            <w:tcW w:w="102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b w:val="1"/>
                <w:bCs w:val="1"/>
                <w:color w:val="auto"/>
              </w:rPr>
              <w:t>23,334</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31,164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(18,436)</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2026 Partnership </w:t>
            </w:r>
            <w:r>
              <w:rPr>
                <w:rFonts w:ascii="Arial" w:cs="Arial" w:eastAsia="Arial" w:hAnsi="Arial"/>
                <w:sz w:val="14"/>
                <w:szCs w:val="14"/>
                <w:color w:val="auto"/>
                <w:vertAlign w:val="superscript"/>
              </w:rPr>
              <w:t>(1)</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(7,068)</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(7,068)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4880" w:type="dxa"/>
            <w:vAlign w:val="bottom"/>
          </w:tcPr>
          <w:p>
            <w:pPr>
              <w:ind w:left="20"/>
              <w:spacing w:after="0"/>
              <w:rPr>
                <w:sz w:val="20"/>
                <w:szCs w:val="20"/>
                <w:color w:val="auto"/>
              </w:rPr>
            </w:pPr>
            <w:r>
              <w:rPr>
                <w:rFonts w:ascii="Arial" w:cs="Arial" w:eastAsia="Arial" w:hAnsi="Arial"/>
                <w:sz w:val="11"/>
                <w:szCs w:val="11"/>
                <w:color w:val="auto"/>
              </w:rPr>
              <w:t>QuickTurn Europe</w:t>
            </w:r>
          </w:p>
        </w:tc>
        <w:tc>
          <w:tcPr>
            <w:tcW w:w="102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b w:val="1"/>
                <w:bCs w:val="1"/>
                <w:color w:val="auto"/>
              </w:rPr>
              <w:t>71</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65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(1,902)</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(1,902)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1"/>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020" w:type="dxa"/>
            <w:vAlign w:val="bottom"/>
            <w:tcBorders>
              <w:top w:val="single" w:sz="8" w:color="auto"/>
              <w:bottom w:val="single" w:sz="8" w:color="auto"/>
            </w:tcBorders>
          </w:tcPr>
          <w:p>
            <w:pPr>
              <w:jc w:val="right"/>
              <w:ind w:right="88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16,933</w:t>
            </w:r>
          </w:p>
        </w:tc>
        <w:tc>
          <w:tcPr>
            <w:tcW w:w="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(4,224)</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24,540</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(16,841)</w:t>
            </w:r>
          </w:p>
        </w:tc>
      </w:tr>
      <w:tr>
        <w:trPr>
          <w:trHeight w:val="20"/>
        </w:trPr>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(1)</w:t>
        <w:tab/>
        <w:t>Includes the profit elimination of $(5,055) and $(21,652) for the three and nine months ended September 30, 2026, respectively (2025 - $(3,908) and $(15,793), respectively), for sales to the SCI Partnerships.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Equity Method Investments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Advanced Engine Repair JV</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December 2016, the Company invested $15.0 million for a 25% interest in an advanced engine repair joint venture. This joint venture is focused on developing new cost savings programs for engine repairs.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August 2019, the Company expanded the scope of our joint venture and invested an additional $13.5 million and maintained a 25% interest. The Company exercises significant influence over this investment and accounts for this investment as an equity method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2025 Partnership</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of December 31, 2025, the Company invested $291.5 million in the 2025 Partnership. During the nine months ended September 30, 2026, the Company invested $95.1 million in the 2025 Partnership, and received $66.8 million in distributions from the 2025 Partnership. The 2025 Partnership is an investment focused on acquiring 737NG and A320ceo on-lease narrowbody aircraft, for which the Company is the Servicer and holds a 19% limited partner ownership. The unaffiliated limited partners hold substantive kick-out rights over the Company as general partner. The Company exercises significant influence over this investment and accounts for it using the equity method. As the Servicer, the Company is responsible for lessee invoicing and collections, airline relationship management, contracts management including lease extension and aircraft deliveries and redeliveries. The Company's proportionate share of equity in earnings related to this investment is based on the contractual profit-sharing arrangement and the elimination of profit on sales of engine and modules to the 2025 Partnership under ASC 606. The profit from the MRE Contract revenue - affiliate is eliminated through equity method earnings and will be recognized over time as the 2025 Partnership generates income from leasing and sales activities.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2026 Partnership</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During the three months ended September 30, 2026, the Company invested $20.0 million in the 2026 Partnership. The 2026 Partnership is an investment focused on acquiring 737NG and A320ceo on-lease narrowbody aircraft, for which the Company is the Servicer and holds a 21% limited partner ownership. The unaffiliated limited partners hold substantive kick-out rights over the Company as general partner. The Company exercises significant influence over this investment and accounts for this as an equity method investment. As the Servicer, the Company is responsible for lessee invoicing and collections, airline relationship management, contracts management including lease extension and aircraft deliveries and redeliveries. The Company's proportionate share of equity in earnings related to this investment is based on the contractual profit-sharing arrangement and the elimination of profit on sales of engine and modules to the 2026 Partnership under ASC 606. The profit from the MRE Contract revenue - affiliate is eliminated through equity method earnings and will be recognized over time as the 2026 Partnership generates income from leasing and sales activities.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i w:val="1"/>
          <w:iCs w:val="1"/>
          <w:color w:val="00497F"/>
        </w:rPr>
        <w:t>QuickTurn Europe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June 5, 2025, the Company invested $10.5 million for a 50% interest in Quick Turn Engine Center Europe S.r.l. (previously IAG Engine Center Europe S.r.l.) or “QuickTurn Europe”, a 200,000 square-foot CFM56 engine maintenance repair and overhaul facility located at the Rome Fiumicino Airport. The joint venture was established to expand the Company’s global engine maintenance capabilities and meet increasing demand for MRE services. The Company accounts for its investment in QuickTurn Europe as an equity method investment as it has significant influence through its interest.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5. INTANGIBLE ASSETS AND LIABILITIES, NET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Intangible assets and liabilities, net are summarized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60" w:type="dxa"/>
            <w:vAlign w:val="bottom"/>
          </w:tcPr>
          <w:p>
            <w:pPr>
              <w:spacing w:after="0"/>
              <w:rPr>
                <w:sz w:val="13"/>
                <w:szCs w:val="13"/>
                <w:color w:val="auto"/>
              </w:rPr>
            </w:pPr>
          </w:p>
        </w:tc>
        <w:tc>
          <w:tcPr>
            <w:tcW w:w="1860" w:type="dxa"/>
            <w:vAlign w:val="bottom"/>
            <w:gridSpan w:val="3"/>
          </w:tcPr>
          <w:p>
            <w:pPr>
              <w:ind w:left="40"/>
              <w:spacing w:after="0"/>
              <w:rPr>
                <w:sz w:val="20"/>
                <w:szCs w:val="20"/>
                <w:color w:val="auto"/>
              </w:rPr>
            </w:pPr>
            <w:r>
              <w:rPr>
                <w:rFonts w:ascii="Arial" w:cs="Arial" w:eastAsia="Arial" w:hAnsi="Arial"/>
                <w:sz w:val="11"/>
                <w:szCs w:val="11"/>
                <w:b w:val="1"/>
                <w:bCs w:val="1"/>
                <w:color w:val="auto"/>
              </w:rPr>
              <w:t>September 30, 2026 (unaudited)</w:t>
            </w:r>
          </w:p>
        </w:tc>
        <w:tc>
          <w:tcPr>
            <w:tcW w:w="220" w:type="dxa"/>
            <w:vAlign w:val="bottom"/>
          </w:tcPr>
          <w:p>
            <w:pPr>
              <w:spacing w:after="0"/>
              <w:rPr>
                <w:sz w:val="13"/>
                <w:szCs w:val="13"/>
                <w:color w:val="auto"/>
              </w:rPr>
            </w:pPr>
          </w:p>
        </w:tc>
        <w:tc>
          <w:tcPr>
            <w:tcW w:w="1540" w:type="dxa"/>
            <w:vAlign w:val="bottom"/>
          </w:tcPr>
          <w:p>
            <w:pPr>
              <w:jc w:val="right"/>
              <w:ind w:right="303"/>
              <w:spacing w:after="0"/>
              <w:rPr>
                <w:sz w:val="20"/>
                <w:szCs w:val="20"/>
                <w:color w:val="auto"/>
              </w:rPr>
            </w:pPr>
            <w:r>
              <w:rPr>
                <w:rFonts w:ascii="Arial" w:cs="Arial" w:eastAsia="Arial" w:hAnsi="Arial"/>
                <w:sz w:val="11"/>
                <w:szCs w:val="11"/>
                <w:b w:val="1"/>
                <w:bCs w:val="1"/>
                <w:color w:val="auto"/>
              </w:rPr>
              <w:t>December 31, 2025</w:t>
            </w:r>
          </w:p>
        </w:tc>
      </w:tr>
      <w:tr>
        <w:trPr>
          <w:trHeight w:val="150"/>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Intangible assets</w:t>
            </w:r>
          </w:p>
        </w:tc>
        <w:tc>
          <w:tcPr>
            <w:tcW w:w="7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70"/>
        </w:trPr>
        <w:tc>
          <w:tcPr>
            <w:tcW w:w="7660" w:type="dxa"/>
            <w:vAlign w:val="bottom"/>
          </w:tcPr>
          <w:p>
            <w:pPr>
              <w:ind w:left="20"/>
              <w:spacing w:after="0"/>
              <w:rPr>
                <w:sz w:val="20"/>
                <w:szCs w:val="20"/>
                <w:color w:val="auto"/>
              </w:rPr>
            </w:pPr>
            <w:r>
              <w:rPr>
                <w:rFonts w:ascii="Arial" w:cs="Arial" w:eastAsia="Arial" w:hAnsi="Arial"/>
                <w:sz w:val="11"/>
                <w:szCs w:val="11"/>
                <w:color w:val="auto"/>
              </w:rPr>
              <w:t>Acquired favorable lease intangibles</w:t>
            </w:r>
          </w:p>
        </w:tc>
        <w:tc>
          <w:tcPr>
            <w:tcW w:w="720" w:type="dxa"/>
            <w:vAlign w:val="bottom"/>
          </w:tcPr>
          <w:p>
            <w:pPr>
              <w:jc w:val="right"/>
              <w:ind w:right="5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3,489</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17,245</w:t>
            </w:r>
          </w:p>
        </w:tc>
      </w:tr>
      <w:tr>
        <w:trPr>
          <w:trHeight w:val="170"/>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Accumulated amortization</w:t>
            </w:r>
          </w:p>
        </w:tc>
        <w:tc>
          <w:tcPr>
            <w:tcW w:w="7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(1,496)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(8,935)</w:t>
            </w:r>
          </w:p>
        </w:tc>
      </w:tr>
      <w:tr>
        <w:trPr>
          <w:trHeight w:val="160"/>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Acquired favorable lease intangibles, net</w:t>
            </w:r>
          </w:p>
        </w:tc>
        <w:tc>
          <w:tcPr>
            <w:tcW w:w="7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1,993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8,310</w:t>
            </w:r>
          </w:p>
        </w:tc>
      </w:tr>
      <w:tr>
        <w:trPr>
          <w:trHeight w:val="170"/>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Acquired customer relationships</w:t>
            </w: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12,607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12,607</w:t>
            </w:r>
          </w:p>
        </w:tc>
      </w:tr>
      <w:tr>
        <w:trPr>
          <w:trHeight w:val="17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amortization</w:t>
            </w: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(988)</w:t>
            </w:r>
          </w:p>
        </w:tc>
      </w:tr>
      <w:tr>
        <w:trPr>
          <w:trHeight w:val="160"/>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Acquired customer relationships, net</w:t>
            </w:r>
          </w:p>
        </w:tc>
        <w:tc>
          <w:tcPr>
            <w:tcW w:w="7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10,485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11,619</w:t>
            </w:r>
          </w:p>
        </w:tc>
      </w:tr>
      <w:tr>
        <w:trPr>
          <w:trHeight w:val="161"/>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Total intangible assets, net</w:t>
            </w:r>
          </w:p>
        </w:tc>
        <w:tc>
          <w:tcPr>
            <w:tcW w:w="72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12,478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19,929</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3"/>
        </w:trPr>
        <w:tc>
          <w:tcPr>
            <w:tcW w:w="7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70"/>
        </w:trPr>
        <w:tc>
          <w:tcPr>
            <w:tcW w:w="7660" w:type="dxa"/>
            <w:vAlign w:val="bottom"/>
          </w:tcPr>
          <w:p>
            <w:pPr>
              <w:ind w:left="20"/>
              <w:spacing w:after="0"/>
              <w:rPr>
                <w:sz w:val="20"/>
                <w:szCs w:val="20"/>
                <w:color w:val="auto"/>
              </w:rPr>
            </w:pPr>
            <w:r>
              <w:rPr>
                <w:rFonts w:ascii="Arial" w:cs="Arial" w:eastAsia="Arial" w:hAnsi="Arial"/>
                <w:sz w:val="11"/>
                <w:szCs w:val="11"/>
                <w:b w:val="1"/>
                <w:bCs w:val="1"/>
                <w:color w:val="auto"/>
              </w:rPr>
              <w:t>Intangible liabilities</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Acquired unfavorable lease intangibles</w:t>
            </w:r>
          </w:p>
        </w:tc>
        <w:tc>
          <w:tcPr>
            <w:tcW w:w="720" w:type="dxa"/>
            <w:vAlign w:val="bottom"/>
            <w:shd w:val="clear" w:color="auto" w:fill="CCEEFF"/>
          </w:tcPr>
          <w:p>
            <w:pPr>
              <w:jc w:val="right"/>
              <w:ind w:right="5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5,970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7,688</w:t>
            </w:r>
          </w:p>
        </w:tc>
      </w:tr>
      <w:tr>
        <w:trPr>
          <w:trHeight w:val="17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amortization</w:t>
            </w: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(2,926)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(2,132)</w:t>
            </w:r>
          </w:p>
        </w:tc>
      </w:tr>
      <w:tr>
        <w:trPr>
          <w:trHeight w:val="18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Acquired unfavorable lease intangibles, net</w:t>
            </w:r>
          </w:p>
        </w:tc>
        <w:tc>
          <w:tcPr>
            <w:tcW w:w="72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3,044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5,556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amortization period of acquired intangible assets during the nine months ended September 30, 2026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040" w:type="dxa"/>
            <w:vAlign w:val="bottom"/>
            <w:tcBorders>
              <w:bottom w:val="single" w:sz="8" w:color="CCEEFF"/>
            </w:tcBorders>
          </w:tcPr>
          <w:p>
            <w:pPr>
              <w:spacing w:after="0"/>
              <w:rPr>
                <w:sz w:val="13"/>
                <w:szCs w:val="13"/>
                <w:color w:val="auto"/>
              </w:rPr>
            </w:pPr>
          </w:p>
        </w:tc>
        <w:tc>
          <w:tcPr>
            <w:tcW w:w="22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Weighted Average Amortization Period</w:t>
            </w:r>
          </w:p>
        </w:tc>
      </w:tr>
      <w:tr>
        <w:trPr>
          <w:trHeight w:val="161"/>
        </w:trPr>
        <w:tc>
          <w:tcPr>
            <w:tcW w:w="9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intangibles</w:t>
            </w:r>
          </w:p>
        </w:tc>
        <w:tc>
          <w:tcPr>
            <w:tcW w:w="2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 years</w:t>
            </w:r>
          </w:p>
        </w:tc>
      </w:tr>
      <w:tr>
        <w:trPr>
          <w:trHeight w:val="167"/>
        </w:trPr>
        <w:tc>
          <w:tcPr>
            <w:tcW w:w="9040" w:type="dxa"/>
            <w:vAlign w:val="bottom"/>
          </w:tcPr>
          <w:p>
            <w:pPr>
              <w:ind w:left="20"/>
              <w:spacing w:after="0"/>
              <w:rPr>
                <w:sz w:val="20"/>
                <w:szCs w:val="20"/>
                <w:color w:val="auto"/>
              </w:rPr>
            </w:pPr>
            <w:r>
              <w:rPr>
                <w:rFonts w:ascii="Arial" w:cs="Arial" w:eastAsia="Arial" w:hAnsi="Arial"/>
                <w:sz w:val="11"/>
                <w:szCs w:val="11"/>
                <w:color w:val="auto"/>
              </w:rPr>
              <w:t>Customer relationships</w:t>
            </w:r>
          </w:p>
        </w:tc>
        <w:tc>
          <w:tcPr>
            <w:tcW w:w="2240" w:type="dxa"/>
            <w:vAlign w:val="bottom"/>
          </w:tcPr>
          <w:p>
            <w:pPr>
              <w:jc w:val="right"/>
              <w:spacing w:after="0"/>
              <w:rPr>
                <w:sz w:val="20"/>
                <w:szCs w:val="20"/>
                <w:color w:val="auto"/>
              </w:rPr>
            </w:pPr>
            <w:r>
              <w:rPr>
                <w:rFonts w:ascii="Arial" w:cs="Arial" w:eastAsia="Arial" w:hAnsi="Arial"/>
                <w:sz w:val="11"/>
                <w:szCs w:val="11"/>
                <w:color w:val="auto"/>
              </w:rPr>
              <w:t>10.1 years</w:t>
            </w:r>
          </w:p>
        </w:tc>
      </w:tr>
      <w:tr>
        <w:trPr>
          <w:trHeight w:val="173"/>
        </w:trPr>
        <w:tc>
          <w:tcPr>
            <w:tcW w:w="9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intangible assets</w:t>
            </w:r>
          </w:p>
        </w:tc>
        <w:tc>
          <w:tcPr>
            <w:tcW w:w="2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 years</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Intangible liabilities relate to unfavorable lease intangibles and are included as a component of other non-current liabilities.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Amortization of intangible assets and liabilities is recorded as follows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1"/>
                <w:szCs w:val="11"/>
                <w:b w:val="1"/>
                <w:bCs w:val="1"/>
                <w:color w:val="auto"/>
              </w:rPr>
              <w:t>Three Months Ended September 30,</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1"/>
                <w:szCs w:val="11"/>
                <w:b w:val="1"/>
                <w:bCs w:val="1"/>
                <w:color w:val="auto"/>
              </w:rPr>
              <w:t>Nine Months Ended September 30,</w:t>
            </w:r>
          </w:p>
        </w:tc>
      </w:tr>
      <w:tr>
        <w:trPr>
          <w:trHeight w:val="182"/>
        </w:trPr>
        <w:tc>
          <w:tcPr>
            <w:tcW w:w="2560" w:type="dxa"/>
            <w:vAlign w:val="bottom"/>
            <w:tcBorders>
              <w:bottom w:val="single" w:sz="8" w:color="CCEEFF"/>
            </w:tcBorders>
          </w:tcPr>
          <w:p>
            <w:pPr>
              <w:spacing w:after="0"/>
              <w:rPr>
                <w:sz w:val="15"/>
                <w:szCs w:val="15"/>
                <w:color w:val="auto"/>
              </w:rPr>
            </w:pPr>
          </w:p>
        </w:tc>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Classification in Consolidated Statements of Operations</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2026</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2025</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2025</w:t>
            </w:r>
          </w:p>
        </w:tc>
      </w:tr>
      <w:tr>
        <w:trPr>
          <w:trHeight w:val="161"/>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intangibles</w:t>
            </w: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Lease income</w:t>
            </w: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1"/>
                <w:szCs w:val="11"/>
                <w:b w:val="1"/>
                <w:bCs w:val="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(242)</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3"/>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5,893</w:t>
            </w:r>
          </w:p>
        </w:tc>
      </w:tr>
      <w:tr>
        <w:trPr>
          <w:trHeight w:val="17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Depreciation and amortization</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373</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1,130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w:t>
            </w:r>
          </w:p>
        </w:tc>
      </w:tr>
      <w:tr>
        <w:trPr>
          <w:trHeight w:val="18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3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131</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629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1,136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6,207</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As of September 30, 2026, estimated net annual amortization of intangibles is as follows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2026</w:t>
            </w:r>
          </w:p>
        </w:tc>
        <w:tc>
          <w:tcPr>
            <w:tcW w:w="760" w:type="dxa"/>
            <w:vAlign w:val="bottom"/>
            <w:shd w:val="clear" w:color="auto" w:fill="CCEEFF"/>
          </w:tcPr>
          <w:p>
            <w:pPr>
              <w:jc w:val="right"/>
              <w:ind w:right="62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r>
      <w:tr>
        <w:trPr>
          <w:trHeight w:val="167"/>
        </w:trPr>
        <w:tc>
          <w:tcPr>
            <w:tcW w:w="9520" w:type="dxa"/>
            <w:vAlign w:val="bottom"/>
          </w:tcPr>
          <w:p>
            <w:pPr>
              <w:ind w:left="20"/>
              <w:spacing w:after="0"/>
              <w:rPr>
                <w:sz w:val="20"/>
                <w:szCs w:val="20"/>
                <w:color w:val="auto"/>
              </w:rPr>
            </w:pPr>
            <w:r>
              <w:rPr>
                <w:rFonts w:ascii="Arial" w:cs="Arial" w:eastAsia="Arial" w:hAnsi="Arial"/>
                <w:sz w:val="11"/>
                <w:szCs w:val="11"/>
                <w:color w:val="auto"/>
              </w:rPr>
              <w:t>2027</w:t>
            </w:r>
          </w:p>
        </w:tc>
        <w:tc>
          <w:tcPr>
            <w:tcW w:w="7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657</w:t>
            </w:r>
          </w:p>
        </w:tc>
      </w:tr>
      <w:tr>
        <w:trPr>
          <w:trHeight w:val="173"/>
        </w:trPr>
        <w:tc>
          <w:tcPr>
            <w:tcW w:w="9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1,290</w:t>
            </w:r>
          </w:p>
        </w:tc>
      </w:tr>
      <w:tr>
        <w:trPr>
          <w:trHeight w:val="167"/>
        </w:trPr>
        <w:tc>
          <w:tcPr>
            <w:tcW w:w="9520" w:type="dxa"/>
            <w:vAlign w:val="bottom"/>
          </w:tcPr>
          <w:p>
            <w:pPr>
              <w:ind w:left="20"/>
              <w:spacing w:after="0"/>
              <w:rPr>
                <w:sz w:val="20"/>
                <w:szCs w:val="20"/>
                <w:color w:val="auto"/>
              </w:rPr>
            </w:pPr>
            <w:r>
              <w:rPr>
                <w:rFonts w:ascii="Arial" w:cs="Arial" w:eastAsia="Arial" w:hAnsi="Arial"/>
                <w:sz w:val="11"/>
                <w:szCs w:val="11"/>
                <w:color w:val="auto"/>
              </w:rPr>
              <w:t>2029</w:t>
            </w:r>
          </w:p>
        </w:tc>
        <w:tc>
          <w:tcPr>
            <w:tcW w:w="7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1,273</w:t>
            </w:r>
          </w:p>
        </w:tc>
      </w:tr>
      <w:tr>
        <w:trPr>
          <w:trHeight w:val="173"/>
        </w:trPr>
        <w:tc>
          <w:tcPr>
            <w:tcW w:w="9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2030</w:t>
            </w: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w:t>
            </w:r>
          </w:p>
        </w:tc>
      </w:tr>
      <w:tr>
        <w:trPr>
          <w:trHeight w:val="167"/>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4,871</w:t>
            </w:r>
          </w:p>
        </w:tc>
      </w:tr>
      <w:tr>
        <w:trPr>
          <w:trHeight w:val="189"/>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76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9,434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6. DEBT, NET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Company’s debt, net is summarized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2"/>
          </w:tcPr>
          <w:p>
            <w:pPr>
              <w:ind w:left="500"/>
              <w:spacing w:after="0"/>
              <w:rPr>
                <w:sz w:val="20"/>
                <w:szCs w:val="20"/>
                <w:color w:val="auto"/>
              </w:rPr>
            </w:pPr>
            <w:r>
              <w:rPr>
                <w:rFonts w:ascii="Arial" w:cs="Arial" w:eastAsia="Arial" w:hAnsi="Arial"/>
                <w:sz w:val="11"/>
                <w:szCs w:val="11"/>
                <w:b w:val="1"/>
                <w:bCs w:val="1"/>
                <w:color w:val="auto"/>
              </w:rPr>
              <w:t>September 30, 2026 (unaudited)</w:t>
            </w:r>
          </w:p>
        </w:tc>
        <w:tc>
          <w:tcPr>
            <w:tcW w:w="1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December 31, 2025</w:t>
            </w:r>
          </w:p>
        </w:tc>
      </w:tr>
      <w:tr>
        <w:trPr>
          <w:trHeight w:val="160"/>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right"/>
              <w:ind w:right="163"/>
              <w:spacing w:after="0"/>
              <w:rPr>
                <w:sz w:val="20"/>
                <w:szCs w:val="20"/>
                <w:color w:val="auto"/>
              </w:rPr>
            </w:pPr>
            <w:r>
              <w:rPr>
                <w:rFonts w:ascii="Arial" w:cs="Arial" w:eastAsia="Arial" w:hAnsi="Arial"/>
                <w:sz w:val="11"/>
                <w:szCs w:val="11"/>
                <w:b w:val="1"/>
                <w:bCs w:val="1"/>
                <w:color w:val="auto"/>
              </w:rPr>
              <w:t>Outstanding Borrowings</w:t>
            </w:r>
          </w:p>
        </w:tc>
        <w:tc>
          <w:tcPr>
            <w:tcW w:w="80" w:type="dxa"/>
            <w:vAlign w:val="bottom"/>
          </w:tcPr>
          <w:p>
            <w:pPr>
              <w:spacing w:after="0"/>
              <w:rPr>
                <w:sz w:val="13"/>
                <w:szCs w:val="13"/>
                <w:color w:val="auto"/>
              </w:rPr>
            </w:pPr>
          </w:p>
        </w:tc>
        <w:tc>
          <w:tcPr>
            <w:tcW w:w="32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Stated Interest Rate</w:t>
            </w:r>
          </w:p>
        </w:tc>
        <w:tc>
          <w:tcPr>
            <w:tcW w:w="1400" w:type="dxa"/>
            <w:vAlign w:val="bottom"/>
            <w:gridSpan w:val="2"/>
          </w:tcPr>
          <w:p>
            <w:pPr>
              <w:ind w:left="300"/>
              <w:spacing w:after="0"/>
              <w:rPr>
                <w:sz w:val="20"/>
                <w:szCs w:val="20"/>
                <w:color w:val="auto"/>
              </w:rPr>
            </w:pPr>
            <w:r>
              <w:rPr>
                <w:rFonts w:ascii="Arial" w:cs="Arial" w:eastAsia="Arial" w:hAnsi="Arial"/>
                <w:sz w:val="11"/>
                <w:szCs w:val="11"/>
                <w:b w:val="1"/>
                <w:bCs w:val="1"/>
                <w:color w:val="auto"/>
              </w:rPr>
              <w:t>Maturity Date</w:t>
            </w:r>
          </w:p>
        </w:tc>
        <w:tc>
          <w:tcPr>
            <w:tcW w:w="140" w:type="dxa"/>
            <w:vAlign w:val="bottom"/>
          </w:tcPr>
          <w:p>
            <w:pPr>
              <w:spacing w:after="0"/>
              <w:rPr>
                <w:sz w:val="13"/>
                <w:szCs w:val="13"/>
                <w:color w:val="auto"/>
              </w:rPr>
            </w:pPr>
          </w:p>
        </w:tc>
        <w:tc>
          <w:tcPr>
            <w:tcW w:w="1620" w:type="dxa"/>
            <w:vAlign w:val="bottom"/>
          </w:tcPr>
          <w:p>
            <w:pPr>
              <w:jc w:val="right"/>
              <w:ind w:right="163"/>
              <w:spacing w:after="0"/>
              <w:rPr>
                <w:sz w:val="20"/>
                <w:szCs w:val="20"/>
                <w:color w:val="auto"/>
              </w:rPr>
            </w:pPr>
            <w:r>
              <w:rPr>
                <w:rFonts w:ascii="Arial" w:cs="Arial" w:eastAsia="Arial" w:hAnsi="Arial"/>
                <w:sz w:val="11"/>
                <w:szCs w:val="11"/>
                <w:b w:val="1"/>
                <w:bCs w:val="1"/>
                <w:color w:val="auto"/>
              </w:rPr>
              <w:t>Outstanding Borrowings</w:t>
            </w:r>
          </w:p>
        </w:tc>
      </w:tr>
      <w:tr>
        <w:trPr>
          <w:trHeight w:val="15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Loans payable</w:t>
            </w:r>
          </w:p>
        </w:tc>
        <w:tc>
          <w:tcPr>
            <w:tcW w:w="16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r>
      <w:tr>
        <w:trPr>
          <w:trHeight w:val="163"/>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2"/>
          </w:tcPr>
          <w:p>
            <w:pPr>
              <w:jc w:val="center"/>
              <w:ind w:right="80"/>
              <w:spacing w:after="0"/>
              <w:rPr>
                <w:sz w:val="20"/>
                <w:szCs w:val="20"/>
                <w:color w:val="auto"/>
              </w:rPr>
            </w:pPr>
            <w:r>
              <w:rPr>
                <w:rFonts w:ascii="Arial" w:cs="Arial" w:eastAsia="Arial" w:hAnsi="Arial"/>
                <w:sz w:val="11"/>
                <w:szCs w:val="11"/>
                <w:color w:val="auto"/>
              </w:rPr>
              <w:t>(i) Base Rate + 0.25% - 1.00%; or</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5"/>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 xml:space="preserve">Revolving Credit Facility </w:t>
            </w:r>
            <w:r>
              <w:rPr>
                <w:rFonts w:ascii="Arial" w:cs="Arial" w:eastAsia="Arial" w:hAnsi="Arial"/>
                <w:sz w:val="7"/>
                <w:szCs w:val="7"/>
                <w:color w:val="auto"/>
              </w:rPr>
              <w:t>(1)</w:t>
            </w: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1"/>
                <w:szCs w:val="11"/>
                <w:color w:val="auto"/>
              </w:rPr>
              <w:t>(ii) Adjusted Term SOFR Rate + 1.25% - 2.00%</w:t>
            </w: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4/24/31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1"/>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loans payable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3040" w:type="dxa"/>
            <w:vAlign w:val="bottom"/>
          </w:tcPr>
          <w:p>
            <w:pPr>
              <w:ind w:left="20"/>
              <w:spacing w:after="0"/>
              <w:rPr>
                <w:sz w:val="20"/>
                <w:szCs w:val="20"/>
                <w:color w:val="auto"/>
              </w:rPr>
            </w:pPr>
            <w:r>
              <w:rPr>
                <w:rFonts w:ascii="Arial" w:cs="Arial" w:eastAsia="Arial" w:hAnsi="Arial"/>
                <w:sz w:val="11"/>
                <w:szCs w:val="11"/>
                <w:b w:val="1"/>
                <w:bCs w:val="1"/>
                <w:color w:val="auto"/>
              </w:rPr>
              <w:t>Bonds payable</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Senior Notes due 2028 </w:t>
            </w:r>
            <w:r>
              <w:rPr>
                <w:rFonts w:ascii="Arial" w:cs="Arial" w:eastAsia="Arial" w:hAnsi="Arial"/>
                <w:sz w:val="7"/>
                <w:szCs w:val="7"/>
                <w:color w:val="auto"/>
              </w:rPr>
              <w:t>(2)</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1,000,690</w:t>
            </w:r>
          </w:p>
        </w:tc>
        <w:tc>
          <w:tcPr>
            <w:tcW w:w="322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5.50%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5/1/28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1,000,995</w:t>
            </w:r>
          </w:p>
        </w:tc>
      </w:tr>
      <w:tr>
        <w:trPr>
          <w:trHeight w:val="191"/>
        </w:trPr>
        <w:tc>
          <w:tcPr>
            <w:tcW w:w="3040" w:type="dxa"/>
            <w:vAlign w:val="bottom"/>
          </w:tcPr>
          <w:p>
            <w:pPr>
              <w:ind w:left="20"/>
              <w:spacing w:after="0"/>
              <w:rPr>
                <w:sz w:val="20"/>
                <w:szCs w:val="20"/>
                <w:color w:val="auto"/>
              </w:rPr>
            </w:pPr>
            <w:r>
              <w:rPr>
                <w:rFonts w:ascii="Arial" w:cs="Arial" w:eastAsia="Arial" w:hAnsi="Arial"/>
                <w:sz w:val="11"/>
                <w:szCs w:val="11"/>
                <w:color w:val="auto"/>
              </w:rPr>
              <w:t xml:space="preserve">Senior Notes due 2030 </w:t>
            </w:r>
            <w:r>
              <w:rPr>
                <w:rFonts w:ascii="Arial" w:cs="Arial" w:eastAsia="Arial" w:hAnsi="Arial"/>
                <w:sz w:val="7"/>
                <w:szCs w:val="7"/>
                <w:color w:val="auto"/>
              </w:rPr>
              <w:t>(3)</w:t>
            </w:r>
          </w:p>
        </w:tc>
        <w:tc>
          <w:tcPr>
            <w:tcW w:w="160" w:type="dxa"/>
            <w:vAlign w:val="bottom"/>
          </w:tcPr>
          <w:p>
            <w:pPr>
              <w:spacing w:after="0"/>
              <w:rPr>
                <w:sz w:val="16"/>
                <w:szCs w:val="16"/>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497,792</w:t>
            </w:r>
          </w:p>
        </w:tc>
        <w:tc>
          <w:tcPr>
            <w:tcW w:w="3220" w:type="dxa"/>
            <w:vAlign w:val="bottom"/>
            <w:gridSpan w:val="2"/>
          </w:tcPr>
          <w:p>
            <w:pPr>
              <w:jc w:val="center"/>
              <w:ind w:left="3"/>
              <w:spacing w:after="0"/>
              <w:rPr>
                <w:sz w:val="20"/>
                <w:szCs w:val="20"/>
                <w:color w:val="auto"/>
              </w:rPr>
            </w:pPr>
            <w:r>
              <w:rPr>
                <w:rFonts w:ascii="Arial" w:cs="Arial" w:eastAsia="Arial" w:hAnsi="Arial"/>
                <w:sz w:val="11"/>
                <w:szCs w:val="11"/>
                <w:color w:val="auto"/>
              </w:rPr>
              <w:t>7.88%</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7"/>
              </w:rPr>
              <w:t>12/1/30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497,470</w:t>
            </w: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2031</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700,000</w:t>
            </w:r>
          </w:p>
        </w:tc>
        <w:tc>
          <w:tcPr>
            <w:tcW w:w="322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7.00%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5/1/31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700,000</w:t>
            </w:r>
          </w:p>
        </w:tc>
      </w:tr>
      <w:tr>
        <w:trPr>
          <w:trHeight w:val="191"/>
        </w:trPr>
        <w:tc>
          <w:tcPr>
            <w:tcW w:w="3040" w:type="dxa"/>
            <w:vAlign w:val="bottom"/>
          </w:tcPr>
          <w:p>
            <w:pPr>
              <w:ind w:left="20"/>
              <w:spacing w:after="0"/>
              <w:rPr>
                <w:sz w:val="20"/>
                <w:szCs w:val="20"/>
                <w:color w:val="auto"/>
              </w:rPr>
            </w:pPr>
            <w:r>
              <w:rPr>
                <w:rFonts w:ascii="Arial" w:cs="Arial" w:eastAsia="Arial" w:hAnsi="Arial"/>
                <w:sz w:val="11"/>
                <w:szCs w:val="11"/>
                <w:color w:val="auto"/>
              </w:rPr>
              <w:t>Senior Notes due 2032</w:t>
            </w:r>
          </w:p>
        </w:tc>
        <w:tc>
          <w:tcPr>
            <w:tcW w:w="160" w:type="dxa"/>
            <w:vAlign w:val="bottom"/>
          </w:tcPr>
          <w:p>
            <w:pPr>
              <w:spacing w:after="0"/>
              <w:rPr>
                <w:sz w:val="16"/>
                <w:szCs w:val="16"/>
                <w:color w:val="auto"/>
              </w:rPr>
            </w:pPr>
          </w:p>
        </w:tc>
        <w:tc>
          <w:tcPr>
            <w:tcW w:w="1620" w:type="dxa"/>
            <w:vAlign w:val="bottom"/>
          </w:tcPr>
          <w:p>
            <w:pPr>
              <w:jc w:val="right"/>
              <w:ind w:right="3"/>
              <w:spacing w:after="0"/>
              <w:rPr>
                <w:sz w:val="20"/>
                <w:szCs w:val="20"/>
                <w:color w:val="auto"/>
              </w:rPr>
            </w:pPr>
            <w:r>
              <w:rPr>
                <w:rFonts w:ascii="Arial" w:cs="Arial" w:eastAsia="Arial" w:hAnsi="Arial"/>
                <w:sz w:val="11"/>
                <w:szCs w:val="11"/>
                <w:b w:val="1"/>
                <w:bCs w:val="1"/>
                <w:color w:val="auto"/>
              </w:rPr>
              <w:t>800,000</w:t>
            </w:r>
          </w:p>
        </w:tc>
        <w:tc>
          <w:tcPr>
            <w:tcW w:w="3220" w:type="dxa"/>
            <w:vAlign w:val="bottom"/>
            <w:gridSpan w:val="2"/>
          </w:tcPr>
          <w:p>
            <w:pPr>
              <w:jc w:val="center"/>
              <w:ind w:left="3"/>
              <w:spacing w:after="0"/>
              <w:rPr>
                <w:sz w:val="20"/>
                <w:szCs w:val="20"/>
                <w:color w:val="auto"/>
              </w:rPr>
            </w:pPr>
            <w:r>
              <w:rPr>
                <w:rFonts w:ascii="Arial" w:cs="Arial" w:eastAsia="Arial" w:hAnsi="Arial"/>
                <w:sz w:val="11"/>
                <w:szCs w:val="11"/>
                <w:color w:val="auto"/>
              </w:rPr>
              <w:t>7.00%</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7"/>
              </w:rPr>
              <w:t>6/15/32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800,000</w:t>
            </w: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Senior Notes due 2033 </w:t>
            </w:r>
            <w:r>
              <w:rPr>
                <w:rFonts w:ascii="Arial" w:cs="Arial" w:eastAsia="Arial" w:hAnsi="Arial"/>
                <w:sz w:val="7"/>
                <w:szCs w:val="7"/>
                <w:color w:val="auto"/>
              </w:rPr>
              <w:t>(4)</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497,968</w:t>
            </w:r>
          </w:p>
        </w:tc>
        <w:tc>
          <w:tcPr>
            <w:tcW w:w="322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5.88%</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4/15/33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497,784</w:t>
            </w:r>
          </w:p>
        </w:tc>
      </w:tr>
      <w:tr>
        <w:trPr>
          <w:trHeight w:val="16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bonds payable</w:t>
            </w: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3,496,450</w:t>
            </w:r>
          </w:p>
        </w:tc>
        <w:tc>
          <w:tcPr>
            <w:tcW w:w="8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3,496,249</w:t>
            </w:r>
          </w:p>
        </w:tc>
      </w:tr>
      <w:tr>
        <w:trPr>
          <w:trHeight w:val="161"/>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Debt</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3,496,450</w:t>
            </w: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3,496,249</w:t>
            </w:r>
          </w:p>
        </w:tc>
      </w:tr>
      <w:tr>
        <w:trPr>
          <w:trHeight w:val="17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Debt issuance costs</w:t>
            </w: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(40,935)</w:t>
            </w:r>
          </w:p>
        </w:tc>
        <w:tc>
          <w:tcPr>
            <w:tcW w:w="8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(47,358)</w:t>
            </w:r>
          </w:p>
        </w:tc>
      </w:tr>
      <w:tr>
        <w:trPr>
          <w:trHeight w:val="18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debt, net</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3,455,515</w:t>
            </w:r>
          </w:p>
        </w:tc>
        <w:tc>
          <w:tcPr>
            <w:tcW w:w="8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3,448,891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95"/>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debt due within one year</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8"/>
        </w:numPr>
        <w:rPr>
          <w:rFonts w:ascii="Arial" w:cs="Arial" w:eastAsia="Arial" w:hAnsi="Arial"/>
          <w:sz w:val="11"/>
          <w:szCs w:val="11"/>
          <w:color w:val="auto"/>
        </w:rPr>
      </w:pPr>
      <w:r>
        <w:rPr>
          <w:rFonts w:ascii="Arial" w:cs="Arial" w:eastAsia="Arial" w:hAnsi="Arial"/>
          <w:sz w:val="11"/>
          <w:szCs w:val="11"/>
          <w:color w:val="auto"/>
        </w:rPr>
        <w:t>Requires a quarterly commitment fee at a rate of 0.15% - 0.30% on the average daily unused portion, as well as customary letter of credit fees and agency fees. Both the quarterly commitment fee and the margin for the Base Rate and Adjusted Term SOFR Rate are based upon the debt to EBITDA ratio as of the end of the most recent fiscal quarter.</w:t>
      </w:r>
    </w:p>
    <w:p>
      <w:pPr>
        <w:spacing w:after="0" w:line="41" w:lineRule="exact"/>
        <w:rPr>
          <w:rFonts w:ascii="Arial" w:cs="Arial" w:eastAsia="Arial" w:hAnsi="Arial"/>
          <w:sz w:val="11"/>
          <w:szCs w:val="11"/>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an unamortized premium of $690 at September 30, 2026 (December 31, 2025 - $995).</w:t>
      </w:r>
    </w:p>
    <w:p>
      <w:pPr>
        <w:spacing w:after="0" w:line="85" w:lineRule="exact"/>
        <w:rPr>
          <w:rFonts w:ascii="Arial" w:cs="Arial" w:eastAsia="Arial" w:hAnsi="Arial"/>
          <w:sz w:val="11"/>
          <w:szCs w:val="11"/>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an unamortized discount of $2,208 at September 30, 2026 (December 31, 2025 - $2,530).</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an unamortized discount of $2,032 at September 30, 2026 (December 31, 2025 - $2,216).</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The Company was in compliance with all debt covenants as of September 30, 2026.</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Revolving Credit Facility</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April 24, 2026, the Company amended and restated its Revolving Credit Facility by executing a Fourth Amended and Restated Credit Agreement (the “Revolver Amendment”). The Revolver Amendment provides for revolving loans to be made available to the Company in an aggregate principal amount of up to $2.025 billion, of which up to $50.0 million may be utilized for the issuance of letters of credit.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7. FAIR VALUE MEASUREMENTS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61"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Level 1: Observable inputs such as quoted prices in active markets for identical assets or liabilities.</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Level 2: Inputs other than quoted prices included within Level 1 that are observable, either directly or indirectly, such as quoted prices for similar assets or liabilities or market corroborated inputs.</w:t>
      </w:r>
    </w:p>
    <w:p>
      <w:pPr>
        <w:spacing w:after="0" w:line="40" w:lineRule="exact"/>
        <w:rPr>
          <w:rFonts w:ascii="Arial" w:cs="Arial" w:eastAsia="Arial" w:hAnsi="Arial"/>
          <w:sz w:val="13"/>
          <w:szCs w:val="13"/>
          <w:color w:val="auto"/>
        </w:rPr>
      </w:pPr>
    </w:p>
    <w:p>
      <w:pPr>
        <w:ind w:firstLine="260"/>
        <w:spacing w:after="0" w:line="383" w:lineRule="auto"/>
        <w:tabs>
          <w:tab w:leader="none" w:pos="501" w:val="left"/>
        </w:tabs>
        <w:numPr>
          <w:ilvl w:val="0"/>
          <w:numId w:val="9"/>
        </w:numPr>
        <w:rPr>
          <w:rFonts w:ascii="Arial" w:cs="Arial" w:eastAsia="Arial" w:hAnsi="Arial"/>
          <w:sz w:val="13"/>
          <w:szCs w:val="13"/>
          <w:color w:val="auto"/>
        </w:rPr>
      </w:pPr>
      <w:r>
        <w:rPr>
          <w:rFonts w:ascii="Arial" w:cs="Arial" w:eastAsia="Arial" w:hAnsi="Arial"/>
          <w:sz w:val="13"/>
          <w:szCs w:val="13"/>
          <w:color w:val="auto"/>
        </w:rPr>
        <w:t>Level 3: Unobservable inputs for which there is little or no market data and which require the Company to develop its own assumptions about how market participants price the asset or liability. The valuation techniques that may be used to measure fair value are as follows:</w:t>
      </w: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Market approach—Uses prices and other relevant information generated by market transactions involving identical or comparable assets or liabilities.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Income approach—Uses valuation techniques to convert future amounts to a single present amount based on current market expectations about those future amounts.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Cost approach—Based on the amount that currently would be required to replace the service capacity of an asset (replacement cost).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Company’s cash and cash equivalents and restricted cash consist largely of demand deposit accounts with maturities of 90 days or less when purchased that are considered to be highly liquid.</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These instruments are valued using inputs observable in active markets for identical instruments and are therefore classified as Level 1 within the fair value hierarchy.</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Except as discussed below, the Company’s financial instruments other than cash and cash equivalents and restricted cash consist principally of accounts receivable, notes receivable, accounts payable and accrued liabilities,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The fair values of the Company’s bonds payable are presented in the table below and classified as Level 2 within the fair value hierarchy: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tcPr>
          <w:p>
            <w:pPr>
              <w:spacing w:after="0"/>
              <w:rPr>
                <w:sz w:val="20"/>
                <w:szCs w:val="20"/>
                <w:color w:val="auto"/>
              </w:rPr>
            </w:pPr>
            <w:r>
              <w:rPr>
                <w:rFonts w:ascii="Arial" w:cs="Arial" w:eastAsia="Arial" w:hAnsi="Arial"/>
                <w:sz w:val="11"/>
                <w:szCs w:val="11"/>
                <w:b w:val="1"/>
                <w:bCs w:val="1"/>
                <w:color w:val="auto"/>
              </w:rPr>
              <w:t>September 30, 2026 (unaudited)</w:t>
            </w:r>
          </w:p>
        </w:tc>
        <w:tc>
          <w:tcPr>
            <w:tcW w:w="260" w:type="dxa"/>
            <w:vAlign w:val="bottom"/>
          </w:tcPr>
          <w:p>
            <w:pPr>
              <w:spacing w:after="0"/>
              <w:rPr>
                <w:sz w:val="13"/>
                <w:szCs w:val="13"/>
                <w:color w:val="auto"/>
              </w:rPr>
            </w:pPr>
          </w:p>
        </w:tc>
        <w:tc>
          <w:tcPr>
            <w:tcW w:w="1640" w:type="dxa"/>
            <w:vAlign w:val="bottom"/>
          </w:tcPr>
          <w:p>
            <w:pPr>
              <w:jc w:val="right"/>
              <w:ind w:right="383"/>
              <w:spacing w:after="0"/>
              <w:rPr>
                <w:sz w:val="20"/>
                <w:szCs w:val="20"/>
                <w:color w:val="auto"/>
              </w:rPr>
            </w:pPr>
            <w:r>
              <w:rPr>
                <w:rFonts w:ascii="Arial" w:cs="Arial" w:eastAsia="Arial" w:hAnsi="Arial"/>
                <w:sz w:val="11"/>
                <w:szCs w:val="11"/>
                <w:b w:val="1"/>
                <w:bCs w:val="1"/>
                <w:color w:val="auto"/>
              </w:rPr>
              <w:t>December 31, 2025</w:t>
            </w:r>
          </w:p>
        </w:tc>
      </w:tr>
      <w:tr>
        <w:trPr>
          <w:trHeight w:val="161"/>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Senior Notes due 2028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988,980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1,001,880</w:t>
            </w:r>
          </w:p>
        </w:tc>
      </w:tr>
      <w:tr>
        <w:trPr>
          <w:trHeight w:val="170"/>
        </w:trPr>
        <w:tc>
          <w:tcPr>
            <w:tcW w:w="7380" w:type="dxa"/>
            <w:vAlign w:val="bottom"/>
          </w:tcPr>
          <w:p>
            <w:pPr>
              <w:ind w:left="20"/>
              <w:spacing w:after="0"/>
              <w:rPr>
                <w:sz w:val="20"/>
                <w:szCs w:val="20"/>
                <w:color w:val="auto"/>
              </w:rPr>
            </w:pPr>
            <w:r>
              <w:rPr>
                <w:rFonts w:ascii="Arial" w:cs="Arial" w:eastAsia="Arial" w:hAnsi="Arial"/>
                <w:sz w:val="11"/>
                <w:szCs w:val="11"/>
                <w:color w:val="auto"/>
              </w:rPr>
              <w:t>Senior Notes due 2030</w:t>
            </w:r>
          </w:p>
        </w:tc>
        <w:tc>
          <w:tcPr>
            <w:tcW w:w="1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1"/>
                <w:szCs w:val="11"/>
                <w:b w:val="1"/>
                <w:bCs w:val="1"/>
                <w:color w:val="auto"/>
              </w:rPr>
              <w:t>509,100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531,735</w:t>
            </w:r>
          </w:p>
        </w:tc>
      </w:tr>
      <w:tr>
        <w:trPr>
          <w:trHeight w:val="170"/>
        </w:trPr>
        <w:tc>
          <w:tcPr>
            <w:tcW w:w="7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2031</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698,159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737,618</w:t>
            </w:r>
          </w:p>
        </w:tc>
      </w:tr>
      <w:tr>
        <w:trPr>
          <w:trHeight w:val="170"/>
        </w:trPr>
        <w:tc>
          <w:tcPr>
            <w:tcW w:w="7380" w:type="dxa"/>
            <w:vAlign w:val="bottom"/>
          </w:tcPr>
          <w:p>
            <w:pPr>
              <w:ind w:left="20"/>
              <w:spacing w:after="0"/>
              <w:rPr>
                <w:sz w:val="20"/>
                <w:szCs w:val="20"/>
                <w:color w:val="auto"/>
              </w:rPr>
            </w:pPr>
            <w:r>
              <w:rPr>
                <w:rFonts w:ascii="Arial" w:cs="Arial" w:eastAsia="Arial" w:hAnsi="Arial"/>
                <w:sz w:val="11"/>
                <w:szCs w:val="11"/>
                <w:color w:val="auto"/>
              </w:rPr>
              <w:t>Senior Notes due 2032</w:t>
            </w:r>
          </w:p>
        </w:tc>
        <w:tc>
          <w:tcPr>
            <w:tcW w:w="1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1"/>
                <w:szCs w:val="11"/>
                <w:b w:val="1"/>
                <w:bCs w:val="1"/>
                <w:color w:val="auto"/>
              </w:rPr>
              <w:t>792,136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842,240</w:t>
            </w:r>
          </w:p>
        </w:tc>
      </w:tr>
      <w:tr>
        <w:trPr>
          <w:trHeight w:val="170"/>
        </w:trPr>
        <w:tc>
          <w:tcPr>
            <w:tcW w:w="7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 due 2033</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471,990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508,525</w:t>
            </w:r>
          </w:p>
        </w:tc>
      </w:tr>
    </w:tbl>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The Company has contingent obligations under ASC 460, </w:t>
      </w:r>
      <w:r>
        <w:rPr>
          <w:rFonts w:ascii="Arial" w:cs="Arial" w:eastAsia="Arial" w:hAnsi="Arial"/>
          <w:sz w:val="13"/>
          <w:szCs w:val="13"/>
          <w:i w:val="1"/>
          <w:iCs w:val="1"/>
          <w:color w:val="auto"/>
        </w:rPr>
        <w:t>Guarantees</w:t>
      </w:r>
      <w:r>
        <w:rPr>
          <w:rFonts w:ascii="Arial" w:cs="Arial" w:eastAsia="Arial" w:hAnsi="Arial"/>
          <w:sz w:val="13"/>
          <w:szCs w:val="13"/>
          <w:color w:val="auto"/>
        </w:rPr>
        <w:t>, in connection with certain sales of aircraft on lease, which are measured at fair value. The guarantees are valued at $13.3 million as of September 30, 2026 (December 31, 2025 - $12.0 million), and are reflected as a component of other non-current liabilities. The fair values of the guarantees are determined based on the estimated condition of the engines at the end of each lease term and the estimated cost of replacement and applicable discount rates and are classified as Level 3. During the three and nine months ended September 30, 2026, the Company recorded a $0.4 million and $1.3 million increase, respectively (2025 - $0.4 million and $2.5 million increase, respectively) related to the change in fair value, which is recorded in Asset sales revenue.</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Given variability in the condition of the engines at the end of the lease terms, which range from 2 to 6 years, the maximum potential amount of undiscounted future payments that could be required under the guarantees at September 30, 2026 was $43.0 million, which is not reasonably expected.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During the three and nine months ended September 30, 2026 and 2025, there were no significant transfers into or out of Level 3.</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Company measures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The Company records such assets at fair value when it is determined the carrying value may not be recoverable. Fair value measurements for assets subject to impairment tests, as well as for noncash consideration on sales, are based on an income approach which uses Level 3 inputs, which include the Company’s assumptions as to future cash flows from operation of the leasing and sale of assets.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8. EQUITY-BASED COMPENSATION</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has a FTAI Aviation Ltd. 2025 Omnibus Incentive Plan (the “Incentive Plan”) which provides for the ability to award equity compensation awards in the form of stock options to eligible employees, consultants, directors, and other individuals who provide services to the Company, each as determined by the Compensation Committee of the Board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As of September 30, 2026, the Incentive Plan provides for the issuance of up to 5.6 million shares. Equity-based compensation expense is reported within cost of sales and operating 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Unvested equity-based awards are subject to forfeiture. The Company’s accounting policy is to record the impact of forfeitures when they occur.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Equity-based compensation for each type of award was as follows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980" w:type="dxa"/>
            <w:vAlign w:val="bottom"/>
          </w:tcPr>
          <w:p>
            <w:pPr>
              <w:spacing w:after="0"/>
              <w:rPr>
                <w:sz w:val="11"/>
                <w:szCs w:val="11"/>
                <w:color w:val="auto"/>
              </w:rPr>
            </w:pPr>
          </w:p>
        </w:tc>
        <w:tc>
          <w:tcPr>
            <w:tcW w:w="2320" w:type="dxa"/>
            <w:vAlign w:val="bottom"/>
            <w:gridSpan w:val="4"/>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4"/>
          </w:tcPr>
          <w:p>
            <w:pPr>
              <w:jc w:val="right"/>
              <w:spacing w:after="0"/>
              <w:rPr>
                <w:sz w:val="20"/>
                <w:szCs w:val="20"/>
                <w:color w:val="auto"/>
              </w:rPr>
            </w:pPr>
            <w:r>
              <w:rPr>
                <w:rFonts w:ascii="Arial" w:cs="Arial" w:eastAsia="Arial" w:hAnsi="Arial"/>
                <w:sz w:val="11"/>
                <w:szCs w:val="11"/>
                <w:b w:val="1"/>
                <w:bCs w:val="1"/>
                <w:color w:val="auto"/>
              </w:rPr>
              <w:t>Nine Months Ended September 30,</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jc w:val="center"/>
              <w:ind w:right="103"/>
              <w:spacing w:after="0"/>
              <w:rPr>
                <w:sz w:val="20"/>
                <w:szCs w:val="20"/>
                <w:color w:val="auto"/>
              </w:rPr>
            </w:pPr>
            <w:r>
              <w:rPr>
                <w:rFonts w:ascii="Arial" w:cs="Arial" w:eastAsia="Arial" w:hAnsi="Arial"/>
                <w:sz w:val="11"/>
                <w:szCs w:val="11"/>
                <w:b w:val="1"/>
                <w:bCs w:val="1"/>
                <w:color w:val="auto"/>
              </w:rPr>
              <w:t>Remaining Expense To Be</w:t>
            </w:r>
          </w:p>
        </w:tc>
        <w:tc>
          <w:tcPr>
            <w:tcW w:w="8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Arial" w:cs="Arial" w:eastAsia="Arial" w:hAnsi="Arial"/>
                <w:sz w:val="11"/>
                <w:szCs w:val="11"/>
                <w:b w:val="1"/>
                <w:bCs w:val="1"/>
                <w:color w:val="auto"/>
              </w:rPr>
              <w:t>Weighted Average Remaining</w:t>
            </w:r>
          </w:p>
        </w:tc>
        <w:tc>
          <w:tcPr>
            <w:tcW w:w="0" w:type="dxa"/>
            <w:vAlign w:val="bottom"/>
          </w:tcPr>
          <w:p>
            <w:pPr>
              <w:spacing w:after="0"/>
              <w:rPr>
                <w:sz w:val="1"/>
                <w:szCs w:val="1"/>
                <w:color w:val="auto"/>
              </w:rPr>
            </w:pPr>
          </w:p>
        </w:tc>
      </w:tr>
      <w:tr>
        <w:trPr>
          <w:trHeight w:val="42"/>
        </w:trPr>
        <w:tc>
          <w:tcPr>
            <w:tcW w:w="19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vMerge w:val="restart"/>
          </w:tcPr>
          <w:p>
            <w:pPr>
              <w:jc w:val="center"/>
              <w:ind w:right="103"/>
              <w:spacing w:after="0" w:line="100" w:lineRule="exact"/>
              <w:rPr>
                <w:sz w:val="20"/>
                <w:szCs w:val="20"/>
                <w:color w:val="auto"/>
              </w:rPr>
            </w:pPr>
            <w:r>
              <w:rPr>
                <w:rFonts w:ascii="Arial" w:cs="Arial" w:eastAsia="Arial" w:hAnsi="Arial"/>
                <w:sz w:val="11"/>
                <w:szCs w:val="11"/>
                <w:b w:val="1"/>
                <w:bCs w:val="1"/>
                <w:color w:val="auto"/>
              </w:rPr>
              <w:t>Recognized, If All Vesting</w:t>
            </w:r>
          </w:p>
        </w:tc>
        <w:tc>
          <w:tcPr>
            <w:tcW w:w="80" w:type="dxa"/>
            <w:vAlign w:val="bottom"/>
          </w:tcPr>
          <w:p>
            <w:pPr>
              <w:spacing w:after="0"/>
              <w:rPr>
                <w:sz w:val="3"/>
                <w:szCs w:val="3"/>
                <w:color w:val="auto"/>
              </w:rPr>
            </w:pPr>
          </w:p>
        </w:tc>
        <w:tc>
          <w:tcPr>
            <w:tcW w:w="1840" w:type="dxa"/>
            <w:vAlign w:val="bottom"/>
            <w:vMerge w:val="restart"/>
          </w:tcPr>
          <w:p>
            <w:pPr>
              <w:jc w:val="center"/>
              <w:spacing w:after="0" w:line="100" w:lineRule="exact"/>
              <w:rPr>
                <w:sz w:val="20"/>
                <w:szCs w:val="20"/>
                <w:color w:val="auto"/>
              </w:rPr>
            </w:pPr>
            <w:r>
              <w:rPr>
                <w:rFonts w:ascii="Arial" w:cs="Arial" w:eastAsia="Arial" w:hAnsi="Arial"/>
                <w:sz w:val="11"/>
                <w:szCs w:val="11"/>
                <w:b w:val="1"/>
                <w:bCs w:val="1"/>
                <w:color w:val="auto"/>
              </w:rPr>
              <w:t>Contractual Term</w:t>
            </w:r>
          </w:p>
        </w:tc>
        <w:tc>
          <w:tcPr>
            <w:tcW w:w="0" w:type="dxa"/>
            <w:vAlign w:val="bottom"/>
          </w:tcPr>
          <w:p>
            <w:pPr>
              <w:spacing w:after="0"/>
              <w:rPr>
                <w:sz w:val="1"/>
                <w:szCs w:val="1"/>
                <w:color w:val="auto"/>
              </w:rPr>
            </w:pPr>
          </w:p>
        </w:tc>
      </w:tr>
      <w:tr>
        <w:trPr>
          <w:trHeight w:val="37"/>
        </w:trPr>
        <w:tc>
          <w:tcPr>
            <w:tcW w:w="1980" w:type="dxa"/>
            <w:vAlign w:val="bottom"/>
          </w:tcPr>
          <w:p>
            <w:pPr>
              <w:spacing w:after="0"/>
              <w:rPr>
                <w:sz w:val="3"/>
                <w:szCs w:val="3"/>
                <w:color w:val="auto"/>
              </w:rPr>
            </w:pPr>
          </w:p>
        </w:tc>
        <w:tc>
          <w:tcPr>
            <w:tcW w:w="86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2026</w:t>
            </w: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2026</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2025</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9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Conditions Are Met</w:t>
            </w:r>
          </w:p>
        </w:tc>
        <w:tc>
          <w:tcPr>
            <w:tcW w:w="80" w:type="dxa"/>
            <w:vAlign w:val="bottom"/>
            <w:tcBorders>
              <w:bottom w:val="single" w:sz="8" w:color="CCEEFF"/>
            </w:tcBorders>
          </w:tcPr>
          <w:p>
            <w:pPr>
              <w:spacing w:after="0"/>
              <w:rPr>
                <w:sz w:val="12"/>
                <w:szCs w:val="1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0" w:type="dxa"/>
            <w:vAlign w:val="bottom"/>
          </w:tcPr>
          <w:p>
            <w:pPr>
              <w:spacing w:after="0"/>
              <w:rPr>
                <w:sz w:val="1"/>
                <w:szCs w:val="1"/>
                <w:color w:val="auto"/>
              </w:rPr>
            </w:pPr>
          </w:p>
        </w:tc>
      </w:tr>
      <w:tr>
        <w:trPr>
          <w:trHeight w:val="160"/>
        </w:trPr>
        <w:tc>
          <w:tcPr>
            <w:tcW w:w="1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w:t>
            </w:r>
          </w:p>
        </w:tc>
        <w:tc>
          <w:tcPr>
            <w:tcW w:w="860" w:type="dxa"/>
            <w:vAlign w:val="bottom"/>
            <w:shd w:val="clear" w:color="auto" w:fill="CCEEFF"/>
          </w:tcPr>
          <w:p>
            <w:pPr>
              <w:jc w:val="right"/>
              <w:ind w:right="723"/>
              <w:spacing w:after="0"/>
              <w:rPr>
                <w:sz w:val="20"/>
                <w:szCs w:val="20"/>
                <w:color w:val="auto"/>
              </w:rPr>
            </w:pPr>
            <w:r>
              <w:rPr>
                <w:rFonts w:ascii="Arial" w:cs="Arial" w:eastAsia="Arial" w:hAnsi="Arial"/>
                <w:sz w:val="11"/>
                <w:szCs w:val="11"/>
                <w:b w:val="1"/>
                <w:bCs w:val="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127</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03"/>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3"/>
              <w:spacing w:after="0"/>
              <w:rPr>
                <w:sz w:val="20"/>
                <w:szCs w:val="20"/>
                <w:color w:val="auto"/>
              </w:rPr>
            </w:pPr>
            <w:r>
              <w:rPr>
                <w:rFonts w:ascii="Arial" w:cs="Arial" w:eastAsia="Arial" w:hAnsi="Arial"/>
                <w:sz w:val="11"/>
                <w:szCs w:val="11"/>
                <w:b w:val="1"/>
                <w:bCs w:val="1"/>
                <w:color w:val="auto"/>
                <w:w w:val="97"/>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381</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889</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6.9</w:t>
            </w:r>
          </w:p>
        </w:tc>
        <w:tc>
          <w:tcPr>
            <w:tcW w:w="0" w:type="dxa"/>
            <w:vAlign w:val="bottom"/>
          </w:tcPr>
          <w:p>
            <w:pPr>
              <w:spacing w:after="0"/>
              <w:rPr>
                <w:sz w:val="1"/>
                <w:szCs w:val="1"/>
                <w:color w:val="auto"/>
              </w:rPr>
            </w:pPr>
          </w:p>
        </w:tc>
      </w:tr>
      <w:tr>
        <w:trPr>
          <w:trHeight w:val="170"/>
        </w:trPr>
        <w:tc>
          <w:tcPr>
            <w:tcW w:w="1980" w:type="dxa"/>
            <w:vAlign w:val="bottom"/>
          </w:tcPr>
          <w:p>
            <w:pPr>
              <w:ind w:left="20"/>
              <w:spacing w:after="0"/>
              <w:rPr>
                <w:sz w:val="20"/>
                <w:szCs w:val="20"/>
                <w:color w:val="auto"/>
              </w:rPr>
            </w:pPr>
            <w:r>
              <w:rPr>
                <w:rFonts w:ascii="Arial" w:cs="Arial" w:eastAsia="Arial" w:hAnsi="Arial"/>
                <w:sz w:val="11"/>
                <w:szCs w:val="11"/>
                <w:color w:val="auto"/>
              </w:rPr>
              <w:t>Performance shares</w:t>
            </w:r>
          </w:p>
        </w:tc>
        <w:tc>
          <w:tcPr>
            <w:tcW w:w="86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b w:val="1"/>
                <w:bCs w:val="1"/>
                <w:color w:val="auto"/>
              </w:rPr>
              <w:t>4,520</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3,502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b w:val="1"/>
                <w:bCs w:val="1"/>
                <w:color w:val="auto"/>
              </w:rPr>
              <w:t>12,882</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10,265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3"/>
              <w:spacing w:after="0"/>
              <w:rPr>
                <w:sz w:val="20"/>
                <w:szCs w:val="20"/>
                <w:color w:val="auto"/>
              </w:rPr>
            </w:pPr>
            <w:r>
              <w:rPr>
                <w:rFonts w:ascii="Arial" w:cs="Arial" w:eastAsia="Arial" w:hAnsi="Arial"/>
                <w:sz w:val="11"/>
                <w:szCs w:val="11"/>
                <w:b w:val="1"/>
                <w:bCs w:val="1"/>
                <w:color w:val="auto"/>
              </w:rPr>
              <w:t>36,043</w:t>
            </w:r>
          </w:p>
        </w:tc>
        <w:tc>
          <w:tcPr>
            <w:tcW w:w="1920" w:type="dxa"/>
            <w:vAlign w:val="bottom"/>
            <w:gridSpan w:val="2"/>
          </w:tcPr>
          <w:p>
            <w:pPr>
              <w:jc w:val="right"/>
              <w:spacing w:after="0"/>
              <w:rPr>
                <w:sz w:val="20"/>
                <w:szCs w:val="20"/>
                <w:color w:val="auto"/>
              </w:rPr>
            </w:pPr>
            <w:r>
              <w:rPr>
                <w:rFonts w:ascii="Arial" w:cs="Arial" w:eastAsia="Arial" w:hAnsi="Arial"/>
                <w:sz w:val="11"/>
                <w:szCs w:val="11"/>
                <w:b w:val="1"/>
                <w:bCs w:val="1"/>
                <w:color w:val="auto"/>
              </w:rPr>
              <w:t>2.1</w:t>
            </w:r>
          </w:p>
        </w:tc>
        <w:tc>
          <w:tcPr>
            <w:tcW w:w="0" w:type="dxa"/>
            <w:vAlign w:val="bottom"/>
          </w:tcPr>
          <w:p>
            <w:pPr>
              <w:spacing w:after="0"/>
              <w:rPr>
                <w:sz w:val="1"/>
                <w:szCs w:val="1"/>
                <w:color w:val="auto"/>
              </w:rPr>
            </w:pPr>
          </w:p>
        </w:tc>
      </w:tr>
      <w:tr>
        <w:trPr>
          <w:trHeight w:val="170"/>
        </w:trPr>
        <w:tc>
          <w:tcPr>
            <w:tcW w:w="1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Shares</w:t>
            </w:r>
          </w:p>
        </w:tc>
        <w:tc>
          <w:tcPr>
            <w:tcW w:w="8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3,120</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2,026</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8,183</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5,413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21,922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1.1</w:t>
            </w:r>
          </w:p>
        </w:tc>
        <w:tc>
          <w:tcPr>
            <w:tcW w:w="0" w:type="dxa"/>
            <w:vAlign w:val="bottom"/>
          </w:tcPr>
          <w:p>
            <w:pPr>
              <w:spacing w:after="0"/>
              <w:rPr>
                <w:sz w:val="1"/>
                <w:szCs w:val="1"/>
                <w:color w:val="auto"/>
              </w:rPr>
            </w:pPr>
          </w:p>
        </w:tc>
      </w:tr>
      <w:tr>
        <w:trPr>
          <w:trHeight w:val="161"/>
        </w:trPr>
        <w:tc>
          <w:tcPr>
            <w:tcW w:w="1980" w:type="dxa"/>
            <w:vAlign w:val="bottom"/>
          </w:tcPr>
          <w:p>
            <w:pPr>
              <w:ind w:left="20"/>
              <w:spacing w:after="0"/>
              <w:rPr>
                <w:sz w:val="20"/>
                <w:szCs w:val="20"/>
                <w:color w:val="auto"/>
              </w:rPr>
            </w:pPr>
            <w:r>
              <w:rPr>
                <w:rFonts w:ascii="Arial" w:cs="Arial" w:eastAsia="Arial" w:hAnsi="Arial"/>
                <w:sz w:val="11"/>
                <w:szCs w:val="11"/>
                <w:color w:val="auto"/>
              </w:rPr>
              <w:t>Total</w:t>
            </w:r>
          </w:p>
        </w:tc>
        <w:tc>
          <w:tcPr>
            <w:tcW w:w="860" w:type="dxa"/>
            <w:vAlign w:val="bottom"/>
            <w:tcBorders>
              <w:bottom w:val="single" w:sz="8" w:color="auto"/>
            </w:tcBorders>
          </w:tcPr>
          <w:p>
            <w:pPr>
              <w:jc w:val="right"/>
              <w:ind w:right="723"/>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7,767</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ind w:right="803"/>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5,655</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21,446</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4"/>
              </w:rPr>
              <w:t>16,059</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58,854</w:t>
            </w: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Options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During the nine months ended September 30, 2026 and 2025, the Company did not issue any options to employees.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Performance Shares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nine months ended September 30, 2026, the Company issued performance shares to select officers and employees of the Company with a grant date fair value of $12.2 million, vesting over a 3 year performance period based on the achievement of relative total shareholder return (50%) and cumulative diluted EPS (50%).</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nine months ended September 30, 2025, the Company issued performance shares to select officers and employees of the Company with a grant date fair value of $4.4 million, vesting over a 3 year performance period based on the achievement of relative total shareholder return (50%) and cumulative diluted EPS (50%).</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Restricted Shares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nine months ended September 30, 2026, the Company issued restricted shares to select officers and employees of the Company with a grant date fair value of $15.2 million, vesting over 3 years.</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Additionally, the Company issued restricted shares to the directors of the Company with a grant date fair value of $0.9 million. These awards vest on the earlier of (i) the one-year anniversary of the grant date (May 28, 2027) or (ii) the date of the Company’s next annual general meeting of shareholders occurring after the grant date.</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nine months ended September 30, 2025, the Company issued restricted shares to select officers and employees of the Company with a grant date fair value of $5.5 million, vesting over 3 years.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Additionally, the Company issued restricted shares to the directors of the Company with a grant date fair value of $0.8 million. These awards vest on the earlier of (i) the one-year anniversary of the grant date (May 29, 2026) or (ii) the date of the Company’s next annual general meeting of shareholders occurring after the grant date.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All awards are subject to continued employment, with compensation expense recognized ratably over the vesting periods. The fair values of the cumulative diluted EPS performance shares and restricted shares were based on the closing price of the Company’s ordinary shares on the respective grant dates, and the fair value of the total shareholder return performance shares was determined using the Monte Carlo simulation.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9. INCOME TAXES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current and deferred components of the provision for income taxes are as follows (unaudited):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0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1"/>
                <w:szCs w:val="11"/>
                <w:b w:val="1"/>
                <w:bCs w:val="1"/>
                <w:color w:val="auto"/>
              </w:rPr>
              <w:t>Three Months Ended September 30,</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1"/>
                <w:szCs w:val="11"/>
                <w:b w:val="1"/>
                <w:bCs w:val="1"/>
                <w:color w:val="auto"/>
              </w:rPr>
              <w:t>Nine Months Ended September 30,</w:t>
            </w:r>
          </w:p>
        </w:tc>
      </w:tr>
      <w:tr>
        <w:trPr>
          <w:trHeight w:val="160"/>
        </w:trPr>
        <w:tc>
          <w:tcPr>
            <w:tcW w:w="49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r>
      <w:tr>
        <w:trPr>
          <w:trHeight w:val="150"/>
        </w:trPr>
        <w:tc>
          <w:tcPr>
            <w:tcW w:w="4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Current:</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70"/>
        </w:trPr>
        <w:tc>
          <w:tcPr>
            <w:tcW w:w="4900" w:type="dxa"/>
            <w:vAlign w:val="bottom"/>
          </w:tcPr>
          <w:p>
            <w:pPr>
              <w:ind w:left="120"/>
              <w:spacing w:after="0"/>
              <w:rPr>
                <w:sz w:val="20"/>
                <w:szCs w:val="20"/>
                <w:color w:val="auto"/>
              </w:rPr>
            </w:pPr>
            <w:r>
              <w:rPr>
                <w:rFonts w:ascii="Arial" w:cs="Arial" w:eastAsia="Arial" w:hAnsi="Arial"/>
                <w:sz w:val="11"/>
                <w:szCs w:val="11"/>
                <w:color w:val="auto"/>
              </w:rPr>
              <w:t>Ireland</w:t>
            </w:r>
          </w:p>
        </w:tc>
        <w:tc>
          <w:tcPr>
            <w:tcW w:w="1020" w:type="dxa"/>
            <w:vAlign w:val="bottom"/>
          </w:tcPr>
          <w:p>
            <w:pPr>
              <w:jc w:val="right"/>
              <w:ind w:right="88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3"/>
              <w:spacing w:after="0"/>
              <w:rPr>
                <w:sz w:val="20"/>
                <w:szCs w:val="20"/>
                <w:color w:val="auto"/>
              </w:rPr>
            </w:pPr>
            <w:r>
              <w:rPr>
                <w:rFonts w:ascii="Arial" w:cs="Arial" w:eastAsia="Arial" w:hAnsi="Arial"/>
                <w:sz w:val="11"/>
                <w:szCs w:val="11"/>
                <w:b w:val="1"/>
                <w:bCs w:val="1"/>
                <w:color w:val="auto"/>
              </w:rPr>
              <w:t>16,393</w:t>
            </w:r>
          </w:p>
        </w:tc>
        <w:tc>
          <w:tcPr>
            <w:tcW w:w="80" w:type="dxa"/>
            <w:vAlign w:val="bottom"/>
          </w:tcPr>
          <w:p>
            <w:pPr>
              <w:spacing w:after="0"/>
              <w:rPr>
                <w:sz w:val="14"/>
                <w:szCs w:val="14"/>
                <w:color w:val="auto"/>
              </w:rPr>
            </w:pPr>
          </w:p>
        </w:tc>
        <w:tc>
          <w:tcPr>
            <w:tcW w:w="1040" w:type="dxa"/>
            <w:vAlign w:val="bottom"/>
          </w:tcPr>
          <w:p>
            <w:pPr>
              <w:jc w:val="right"/>
              <w:ind w:right="90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2,867</w:t>
            </w:r>
          </w:p>
        </w:tc>
        <w:tc>
          <w:tcPr>
            <w:tcW w:w="80" w:type="dxa"/>
            <w:vAlign w:val="bottom"/>
          </w:tcPr>
          <w:p>
            <w:pPr>
              <w:spacing w:after="0"/>
              <w:rPr>
                <w:sz w:val="14"/>
                <w:szCs w:val="14"/>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42,589</w:t>
            </w:r>
          </w:p>
        </w:tc>
        <w:tc>
          <w:tcPr>
            <w:tcW w:w="80" w:type="dxa"/>
            <w:vAlign w:val="bottom"/>
          </w:tcPr>
          <w:p>
            <w:pPr>
              <w:spacing w:after="0"/>
              <w:rPr>
                <w:sz w:val="14"/>
                <w:szCs w:val="14"/>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6,300</w:t>
            </w:r>
          </w:p>
        </w:tc>
      </w:tr>
      <w:tr>
        <w:trPr>
          <w:trHeight w:val="170"/>
        </w:trPr>
        <w:tc>
          <w:tcPr>
            <w:tcW w:w="4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Cayman Islands</w:t>
            </w:r>
          </w:p>
        </w:tc>
        <w:tc>
          <w:tcPr>
            <w:tcW w:w="10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4900" w:type="dxa"/>
            <w:vAlign w:val="bottom"/>
          </w:tcPr>
          <w:p>
            <w:pPr>
              <w:ind w:left="120"/>
              <w:spacing w:after="0"/>
              <w:rPr>
                <w:sz w:val="20"/>
                <w:szCs w:val="20"/>
                <w:color w:val="auto"/>
              </w:rPr>
            </w:pPr>
            <w:r>
              <w:rPr>
                <w:rFonts w:ascii="Arial" w:cs="Arial" w:eastAsia="Arial" w:hAnsi="Arial"/>
                <w:sz w:val="11"/>
                <w:szCs w:val="11"/>
                <w:color w:val="auto"/>
              </w:rPr>
              <w:t>Bermuda</w:t>
            </w:r>
          </w:p>
        </w:tc>
        <w:tc>
          <w:tcPr>
            <w:tcW w:w="102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b w:val="1"/>
                <w:bCs w:val="1"/>
                <w:color w:val="auto"/>
              </w:rPr>
              <w:t>5,232</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12,497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4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United States: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70"/>
        </w:trPr>
        <w:tc>
          <w:tcPr>
            <w:tcW w:w="4900" w:type="dxa"/>
            <w:vAlign w:val="bottom"/>
          </w:tcPr>
          <w:p>
            <w:pPr>
              <w:ind w:left="200"/>
              <w:spacing w:after="0"/>
              <w:rPr>
                <w:sz w:val="20"/>
                <w:szCs w:val="20"/>
                <w:color w:val="auto"/>
              </w:rPr>
            </w:pPr>
            <w:r>
              <w:rPr>
                <w:rFonts w:ascii="Arial" w:cs="Arial" w:eastAsia="Arial" w:hAnsi="Arial"/>
                <w:sz w:val="11"/>
                <w:szCs w:val="11"/>
                <w:color w:val="auto"/>
              </w:rPr>
              <w:t>Federal</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(529)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(7,859)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1,879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4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State and local</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1,518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3,063</w:t>
            </w:r>
          </w:p>
        </w:tc>
      </w:tr>
      <w:tr>
        <w:trPr>
          <w:trHeight w:val="170"/>
        </w:trPr>
        <w:tc>
          <w:tcPr>
            <w:tcW w:w="49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Non-Ireland including Pillar Two top-up tax</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3,353</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8,640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w:t>
            </w:r>
          </w:p>
        </w:tc>
      </w:tr>
      <w:tr>
        <w:trPr>
          <w:trHeight w:val="161"/>
        </w:trPr>
        <w:tc>
          <w:tcPr>
            <w:tcW w:w="4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current provision</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24,290</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66,170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9,508</w:t>
            </w:r>
          </w:p>
        </w:tc>
      </w:tr>
      <w:tr>
        <w:trPr>
          <w:trHeight w:val="170"/>
        </w:trPr>
        <w:tc>
          <w:tcPr>
            <w:tcW w:w="4900" w:type="dxa"/>
            <w:vAlign w:val="bottom"/>
          </w:tcPr>
          <w:p>
            <w:pPr>
              <w:ind w:left="20"/>
              <w:spacing w:after="0"/>
              <w:rPr>
                <w:sz w:val="20"/>
                <w:szCs w:val="20"/>
                <w:color w:val="auto"/>
              </w:rPr>
            </w:pPr>
            <w:r>
              <w:rPr>
                <w:rFonts w:ascii="Arial" w:cs="Arial" w:eastAsia="Arial" w:hAnsi="Arial"/>
                <w:sz w:val="11"/>
                <w:szCs w:val="11"/>
                <w:b w:val="1"/>
                <w:bCs w:val="1"/>
                <w:color w:val="auto"/>
              </w:rPr>
              <w:t>Deferred: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Ireland</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(2,047)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17,045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12,111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47,957</w:t>
            </w:r>
          </w:p>
        </w:tc>
      </w:tr>
      <w:tr>
        <w:trPr>
          <w:trHeight w:val="170"/>
        </w:trPr>
        <w:tc>
          <w:tcPr>
            <w:tcW w:w="4900" w:type="dxa"/>
            <w:vAlign w:val="bottom"/>
          </w:tcPr>
          <w:p>
            <w:pPr>
              <w:ind w:left="120"/>
              <w:spacing w:after="0"/>
              <w:rPr>
                <w:sz w:val="20"/>
                <w:szCs w:val="20"/>
                <w:color w:val="auto"/>
              </w:rPr>
            </w:pPr>
            <w:r>
              <w:rPr>
                <w:rFonts w:ascii="Arial" w:cs="Arial" w:eastAsia="Arial" w:hAnsi="Arial"/>
                <w:sz w:val="11"/>
                <w:szCs w:val="11"/>
                <w:color w:val="auto"/>
              </w:rPr>
              <w:t>Cayman Islands</w:t>
            </w:r>
          </w:p>
        </w:tc>
        <w:tc>
          <w:tcPr>
            <w:tcW w:w="10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4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Bermuda</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8,052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2,518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18,689</w:t>
            </w:r>
          </w:p>
        </w:tc>
      </w:tr>
      <w:tr>
        <w:trPr>
          <w:trHeight w:val="167"/>
        </w:trPr>
        <w:tc>
          <w:tcPr>
            <w:tcW w:w="4900" w:type="dxa"/>
            <w:vAlign w:val="bottom"/>
          </w:tcPr>
          <w:p>
            <w:pPr>
              <w:ind w:left="120"/>
              <w:spacing w:after="0"/>
              <w:rPr>
                <w:sz w:val="20"/>
                <w:szCs w:val="20"/>
                <w:color w:val="auto"/>
              </w:rPr>
            </w:pPr>
            <w:r>
              <w:rPr>
                <w:rFonts w:ascii="Arial" w:cs="Arial" w:eastAsia="Arial" w:hAnsi="Arial"/>
                <w:sz w:val="11"/>
                <w:szCs w:val="11"/>
                <w:color w:val="auto"/>
              </w:rPr>
              <w:t>United States:</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3"/>
        </w:trPr>
        <w:tc>
          <w:tcPr>
            <w:tcW w:w="4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Federal</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(2,013)</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7,092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12,524</w:t>
            </w:r>
          </w:p>
        </w:tc>
      </w:tr>
      <w:tr>
        <w:trPr>
          <w:trHeight w:val="170"/>
        </w:trPr>
        <w:tc>
          <w:tcPr>
            <w:tcW w:w="4900" w:type="dxa"/>
            <w:vAlign w:val="bottom"/>
          </w:tcPr>
          <w:p>
            <w:pPr>
              <w:ind w:left="200"/>
              <w:spacing w:after="0"/>
              <w:rPr>
                <w:sz w:val="20"/>
                <w:szCs w:val="20"/>
                <w:color w:val="auto"/>
              </w:rPr>
            </w:pPr>
            <w:r>
              <w:rPr>
                <w:rFonts w:ascii="Arial" w:cs="Arial" w:eastAsia="Arial" w:hAnsi="Arial"/>
                <w:sz w:val="11"/>
                <w:szCs w:val="11"/>
                <w:color w:val="auto"/>
              </w:rPr>
              <w:t>State and local</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(159)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(1,496)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565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950</w:t>
            </w:r>
          </w:p>
        </w:tc>
      </w:tr>
      <w:tr>
        <w:trPr>
          <w:trHeight w:val="170"/>
        </w:trPr>
        <w:tc>
          <w:tcPr>
            <w:tcW w:w="4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Non-Ireland</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1,329</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(2,137)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(2,561)</w:t>
            </w:r>
          </w:p>
        </w:tc>
      </w:tr>
      <w:tr>
        <w:trPr>
          <w:trHeight w:val="160"/>
        </w:trPr>
        <w:tc>
          <w:tcPr>
            <w:tcW w:w="4900" w:type="dxa"/>
            <w:vAlign w:val="bottom"/>
          </w:tcPr>
          <w:p>
            <w:pPr>
              <w:ind w:left="20"/>
              <w:spacing w:after="0"/>
              <w:rPr>
                <w:sz w:val="20"/>
                <w:szCs w:val="20"/>
                <w:color w:val="auto"/>
              </w:rPr>
            </w:pPr>
            <w:r>
              <w:rPr>
                <w:rFonts w:ascii="Arial" w:cs="Arial" w:eastAsia="Arial" w:hAnsi="Arial"/>
                <w:sz w:val="11"/>
                <w:szCs w:val="11"/>
                <w:color w:val="auto"/>
              </w:rPr>
              <w:t>Total deferred provision</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(2,051)</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29,760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13,148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77,559</w:t>
            </w:r>
          </w:p>
        </w:tc>
      </w:tr>
      <w:tr>
        <w:trPr>
          <w:trHeight w:val="170"/>
        </w:trPr>
        <w:tc>
          <w:tcPr>
            <w:tcW w:w="49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r>
      <w:tr>
        <w:trPr>
          <w:trHeight w:val="160"/>
        </w:trPr>
        <w:tc>
          <w:tcPr>
            <w:tcW w:w="4900" w:type="dxa"/>
            <w:vAlign w:val="bottom"/>
          </w:tcPr>
          <w:p>
            <w:pPr>
              <w:ind w:left="20"/>
              <w:spacing w:after="0"/>
              <w:rPr>
                <w:sz w:val="20"/>
                <w:szCs w:val="20"/>
                <w:color w:val="auto"/>
              </w:rPr>
            </w:pPr>
            <w:r>
              <w:rPr>
                <w:rFonts w:ascii="Arial" w:cs="Arial" w:eastAsia="Arial" w:hAnsi="Arial"/>
                <w:sz w:val="11"/>
                <w:szCs w:val="11"/>
                <w:b w:val="1"/>
                <w:bCs w:val="1"/>
                <w:color w:val="auto"/>
              </w:rPr>
              <w:t>Total provision for income taxes</w:t>
            </w:r>
          </w:p>
        </w:tc>
        <w:tc>
          <w:tcPr>
            <w:tcW w:w="1020" w:type="dxa"/>
            <w:vAlign w:val="bottom"/>
            <w:tcBorders>
              <w:bottom w:val="single" w:sz="8" w:color="auto"/>
            </w:tcBorders>
          </w:tcPr>
          <w:p>
            <w:pPr>
              <w:jc w:val="right"/>
              <w:ind w:right="88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22,239</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26,330</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79,318</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87,067</w:t>
            </w:r>
          </w:p>
        </w:tc>
      </w:tr>
      <w:tr>
        <w:trPr>
          <w:trHeight w:val="20"/>
        </w:trPr>
        <w:tc>
          <w:tcPr>
            <w:tcW w:w="4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 is incorporated in the Cayman Islands where income taxes are not imposed. Taxable income or loss generated by the Company’s corporate subsidiaries is subject to Irish, U.S. federal, state and foreign corporate income tax in locations where they conduct business.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Company’s effective tax rate differs from the Irish statutory rate of 12.5% primarily due to the impact of Pillar II and the portion of its income that is subject to taxation in jurisdictions other than Ireland.</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of and for the nine months ended September 30, 2026,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2022. The Company does not believe that it is reasonably possible that the total amount of unrecognized tax benefits will significantly change within 12 months of the reporting date.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10. AFFILIATE TRANSACTIONS AND FORMER MANAGEMENT AGREEMENT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Strategic Capital Initiative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As of September 30, 2026, two partnerships have been formed under the Strategic Capital Initiative: the 2025 Partnership and the 2026 Partnership (collectively, the “SCI Partnerships”).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three and nine months ended September 30, 2026, the Company recorded $129.4 million and $533.4 million of MRE Contract revenue - affiliate, respectively (2025 - $58.7 million and $228.9 million, respectively), for the sale and purchase of engines and related modules to and from the SCI Partnerships. Refer to Note 2 “Summary of Significant Accounting Policies” for additional information on MRE Contract revenue - affiliate.</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nine months ended September 30, 2026, on behalf of the SCI Partnerships, the Company paid refundable deposits of $2.9 million (2025 - $23.5 million) to unrelated, third-parties on future purchases of aircraft.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During the nine months ended September 30, 2026, the SCI Partnerships reimbursed the Company $2.9 million (2025 - $42.8 million) in refundable deposits.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Company provides aircraft management services to the SCI Partnerships, and receives customary, market-based compensation for providing such services, which is included in Other revenue on the Company’s Consolidated Statement of Operations. The Company received servicing fees of $4,704 and $17,553 for the three and nine months ended September 30, 2026, respectively (2025 - $3,035 and $5,635, respectively), from the SCI Partnerships.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2025 Partnership</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June 29, 2026, the Company amended and restated the Aircraft Sale and Purchase agreement, originally entered into as of December 30, 2024, pursuant to which the SPVs of the 2025 Partnership would acquire 15 on-lease 737NG and A320ceo aircraft in addition to the originally committed 45 on-lease 737NG and A320ceo aircraft.</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September 30, 2026, the Company sold all committed aircraft to the 2025 Partnership. In aggregate, the net purchase price for the committed on-lease 737NG and A320ceo aircraft was approximately $700.0 million. The purchase price of the seed assets were contractual and the Company received customary, market-based compensation for the sale of the seed assets to the 2025 Partnership.</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2026 Partnership</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2026, the Company launched the 2026 Partnership, the second partnership under the Strategic Capital Initiative. Through SPVs, the 2026 partnership will focus on acquiring 737NG and A320ceo aircraft. The SPVs have entered into agreements with third-party institutional investors for the private placement of limited partner interest in the SPVs. The Company also made a minority limited partner investment and will make future investments in the 2026 Partnership in the same proportion relative to third party limited partner investments.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J&amp;F Power Systems LLC</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three months ended September 30, 2026, the Company invested $2.5 million for a 49% interest in J&amp;F Power Systems LLC ("J&amp;F"), the Company's joint venture with Jereh Group. J&amp;F was established to package, test and distribute modular power generation solutions. The Company exercises significant influence, but not control, over the operating and financial policies of J&amp;F and accounts for it as an equity method investment.</w:t>
      </w:r>
    </w:p>
    <w:p>
      <w:pPr>
        <w:spacing w:after="0" w:line="5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three months ended September 30, 2026, the Company received an advanced disbursement of $234.0 million from J&amp;F. The cash received is accounted for as a contract liability on the Company’s Consolidated Balance Sheets. Refer to Note 2 “Summary of Significant Accounting Policies” for additional information on contract liabilities.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Former Management Agreement</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May 28, 2024, the Company entered into definitive agreements with FIG LLC (the “Former manager”) and Master GP to internalize the Company’s management function (the “Internalization”). As part of the termination of the Management Agreement, the Company (i) paid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and (iii) purchased from Master GP all of its partnership interests in FTAI Aviation Holdco Ltd., a subsidiary of the Company, in exchange for $30 thousand. Following the Internalization, the Company no longer pays management fees or incentive distributions to the Former Manager and Master GP.</w:t>
      </w:r>
    </w:p>
    <w:p>
      <w:pPr>
        <w:spacing w:after="0" w:line="63"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through October 31, 2024, during which the Company procured replacements for the Services. In addition, the Former Manager was required to continue to provide the services that were reasonably required by the Company to prepare its quarterly and annual financial statements through May 31, 2025. The Services were provided to the Company for a fee equal to the Former Manager’s cost of providing the Services, plus a mark-up of ten percent (10%).</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Prior to the Internalization, the Former Manager was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Former Manager was reimbursed for various expenses incurred by the Former Manager on the Company’s behalf, including the costs of legal, accounting and other administrative activities. Additionally, the Company entered into certain incentive allocation arrangements with Master GP, which owned approximately 0.01% of FTAI Aviation Holdco Ltd. (a wholly owned subsidiary of the Company).</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Former Manager was entitled to a management fee and reimbursement of certain expenses. The management fee was determined by taking the average value of total equity (excluding non-controlling interests) determined on a consolidated basis in accordance with U.S. GAAP at the end of the two most recently completed months multiplied by an annual rate of 1.50%, which was payable monthly in arrears in cash.</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Prior to the Internalization and the termination of the Management Agreement on May 28, 2024, Master GP was entitled to incentive allocations (comprised of income incentive allocation and capital gains incentive allocation, defined below). The income incentive allocation was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the Company’s pro rata share of (1) realized or unrealized gains and losses, and (2) certain non-cash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or one-time items, and (3) any other adjustments as may be approved by the Company’s independent directors. Pre-incentive allocation net income did not include any Income Incentive Allocation or Capital Gains Incentive Allocation (described below) paid to Master GP during the relevant quarter.</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Prior to the Internalization, one of our subsidiaries allocated and distributed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were prorated for any period of less than three months.</w:t>
      </w:r>
    </w:p>
    <w:p>
      <w:pPr>
        <w:spacing w:after="0" w:line="73"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Prior to the Internalization, Capital Gains Incentive Allocation was calculated and distributable in arrears as of the end of each calendar year and was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Master GP.</w:t>
      </w:r>
    </w:p>
    <w:p>
      <w:pPr>
        <w:spacing w:after="0" w:line="3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Company paid all of its operating expenses, except those specifically required to be borne by the Former Manager under the Management Agreement. The expenses required to be paid by the Company included, but were not limited to, issuance and transaction costs incident to the acquisition, disposition and financing of its assets, legal and auditing fees and expenses, the compensation and expenses of its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Former Manager), the costs of printing and mailing proxies and reports to its shareholders, costs incurred by the Former Manager or its affiliates for travel on the Company’s behalf, costs associated with any computer software or hardware that was used by the Company, costs to obtain liability insurance to indemnify the Company’s directors and officers and the compensation and expenses of the Company’s transfer agent.</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paid or reimbursed the Former Manager and its affiliates for performing certain legal, accounting, due diligence tasks and other services that outside professionals or outside consultants otherwise would perform, provided that such costs and reimbursements were no greater than those which would be paid to outside professionals or consultants. The Former Manager was responsible for all of its other costs incident to the performance of its duties under the Management Agreement, including compensation of the Former Manager’s employees, rent for facilities and other “overhead” expenses; the Company did not reimburse the Former Manager for these expenses.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Company’s reimbursements to the Former Manager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80" w:type="dxa"/>
            <w:vAlign w:val="bottom"/>
          </w:tcPr>
          <w:p>
            <w:pPr>
              <w:spacing w:after="0"/>
              <w:rPr>
                <w:sz w:val="13"/>
                <w:szCs w:val="13"/>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1"/>
                <w:szCs w:val="11"/>
                <w:b w:val="1"/>
                <w:bCs w:val="1"/>
                <w:color w:val="auto"/>
              </w:rPr>
              <w:t>Nine Months Ended September 30,</w:t>
            </w:r>
          </w:p>
        </w:tc>
      </w:tr>
      <w:tr>
        <w:trPr>
          <w:trHeight w:val="160"/>
        </w:trPr>
        <w:tc>
          <w:tcPr>
            <w:tcW w:w="57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2026</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2025</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2025</w:t>
            </w:r>
          </w:p>
        </w:tc>
      </w:tr>
      <w:tr>
        <w:trPr>
          <w:trHeight w:val="150"/>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Classification in the Consolidated Statements of Operations:</w:t>
            </w: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0"/>
        </w:trPr>
        <w:tc>
          <w:tcPr>
            <w:tcW w:w="5780" w:type="dxa"/>
            <w:vAlign w:val="bottom"/>
          </w:tcPr>
          <w:p>
            <w:pPr>
              <w:ind w:left="120"/>
              <w:spacing w:after="0"/>
              <w:rPr>
                <w:sz w:val="20"/>
                <w:szCs w:val="20"/>
                <w:color w:val="auto"/>
              </w:rPr>
            </w:pPr>
            <w:r>
              <w:rPr>
                <w:rFonts w:ascii="Arial" w:cs="Arial" w:eastAsia="Arial" w:hAnsi="Arial"/>
                <w:sz w:val="11"/>
                <w:szCs w:val="11"/>
                <w:color w:val="auto"/>
              </w:rPr>
              <w:t>General and administrative</w:t>
            </w:r>
          </w:p>
        </w:tc>
        <w:tc>
          <w:tcPr>
            <w:tcW w:w="960" w:type="dxa"/>
            <w:vAlign w:val="bottom"/>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440" w:type="dxa"/>
            <w:vAlign w:val="bottom"/>
            <w:gridSpan w:val="2"/>
          </w:tcPr>
          <w:p>
            <w:pPr>
              <w:ind w:left="1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823"/>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60" w:type="dxa"/>
            <w:vAlign w:val="bottom"/>
            <w:gridSpan w:val="2"/>
          </w:tcPr>
          <w:p>
            <w:pPr>
              <w:ind w:left="90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247</w:t>
            </w:r>
          </w:p>
        </w:tc>
      </w:tr>
      <w:tr>
        <w:trPr>
          <w:trHeight w:val="170"/>
        </w:trPr>
        <w:tc>
          <w:tcPr>
            <w:tcW w:w="5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Acquisition and transaction expenses</w:t>
            </w:r>
          </w:p>
        </w:tc>
        <w:tc>
          <w:tcPr>
            <w:tcW w:w="9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w:t>
            </w:r>
          </w:p>
        </w:tc>
      </w:tr>
      <w:tr>
        <w:trPr>
          <w:trHeight w:val="161"/>
        </w:trPr>
        <w:tc>
          <w:tcPr>
            <w:tcW w:w="578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960" w:type="dxa"/>
            <w:vAlign w:val="bottom"/>
          </w:tcPr>
          <w:p>
            <w:pPr>
              <w:jc w:val="right"/>
              <w:ind w:right="823"/>
              <w:spacing w:after="0"/>
              <w:rPr>
                <w:sz w:val="20"/>
                <w:szCs w:val="20"/>
                <w:color w:val="auto"/>
              </w:rPr>
            </w:pPr>
            <w:r>
              <w:rPr>
                <w:rFonts w:ascii="Arial" w:cs="Arial" w:eastAsia="Arial" w:hAnsi="Arial"/>
                <w:sz w:val="11"/>
                <w:szCs w:val="11"/>
                <w:b w:val="1"/>
                <w:bCs w:val="1"/>
                <w:color w:val="auto"/>
                <w:w w:val="97"/>
              </w:rPr>
              <w:t>$</w:t>
            </w:r>
          </w:p>
        </w:tc>
        <w:tc>
          <w:tcPr>
            <w:tcW w:w="440" w:type="dxa"/>
            <w:vAlign w:val="bottom"/>
            <w:gridSpan w:val="2"/>
          </w:tcPr>
          <w:p>
            <w:pPr>
              <w:ind w:left="1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823"/>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(135)</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160" w:type="dxa"/>
            <w:vAlign w:val="bottom"/>
            <w:gridSpan w:val="2"/>
          </w:tcPr>
          <w:p>
            <w:pPr>
              <w:ind w:left="90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369</w:t>
            </w:r>
          </w:p>
        </w:tc>
      </w:tr>
      <w:tr>
        <w:trPr>
          <w:trHeight w:val="20"/>
        </w:trPr>
        <w:tc>
          <w:tcPr>
            <w:tcW w:w="5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11. SEGMENT INFORMATION</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key factors used to identify the reportable segments are the organization and alignment of the Company’s internal operations and the nature of its products and services. The Company’s two reportable segments are (i) Aerospace Products and (ii) Aviation Leasing. The Aerospace Products segment, through the Company’s maintenance facilities and joint ventures, among other investments, develops and manufactures, repairs/refurbishes and sells aircraft engines and aftermarket components for the CFM56-5B, CFM56-7B and V2500 commercial aircraft engines. The Aviation Leasing segment owns and manages aviation assets, including aircraft and aircraft engines, which it leases to lessees directly and through the Company’s equity method investment formed as part of the Company’s Strategic Capital Initiative.</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Corporate and Other primarily consists of debt, unallocated corporate general and administrative expenses, internalization fee and management fees and incentive compensation pursuant to the Management Agreement prior to the Internalization effective May 28, 2024. Additionally, Corporate and Other also includes results from an offshore energy business, which consists of equipment that support offshore oil and gas activities and production, and expenses relating to FTAI Power.</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accounting policies of the segments are the same as those described in the summary of significant accounting policies; however, financial information presented by segment includes the impact of intercompany eliminations. The Company’s Chief Executive Officer is its Chief Operating Decision Maker (“CODM”). Segment information is presented in the same manner that the CODM reviews the operating results in assessing performance and allocating resources. The CODM evaluates performance for each reportable segment based on net income (loss) attributable to shareholders and is used to monitor budget vs. actual results.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CODM determined that segment asset information is not a key factor in measuring performance or allocating resources. Therefore, segment asset information is not included in the tables below as it is not provided to or reviewed by the CODM.</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set forth certain information, which include all significant expenses reviewed by the CODM, for each reportable segment (unaudited):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 For the Three Months Ended September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1"/>
                <w:szCs w:val="11"/>
                <w:b w:val="1"/>
                <w:bCs w:val="1"/>
                <w:color w:val="auto"/>
              </w:rPr>
              <w:t>Three Months Ended September 30, 2026</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60"/>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Corporate and Other</w:t>
            </w: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b w:val="1"/>
                <w:bCs w:val="1"/>
                <w:color w:val="auto"/>
              </w:rPr>
              <w:t>Eliminations</w:t>
            </w: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780,598</w:t>
            </w:r>
          </w:p>
        </w:tc>
        <w:tc>
          <w:tcPr>
            <w:tcW w:w="8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2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780,598</w:t>
            </w:r>
          </w:p>
        </w:tc>
      </w:tr>
      <w:tr>
        <w:trPr>
          <w:trHeight w:val="17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 - affiliate</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129,408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129,408</w:t>
            </w: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25,281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25,281</w:t>
            </w:r>
          </w:p>
        </w:tc>
      </w:tr>
      <w:tr>
        <w:trPr>
          <w:trHeight w:val="17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27,292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27,292</w:t>
            </w: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5,886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5,886</w:t>
            </w:r>
          </w:p>
        </w:tc>
      </w:tr>
      <w:tr>
        <w:trPr>
          <w:trHeight w:val="17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revenue </w:t>
            </w:r>
            <w:r>
              <w:rPr>
                <w:rFonts w:ascii="Arial" w:cs="Arial" w:eastAsia="Arial" w:hAnsi="Arial"/>
                <w:sz w:val="7"/>
                <w:szCs w:val="7"/>
                <w:color w:val="auto"/>
              </w:rPr>
              <w:t>(1)</w:t>
            </w: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9,192</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9,192</w:t>
            </w:r>
          </w:p>
        </w:tc>
      </w:tr>
      <w:tr>
        <w:trPr>
          <w:trHeight w:val="160"/>
        </w:trPr>
        <w:tc>
          <w:tcPr>
            <w:tcW w:w="4440" w:type="dxa"/>
            <w:vAlign w:val="bottom"/>
          </w:tcPr>
          <w:p>
            <w:pPr>
              <w:ind w:left="20"/>
              <w:spacing w:after="0"/>
              <w:rPr>
                <w:sz w:val="20"/>
                <w:szCs w:val="20"/>
                <w:color w:val="auto"/>
              </w:rPr>
            </w:pPr>
            <w:r>
              <w:rPr>
                <w:rFonts w:ascii="Arial" w:cs="Arial" w:eastAsia="Arial" w:hAnsi="Arial"/>
                <w:sz w:val="11"/>
                <w:szCs w:val="11"/>
                <w:color w:val="auto"/>
              </w:rPr>
              <w:t>Total revenues</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910,006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67,651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977,657</w:t>
            </w:r>
          </w:p>
        </w:tc>
      </w:tr>
      <w:tr>
        <w:trPr>
          <w:trHeight w:val="97"/>
        </w:trPr>
        <w:tc>
          <w:tcPr>
            <w:tcW w:w="44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1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618,007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5,814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623,821</w:t>
            </w: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11,913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12,479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37,935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62,327</w:t>
            </w:r>
          </w:p>
        </w:tc>
      </w:tr>
      <w:tr>
        <w:trPr>
          <w:trHeight w:val="17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Research and development</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22,014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22,014</w:t>
            </w: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2,305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2,305</w:t>
            </w:r>
          </w:p>
        </w:tc>
      </w:tr>
      <w:tr>
        <w:trPr>
          <w:trHeight w:val="17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3,532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5,030</w:t>
            </w:r>
          </w:p>
        </w:tc>
      </w:tr>
      <w:tr>
        <w:trPr>
          <w:trHeight w:val="17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4,942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37,242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1,111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43,295</w:t>
            </w:r>
          </w:p>
        </w:tc>
      </w:tr>
      <w:tr>
        <w:trPr>
          <w:trHeight w:val="16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634,986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56,909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66,897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758,792</w:t>
            </w:r>
          </w:p>
        </w:tc>
      </w:tr>
      <w:tr>
        <w:trPr>
          <w:trHeight w:val="97"/>
        </w:trPr>
        <w:tc>
          <w:tcPr>
            <w:tcW w:w="4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r>
      <w:tr>
        <w:trPr>
          <w:trHeight w:val="17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(65,119)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(65,119)</w:t>
            </w:r>
          </w:p>
        </w:tc>
      </w:tr>
      <w:tr>
        <w:trPr>
          <w:trHeight w:val="17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Equity in earnings (losses) of unconsolidated entities </w:t>
            </w:r>
            <w:r>
              <w:rPr>
                <w:rFonts w:ascii="Arial" w:cs="Arial" w:eastAsia="Arial" w:hAnsi="Arial"/>
                <w:sz w:val="7"/>
                <w:szCs w:val="7"/>
                <w:color w:val="auto"/>
              </w:rPr>
              <w:t>(2)</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20,557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(5,055)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16,933</w:t>
            </w: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color w:val="auto"/>
              </w:rPr>
              <w:t>Gain on sale to the 2025 Partnership - affiliate</w:t>
            </w: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7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(expense) income</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2,168</w:t>
            </w:r>
          </w:p>
        </w:tc>
      </w:tr>
      <w:tr>
        <w:trPr>
          <w:trHeight w:val="16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income (expense)</w:t>
            </w:r>
          </w:p>
        </w:tc>
        <w:tc>
          <w:tcPr>
            <w:tcW w:w="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1,377</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22,779</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(65,119)</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(5,055)</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(46,018)</w:t>
            </w:r>
          </w:p>
        </w:tc>
      </w:tr>
      <w:tr>
        <w:trPr>
          <w:trHeight w:val="161"/>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276,397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33,521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(132,016)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(5,055)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172,847</w:t>
            </w: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50,883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b w:val="1"/>
                <w:bCs w:val="1"/>
                <w:color w:val="auto"/>
              </w:rPr>
              <w:t>8,373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(37,017)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22,239</w:t>
            </w:r>
          </w:p>
        </w:tc>
      </w:tr>
      <w:tr>
        <w:trPr>
          <w:trHeight w:val="161"/>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225,514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25,148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(94,999)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(5,055)</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150,608</w:t>
            </w:r>
          </w:p>
        </w:tc>
      </w:tr>
      <w:tr>
        <w:trPr>
          <w:trHeight w:val="170"/>
        </w:trPr>
        <w:tc>
          <w:tcPr>
            <w:tcW w:w="4440" w:type="dxa"/>
            <w:vAlign w:val="bottom"/>
          </w:tcPr>
          <w:p>
            <w:pPr>
              <w:ind w:left="20"/>
              <w:spacing w:after="0"/>
              <w:rPr>
                <w:sz w:val="20"/>
                <w:szCs w:val="20"/>
                <w:color w:val="auto"/>
              </w:rPr>
            </w:pPr>
            <w:r>
              <w:rPr>
                <w:rFonts w:ascii="Arial" w:cs="Arial" w:eastAsia="Arial" w:hAnsi="Arial"/>
                <w:sz w:val="11"/>
                <w:szCs w:val="11"/>
                <w:color w:val="auto"/>
              </w:rPr>
              <w:t>Less: Dividends on preferred shares</w:t>
            </w: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1,544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1,544</w:t>
            </w:r>
          </w:p>
        </w:tc>
      </w:tr>
      <w:tr>
        <w:trPr>
          <w:trHeight w:val="186"/>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225,514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25,148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(96,543)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(5,055)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149,064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Includes servicing fees of 4,704 for the three months ended September 30, 2026 from the SCI Partnerships.</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Includes the profit elimination of $(5,055) for the three months ended September 30, 2026 for sales to the SCI Partnerships within the Aerospace Products segment.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the Company’s geographic sources of revenue, based on location of customer and lessee,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Three Months Ended September 30, 2026</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60"/>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10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0"/>
        </w:trPr>
        <w:tc>
          <w:tcPr>
            <w:tcW w:w="5800" w:type="dxa"/>
            <w:vAlign w:val="bottom"/>
          </w:tcPr>
          <w:p>
            <w:pPr>
              <w:ind w:left="20"/>
              <w:spacing w:after="0"/>
              <w:rPr>
                <w:sz w:val="20"/>
                <w:szCs w:val="20"/>
                <w:color w:val="auto"/>
              </w:rPr>
            </w:pPr>
            <w:r>
              <w:rPr>
                <w:rFonts w:ascii="Arial" w:cs="Arial" w:eastAsia="Arial" w:hAnsi="Arial"/>
                <w:sz w:val="11"/>
                <w:szCs w:val="11"/>
                <w:color w:val="auto"/>
              </w:rPr>
              <w:t>Africa</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10,500</w:t>
            </w:r>
          </w:p>
        </w:tc>
        <w:tc>
          <w:tcPr>
            <w:tcW w:w="8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247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gridSpan w:val="2"/>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10,747</w:t>
            </w: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15,105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26,191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41,296</w:t>
            </w:r>
          </w:p>
        </w:tc>
      </w:tr>
      <w:tr>
        <w:trPr>
          <w:trHeight w:val="170"/>
        </w:trPr>
        <w:tc>
          <w:tcPr>
            <w:tcW w:w="5800" w:type="dxa"/>
            <w:vAlign w:val="bottom"/>
          </w:tcPr>
          <w:p>
            <w:pPr>
              <w:ind w:left="20"/>
              <w:spacing w:after="0"/>
              <w:rPr>
                <w:sz w:val="20"/>
                <w:szCs w:val="20"/>
                <w:color w:val="auto"/>
              </w:rPr>
            </w:pPr>
            <w:r>
              <w:rPr>
                <w:rFonts w:ascii="Arial" w:cs="Arial" w:eastAsia="Arial" w:hAnsi="Arial"/>
                <w:sz w:val="11"/>
                <w:szCs w:val="11"/>
                <w:color w:val="auto"/>
              </w:rPr>
              <w:t>Europe</w:t>
            </w:r>
          </w:p>
        </w:tc>
        <w:tc>
          <w:tcPr>
            <w:tcW w:w="10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78,486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22,644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101,130</w:t>
            </w:r>
          </w:p>
        </w:tc>
      </w:tr>
      <w:tr>
        <w:trPr>
          <w:trHeight w:val="170"/>
        </w:trPr>
        <w:tc>
          <w:tcPr>
            <w:tcW w:w="5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787,055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14,673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801,728</w:t>
            </w:r>
          </w:p>
        </w:tc>
      </w:tr>
      <w:tr>
        <w:trPr>
          <w:trHeight w:val="17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South America</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18,860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3,896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22,756</w:t>
            </w:r>
          </w:p>
        </w:tc>
      </w:tr>
      <w:tr>
        <w:trPr>
          <w:trHeight w:val="181"/>
        </w:trPr>
        <w:tc>
          <w:tcPr>
            <w:tcW w:w="58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Total revenues </w:t>
            </w:r>
            <w:r>
              <w:rPr>
                <w:rFonts w:ascii="Arial" w:cs="Arial" w:eastAsia="Arial" w:hAnsi="Arial"/>
                <w:sz w:val="7"/>
                <w:szCs w:val="7"/>
                <w:b w:val="1"/>
                <w:bCs w:val="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910,006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67,651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gridSpan w:val="2"/>
            <w:shd w:val="clear" w:color="auto" w:fill="CCEEFF"/>
          </w:tcPr>
          <w:p>
            <w:pPr>
              <w:ind w:left="10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977,657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United States, included in North America, represents 72% of total revenues based on the location of the Company’s customers and lessees. No other country represents more than 10% of total revenues.</w:t>
      </w:r>
    </w:p>
    <w:p>
      <w:pPr>
        <w:spacing w:after="0" w:line="200" w:lineRule="exact"/>
        <w:rPr>
          <w:rFonts w:ascii="Arial" w:cs="Arial" w:eastAsia="Arial" w:hAnsi="Arial"/>
          <w:sz w:val="11"/>
          <w:szCs w:val="11"/>
          <w:color w:val="auto"/>
        </w:rPr>
      </w:pPr>
    </w:p>
    <w:p>
      <w:pPr>
        <w:spacing w:after="0" w:line="284"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II. For the Nine Months Ended September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6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1"/>
                <w:szCs w:val="11"/>
                <w:b w:val="1"/>
                <w:bCs w:val="1"/>
                <w:color w:val="auto"/>
              </w:rPr>
              <w:t>Nine Months Ended September 30, 2026</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60"/>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Corporate and Other</w:t>
            </w: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b w:val="1"/>
                <w:bCs w:val="1"/>
                <w:color w:val="auto"/>
              </w:rPr>
              <w:t>Eliminations</w:t>
            </w: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1,995,412</w:t>
            </w:r>
          </w:p>
        </w:tc>
        <w:tc>
          <w:tcPr>
            <w:tcW w:w="8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1,995,412</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 - affiliate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533,437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533,437</w:t>
            </w: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92,938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92,938</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83,684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83,684</w:t>
            </w: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32,995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32,995</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revenue </w:t>
            </w:r>
            <w:r>
              <w:rPr>
                <w:rFonts w:ascii="Arial" w:cs="Arial" w:eastAsia="Arial" w:hAnsi="Arial"/>
                <w:sz w:val="7"/>
                <w:szCs w:val="7"/>
                <w:color w:val="auto"/>
              </w:rPr>
              <w:t>(1)</w:t>
            </w: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22,973</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22,973</w:t>
            </w:r>
          </w:p>
        </w:tc>
      </w:tr>
      <w:tr>
        <w:trPr>
          <w:trHeight w:val="160"/>
        </w:trPr>
        <w:tc>
          <w:tcPr>
            <w:tcW w:w="4380" w:type="dxa"/>
            <w:vAlign w:val="bottom"/>
          </w:tcPr>
          <w:p>
            <w:pPr>
              <w:ind w:left="20"/>
              <w:spacing w:after="0"/>
              <w:rPr>
                <w:sz w:val="20"/>
                <w:szCs w:val="20"/>
                <w:color w:val="auto"/>
              </w:rPr>
            </w:pPr>
            <w:r>
              <w:rPr>
                <w:rFonts w:ascii="Arial" w:cs="Arial" w:eastAsia="Arial" w:hAnsi="Arial"/>
                <w:sz w:val="11"/>
                <w:szCs w:val="11"/>
                <w:color w:val="auto"/>
              </w:rPr>
              <w:t>Total revenues</w:t>
            </w:r>
          </w:p>
        </w:tc>
        <w:tc>
          <w:tcPr>
            <w:tcW w:w="1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2,528,849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232,590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2,761,439</w:t>
            </w:r>
          </w:p>
        </w:tc>
      </w:tr>
      <w:tr>
        <w:trPr>
          <w:trHeight w:val="182"/>
        </w:trPr>
        <w:tc>
          <w:tcPr>
            <w:tcW w:w="4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1,743,548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40,323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1,783,871</w:t>
            </w: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0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33,749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34,539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107,146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175,434</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Research and development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41,461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41,461</w:t>
            </w: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6,963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6,963</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7,408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19,429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27,090</w:t>
            </w:r>
          </w:p>
        </w:tc>
      </w:tr>
      <w:tr>
        <w:trPr>
          <w:trHeight w:val="17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14,523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124,712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3,335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142,570</w:t>
            </w:r>
          </w:p>
        </w:tc>
      </w:tr>
      <w:tr>
        <w:trPr>
          <w:trHeight w:val="16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1,792,073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206,982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178,334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2,177,389</w:t>
            </w:r>
          </w:p>
        </w:tc>
      </w:tr>
      <w:tr>
        <w:trPr>
          <w:trHeight w:val="182"/>
        </w:trPr>
        <w:tc>
          <w:tcPr>
            <w:tcW w:w="4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(190,628)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(190,628)</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Equity in earnings (losses) of unconsolidated entities </w:t>
            </w:r>
            <w:r>
              <w:rPr>
                <w:rFonts w:ascii="Arial" w:cs="Arial" w:eastAsia="Arial" w:hAnsi="Arial"/>
                <w:sz w:val="7"/>
                <w:szCs w:val="7"/>
                <w:color w:val="auto"/>
              </w:rPr>
              <w:t>(2)</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44,983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ind w:left="660"/>
              <w:spacing w:after="0"/>
              <w:rPr>
                <w:sz w:val="20"/>
                <w:szCs w:val="20"/>
                <w:color w:val="auto"/>
              </w:rPr>
            </w:pPr>
            <w:r>
              <w:rPr>
                <w:rFonts w:ascii="Arial" w:cs="Arial" w:eastAsia="Arial" w:hAnsi="Arial"/>
                <w:sz w:val="11"/>
                <w:szCs w:val="11"/>
                <w:b w:val="1"/>
                <w:bCs w:val="1"/>
                <w:color w:val="auto"/>
              </w:rPr>
              <w:t>(21,652)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24,540</w:t>
            </w: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color w:val="auto"/>
              </w:rPr>
              <w:t>Gain on sale to the 2025 Partnership - affiliate</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17,633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17,633</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56,698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568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57,324</w:t>
            </w:r>
          </w:p>
        </w:tc>
      </w:tr>
      <w:tr>
        <w:trPr>
          <w:trHeight w:val="16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income (expense)</w:t>
            </w:r>
          </w:p>
        </w:tc>
        <w:tc>
          <w:tcPr>
            <w:tcW w:w="1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1,267</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119,314</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(190,060)</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b w:val="1"/>
                <w:bCs w:val="1"/>
                <w:color w:val="auto"/>
              </w:rPr>
              <w:t>(21,652)</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(91,131)</w:t>
            </w:r>
          </w:p>
        </w:tc>
      </w:tr>
      <w:tr>
        <w:trPr>
          <w:trHeight w:val="161"/>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738,043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144,922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(368,394)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ind w:left="660"/>
              <w:spacing w:after="0"/>
              <w:rPr>
                <w:sz w:val="20"/>
                <w:szCs w:val="20"/>
                <w:color w:val="auto"/>
              </w:rPr>
            </w:pPr>
            <w:r>
              <w:rPr>
                <w:rFonts w:ascii="Arial" w:cs="Arial" w:eastAsia="Arial" w:hAnsi="Arial"/>
                <w:sz w:val="11"/>
                <w:szCs w:val="11"/>
                <w:b w:val="1"/>
                <w:bCs w:val="1"/>
                <w:color w:val="auto"/>
              </w:rPr>
              <w:t>(21,652)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492,919</w:t>
            </w: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0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134,550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34,470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(89,702)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79,318</w:t>
            </w:r>
          </w:p>
        </w:tc>
      </w:tr>
      <w:tr>
        <w:trPr>
          <w:trHeight w:val="161"/>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603,493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110,452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(278,692)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1"/>
                <w:szCs w:val="11"/>
                <w:b w:val="1"/>
                <w:bCs w:val="1"/>
                <w:color w:val="auto"/>
              </w:rPr>
              <w:t>(21,652)</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413,601</w:t>
            </w: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color w:val="auto"/>
              </w:rPr>
              <w:t>Less: Dividends on preferred shares</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8,962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8,962</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3,800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3,800</w:t>
            </w:r>
          </w:p>
        </w:tc>
      </w:tr>
      <w:tr>
        <w:trPr>
          <w:trHeight w:val="161"/>
        </w:trPr>
        <w:tc>
          <w:tcPr>
            <w:tcW w:w="438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603,493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110,452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(291,454)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b w:val="1"/>
                <w:bCs w:val="1"/>
                <w:color w:val="auto"/>
              </w:rPr>
              <w:t>(21,652)</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400,839</w:t>
            </w:r>
          </w:p>
        </w:tc>
      </w:tr>
      <w:tr>
        <w:trPr>
          <w:trHeight w:val="20"/>
        </w:trPr>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servicing fees of $17,553 for the nine months ended September 30, 2026 from the SCI Partnerships.</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the profit elimination of $(21,652) for the nine months ended September 30, 2026 for sales to the SCI Partnerships within the Aerospace Products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the Company’s geographic sources of revenue, based on location of customer and lessee,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ind w:left="140"/>
              <w:spacing w:after="0"/>
              <w:rPr>
                <w:sz w:val="20"/>
                <w:szCs w:val="20"/>
                <w:color w:val="auto"/>
              </w:rPr>
            </w:pPr>
            <w:r>
              <w:rPr>
                <w:rFonts w:ascii="Arial" w:cs="Arial" w:eastAsia="Arial" w:hAnsi="Arial"/>
                <w:sz w:val="11"/>
                <w:szCs w:val="11"/>
                <w:b w:val="1"/>
                <w:bCs w:val="1"/>
                <w:color w:val="auto"/>
              </w:rPr>
              <w:t>Nine Months Ended September 30, 2026</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60"/>
        </w:trPr>
        <w:tc>
          <w:tcPr>
            <w:tcW w:w="5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70"/>
        </w:trPr>
        <w:tc>
          <w:tcPr>
            <w:tcW w:w="5760" w:type="dxa"/>
            <w:vAlign w:val="bottom"/>
          </w:tcPr>
          <w:p>
            <w:pPr>
              <w:ind w:left="20"/>
              <w:spacing w:after="0"/>
              <w:rPr>
                <w:sz w:val="20"/>
                <w:szCs w:val="20"/>
                <w:color w:val="auto"/>
              </w:rPr>
            </w:pPr>
            <w:r>
              <w:rPr>
                <w:rFonts w:ascii="Arial" w:cs="Arial" w:eastAsia="Arial" w:hAnsi="Arial"/>
                <w:sz w:val="11"/>
                <w:szCs w:val="11"/>
                <w:color w:val="auto"/>
              </w:rPr>
              <w:t>Africa</w:t>
            </w: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b w:val="1"/>
                <w:bCs w:val="1"/>
                <w:color w:val="auto"/>
              </w:rPr>
              <w:t>20,000</w:t>
            </w:r>
          </w:p>
        </w:tc>
        <w:tc>
          <w:tcPr>
            <w:tcW w:w="8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5,466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gridSpan w:val="2"/>
          </w:tcPr>
          <w:p>
            <w:pPr>
              <w:ind w:left="106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25,466</w:t>
            </w:r>
          </w:p>
        </w:tc>
      </w:tr>
      <w:tr>
        <w:trPr>
          <w:trHeight w:val="170"/>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134,517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62,250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196,767</w:t>
            </w:r>
          </w:p>
        </w:tc>
      </w:tr>
      <w:tr>
        <w:trPr>
          <w:trHeight w:val="170"/>
        </w:trPr>
        <w:tc>
          <w:tcPr>
            <w:tcW w:w="5760" w:type="dxa"/>
            <w:vAlign w:val="bottom"/>
          </w:tcPr>
          <w:p>
            <w:pPr>
              <w:ind w:left="20"/>
              <w:spacing w:after="0"/>
              <w:rPr>
                <w:sz w:val="20"/>
                <w:szCs w:val="20"/>
                <w:color w:val="auto"/>
              </w:rPr>
            </w:pPr>
            <w:r>
              <w:rPr>
                <w:rFonts w:ascii="Arial" w:cs="Arial" w:eastAsia="Arial" w:hAnsi="Arial"/>
                <w:sz w:val="11"/>
                <w:szCs w:val="11"/>
                <w:color w:val="auto"/>
              </w:rPr>
              <w:t>Europe</w:t>
            </w:r>
          </w:p>
        </w:tc>
        <w:tc>
          <w:tcPr>
            <w:tcW w:w="8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b w:val="1"/>
                <w:bCs w:val="1"/>
                <w:color w:val="auto"/>
              </w:rPr>
              <w:t>552,353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81,335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633,688</w:t>
            </w:r>
          </w:p>
        </w:tc>
      </w:tr>
      <w:tr>
        <w:trPr>
          <w:trHeight w:val="170"/>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1,773,031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64,000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1,837,031</w:t>
            </w:r>
          </w:p>
        </w:tc>
      </w:tr>
      <w:tr>
        <w:trPr>
          <w:trHeight w:val="17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South America</w:t>
            </w: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48,948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19,539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68,487</w:t>
            </w:r>
          </w:p>
        </w:tc>
      </w:tr>
      <w:tr>
        <w:trPr>
          <w:trHeight w:val="181"/>
        </w:trPr>
        <w:tc>
          <w:tcPr>
            <w:tcW w:w="5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Total revenues </w:t>
            </w:r>
            <w:r>
              <w:rPr>
                <w:rFonts w:ascii="Arial" w:cs="Arial" w:eastAsia="Arial" w:hAnsi="Arial"/>
                <w:sz w:val="7"/>
                <w:szCs w:val="7"/>
                <w:b w:val="1"/>
                <w:bCs w:val="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2,528,849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232,590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2,761,439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United States, included in North America, Bermuda, included in North America, and Ireland, included in Europe, represent 51%, 12% and 17% of total revenues, respectively, based on the location of our customers and lessees. No other country represents more than 10% of total revenues.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Presented below are the contracted minimum future annual revenues to be received under existing operating leases as of September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September 30, 2026</w:t>
            </w:r>
          </w:p>
        </w:tc>
      </w:tr>
      <w:tr>
        <w:trPr>
          <w:trHeight w:val="161"/>
        </w:trPr>
        <w:tc>
          <w:tcPr>
            <w:tcW w:w="9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Remainder of 2026</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18,004</w:t>
            </w:r>
          </w:p>
        </w:tc>
      </w:tr>
      <w:tr>
        <w:trPr>
          <w:trHeight w:val="167"/>
        </w:trPr>
        <w:tc>
          <w:tcPr>
            <w:tcW w:w="9760" w:type="dxa"/>
            <w:vAlign w:val="bottom"/>
          </w:tcPr>
          <w:p>
            <w:pPr>
              <w:ind w:left="20"/>
              <w:spacing w:after="0"/>
              <w:rPr>
                <w:sz w:val="20"/>
                <w:szCs w:val="20"/>
                <w:color w:val="auto"/>
              </w:rPr>
            </w:pPr>
            <w:r>
              <w:rPr>
                <w:rFonts w:ascii="Arial" w:cs="Arial" w:eastAsia="Arial" w:hAnsi="Arial"/>
                <w:sz w:val="11"/>
                <w:szCs w:val="11"/>
                <w:color w:val="auto"/>
              </w:rPr>
              <w:t>2027</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53,134</w:t>
            </w:r>
          </w:p>
        </w:tc>
      </w:tr>
      <w:tr>
        <w:trPr>
          <w:trHeight w:val="173"/>
        </w:trPr>
        <w:tc>
          <w:tcPr>
            <w:tcW w:w="9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35,927</w:t>
            </w:r>
          </w:p>
        </w:tc>
      </w:tr>
      <w:tr>
        <w:trPr>
          <w:trHeight w:val="167"/>
        </w:trPr>
        <w:tc>
          <w:tcPr>
            <w:tcW w:w="9760" w:type="dxa"/>
            <w:vAlign w:val="bottom"/>
          </w:tcPr>
          <w:p>
            <w:pPr>
              <w:ind w:left="20"/>
              <w:spacing w:after="0"/>
              <w:rPr>
                <w:sz w:val="20"/>
                <w:szCs w:val="20"/>
                <w:color w:val="auto"/>
              </w:rPr>
            </w:pPr>
            <w:r>
              <w:rPr>
                <w:rFonts w:ascii="Arial" w:cs="Arial" w:eastAsia="Arial" w:hAnsi="Arial"/>
                <w:sz w:val="11"/>
                <w:szCs w:val="11"/>
                <w:color w:val="auto"/>
              </w:rPr>
              <w:t>2029</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17,972</w:t>
            </w:r>
          </w:p>
        </w:tc>
      </w:tr>
      <w:tr>
        <w:trPr>
          <w:trHeight w:val="173"/>
        </w:trPr>
        <w:tc>
          <w:tcPr>
            <w:tcW w:w="9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2030</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8,512</w:t>
            </w:r>
          </w:p>
        </w:tc>
      </w:tr>
      <w:tr>
        <w:trPr>
          <w:trHeight w:val="167"/>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5,545</w:t>
            </w:r>
          </w:p>
        </w:tc>
      </w:tr>
      <w:tr>
        <w:trPr>
          <w:trHeight w:val="189"/>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139,094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III. For the Three Months Ended September 30,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1"/>
                <w:szCs w:val="11"/>
                <w:b w:val="1"/>
                <w:bCs w:val="1"/>
                <w:color w:val="auto"/>
              </w:rPr>
              <w:t>Three Months Ended September 30, 2025</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60"/>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Corporate and Other</w:t>
            </w: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1"/>
                <w:szCs w:val="11"/>
                <w:b w:val="1"/>
                <w:bCs w:val="1"/>
                <w:color w:val="auto"/>
              </w:rPr>
              <w:t>Eliminations</w:t>
            </w:r>
          </w:p>
        </w:tc>
        <w:tc>
          <w:tcPr>
            <w:tcW w:w="300" w:type="dxa"/>
            <w:vAlign w:val="bottom"/>
          </w:tcPr>
          <w:p>
            <w:pPr>
              <w:spacing w:after="0"/>
              <w:rPr>
                <w:sz w:val="13"/>
                <w:szCs w:val="13"/>
                <w:color w:val="auto"/>
              </w:rPr>
            </w:pPr>
          </w:p>
        </w:tc>
        <w:tc>
          <w:tcPr>
            <w:tcW w:w="980" w:type="dxa"/>
            <w:vAlign w:val="bottom"/>
          </w:tcPr>
          <w:p>
            <w:pPr>
              <w:jc w:val="right"/>
              <w:ind w:right="443"/>
              <w:spacing w:after="0"/>
              <w:rPr>
                <w:sz w:val="20"/>
                <w:szCs w:val="20"/>
                <w:color w:val="auto"/>
              </w:rPr>
            </w:pPr>
            <w:r>
              <w:rPr>
                <w:rFonts w:ascii="Arial" w:cs="Arial" w:eastAsia="Arial" w:hAnsi="Arial"/>
                <w:sz w:val="11"/>
                <w:szCs w:val="11"/>
                <w:b w:val="1"/>
                <w:bCs w:val="1"/>
                <w:color w:val="auto"/>
              </w:rPr>
              <w:t>Total</w:t>
            </w:r>
          </w:p>
        </w:tc>
      </w:tr>
      <w:tr>
        <w:trPr>
          <w:trHeight w:val="15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67"/>
        </w:trPr>
        <w:tc>
          <w:tcPr>
            <w:tcW w:w="448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459,206</w:t>
            </w:r>
          </w:p>
        </w:tc>
        <w:tc>
          <w:tcPr>
            <w:tcW w:w="10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459,206</w:t>
            </w:r>
          </w:p>
        </w:tc>
      </w:tr>
      <w:tr>
        <w:trPr>
          <w:trHeight w:val="173"/>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 - affiliate</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58,663</w:t>
            </w:r>
          </w:p>
        </w:tc>
      </w:tr>
      <w:tr>
        <w:trPr>
          <w:trHeight w:val="167"/>
        </w:trPr>
        <w:tc>
          <w:tcPr>
            <w:tcW w:w="448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55,072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55,072</w:t>
            </w:r>
          </w:p>
        </w:tc>
      </w:tr>
      <w:tr>
        <w:trPr>
          <w:trHeight w:val="173"/>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52,370</w:t>
            </w:r>
          </w:p>
        </w:tc>
      </w:tr>
      <w:tr>
        <w:trPr>
          <w:trHeight w:val="167"/>
        </w:trPr>
        <w:tc>
          <w:tcPr>
            <w:tcW w:w="448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38,461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38,461</w:t>
            </w:r>
          </w:p>
        </w:tc>
      </w:tr>
      <w:tr>
        <w:trPr>
          <w:trHeight w:val="170"/>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revenue </w:t>
            </w:r>
            <w:r>
              <w:rPr>
                <w:rFonts w:ascii="Arial" w:cs="Arial" w:eastAsia="Arial" w:hAnsi="Arial"/>
                <w:sz w:val="7"/>
                <w:szCs w:val="7"/>
                <w:color w:val="auto"/>
              </w:rPr>
              <w:t>(1)</w:t>
            </w:r>
          </w:p>
        </w:tc>
        <w:tc>
          <w:tcPr>
            <w:tcW w:w="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3,292</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3,292</w:t>
            </w:r>
          </w:p>
        </w:tc>
      </w:tr>
      <w:tr>
        <w:trPr>
          <w:trHeight w:val="160"/>
        </w:trPr>
        <w:tc>
          <w:tcPr>
            <w:tcW w:w="4480" w:type="dxa"/>
            <w:vAlign w:val="bottom"/>
          </w:tcPr>
          <w:p>
            <w:pPr>
              <w:ind w:left="20"/>
              <w:spacing w:after="0"/>
              <w:rPr>
                <w:sz w:val="20"/>
                <w:szCs w:val="20"/>
                <w:color w:val="auto"/>
              </w:rPr>
            </w:pPr>
            <w:r>
              <w:rPr>
                <w:rFonts w:ascii="Arial" w:cs="Arial" w:eastAsia="Arial" w:hAnsi="Arial"/>
                <w:sz w:val="11"/>
                <w:szCs w:val="11"/>
                <w:color w:val="auto"/>
              </w:rPr>
              <w:t>Total revenues</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517,869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149,195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667,064</w:t>
            </w:r>
          </w:p>
        </w:tc>
      </w:tr>
      <w:tr>
        <w:trPr>
          <w:trHeight w:val="195"/>
        </w:trPr>
        <w:tc>
          <w:tcPr>
            <w:tcW w:w="4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70"/>
        </w:trPr>
        <w:tc>
          <w:tcPr>
            <w:tcW w:w="448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328,153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362,922</w:t>
            </w:r>
          </w:p>
        </w:tc>
      </w:tr>
      <w:tr>
        <w:trPr>
          <w:trHeight w:val="179"/>
        </w:trPr>
        <w:tc>
          <w:tcPr>
            <w:tcW w:w="448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10,545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10,146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18,401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39,092</w:t>
            </w:r>
          </w:p>
        </w:tc>
      </w:tr>
      <w:tr>
        <w:trPr>
          <w:trHeight w:val="182"/>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1,829</w:t>
            </w:r>
          </w:p>
        </w:tc>
      </w:tr>
      <w:tr>
        <w:trPr>
          <w:trHeight w:val="179"/>
        </w:trPr>
        <w:tc>
          <w:tcPr>
            <w:tcW w:w="4480" w:type="dxa"/>
            <w:vAlign w:val="bottom"/>
          </w:tcPr>
          <w:p>
            <w:pPr>
              <w:ind w:left="20"/>
              <w:spacing w:after="0"/>
              <w:rPr>
                <w:sz w:val="20"/>
                <w:szCs w:val="20"/>
                <w:color w:val="auto"/>
              </w:rPr>
            </w:pPr>
            <w:r>
              <w:rPr>
                <w:rFonts w:ascii="Arial" w:cs="Arial" w:eastAsia="Arial" w:hAnsi="Arial"/>
                <w:sz w:val="11"/>
                <w:szCs w:val="11"/>
                <w:color w:val="auto"/>
              </w:rPr>
              <w:t>Acquisition and transaction expenses</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3,571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2,896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7,066</w:t>
            </w: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3,930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50,226</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55,278</w:t>
            </w:r>
          </w:p>
        </w:tc>
      </w:tr>
      <w:tr>
        <w:trPr>
          <w:trHeight w:val="171"/>
        </w:trPr>
        <w:tc>
          <w:tcPr>
            <w:tcW w:w="4480" w:type="dxa"/>
            <w:vAlign w:val="bottom"/>
          </w:tcPr>
          <w:p>
            <w:pPr>
              <w:ind w:left="20"/>
              <w:spacing w:after="0"/>
              <w:rPr>
                <w:sz w:val="20"/>
                <w:szCs w:val="20"/>
                <w:color w:val="auto"/>
              </w:rPr>
            </w:pPr>
            <w:r>
              <w:rPr>
                <w:rFonts w:ascii="Arial" w:cs="Arial" w:eastAsia="Arial" w:hAnsi="Arial"/>
                <w:sz w:val="11"/>
                <w:szCs w:val="11"/>
                <w:color w:val="auto"/>
              </w:rPr>
              <w:t>Total expenses</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343,227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98,712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24,248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466,187</w:t>
            </w:r>
          </w:p>
        </w:tc>
      </w:tr>
      <w:tr>
        <w:trPr>
          <w:trHeight w:val="193"/>
        </w:trPr>
        <w:tc>
          <w:tcPr>
            <w:tcW w:w="4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70"/>
        </w:trPr>
        <w:tc>
          <w:tcPr>
            <w:tcW w:w="4480" w:type="dxa"/>
            <w:vAlign w:val="bottom"/>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(60,784)</w:t>
            </w:r>
          </w:p>
        </w:tc>
      </w:tr>
      <w:tr>
        <w:trPr>
          <w:trHeight w:val="167"/>
        </w:trPr>
        <w:tc>
          <w:tcPr>
            <w:tcW w:w="4480" w:type="dxa"/>
            <w:vAlign w:val="bottom"/>
          </w:tcPr>
          <w:p>
            <w:pPr>
              <w:ind w:left="20"/>
              <w:spacing w:after="0"/>
              <w:rPr>
                <w:sz w:val="20"/>
                <w:szCs w:val="20"/>
                <w:color w:val="auto"/>
              </w:rPr>
            </w:pPr>
            <w:r>
              <w:rPr>
                <w:rFonts w:ascii="Arial" w:cs="Arial" w:eastAsia="Arial" w:hAnsi="Arial"/>
                <w:sz w:val="11"/>
                <w:szCs w:val="11"/>
                <w:color w:val="auto"/>
              </w:rPr>
              <w:t xml:space="preserve">Equity in earnings (losses) of unconsolidated entities </w:t>
            </w:r>
            <w:r>
              <w:rPr>
                <w:rFonts w:ascii="Arial" w:cs="Arial" w:eastAsia="Arial" w:hAnsi="Arial"/>
                <w:sz w:val="7"/>
                <w:szCs w:val="7"/>
                <w:color w:val="auto"/>
              </w:rPr>
              <w:t>(2)</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(3,908)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(4,224)</w:t>
            </w:r>
          </w:p>
        </w:tc>
      </w:tr>
      <w:tr>
        <w:trPr>
          <w:trHeight w:val="184"/>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to the 2025 Partnership - affiliate</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4,609</w:t>
            </w:r>
          </w:p>
        </w:tc>
      </w:tr>
      <w:tr>
        <w:trPr>
          <w:trHeight w:val="179"/>
        </w:trPr>
        <w:tc>
          <w:tcPr>
            <w:tcW w:w="4480" w:type="dxa"/>
            <w:vAlign w:val="bottom"/>
          </w:tcPr>
          <w:p>
            <w:pPr>
              <w:ind w:left="20"/>
              <w:spacing w:after="0"/>
              <w:rPr>
                <w:sz w:val="20"/>
                <w:szCs w:val="20"/>
                <w:color w:val="auto"/>
              </w:rPr>
            </w:pPr>
            <w:r>
              <w:rPr>
                <w:rFonts w:ascii="Arial" w:cs="Arial" w:eastAsia="Arial" w:hAnsi="Arial"/>
                <w:sz w:val="11"/>
                <w:szCs w:val="11"/>
                <w:color w:val="auto"/>
              </w:rPr>
              <w:t>Other income</w:t>
            </w:r>
          </w:p>
        </w:tc>
        <w:tc>
          <w:tcPr>
            <w:tcW w:w="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1,467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3,570</w:t>
            </w:r>
          </w:p>
        </w:tc>
      </w:tr>
      <w:tr>
        <w:trPr>
          <w:trHeight w:val="158"/>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other income (expense)</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5,629</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(59,317)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(3,908)</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(56,829)</w:t>
            </w:r>
          </w:p>
        </w:tc>
      </w:tr>
      <w:tr>
        <w:trPr>
          <w:trHeight w:val="163"/>
        </w:trPr>
        <w:tc>
          <w:tcPr>
            <w:tcW w:w="448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175,409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56,112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(83,565)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(3,908)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144,048</w:t>
            </w:r>
          </w:p>
        </w:tc>
      </w:tr>
      <w:tr>
        <w:trPr>
          <w:trHeight w:val="179"/>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26,330</w:t>
            </w:r>
          </w:p>
        </w:tc>
      </w:tr>
      <w:tr>
        <w:trPr>
          <w:trHeight w:val="161"/>
        </w:trPr>
        <w:tc>
          <w:tcPr>
            <w:tcW w:w="448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148,594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41,612</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(68,580)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(3,908)</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117,718</w:t>
            </w:r>
          </w:p>
        </w:tc>
      </w:tr>
      <w:tr>
        <w:trPr>
          <w:trHeight w:val="167"/>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3,709</w:t>
            </w:r>
          </w:p>
        </w:tc>
      </w:tr>
      <w:tr>
        <w:trPr>
          <w:trHeight w:val="164"/>
        </w:trPr>
        <w:tc>
          <w:tcPr>
            <w:tcW w:w="448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148,594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41,612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(72,289)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(3,908)</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114,009</w:t>
            </w:r>
          </w:p>
        </w:tc>
      </w:tr>
      <w:tr>
        <w:trPr>
          <w:trHeight w:val="20"/>
        </w:trPr>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servicing fees of $3,035 for the three months ended September 30, 2025 from the 2025 Partnership.</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the profit elimination of $(3,908) for the three months ended September 30, 2025 for sales to the 2025 Partnership within the Aerospace Products segment.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the Company’s geographic sources of revenue, based on location of customer and lessee,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Three Months Ended September 30, 2025</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60"/>
        </w:trPr>
        <w:tc>
          <w:tcPr>
            <w:tcW w:w="5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67"/>
        </w:trPr>
        <w:tc>
          <w:tcPr>
            <w:tcW w:w="5780" w:type="dxa"/>
            <w:vAlign w:val="bottom"/>
          </w:tcPr>
          <w:p>
            <w:pPr>
              <w:ind w:left="20"/>
              <w:spacing w:after="0"/>
              <w:rPr>
                <w:sz w:val="20"/>
                <w:szCs w:val="20"/>
                <w:color w:val="auto"/>
              </w:rPr>
            </w:pPr>
            <w:r>
              <w:rPr>
                <w:rFonts w:ascii="Arial" w:cs="Arial" w:eastAsia="Arial" w:hAnsi="Arial"/>
                <w:sz w:val="11"/>
                <w:szCs w:val="11"/>
                <w:color w:val="auto"/>
              </w:rPr>
              <w:t>Africa</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25,720</w:t>
            </w:r>
          </w:p>
        </w:tc>
        <w:tc>
          <w:tcPr>
            <w:tcW w:w="10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7,919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ind w:left="106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33,639</w:t>
            </w:r>
          </w:p>
        </w:tc>
      </w:tr>
      <w:tr>
        <w:trPr>
          <w:trHeight w:val="173"/>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98,644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43,658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142,302</w:t>
            </w:r>
          </w:p>
        </w:tc>
      </w:tr>
      <w:tr>
        <w:trPr>
          <w:trHeight w:val="167"/>
        </w:trPr>
        <w:tc>
          <w:tcPr>
            <w:tcW w:w="5780" w:type="dxa"/>
            <w:vAlign w:val="bottom"/>
          </w:tcPr>
          <w:p>
            <w:pPr>
              <w:ind w:left="20"/>
              <w:spacing w:after="0"/>
              <w:rPr>
                <w:sz w:val="20"/>
                <w:szCs w:val="20"/>
                <w:color w:val="auto"/>
              </w:rPr>
            </w:pPr>
            <w:r>
              <w:rPr>
                <w:rFonts w:ascii="Arial" w:cs="Arial" w:eastAsia="Arial" w:hAnsi="Arial"/>
                <w:sz w:val="11"/>
                <w:szCs w:val="11"/>
                <w:color w:val="auto"/>
              </w:rPr>
              <w:t>Europe</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97,302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48,295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145,597</w:t>
            </w:r>
          </w:p>
        </w:tc>
      </w:tr>
      <w:tr>
        <w:trPr>
          <w:trHeight w:val="173"/>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286,006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41,803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327,809</w:t>
            </w:r>
          </w:p>
        </w:tc>
      </w:tr>
      <w:tr>
        <w:trPr>
          <w:trHeight w:val="167"/>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South America</w:t>
            </w: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10,197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7,520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17,717</w:t>
            </w:r>
          </w:p>
        </w:tc>
      </w:tr>
      <w:tr>
        <w:trPr>
          <w:trHeight w:val="184"/>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Total revenues </w:t>
            </w:r>
            <w:r>
              <w:rPr>
                <w:rFonts w:ascii="Arial" w:cs="Arial" w:eastAsia="Arial" w:hAnsi="Arial"/>
                <w:sz w:val="7"/>
                <w:szCs w:val="7"/>
                <w:b w:val="1"/>
                <w:bCs w:val="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517,869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149,195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667,064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United States, included in North America, and Ireland, included in Europe, represent 38% and 14% of total revenues, respectively, based on the location of the Company’s customers and lessees. No other country represents more than 10% of total revenues.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IV. For the Nine Months Ended September 30,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6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1"/>
                <w:szCs w:val="11"/>
                <w:b w:val="1"/>
                <w:bCs w:val="1"/>
                <w:color w:val="auto"/>
              </w:rPr>
              <w:t>Nine Months Ended September 30, 2025</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60"/>
        </w:trPr>
        <w:tc>
          <w:tcPr>
            <w:tcW w:w="4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Corporate and Other</w:t>
            </w: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b w:val="1"/>
                <w:bCs w:val="1"/>
                <w:color w:val="auto"/>
              </w:rPr>
              <w:t>Eliminations</w:t>
            </w:r>
          </w:p>
        </w:tc>
        <w:tc>
          <w:tcPr>
            <w:tcW w:w="30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67"/>
        </w:trPr>
        <w:tc>
          <w:tcPr>
            <w:tcW w:w="438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1,144,317</w:t>
            </w:r>
          </w:p>
        </w:tc>
        <w:tc>
          <w:tcPr>
            <w:tcW w:w="10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2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200" w:type="dxa"/>
            <w:vAlign w:val="bottom"/>
            <w:gridSpan w:val="2"/>
          </w:tcPr>
          <w:p>
            <w:pPr>
              <w:ind w:left="9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1,144,317</w:t>
            </w:r>
          </w:p>
        </w:tc>
      </w:tr>
      <w:tr>
        <w:trPr>
          <w:trHeight w:val="173"/>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 - affiliate</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228,886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228,886</w:t>
            </w:r>
          </w:p>
        </w:tc>
      </w:tr>
      <w:tr>
        <w:trPr>
          <w:trHeight w:val="167"/>
        </w:trPr>
        <w:tc>
          <w:tcPr>
            <w:tcW w:w="438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185,951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185,951</w:t>
            </w:r>
          </w:p>
        </w:tc>
      </w:tr>
      <w:tr>
        <w:trPr>
          <w:trHeight w:val="173"/>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175,081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175,081</w:t>
            </w:r>
          </w:p>
        </w:tc>
      </w:tr>
      <w:tr>
        <w:trPr>
          <w:trHeight w:val="167"/>
        </w:trPr>
        <w:tc>
          <w:tcPr>
            <w:tcW w:w="438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105,315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105,315</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revenue </w:t>
            </w:r>
            <w:r>
              <w:rPr>
                <w:rFonts w:ascii="Arial" w:cs="Arial" w:eastAsia="Arial" w:hAnsi="Arial"/>
                <w:sz w:val="7"/>
                <w:szCs w:val="7"/>
                <w:color w:val="auto"/>
              </w:rPr>
              <w:t>(1)</w:t>
            </w: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5,827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5,831</w:t>
            </w:r>
          </w:p>
        </w:tc>
      </w:tr>
      <w:tr>
        <w:trPr>
          <w:trHeight w:val="160"/>
        </w:trPr>
        <w:tc>
          <w:tcPr>
            <w:tcW w:w="4380" w:type="dxa"/>
            <w:vAlign w:val="bottom"/>
          </w:tcPr>
          <w:p>
            <w:pPr>
              <w:ind w:left="20"/>
              <w:spacing w:after="0"/>
              <w:rPr>
                <w:sz w:val="20"/>
                <w:szCs w:val="20"/>
                <w:color w:val="auto"/>
              </w:rPr>
            </w:pPr>
            <w:r>
              <w:rPr>
                <w:rFonts w:ascii="Arial" w:cs="Arial" w:eastAsia="Arial" w:hAnsi="Arial"/>
                <w:sz w:val="11"/>
                <w:szCs w:val="11"/>
                <w:color w:val="auto"/>
              </w:rPr>
              <w:t>Total revenues</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1,373,203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472,174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1,845,381</w:t>
            </w:r>
          </w:p>
        </w:tc>
      </w:tr>
      <w:tr>
        <w:trPr>
          <w:trHeight w:val="100"/>
        </w:trPr>
        <w:tc>
          <w:tcPr>
            <w:tcW w:w="43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874,377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106,517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980,894</w:t>
            </w:r>
          </w:p>
        </w:tc>
      </w:tr>
      <w:tr>
        <w:trPr>
          <w:trHeight w:val="167"/>
        </w:trPr>
        <w:tc>
          <w:tcPr>
            <w:tcW w:w="438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25,221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28,661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51,976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105,858</w:t>
            </w:r>
          </w:p>
        </w:tc>
      </w:tr>
      <w:tr>
        <w:trPr>
          <w:trHeight w:val="173"/>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7,387</w:t>
            </w:r>
          </w:p>
        </w:tc>
      </w:tr>
      <w:tr>
        <w:trPr>
          <w:trHeight w:val="167"/>
        </w:trPr>
        <w:tc>
          <w:tcPr>
            <w:tcW w:w="4380" w:type="dxa"/>
            <w:vAlign w:val="bottom"/>
          </w:tcPr>
          <w:p>
            <w:pPr>
              <w:ind w:left="20"/>
              <w:spacing w:after="0"/>
              <w:rPr>
                <w:sz w:val="20"/>
                <w:szCs w:val="20"/>
                <w:color w:val="auto"/>
              </w:rPr>
            </w:pPr>
            <w:r>
              <w:rPr>
                <w:rFonts w:ascii="Arial" w:cs="Arial" w:eastAsia="Arial" w:hAnsi="Arial"/>
                <w:sz w:val="11"/>
                <w:szCs w:val="11"/>
                <w:color w:val="auto"/>
              </w:rPr>
              <w:t>Acquisition and transaction expenses</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3,145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7,053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8,649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18,847</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11,218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155,710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3,148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170,076</w:t>
            </w:r>
          </w:p>
        </w:tc>
      </w:tr>
      <w:tr>
        <w:trPr>
          <w:trHeight w:val="160"/>
        </w:trPr>
        <w:tc>
          <w:tcPr>
            <w:tcW w:w="4380" w:type="dxa"/>
            <w:vAlign w:val="bottom"/>
          </w:tcPr>
          <w:p>
            <w:pPr>
              <w:ind w:left="20"/>
              <w:spacing w:after="0"/>
              <w:rPr>
                <w:sz w:val="20"/>
                <w:szCs w:val="20"/>
                <w:color w:val="auto"/>
              </w:rPr>
            </w:pPr>
            <w:r>
              <w:rPr>
                <w:rFonts w:ascii="Arial" w:cs="Arial" w:eastAsia="Arial" w:hAnsi="Arial"/>
                <w:sz w:val="11"/>
                <w:szCs w:val="11"/>
                <w:color w:val="auto"/>
              </w:rPr>
              <w:t>Total expenses</w:t>
            </w: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913,961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297,941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71,160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1,283,062</w:t>
            </w:r>
          </w:p>
        </w:tc>
      </w:tr>
      <w:tr>
        <w:trPr>
          <w:trHeight w:val="100"/>
        </w:trPr>
        <w:tc>
          <w:tcPr>
            <w:tcW w:w="43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r>
      <w:tr>
        <w:trPr>
          <w:trHeight w:val="170"/>
        </w:trPr>
        <w:tc>
          <w:tcPr>
            <w:tcW w:w="4380" w:type="dxa"/>
            <w:vAlign w:val="bottom"/>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(186,789)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(186,789)</w:t>
            </w:r>
          </w:p>
        </w:tc>
      </w:tr>
      <w:tr>
        <w:trPr>
          <w:trHeight w:val="167"/>
        </w:trPr>
        <w:tc>
          <w:tcPr>
            <w:tcW w:w="4380" w:type="dxa"/>
            <w:vAlign w:val="bottom"/>
          </w:tcPr>
          <w:p>
            <w:pPr>
              <w:ind w:left="20"/>
              <w:spacing w:after="0"/>
              <w:rPr>
                <w:sz w:val="20"/>
                <w:szCs w:val="20"/>
                <w:color w:val="auto"/>
              </w:rPr>
            </w:pPr>
            <w:r>
              <w:rPr>
                <w:rFonts w:ascii="Arial" w:cs="Arial" w:eastAsia="Arial" w:hAnsi="Arial"/>
                <w:sz w:val="11"/>
                <w:szCs w:val="11"/>
                <w:color w:val="auto"/>
              </w:rPr>
              <w:t xml:space="preserve">Equity in earnings (losses) of unconsolidated entities </w:t>
            </w:r>
            <w:r>
              <w:rPr>
                <w:rFonts w:ascii="Arial" w:cs="Arial" w:eastAsia="Arial" w:hAnsi="Arial"/>
                <w:sz w:val="7"/>
                <w:szCs w:val="7"/>
                <w:color w:val="auto"/>
              </w:rPr>
              <w:t>(2)</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1,594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(2,642)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100" w:type="dxa"/>
            <w:vAlign w:val="bottom"/>
          </w:tcPr>
          <w:p>
            <w:pPr>
              <w:ind w:left="660"/>
              <w:spacing w:after="0"/>
              <w:rPr>
                <w:sz w:val="20"/>
                <w:szCs w:val="20"/>
                <w:color w:val="auto"/>
              </w:rPr>
            </w:pPr>
            <w:r>
              <w:rPr>
                <w:rFonts w:ascii="Arial" w:cs="Arial" w:eastAsia="Arial" w:hAnsi="Arial"/>
                <w:sz w:val="11"/>
                <w:szCs w:val="11"/>
                <w:color w:val="auto"/>
              </w:rPr>
              <w:t>(15,793)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(16,841)</w:t>
            </w:r>
          </w:p>
        </w:tc>
      </w:tr>
      <w:tr>
        <w:trPr>
          <w:trHeight w:val="173"/>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to the 2025 Partnership - affiliate</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50,083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50,083</w:t>
            </w:r>
          </w:p>
        </w:tc>
      </w:tr>
      <w:tr>
        <w:trPr>
          <w:trHeight w:val="167"/>
        </w:trPr>
        <w:tc>
          <w:tcPr>
            <w:tcW w:w="4380" w:type="dxa"/>
            <w:vAlign w:val="bottom"/>
          </w:tcPr>
          <w:p>
            <w:pPr>
              <w:ind w:left="20"/>
              <w:spacing w:after="0"/>
              <w:rPr>
                <w:sz w:val="20"/>
                <w:szCs w:val="20"/>
                <w:color w:val="auto"/>
              </w:rPr>
            </w:pPr>
            <w:r>
              <w:rPr>
                <w:rFonts w:ascii="Arial" w:cs="Arial" w:eastAsia="Arial" w:hAnsi="Arial"/>
                <w:sz w:val="11"/>
                <w:szCs w:val="11"/>
                <w:color w:val="auto"/>
              </w:rPr>
              <w:t>Other income</w:t>
            </w: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61,696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2,101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63,797</w:t>
            </w:r>
          </w:p>
        </w:tc>
      </w:tr>
      <w:tr>
        <w:trPr>
          <w:trHeight w:val="16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other income (expense)</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1,594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109,137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(184,688)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(15,793)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(89,750)</w:t>
            </w:r>
          </w:p>
        </w:tc>
      </w:tr>
      <w:tr>
        <w:trPr>
          <w:trHeight w:val="163"/>
        </w:trPr>
        <w:tc>
          <w:tcPr>
            <w:tcW w:w="438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460,836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283,370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(255,844)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ind w:left="660"/>
              <w:spacing w:after="0"/>
              <w:rPr>
                <w:sz w:val="20"/>
                <w:szCs w:val="20"/>
                <w:color w:val="auto"/>
              </w:rPr>
            </w:pPr>
            <w:r>
              <w:rPr>
                <w:rFonts w:ascii="Arial" w:cs="Arial" w:eastAsia="Arial" w:hAnsi="Arial"/>
                <w:sz w:val="11"/>
                <w:szCs w:val="11"/>
                <w:color w:val="auto"/>
              </w:rPr>
              <w:t>(15,793)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472,569</w:t>
            </w:r>
          </w:p>
        </w:tc>
      </w:tr>
      <w:tr>
        <w:trPr>
          <w:trHeight w:val="167"/>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72,017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58,301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87,067</w:t>
            </w:r>
          </w:p>
        </w:tc>
      </w:tr>
      <w:tr>
        <w:trPr>
          <w:trHeight w:val="163"/>
        </w:trPr>
        <w:tc>
          <w:tcPr>
            <w:tcW w:w="4380" w:type="dxa"/>
            <w:vAlign w:val="bottom"/>
          </w:tcPr>
          <w:p>
            <w:pPr>
              <w:ind w:left="2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388,819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225,069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(212,593)</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660"/>
              <w:spacing w:after="0"/>
              <w:rPr>
                <w:sz w:val="20"/>
                <w:szCs w:val="20"/>
                <w:color w:val="auto"/>
              </w:rPr>
            </w:pPr>
            <w:r>
              <w:rPr>
                <w:rFonts w:ascii="Arial" w:cs="Arial" w:eastAsia="Arial" w:hAnsi="Arial"/>
                <w:sz w:val="11"/>
                <w:szCs w:val="11"/>
                <w:color w:val="auto"/>
              </w:rPr>
              <w:t>(15,793)</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385,502</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Dividends on preferred shares</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13,533</w:t>
            </w:r>
          </w:p>
        </w:tc>
      </w:tr>
      <w:tr>
        <w:trPr>
          <w:trHeight w:val="167"/>
        </w:trPr>
        <w:tc>
          <w:tcPr>
            <w:tcW w:w="4380" w:type="dxa"/>
            <w:vAlign w:val="bottom"/>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6,327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9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6,327</w:t>
            </w:r>
          </w:p>
        </w:tc>
      </w:tr>
      <w:tr>
        <w:trPr>
          <w:trHeight w:val="189"/>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attributable to shareholders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388,819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225,069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(232,453)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(15,793)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365,642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Includes servicing fees of $5,635 for the nine months ended September 30, 2025 from the 2025 Partnership.</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Includes the profit elimination of $(15,793) for the nine months ended September 30, 2025 for sales to the 2025 Partnership within the Aerospace Products segment.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color w:val="auto"/>
        </w:rPr>
        <w:t>Summary information with respect to the Company’s geographic sources of revenue, based on location of customer and lessee,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Nine Months Ended September 30, 2025</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60"/>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Aerospace Products</w:t>
            </w:r>
          </w:p>
        </w:tc>
        <w:tc>
          <w:tcPr>
            <w:tcW w:w="14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Aviation Leasing</w:t>
            </w:r>
          </w:p>
        </w:tc>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 and Other</w:t>
            </w:r>
          </w:p>
        </w:tc>
        <w:tc>
          <w:tcPr>
            <w:tcW w:w="300" w:type="dxa"/>
            <w:vAlign w:val="bottom"/>
          </w:tcPr>
          <w:p>
            <w:pPr>
              <w:spacing w:after="0"/>
              <w:rPr>
                <w:sz w:val="13"/>
                <w:szCs w:val="13"/>
                <w:color w:val="auto"/>
              </w:rPr>
            </w:pPr>
          </w:p>
        </w:tc>
        <w:tc>
          <w:tcPr>
            <w:tcW w:w="1020" w:type="dxa"/>
            <w:vAlign w:val="bottom"/>
          </w:tcPr>
          <w:p>
            <w:pPr>
              <w:jc w:val="right"/>
              <w:ind w:right="463"/>
              <w:spacing w:after="0"/>
              <w:rPr>
                <w:sz w:val="20"/>
                <w:szCs w:val="20"/>
                <w:color w:val="auto"/>
              </w:rPr>
            </w:pPr>
            <w:r>
              <w:rPr>
                <w:rFonts w:ascii="Arial" w:cs="Arial" w:eastAsia="Arial" w:hAnsi="Arial"/>
                <w:sz w:val="11"/>
                <w:szCs w:val="11"/>
                <w:b w:val="1"/>
                <w:bCs w:val="1"/>
                <w:color w:val="auto"/>
              </w:rPr>
              <w:t>Total</w:t>
            </w:r>
          </w:p>
        </w:tc>
      </w:tr>
      <w:tr>
        <w:trPr>
          <w:trHeight w:val="15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67"/>
        </w:trPr>
        <w:tc>
          <w:tcPr>
            <w:tcW w:w="5740" w:type="dxa"/>
            <w:vAlign w:val="bottom"/>
          </w:tcPr>
          <w:p>
            <w:pPr>
              <w:ind w:left="20"/>
              <w:spacing w:after="0"/>
              <w:rPr>
                <w:sz w:val="20"/>
                <w:szCs w:val="20"/>
                <w:color w:val="auto"/>
              </w:rPr>
            </w:pPr>
            <w:r>
              <w:rPr>
                <w:rFonts w:ascii="Arial" w:cs="Arial" w:eastAsia="Arial" w:hAnsi="Arial"/>
                <w:sz w:val="11"/>
                <w:szCs w:val="11"/>
                <w:color w:val="auto"/>
              </w:rPr>
              <w:t>Africa</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52,202</w:t>
            </w:r>
          </w:p>
        </w:tc>
        <w:tc>
          <w:tcPr>
            <w:tcW w:w="10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18,713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70,915</w:t>
            </w:r>
          </w:p>
        </w:tc>
      </w:tr>
      <w:tr>
        <w:trPr>
          <w:trHeight w:val="173"/>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180,930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130,010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310,944</w:t>
            </w:r>
          </w:p>
        </w:tc>
      </w:tr>
      <w:tr>
        <w:trPr>
          <w:trHeight w:val="167"/>
        </w:trPr>
        <w:tc>
          <w:tcPr>
            <w:tcW w:w="5740" w:type="dxa"/>
            <w:vAlign w:val="bottom"/>
          </w:tcPr>
          <w:p>
            <w:pPr>
              <w:ind w:left="20"/>
              <w:spacing w:after="0"/>
              <w:rPr>
                <w:sz w:val="20"/>
                <w:szCs w:val="20"/>
                <w:color w:val="auto"/>
              </w:rPr>
            </w:pPr>
            <w:r>
              <w:rPr>
                <w:rFonts w:ascii="Arial" w:cs="Arial" w:eastAsia="Arial" w:hAnsi="Arial"/>
                <w:sz w:val="11"/>
                <w:szCs w:val="11"/>
                <w:color w:val="auto"/>
              </w:rPr>
              <w:t>Europe</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320,618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205,596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526,214</w:t>
            </w:r>
          </w:p>
        </w:tc>
      </w:tr>
      <w:tr>
        <w:trPr>
          <w:trHeight w:val="173"/>
        </w:trPr>
        <w:tc>
          <w:tcPr>
            <w:tcW w:w="5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791,477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91,668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883,145</w:t>
            </w:r>
          </w:p>
        </w:tc>
      </w:tr>
      <w:tr>
        <w:trPr>
          <w:trHeight w:val="167"/>
        </w:trPr>
        <w:tc>
          <w:tcPr>
            <w:tcW w:w="5740" w:type="dxa"/>
            <w:vAlign w:val="bottom"/>
          </w:tcPr>
          <w:p>
            <w:pPr>
              <w:ind w:left="20"/>
              <w:spacing w:after="0"/>
              <w:rPr>
                <w:sz w:val="20"/>
                <w:szCs w:val="20"/>
                <w:color w:val="auto"/>
              </w:rPr>
            </w:pPr>
            <w:r>
              <w:rPr>
                <w:rFonts w:ascii="Arial" w:cs="Arial" w:eastAsia="Arial" w:hAnsi="Arial"/>
                <w:sz w:val="11"/>
                <w:szCs w:val="11"/>
                <w:color w:val="auto"/>
              </w:rPr>
              <w:t>South America</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27,976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26,187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54,163</w:t>
            </w:r>
          </w:p>
        </w:tc>
      </w:tr>
      <w:tr>
        <w:trPr>
          <w:trHeight w:val="189"/>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Total revenues </w:t>
            </w:r>
            <w:r>
              <w:rPr>
                <w:rFonts w:ascii="Arial" w:cs="Arial" w:eastAsia="Arial" w:hAnsi="Arial"/>
                <w:sz w:val="7"/>
                <w:szCs w:val="7"/>
                <w:b w:val="1"/>
                <w:bCs w:val="1"/>
                <w:color w:val="auto"/>
              </w:rPr>
              <w:t>(1)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1,373,203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472,174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1,845,381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United States, included in North America, and Ireland, included in Europe, represent 33% and 16% of total revenues, respectively, based on the location of the Company’s customers and lessees. No other country represents more than 10% of total revenues.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V. Location of Long-Lived Assets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sets forth the geographic location of property, plant and equipment and leasing equipment,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6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September 30, 2026 (unaudited)</w:t>
            </w: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December 31, 2025</w:t>
            </w:r>
          </w:p>
        </w:tc>
      </w:tr>
      <w:tr>
        <w:trPr>
          <w:trHeight w:val="150"/>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Property, plant and equipment and leasing equipment, net</w:t>
            </w:r>
          </w:p>
        </w:tc>
        <w:tc>
          <w:tcPr>
            <w:tcW w:w="6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70"/>
        </w:trPr>
        <w:tc>
          <w:tcPr>
            <w:tcW w:w="7660" w:type="dxa"/>
            <w:vAlign w:val="bottom"/>
          </w:tcPr>
          <w:p>
            <w:pPr>
              <w:ind w:left="20"/>
              <w:spacing w:after="0"/>
              <w:rPr>
                <w:sz w:val="20"/>
                <w:szCs w:val="20"/>
                <w:color w:val="auto"/>
              </w:rPr>
            </w:pPr>
            <w:r>
              <w:rPr>
                <w:rFonts w:ascii="Arial" w:cs="Arial" w:eastAsia="Arial" w:hAnsi="Arial"/>
                <w:sz w:val="11"/>
                <w:szCs w:val="11"/>
                <w:color w:val="auto"/>
              </w:rPr>
              <w:t>Africa</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23,731</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17,174</w:t>
            </w:r>
          </w:p>
        </w:tc>
      </w:tr>
      <w:tr>
        <w:trPr>
          <w:trHeight w:val="170"/>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Asia</w:t>
            </w:r>
          </w:p>
        </w:tc>
        <w:tc>
          <w:tcPr>
            <w:tcW w:w="6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265,007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323,542</w:t>
            </w:r>
          </w:p>
        </w:tc>
      </w:tr>
      <w:tr>
        <w:trPr>
          <w:trHeight w:val="170"/>
        </w:trPr>
        <w:tc>
          <w:tcPr>
            <w:tcW w:w="7660" w:type="dxa"/>
            <w:vAlign w:val="bottom"/>
          </w:tcPr>
          <w:p>
            <w:pPr>
              <w:ind w:left="20"/>
              <w:spacing w:after="0"/>
              <w:rPr>
                <w:sz w:val="20"/>
                <w:szCs w:val="20"/>
                <w:color w:val="auto"/>
              </w:rPr>
            </w:pPr>
            <w:r>
              <w:rPr>
                <w:rFonts w:ascii="Arial" w:cs="Arial" w:eastAsia="Arial" w:hAnsi="Arial"/>
                <w:sz w:val="11"/>
                <w:szCs w:val="11"/>
                <w:color w:val="auto"/>
              </w:rPr>
              <w:t>Europe</w:t>
            </w:r>
          </w:p>
        </w:tc>
        <w:tc>
          <w:tcPr>
            <w:tcW w:w="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427,055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587,359</w:t>
            </w:r>
          </w:p>
        </w:tc>
      </w:tr>
      <w:tr>
        <w:trPr>
          <w:trHeight w:val="170"/>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w:t>
            </w:r>
          </w:p>
        </w:tc>
        <w:tc>
          <w:tcPr>
            <w:tcW w:w="6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273,309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480,977</w:t>
            </w:r>
          </w:p>
        </w:tc>
      </w:tr>
      <w:tr>
        <w:trPr>
          <w:trHeight w:val="17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South America</w:t>
            </w: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226,708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256,820</w:t>
            </w:r>
          </w:p>
        </w:tc>
      </w:tr>
      <w:tr>
        <w:trPr>
          <w:trHeight w:val="18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Total property, plant and equipment and leasing equipment, net </w:t>
            </w:r>
            <w:r>
              <w:rPr>
                <w:rFonts w:ascii="Arial" w:cs="Arial" w:eastAsia="Arial" w:hAnsi="Arial"/>
                <w:sz w:val="7"/>
                <w:szCs w:val="7"/>
                <w:b w:val="1"/>
                <w:bCs w:val="1"/>
                <w:color w:val="auto"/>
              </w:rPr>
              <w:t>(1)</w:t>
            </w: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1,215,810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1,665,872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260" w:hanging="255"/>
        <w:spacing w:after="0" w:line="282" w:lineRule="auto"/>
        <w:tabs>
          <w:tab w:leader="none" w:pos="249"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United States, included in North America, and Chile, included in South America, represents 13% and 14% of property, plant and equipment and leasing equipment, net, respectively, as of September 30, 2026. The United States, included in North America, represented 22% of property, plant and equipment and leasing equipment, net as of December 31, 2025. No other country represents more than 10% of property, plant and equipment and leasing equipment, net.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12. EARNINGS PER SHARE AND EQUITY</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Basic earnings per ordinary share (“EPS”) is calculated by dividing net income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The calculation of basic and diluted EPS is presented below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80" w:type="dxa"/>
            <w:vAlign w:val="bottom"/>
            <w:gridSpan w:val="5"/>
          </w:tcPr>
          <w:p>
            <w:pPr>
              <w:ind w:left="260"/>
              <w:spacing w:after="0"/>
              <w:rPr>
                <w:sz w:val="20"/>
                <w:szCs w:val="20"/>
                <w:color w:val="auto"/>
              </w:rPr>
            </w:pPr>
            <w:r>
              <w:rPr>
                <w:rFonts w:ascii="Arial" w:cs="Arial" w:eastAsia="Arial" w:hAnsi="Arial"/>
                <w:sz w:val="11"/>
                <w:szCs w:val="11"/>
                <w:b w:val="1"/>
                <w:bCs w:val="1"/>
                <w:color w:val="auto"/>
              </w:rPr>
              <w:t>Three Months Ended September 30,</w:t>
            </w:r>
          </w:p>
        </w:tc>
        <w:tc>
          <w:tcPr>
            <w:tcW w:w="360" w:type="dxa"/>
            <w:vAlign w:val="bottom"/>
          </w:tcPr>
          <w:p>
            <w:pPr>
              <w:spacing w:after="0"/>
              <w:rPr>
                <w:sz w:val="13"/>
                <w:szCs w:val="13"/>
                <w:color w:val="auto"/>
              </w:rPr>
            </w:pPr>
          </w:p>
        </w:tc>
        <w:tc>
          <w:tcPr>
            <w:tcW w:w="2780" w:type="dxa"/>
            <w:vAlign w:val="bottom"/>
            <w:gridSpan w:val="4"/>
          </w:tcPr>
          <w:p>
            <w:pPr>
              <w:jc w:val="right"/>
              <w:ind w:right="583"/>
              <w:spacing w:after="0"/>
              <w:rPr>
                <w:sz w:val="20"/>
                <w:szCs w:val="20"/>
                <w:color w:val="auto"/>
              </w:rPr>
            </w:pPr>
            <w:r>
              <w:rPr>
                <w:rFonts w:ascii="Arial" w:cs="Arial" w:eastAsia="Arial" w:hAnsi="Arial"/>
                <w:sz w:val="11"/>
                <w:szCs w:val="11"/>
                <w:b w:val="1"/>
                <w:bCs w:val="1"/>
                <w:color w:val="auto"/>
              </w:rPr>
              <w:t>Nine Months Ended September 30,</w:t>
            </w:r>
          </w:p>
        </w:tc>
      </w:tr>
      <w:tr>
        <w:trPr>
          <w:trHeight w:val="16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share and per share data)</w:t>
            </w: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r>
      <w:tr>
        <w:trPr>
          <w:trHeight w:val="161"/>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150,608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117,718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413,601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385,502</w:t>
            </w:r>
          </w:p>
        </w:tc>
      </w:tr>
      <w:tr>
        <w:trPr>
          <w:trHeight w:val="170"/>
        </w:trPr>
        <w:tc>
          <w:tcPr>
            <w:tcW w:w="4920" w:type="dxa"/>
            <w:vAlign w:val="bottom"/>
          </w:tcPr>
          <w:p>
            <w:pPr>
              <w:ind w:left="20"/>
              <w:spacing w:after="0"/>
              <w:rPr>
                <w:sz w:val="20"/>
                <w:szCs w:val="20"/>
                <w:color w:val="auto"/>
              </w:rPr>
            </w:pPr>
            <w:r>
              <w:rPr>
                <w:rFonts w:ascii="Arial" w:cs="Arial" w:eastAsia="Arial" w:hAnsi="Arial"/>
                <w:sz w:val="11"/>
                <w:szCs w:val="11"/>
                <w:color w:val="auto"/>
              </w:rPr>
              <w:t>Less: Dividends on preferred shares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1,544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3,709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8,962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13,533</w:t>
            </w:r>
          </w:p>
        </w:tc>
      </w:tr>
      <w:tr>
        <w:trPr>
          <w:trHeight w:val="170"/>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3,800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r>
      <w:tr>
        <w:trPr>
          <w:trHeight w:val="161"/>
        </w:trPr>
        <w:tc>
          <w:tcPr>
            <w:tcW w:w="4920" w:type="dxa"/>
            <w:vAlign w:val="bottom"/>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149,064</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114,009</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400,839</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365,642</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2"/>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Ordinary Shares Outstanding - Basic</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102,667,105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102,569,415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102,613,229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102,560,285</w:t>
            </w:r>
          </w:p>
        </w:tc>
      </w:tr>
      <w:tr>
        <w:trPr>
          <w:trHeight w:val="167"/>
        </w:trPr>
        <w:tc>
          <w:tcPr>
            <w:tcW w:w="4920" w:type="dxa"/>
            <w:vAlign w:val="bottom"/>
          </w:tcPr>
          <w:p>
            <w:pPr>
              <w:ind w:left="20"/>
              <w:spacing w:after="0"/>
              <w:rPr>
                <w:sz w:val="20"/>
                <w:szCs w:val="20"/>
                <w:color w:val="auto"/>
              </w:rPr>
            </w:pPr>
            <w:r>
              <w:rPr>
                <w:rFonts w:ascii="Arial" w:cs="Arial" w:eastAsia="Arial" w:hAnsi="Arial"/>
                <w:sz w:val="11"/>
                <w:szCs w:val="11"/>
                <w:color w:val="auto"/>
              </w:rPr>
              <w:t>Weighted Average Ordinary Shares Outstanding - Diluted</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104,106,460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103,966,650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104,059,963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103,951,713</w:t>
            </w:r>
          </w:p>
        </w:tc>
      </w:tr>
      <w:tr>
        <w:trPr>
          <w:trHeight w:val="205"/>
        </w:trPr>
        <w:tc>
          <w:tcPr>
            <w:tcW w:w="4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70"/>
        </w:trPr>
        <w:tc>
          <w:tcPr>
            <w:tcW w:w="4920" w:type="dxa"/>
            <w:vAlign w:val="bottom"/>
          </w:tcPr>
          <w:p>
            <w:pPr>
              <w:ind w:left="20"/>
              <w:spacing w:after="0"/>
              <w:rPr>
                <w:sz w:val="20"/>
                <w:szCs w:val="20"/>
                <w:color w:val="auto"/>
              </w:rPr>
            </w:pPr>
            <w:r>
              <w:rPr>
                <w:rFonts w:ascii="Arial" w:cs="Arial" w:eastAsia="Arial" w:hAnsi="Arial"/>
                <w:sz w:val="11"/>
                <w:szCs w:val="11"/>
                <w:b w:val="1"/>
                <w:bCs w:val="1"/>
                <w:color w:val="auto"/>
              </w:rPr>
              <w:t>Earnings per share:</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9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Basic</w:t>
            </w: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3.91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w:t>
            </w:r>
          </w:p>
        </w:tc>
      </w:tr>
      <w:tr>
        <w:trPr>
          <w:trHeight w:val="169"/>
        </w:trPr>
        <w:tc>
          <w:tcPr>
            <w:tcW w:w="4920" w:type="dxa"/>
            <w:vAlign w:val="bottom"/>
          </w:tcPr>
          <w:p>
            <w:pPr>
              <w:ind w:left="20"/>
              <w:spacing w:after="0"/>
              <w:rPr>
                <w:sz w:val="20"/>
                <w:szCs w:val="20"/>
                <w:color w:val="auto"/>
              </w:rPr>
            </w:pPr>
            <w:r>
              <w:rPr>
                <w:rFonts w:ascii="Arial" w:cs="Arial" w:eastAsia="Arial" w:hAnsi="Arial"/>
                <w:sz w:val="11"/>
                <w:szCs w:val="11"/>
                <w:b w:val="1"/>
                <w:bCs w:val="1"/>
                <w:color w:val="auto"/>
              </w:rPr>
              <w:t>Diluted</w:t>
            </w:r>
          </w:p>
        </w:tc>
        <w:tc>
          <w:tcPr>
            <w:tcW w:w="340" w:type="dxa"/>
            <w:vAlign w:val="bottom"/>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1.43</w:t>
            </w:r>
          </w:p>
        </w:tc>
        <w:tc>
          <w:tcPr>
            <w:tcW w:w="80" w:type="dxa"/>
            <w:vAlign w:val="bottom"/>
          </w:tcPr>
          <w:p>
            <w:pPr>
              <w:spacing w:after="0"/>
              <w:rPr>
                <w:sz w:val="14"/>
                <w:szCs w:val="14"/>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4"/>
                <w:szCs w:val="14"/>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b w:val="1"/>
                <w:bCs w:val="1"/>
                <w:color w:val="auto"/>
              </w:rPr>
              <w:t>3.85</w:t>
            </w:r>
          </w:p>
        </w:tc>
        <w:tc>
          <w:tcPr>
            <w:tcW w:w="80" w:type="dxa"/>
            <w:vAlign w:val="bottom"/>
          </w:tcPr>
          <w:p>
            <w:pPr>
              <w:spacing w:after="0"/>
              <w:rPr>
                <w:sz w:val="14"/>
                <w:szCs w:val="14"/>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3.52</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For the three and nine months ended September 30, 2026, 52,791 shares were excluded from the calculation of Diluted EPS (2025 - none).</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the three and nine months ended September 30, 2026, the Company issued 578 and 1,493 ordinary shares, respectively, to certain directors as compensation (2025 - 835 and 1,511,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Preferred Shares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February 2025, the Company redeemed in full the outstanding 4,940,000 8.00% Fixed-to-Floating Rate Series B Cumulative Perpetual Redeemable Preferred Shares at a redemption price equal to $25.00 per share in cash, plus $2.4 million of accumulated and unpaid distributions thereon to, but not including, the redemption date of February 16, 2025.</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June 2026, the Company redeemed in full the outstanding 4,200,000 8.25% Fixed-Rate Reset Series C Cumulative Perpetual Redeemable Preferred Shares at a redemption price equal to $25.00 per share in cash.</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Share Repurchases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September 15, 2026, the Company’s Board of Directors authorized and approved a share repurchase program (the “Share Repurchase Program”) under which the Company may repurchase up to $500 million of its outstanding ordinary shares. The Company’s repurchases under the Share Repurchase Program may be made from time to time at management’s discretion on the open market at prevailing market prices, in privately negotiated transactions, in block trades and/or through other legally permissible means, depending on market conditions and in accordance with applicable rules and regulations.</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the three months ended September 30, 2026, the Company repurchased and cancelled 260.2 thousand ordinary shares at an aggregate cost of $49.95 million and an average price of $192.00 per ordinary share. At September 30, 2026, $450.05 million remained available for repurchase under the share repurchase program.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14 “Subsequent Events” for additional information related to the share repurchase program subsequent to September 30, 2026.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00497F"/>
        </w:rPr>
        <w:t>FTAI AVIATION LTD.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 xml:space="preserve">NOTES TO CONSOLIDATED FINANCIAL STATEMENTS </w:t>
      </w:r>
      <w:r>
        <w:rPr>
          <w:rFonts w:ascii="Arial" w:cs="Arial" w:eastAsia="Arial" w:hAnsi="Arial"/>
          <w:sz w:val="14"/>
          <w:szCs w:val="14"/>
          <w:b w:val="1"/>
          <w:bCs w:val="1"/>
          <w:i w:val="1"/>
          <w:iCs w:val="1"/>
          <w:color w:val="00497F"/>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13. COMMITMENTS AND CONTINGENCIES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business, a lessee did not fulfill its obligation under its charter arrangement, therefore the Company is pursuing rights afforded to it under the charter and the range of potential losses against the obligation is $0.0 million to $3.3 million. The Company believes the risk of loss in connection with such arrangements is remote.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14. SUBSEQUENT EVENTS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Dividends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October 27, 2026, the Company’s Board of Directors declared a cash dividend on its ordinary shares and eligible participating securities of $0.50 per share for the three months ended September 30, 2026, payable on November 23, 2026 to the holders of record on November 10, 2026.</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Additionally, on October 27, 2026, the Company’s Board of Directors also declared cash dividends on the Series D Preferred Shares of $0.59 per share, payable on December 15, 2026 to the holders of record on December 1, 2026.</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Share repurchases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Subsequent to September 30, 2026 and through the period ended October 30, 2026, the Company repurchased and retired 187.18 thousand ordinary shares at an aggregate cost of $30.00 million and an average price of $160.27 per ordinary share.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Accelerated Share Repurchase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On October 27, 2026, the Company’s Board of Directors approved a $500.0 million increase to the Company’s share repurchase program, bringing the total authorization to $1.0 billion.</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the increased authorization, the Company has entered into an accelerated share repurchase agreement with Royal Bank of Canada to repurchase $500.0 million of its ordinary shares. The Company expects to complete the transaction during the fourth quarter of 2026. Following completion of the ASR, approximately $420.0 million will remain available under the share repurchase program which will expire in 2027.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006EBF"/>
        </w:rPr>
        <w:t>Item 2. Management’s Discussion and Analysis of Financial Condition and Results of Operations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following Management’s Discussion and Analysis of Financial Condition and Results of Operations (“MD&amp;A”) is intended to help you understand FTAI Aviation Ltd. (the “Company,” “we,” “our” or “us”). Our MD&amp;A should be read in conjunction with our unaudited consolidated financial statements and the accompanying notes, and with Part II, Item 1A, “Risk Factors” included elsewhere in this Quarterly Report on Form 10-Q.</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Overview</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a leading independent engine maintenance platform focused on the CFM56-5B, CFM56-7B and V2500 aircraft engines which power the 737NG and A320ceo aircraft. We repair and rebuild engines in our maintenance facilities and with our joint venture partners, and sell or lease the engines to airlines and asset owners around the world. Our primary business model is to sell engines via exchange through our proprietary Maintenance, Repair and Exchange (“MRE”) model which is reported under our Aerospace Products segment.</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also own and manage a portfolio of on- and off-lease aircraft and engines through our Aviation Leasing segment. While historically these investment activities have been primarily held on balance sheet, at the end of 2024, we launched our Strategic Capital Initiative, through which the Company manages third-party capital to invest in on-lease aircraft. We expect our primary investment activities to be through our Strategic Capital Initiative going forward.</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As of September 30, 2026, we had total consolidated assets of $4.8 billion and total equity of $433.4 million.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Internalization of Management</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May 28, 2024, the Company entered into definitive agreements with the Former Manager and Master GP to internalize the Company’s management function. As part of the termination of the Management Agreement, the Company (i) paid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(iii) purchased from Master GP all of its partnership interests in FTAI Aviation Holdco Ltd., a subsidiary of the Company, in exchange for $30 thousand. Following the Internalization, the Company no longer pays management fees or incentive distributions to the Former Manager and Master GP.</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until October 31, 2024, during which the Company procured replacements for the Services. In addition, the Former Manager was required to continue to provide the services that were reasonably required by the Company to prepare its quarterly and annual financial statements until May 31, 2025. The Services were provided to the Company for a fee equal to the Former Manager’s cost of providing the Services, including the allocated cost of, among other things, overhead, employee wages and compensation, rent and related real estate expenses and actually incurred out-of-pocket expenses, plus a mark-up of ten percent (10%).</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Strategic Capital Initiative</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December 30, 2024, we announced the launch of our Strategic Capital Initiative (the “SCI”) in collaboration with third-party institutional investors. The SCI and its related partnerships, as discussed further below, allow the Company to generate income while maintaining an asset-light business model.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The SCI Partnerships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formed the 2025 Partnership and 2026 Partnership (collectively, the “SCI Partnerships”), the first and second partnership under the SCI, to provide institutional investors with the opportunity to invest in on-lease 737NG and A320ceo aircraft with the objective of generating returns for the SCI Partnership’s partners through leasing cash flows and eventual asset sales. The 2025 Partnership completed its fundraise in October 2025 with $2.0 billion of equity commitments, which are supplemented by asset-level debt financing. We made a minority capital commitment to the SCI Partnerships, and our capital contributions are called in the same proportion as those of third-party institutional investors. As of September 30, 2026, we held an approximately 19% and 21% capital interest in the 2025 Partnership and 2026 Partnership, respectively, with a carrying value of $341.2 million and $12.9 million, respectively.</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SCI Partnerships use their equity capital and asset-level debt to acquire on-lease aircraft at scale from airlines, lessors and other third parties and, with requisite investor consent, from the Company. As of September 30, 2026, the 2025 Partnership owned 205 on-lease aircraft, 60 of which were acquired from the Company and 145 from third parties. As of September 30, 2026, the 2026 partnership owned 10 on-lease aircraft, all of which were acquired from third parties. The SCI Partnerships, and follow-on partnerships, are or will be the primary buyers of all future on-lease 737NG and A320ceo aircraft that meet the partnership’s investment criteria.</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Through our wholly owned consolidated subsidiaries, we are both the general partner of the SCI Partnerships and the servicers of their aircraft and engine portfolio. As servicers, our subsidiaries provide services to the SCI Partnerships related to acquiring, leasing, remarketing and selling aircraft, administering leases and collections, overseeing lessee maintenance and insurance, and obtaining valuations. We receive customary, market-based servicing fees in exchange for the services rendered. As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general partner, we are entitled to profit participation distributions after the limited partners have received distributions equal to their contributed capital plus a preferred return.</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When an aircraft owned by the SCI Partnerships requires a serviceable engine or module to fulfill its obligations under an aircraft lease, the SCI Partnerships purchase a serviceable engine or module from the Company and sell the unserviceable engine or module to the Company, for a contractual net purchase price. These exchanges take place under a Maintenance, Repair and Exchange (“MRE”) agreement that is in place for the life of the partnerships.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We have three contractual relationships with the SCI Partnerships that give rise to revenue for the Company, directly or indirectly through our wholly owned consolidated subsidiaries:</w:t>
      </w:r>
    </w:p>
    <w:p>
      <w:pPr>
        <w:spacing w:after="0" w:line="84" w:lineRule="exact"/>
        <w:rPr>
          <w:sz w:val="20"/>
          <w:szCs w:val="20"/>
          <w:color w:val="auto"/>
        </w:rPr>
      </w:pPr>
    </w:p>
    <w:p>
      <w:pPr>
        <w:ind w:left="380" w:hanging="248"/>
        <w:spacing w:after="0" w:line="266" w:lineRule="auto"/>
        <w:tabs>
          <w:tab w:leader="none" w:pos="371"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 xml:space="preserve">MRE agreement. </w:t>
      </w:r>
      <w:r>
        <w:rPr>
          <w:rFonts w:ascii="Arial" w:cs="Arial" w:eastAsia="Arial" w:hAnsi="Arial"/>
          <w:sz w:val="13"/>
          <w:szCs w:val="13"/>
          <w:color w:val="auto"/>
        </w:rPr>
        <w:t>“MRE Contract revenue – affiliate” is recognized at the point in time when control of each serviceable engine or module transfers to the SCI Partnerships and is reported in our</w:t>
      </w:r>
      <w:r>
        <w:rPr>
          <w:rFonts w:ascii="Arial" w:cs="Arial" w:eastAsia="Arial" w:hAnsi="Arial"/>
          <w:sz w:val="13"/>
          <w:szCs w:val="13"/>
          <w:b w:val="1"/>
          <w:bCs w:val="1"/>
          <w:color w:val="auto"/>
        </w:rPr>
        <w:t xml:space="preserve"> </w:t>
      </w:r>
      <w:r>
        <w:rPr>
          <w:rFonts w:ascii="Arial" w:cs="Arial" w:eastAsia="Arial" w:hAnsi="Arial"/>
          <w:sz w:val="13"/>
          <w:szCs w:val="13"/>
          <w:color w:val="auto"/>
        </w:rPr>
        <w:t>Aerospace Products segment. MRE Contract revenue – affiliate totaled $129.4 million and $533.4 million for the three and nine months ended September 30, 2026, respectively.</w:t>
      </w:r>
    </w:p>
    <w:p>
      <w:pPr>
        <w:spacing w:after="0" w:line="61" w:lineRule="exact"/>
        <w:rPr>
          <w:rFonts w:ascii="Arial" w:cs="Arial" w:eastAsia="Arial" w:hAnsi="Arial"/>
          <w:sz w:val="13"/>
          <w:szCs w:val="13"/>
          <w:color w:val="auto"/>
        </w:rPr>
      </w:pPr>
    </w:p>
    <w:p>
      <w:pPr>
        <w:ind w:left="380" w:hanging="248"/>
        <w:spacing w:after="0" w:line="266" w:lineRule="auto"/>
        <w:tabs>
          <w:tab w:leader="none" w:pos="371"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 xml:space="preserve">Servicing agreements. </w:t>
      </w:r>
      <w:r>
        <w:rPr>
          <w:rFonts w:ascii="Arial" w:cs="Arial" w:eastAsia="Arial" w:hAnsi="Arial"/>
          <w:sz w:val="13"/>
          <w:szCs w:val="13"/>
          <w:color w:val="auto"/>
        </w:rPr>
        <w:t>Servicing fees are recognized over time as the services are performed and are included in other revenue in our Aviation Leasing segment. Servicing fees totaled $4.7</w:t>
      </w:r>
      <w:r>
        <w:rPr>
          <w:rFonts w:ascii="Arial" w:cs="Arial" w:eastAsia="Arial" w:hAnsi="Arial"/>
          <w:sz w:val="13"/>
          <w:szCs w:val="13"/>
          <w:b w:val="1"/>
          <w:bCs w:val="1"/>
          <w:color w:val="auto"/>
        </w:rPr>
        <w:t xml:space="preserve"> </w:t>
      </w:r>
      <w:r>
        <w:rPr>
          <w:rFonts w:ascii="Arial" w:cs="Arial" w:eastAsia="Arial" w:hAnsi="Arial"/>
          <w:sz w:val="13"/>
          <w:szCs w:val="13"/>
          <w:color w:val="auto"/>
        </w:rPr>
        <w:t>million and $17.6 million for the three and nine months ended September 30, 2026, respectively.</w:t>
      </w:r>
    </w:p>
    <w:p>
      <w:pPr>
        <w:spacing w:after="0" w:line="61" w:lineRule="exact"/>
        <w:rPr>
          <w:rFonts w:ascii="Arial" w:cs="Arial" w:eastAsia="Arial" w:hAnsi="Arial"/>
          <w:sz w:val="13"/>
          <w:szCs w:val="13"/>
          <w:color w:val="auto"/>
        </w:rPr>
      </w:pPr>
    </w:p>
    <w:p>
      <w:pPr>
        <w:ind w:left="380" w:hanging="248"/>
        <w:spacing w:after="0" w:line="266" w:lineRule="auto"/>
        <w:tabs>
          <w:tab w:leader="none" w:pos="371"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 xml:space="preserve">Profit participation. </w:t>
      </w:r>
      <w:r>
        <w:rPr>
          <w:rFonts w:ascii="Arial" w:cs="Arial" w:eastAsia="Arial" w:hAnsi="Arial"/>
          <w:sz w:val="13"/>
          <w:szCs w:val="13"/>
          <w:color w:val="auto"/>
        </w:rPr>
        <w:t>Profit participation is variable consideration and is recognized only when it is probable that a significant reversal of cumulative revenue will not occur. We expect this to be</w:t>
      </w:r>
      <w:r>
        <w:rPr>
          <w:rFonts w:ascii="Arial" w:cs="Arial" w:eastAsia="Arial" w:hAnsi="Arial"/>
          <w:sz w:val="13"/>
          <w:szCs w:val="13"/>
          <w:b w:val="1"/>
          <w:bCs w:val="1"/>
          <w:color w:val="auto"/>
        </w:rPr>
        <w:t xml:space="preserve"> </w:t>
      </w:r>
      <w:r>
        <w:rPr>
          <w:rFonts w:ascii="Arial" w:cs="Arial" w:eastAsia="Arial" w:hAnsi="Arial"/>
          <w:sz w:val="13"/>
          <w:szCs w:val="13"/>
          <w:color w:val="auto"/>
        </w:rPr>
        <w:t>when the underlying aircraft investments are realized and the distributions are no longer subject to reversal. No profit participation has been recognized to date.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account for our capital interest in the SCI Partnerships under the equity method. Because we hold a 19% and 21% interest in the 2025 Partnership and 2026 Partnership, respectively, we eliminate our proportionate share of the profit on MRE sales to the SCI Partnerships until realized by the SCI Partnerships. The amount of profit eliminated totaled $5.1 million and $21.7 million for the three and nine months ended September 30, 2026, respectively.</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gain on sale of the 0 and 15 on-lease aircraft sold to the 2025 Partnership during the three and nine months ended September 30, 2026, respectively, totaled $0.0 million and $17.6 million, respectively, and was recognized as a “Gain on sale to the 2025 Partnership - affiliate” within Other income (expense) component of the Consolidated Statements of Operations for the nine months ended September 30, 2026.</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J&amp;F Power Systems LLC</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During 2026, we invested in J&amp;F Power Systems LLC (“J&amp;F”), the Company’s joint venture with Jereh Group. J&amp;F was established to package, test and distribute modular power generation solutions. The Company exercises significant influence, but not control, over the operating and financial policies of J&amp;F and accounts for it as an equity method investment. During the three months ended September 30, 2026, the Company received an advanced disbursement of $234.0 million from J&amp;F, which is accounted for as a contract liability on the Company’s Consolidated Balance Sheets. As of September 30, 2026, we held an approximate 49% capital interest in J&amp;F, with a carrying value of $2.5 million.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Operating Segments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key factors used to identify the reportable segments are the organization and alignment of our internal operations and the nature of our products and services. Our two reportable segments are (i) Aerospace Products and (ii) Aviation Leasing. The Aerospace Products segment, through our maintenance facilities and joint ventures, among other investments, develops and manufactures, repairs/refurbishes and sells aircraft engines and aftermarket components primarily for the CFM56-5B, CFM56-7B and V2500 commercial aircraft engines. The Aviation Leasing segment owns and manages aviation assets, including aircraft and aircraft engines, which it leases and sells to lessees, directly and also through its equity method investment.</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Corporate and Other primarily consists of debt, unallocated corporate general and administrative expenses, internalization fee and management fees and incentive compensation pursuant to the Management Agreement prior to the Internalization effective May 28, 2024. Additionally, Corporate and Other also includes offshore energy related assets, which consist of equipment that support offshore oil and gas activities and production, and expenses relating to FTAI Power.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00497F"/>
        </w:rPr>
        <w:t>Adjusted EBITDA (Non-GAAP)</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Besides net income (loss), the chief operating decision maker (“CODM”), who is the Company’s Chief Executive Officer, utilizes Adjusted EBITDA as a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preferred shares and capital lease obligations, asset impairment charges, incentive allocations, depreciation and amortization expense, interest expense and dividends on preferred shares, internalization fee to affiliate, FTAI Power pre-commercial research and development, (b) to include the impact of our pro-rata share of Adjusted EBITDA from unconsolidated entities and (c) to exclude the impact of equity in earnings (losses) of unconsolidated entities, if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00497F"/>
        </w:rPr>
        <w:t>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and nine months ended September 30,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consolidated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Three Months Ended September 30,</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60"/>
              <w:spacing w:after="0"/>
              <w:rPr>
                <w:sz w:val="20"/>
                <w:szCs w:val="20"/>
                <w:color w:val="auto"/>
              </w:rPr>
            </w:pPr>
            <w:r>
              <w:rPr>
                <w:rFonts w:ascii="Arial" w:cs="Arial" w:eastAsia="Arial" w:hAnsi="Arial"/>
                <w:sz w:val="11"/>
                <w:szCs w:val="11"/>
                <w:b w:val="1"/>
                <w:bCs w:val="1"/>
                <w:color w:val="auto"/>
              </w:rPr>
              <w:t>Nine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0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980" w:type="dxa"/>
            <w:vAlign w:val="bottom"/>
          </w:tcPr>
          <w:p>
            <w:pPr>
              <w:jc w:val="right"/>
              <w:ind w:right="3"/>
              <w:spacing w:after="0"/>
              <w:rPr>
                <w:sz w:val="20"/>
                <w:szCs w:val="20"/>
                <w:color w:val="auto"/>
              </w:rPr>
            </w:pPr>
            <w:r>
              <w:rPr>
                <w:rFonts w:ascii="Arial" w:cs="Arial" w:eastAsia="Arial" w:hAnsi="Arial"/>
                <w:sz w:val="11"/>
                <w:szCs w:val="11"/>
                <w:b w:val="1"/>
                <w:bCs w:val="1"/>
                <w:color w:val="auto"/>
              </w:rPr>
              <w:t>780,598</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459,206</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321,392</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1,995,412</w:t>
            </w:r>
          </w:p>
        </w:tc>
        <w:tc>
          <w:tcPr>
            <w:tcW w:w="10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1,144,317</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851,095</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 - affiliate</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129,408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70,745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533,437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228,886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304,551</w:t>
            </w:r>
          </w:p>
        </w:tc>
        <w:tc>
          <w:tcPr>
            <w:tcW w:w="0" w:type="dxa"/>
            <w:vAlign w:val="bottom"/>
          </w:tcPr>
          <w:p>
            <w:pPr>
              <w:spacing w:after="0"/>
              <w:rPr>
                <w:sz w:val="1"/>
                <w:szCs w:val="1"/>
                <w:color w:val="auto"/>
              </w:rPr>
            </w:pPr>
          </w:p>
        </w:tc>
      </w:tr>
      <w:tr>
        <w:trPr>
          <w:trHeight w:val="170"/>
        </w:trPr>
        <w:tc>
          <w:tcPr>
            <w:tcW w:w="420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1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b w:val="1"/>
                <w:bCs w:val="1"/>
                <w:color w:val="auto"/>
              </w:rPr>
              <w:t>25,281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55,072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(29,791)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92,938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185,951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(93,013)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27,292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83,684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175,081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(91,397)</w:t>
            </w:r>
          </w:p>
        </w:tc>
        <w:tc>
          <w:tcPr>
            <w:tcW w:w="0" w:type="dxa"/>
            <w:vAlign w:val="bottom"/>
          </w:tcPr>
          <w:p>
            <w:pPr>
              <w:spacing w:after="0"/>
              <w:rPr>
                <w:sz w:val="1"/>
                <w:szCs w:val="1"/>
                <w:color w:val="auto"/>
              </w:rPr>
            </w:pPr>
          </w:p>
        </w:tc>
      </w:tr>
      <w:tr>
        <w:trPr>
          <w:trHeight w:val="170"/>
        </w:trPr>
        <w:tc>
          <w:tcPr>
            <w:tcW w:w="420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1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b w:val="1"/>
                <w:bCs w:val="1"/>
                <w:color w:val="auto"/>
              </w:rPr>
              <w:t>5,886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38,461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(32,575)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32,995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105,315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(72,320)</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revenue </w:t>
            </w:r>
            <w:r>
              <w:rPr>
                <w:rFonts w:ascii="Arial" w:cs="Arial" w:eastAsia="Arial" w:hAnsi="Arial"/>
                <w:sz w:val="14"/>
                <w:szCs w:val="14"/>
                <w:color w:val="auto"/>
                <w:vertAlign w:val="superscript"/>
              </w:rPr>
              <w:t>(1)</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9,192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5,900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22,973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5,831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17,142</w:t>
            </w:r>
          </w:p>
        </w:tc>
        <w:tc>
          <w:tcPr>
            <w:tcW w:w="0" w:type="dxa"/>
            <w:vAlign w:val="bottom"/>
          </w:tcPr>
          <w:p>
            <w:pPr>
              <w:spacing w:after="0"/>
              <w:rPr>
                <w:sz w:val="1"/>
                <w:szCs w:val="1"/>
                <w:color w:val="auto"/>
              </w:rPr>
            </w:pPr>
          </w:p>
        </w:tc>
      </w:tr>
      <w:tr>
        <w:trPr>
          <w:trHeight w:val="16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977,657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667,064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310,593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2,761,439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1,845,381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916,058</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20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623,821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362,922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260,899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1,783,871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980,894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802,977</w:t>
            </w:r>
          </w:p>
        </w:tc>
        <w:tc>
          <w:tcPr>
            <w:tcW w:w="0" w:type="dxa"/>
            <w:vAlign w:val="bottom"/>
          </w:tcPr>
          <w:p>
            <w:pPr>
              <w:spacing w:after="0"/>
              <w:rPr>
                <w:sz w:val="1"/>
                <w:szCs w:val="1"/>
                <w:color w:val="auto"/>
              </w:rPr>
            </w:pPr>
          </w:p>
        </w:tc>
      </w:tr>
      <w:tr>
        <w:trPr>
          <w:trHeight w:val="170"/>
        </w:trPr>
        <w:tc>
          <w:tcPr>
            <w:tcW w:w="42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b w:val="1"/>
                <w:bCs w:val="1"/>
                <w:color w:val="auto"/>
              </w:rPr>
              <w:t>62,327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39,092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23,235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175,434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105,858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69,576</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Research and development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22,014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41,461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41,461</w:t>
            </w:r>
          </w:p>
        </w:tc>
        <w:tc>
          <w:tcPr>
            <w:tcW w:w="0" w:type="dxa"/>
            <w:vAlign w:val="bottom"/>
          </w:tcPr>
          <w:p>
            <w:pPr>
              <w:spacing w:after="0"/>
              <w:rPr>
                <w:sz w:val="1"/>
                <w:szCs w:val="1"/>
                <w:color w:val="auto"/>
              </w:rPr>
            </w:pPr>
          </w:p>
        </w:tc>
      </w:tr>
      <w:tr>
        <w:trPr>
          <w:trHeight w:val="170"/>
        </w:trPr>
        <w:tc>
          <w:tcPr>
            <w:tcW w:w="420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1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b w:val="1"/>
                <w:bCs w:val="1"/>
                <w:color w:val="auto"/>
              </w:rPr>
              <w:t>2,305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6,963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7,387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(424)</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5,030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27,090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8,243</w:t>
            </w:r>
          </w:p>
        </w:tc>
        <w:tc>
          <w:tcPr>
            <w:tcW w:w="0" w:type="dxa"/>
            <w:vAlign w:val="bottom"/>
          </w:tcPr>
          <w:p>
            <w:pPr>
              <w:spacing w:after="0"/>
              <w:rPr>
                <w:sz w:val="1"/>
                <w:szCs w:val="1"/>
                <w:color w:val="auto"/>
              </w:rPr>
            </w:pPr>
          </w:p>
        </w:tc>
      </w:tr>
      <w:tr>
        <w:trPr>
          <w:trHeight w:val="17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43,295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55,278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(11,983)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142,570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170,076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(27,506)</w:t>
            </w:r>
          </w:p>
        </w:tc>
        <w:tc>
          <w:tcPr>
            <w:tcW w:w="0" w:type="dxa"/>
            <w:vAlign w:val="bottom"/>
          </w:tcPr>
          <w:p>
            <w:pPr>
              <w:spacing w:after="0"/>
              <w:rPr>
                <w:sz w:val="1"/>
                <w:szCs w:val="1"/>
                <w:color w:val="auto"/>
              </w:rPr>
            </w:pPr>
          </w:p>
        </w:tc>
      </w:tr>
      <w:tr>
        <w:trPr>
          <w:trHeight w:val="16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758,792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466,187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292,605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2,177,389</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1,283,062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894,327</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(65,119)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(60,784)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(4,335)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(190,628)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(186,789)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(3,839)</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Equity in earnings (losses) of unconsolidated entities </w:t>
            </w:r>
            <w:r>
              <w:rPr>
                <w:rFonts w:ascii="Arial" w:cs="Arial" w:eastAsia="Arial" w:hAnsi="Arial"/>
                <w:sz w:val="14"/>
                <w:szCs w:val="14"/>
                <w:color w:val="auto"/>
                <w:vertAlign w:val="superscript"/>
              </w:rPr>
              <w:t>(2)</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16,933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24,540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41,381</w:t>
            </w:r>
          </w:p>
        </w:tc>
        <w:tc>
          <w:tcPr>
            <w:tcW w:w="0" w:type="dxa"/>
            <w:vAlign w:val="bottom"/>
          </w:tcPr>
          <w:p>
            <w:pPr>
              <w:spacing w:after="0"/>
              <w:rPr>
                <w:sz w:val="1"/>
                <w:szCs w:val="1"/>
                <w:color w:val="auto"/>
              </w:rPr>
            </w:pPr>
          </w:p>
        </w:tc>
      </w:tr>
      <w:tr>
        <w:trPr>
          <w:trHeight w:val="170"/>
        </w:trPr>
        <w:tc>
          <w:tcPr>
            <w:tcW w:w="4200" w:type="dxa"/>
            <w:vAlign w:val="bottom"/>
          </w:tcPr>
          <w:p>
            <w:pPr>
              <w:ind w:left="20"/>
              <w:spacing w:after="0"/>
              <w:rPr>
                <w:sz w:val="20"/>
                <w:szCs w:val="20"/>
                <w:color w:val="auto"/>
              </w:rPr>
            </w:pPr>
            <w:r>
              <w:rPr>
                <w:rFonts w:ascii="Arial" w:cs="Arial" w:eastAsia="Arial" w:hAnsi="Arial"/>
                <w:sz w:val="11"/>
                <w:szCs w:val="11"/>
                <w:color w:val="auto"/>
              </w:rPr>
              <w:t>Gain on sale to the 2025 Partnership - affiliate</w:t>
            </w: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4,609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(4,609)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17,633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50,083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(32,450)</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2,168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3,570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57,324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63,797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(6,473)</w:t>
            </w:r>
          </w:p>
        </w:tc>
        <w:tc>
          <w:tcPr>
            <w:tcW w:w="0" w:type="dxa"/>
            <w:vAlign w:val="bottom"/>
          </w:tcPr>
          <w:p>
            <w:pPr>
              <w:spacing w:after="0"/>
              <w:rPr>
                <w:sz w:val="1"/>
                <w:szCs w:val="1"/>
                <w:color w:val="auto"/>
              </w:rPr>
            </w:pPr>
          </w:p>
        </w:tc>
      </w:tr>
      <w:tr>
        <w:trPr>
          <w:trHeight w:val="16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expense</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(46,018)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(56,829)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10,811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(91,131)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(89,750)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(1,381)</w:t>
            </w:r>
          </w:p>
        </w:tc>
        <w:tc>
          <w:tcPr>
            <w:tcW w:w="0" w:type="dxa"/>
            <w:vAlign w:val="bottom"/>
          </w:tcPr>
          <w:p>
            <w:pPr>
              <w:spacing w:after="0"/>
              <w:rPr>
                <w:sz w:val="1"/>
                <w:szCs w:val="1"/>
                <w:color w:val="auto"/>
              </w:rPr>
            </w:pPr>
          </w:p>
        </w:tc>
      </w:tr>
      <w:tr>
        <w:trPr>
          <w:trHeight w:val="161"/>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172,847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144,048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28,799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492,919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472,569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20,350</w:t>
            </w:r>
          </w:p>
        </w:tc>
        <w:tc>
          <w:tcPr>
            <w:tcW w:w="0" w:type="dxa"/>
            <w:vAlign w:val="bottom"/>
          </w:tcPr>
          <w:p>
            <w:pPr>
              <w:spacing w:after="0"/>
              <w:rPr>
                <w:sz w:val="1"/>
                <w:szCs w:val="1"/>
                <w:color w:val="auto"/>
              </w:rPr>
            </w:pPr>
          </w:p>
        </w:tc>
      </w:tr>
      <w:tr>
        <w:trPr>
          <w:trHeight w:val="17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22,239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26,330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(4,091)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79,318</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87,067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(7,749)</w:t>
            </w:r>
          </w:p>
        </w:tc>
        <w:tc>
          <w:tcPr>
            <w:tcW w:w="0" w:type="dxa"/>
            <w:vAlign w:val="bottom"/>
          </w:tcPr>
          <w:p>
            <w:pPr>
              <w:spacing w:after="0"/>
              <w:rPr>
                <w:sz w:val="1"/>
                <w:szCs w:val="1"/>
                <w:color w:val="auto"/>
              </w:rPr>
            </w:pPr>
          </w:p>
        </w:tc>
      </w:tr>
      <w:tr>
        <w:trPr>
          <w:trHeight w:val="16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150,608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117,718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32,890</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413,601</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385,502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28,099</w:t>
            </w:r>
          </w:p>
        </w:tc>
        <w:tc>
          <w:tcPr>
            <w:tcW w:w="0" w:type="dxa"/>
            <w:vAlign w:val="bottom"/>
          </w:tcPr>
          <w:p>
            <w:pPr>
              <w:spacing w:after="0"/>
              <w:rPr>
                <w:sz w:val="1"/>
                <w:szCs w:val="1"/>
                <w:color w:val="auto"/>
              </w:rPr>
            </w:pPr>
          </w:p>
        </w:tc>
      </w:tr>
      <w:tr>
        <w:trPr>
          <w:trHeight w:val="160"/>
        </w:trPr>
        <w:tc>
          <w:tcPr>
            <w:tcW w:w="4200" w:type="dxa"/>
            <w:vAlign w:val="bottom"/>
          </w:tcPr>
          <w:p>
            <w:pPr>
              <w:ind w:left="20"/>
              <w:spacing w:after="0"/>
              <w:rPr>
                <w:sz w:val="20"/>
                <w:szCs w:val="20"/>
                <w:color w:val="auto"/>
              </w:rPr>
            </w:pPr>
            <w:r>
              <w:rPr>
                <w:rFonts w:ascii="Arial" w:cs="Arial" w:eastAsia="Arial" w:hAnsi="Arial"/>
                <w:sz w:val="11"/>
                <w:szCs w:val="11"/>
                <w:color w:val="auto"/>
              </w:rPr>
              <w:t>Less: Dividends on preferred shares</w:t>
            </w: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b w:val="1"/>
                <w:bCs w:val="1"/>
                <w:color w:val="auto"/>
              </w:rPr>
              <w:t>1,544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3,709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(2,165)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8,962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13,533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(4,571)</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3,800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(2,527)</w:t>
            </w:r>
          </w:p>
        </w:tc>
        <w:tc>
          <w:tcPr>
            <w:tcW w:w="0" w:type="dxa"/>
            <w:vAlign w:val="bottom"/>
          </w:tcPr>
          <w:p>
            <w:pPr>
              <w:spacing w:after="0"/>
              <w:rPr>
                <w:sz w:val="1"/>
                <w:szCs w:val="1"/>
                <w:color w:val="auto"/>
              </w:rPr>
            </w:pPr>
          </w:p>
        </w:tc>
      </w:tr>
      <w:tr>
        <w:trPr>
          <w:trHeight w:val="161"/>
        </w:trPr>
        <w:tc>
          <w:tcPr>
            <w:tcW w:w="4200" w:type="dxa"/>
            <w:vAlign w:val="bottom"/>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149,064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114,009</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35,055</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400,839</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365,642</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35,197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Includes servicing fees of $4,704 and $17,553 for the three and nine months ended September 30, 2026, respectively (2025 - $3,035 and $5,635, respectively), from the SCI Partnerships.</w:t>
      </w:r>
    </w:p>
    <w:p>
      <w:pPr>
        <w:spacing w:after="0" w:line="96" w:lineRule="exact"/>
        <w:rPr>
          <w:rFonts w:ascii="Arial" w:cs="Arial" w:eastAsia="Arial" w:hAnsi="Arial"/>
          <w:sz w:val="11"/>
          <w:szCs w:val="11"/>
          <w:color w:val="auto"/>
        </w:rPr>
      </w:pPr>
    </w:p>
    <w:p>
      <w:pPr>
        <w:ind w:left="240" w:hanging="235"/>
        <w:spacing w:after="0"/>
        <w:tabs>
          <w:tab w:leader="none" w:pos="2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Includes the profit elimination of $(5,055) and $(21,652) for the three and nine months ended September 30, 2026, respectively (2025 - $(3,908) and $(15,793), respectively), for sales to the SCI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auto"/>
        </w:rPr>
        <w:t>The following table sets forth a reconciliation of net income (loss) attributable to shareholders to Adjusted EBITDA: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4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60"/>
              <w:spacing w:after="0"/>
              <w:rPr>
                <w:sz w:val="20"/>
                <w:szCs w:val="20"/>
                <w:color w:val="auto"/>
              </w:rPr>
            </w:pPr>
            <w:r>
              <w:rPr>
                <w:rFonts w:ascii="Arial" w:cs="Arial" w:eastAsia="Arial" w:hAnsi="Arial"/>
                <w:sz w:val="11"/>
                <w:szCs w:val="11"/>
                <w:b w:val="1"/>
                <w:bCs w:val="1"/>
                <w:color w:val="auto"/>
              </w:rPr>
              <w:t>Nine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8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15"/>
                <w:szCs w:val="15"/>
                <w:color w:val="auto"/>
              </w:rPr>
            </w:pPr>
          </w:p>
        </w:tc>
        <w:tc>
          <w:tcPr>
            <w:tcW w:w="840" w:type="dxa"/>
            <w:vAlign w:val="bottom"/>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60" w:type="dxa"/>
            <w:vAlign w:val="bottom"/>
          </w:tcPr>
          <w:p>
            <w:pPr>
              <w:spacing w:after="0"/>
              <w:rPr>
                <w:sz w:val="15"/>
                <w:szCs w:val="15"/>
                <w:color w:val="auto"/>
              </w:rPr>
            </w:pPr>
          </w:p>
        </w:tc>
        <w:tc>
          <w:tcPr>
            <w:tcW w:w="840" w:type="dxa"/>
            <w:vAlign w:val="bottom"/>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6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149,064</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114,009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35,055</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400,839</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365,642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35,197</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Provision for income taxes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22,239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26,330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79,318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87,067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(7,749)</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7,767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21,446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5,387</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5,030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7,066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27,090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18,847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8,243</w:t>
            </w:r>
          </w:p>
        </w:tc>
        <w:tc>
          <w:tcPr>
            <w:tcW w:w="0" w:type="dxa"/>
            <w:vAlign w:val="bottom"/>
          </w:tcPr>
          <w:p>
            <w:pPr>
              <w:spacing w:after="0"/>
              <w:rPr>
                <w:sz w:val="1"/>
                <w:szCs w:val="1"/>
                <w:color w:val="auto"/>
              </w:rPr>
            </w:pPr>
          </w:p>
        </w:tc>
      </w:tr>
      <w:tr>
        <w:trPr>
          <w:trHeight w:val="132"/>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preferred shares</w:t>
            </w:r>
          </w:p>
        </w:tc>
        <w:tc>
          <w:tcPr>
            <w:tcW w:w="2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3,800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6,327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(2,527)</w:t>
            </w: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and capital lease obligations</w:t>
            </w:r>
          </w:p>
        </w:tc>
        <w:tc>
          <w:tcPr>
            <w:tcW w:w="2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Asset impairment charges</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Incentive allocations</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 xml:space="preserve">Add: Depreciation and amortization expense </w:t>
            </w:r>
            <w:r>
              <w:rPr>
                <w:rFonts w:ascii="Arial" w:cs="Arial" w:eastAsia="Arial" w:hAnsi="Arial"/>
                <w:sz w:val="7"/>
                <w:szCs w:val="7"/>
                <w:color w:val="auto"/>
              </w:rPr>
              <w:t>(1)</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49,183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67,855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(18,672)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160,814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201,919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(41,105)</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66,663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199,591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200,322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(731)</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1"/>
                <w:szCs w:val="11"/>
                <w:color w:val="auto"/>
              </w:rPr>
              <w:t>Add: Internalization fee to affiliate</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Add: FTAI Power pre-commercial research and development </w:t>
            </w:r>
            <w:r>
              <w:rPr>
                <w:rFonts w:ascii="Arial" w:cs="Arial" w:eastAsia="Arial" w:hAnsi="Arial"/>
                <w:sz w:val="7"/>
                <w:szCs w:val="7"/>
                <w:color w:val="auto"/>
              </w:rPr>
              <w:t>(2)</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22,014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41,461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41,461</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1"/>
                <w:szCs w:val="11"/>
                <w:color w:val="auto"/>
              </w:rPr>
              <w:t xml:space="preserve">Add: Pro-rata share of Adjusted EBITDA from unconsolidated entities </w:t>
            </w:r>
            <w:r>
              <w:rPr>
                <w:rFonts w:ascii="Arial" w:cs="Arial" w:eastAsia="Arial" w:hAnsi="Arial"/>
                <w:sz w:val="7"/>
                <w:szCs w:val="7"/>
                <w:color w:val="auto"/>
              </w:rPr>
              <w:t>(3)</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48,323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11,657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36,666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96,596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16,513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80,083</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Less: Equity in (earnings) losses of unconsolidated entities </w:t>
            </w:r>
            <w:r>
              <w:rPr>
                <w:rFonts w:ascii="Arial" w:cs="Arial" w:eastAsia="Arial" w:hAnsi="Arial"/>
                <w:sz w:val="7"/>
                <w:szCs w:val="7"/>
                <w:color w:val="auto"/>
              </w:rPr>
              <w:t>(4)</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(21,988)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(22,304)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(46,192)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(47,240)</w:t>
            </w:r>
          </w:p>
        </w:tc>
        <w:tc>
          <w:tcPr>
            <w:tcW w:w="0" w:type="dxa"/>
            <w:vAlign w:val="bottom"/>
          </w:tcPr>
          <w:p>
            <w:pPr>
              <w:spacing w:after="0"/>
              <w:rPr>
                <w:sz w:val="1"/>
                <w:szCs w:val="1"/>
                <w:color w:val="auto"/>
              </w:rPr>
            </w:pPr>
          </w:p>
        </w:tc>
      </w:tr>
      <w:tr>
        <w:trPr>
          <w:trHeight w:val="161"/>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348,295</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297,381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50,914</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984,763</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913,744</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71,019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September 30, 2026: (i) depreciation and amortization expense of $43,295 (2025 - $55,278), (ii) lease intangible amortization of $(242) (2025 - $534) and (iii) amortization for lease incentives of $6,130 (2025 - $12,043).</w:t>
      </w:r>
    </w:p>
    <w:p>
      <w:pPr>
        <w:spacing w:after="0" w:line="41" w:lineRule="exact"/>
        <w:rPr>
          <w:rFonts w:ascii="Arial" w:cs="Arial" w:eastAsia="Arial" w:hAnsi="Arial"/>
          <w:sz w:val="11"/>
          <w:szCs w:val="11"/>
          <w:color w:val="auto"/>
        </w:rPr>
      </w:pPr>
    </w:p>
    <w:p>
      <w:pPr>
        <w:ind w:left="260"/>
        <w:spacing w:after="0" w:line="283" w:lineRule="auto"/>
        <w:rPr>
          <w:rFonts w:ascii="Arial" w:cs="Arial" w:eastAsia="Arial" w:hAnsi="Arial"/>
          <w:sz w:val="11"/>
          <w:szCs w:val="11"/>
          <w:color w:val="auto"/>
        </w:rPr>
      </w:pPr>
      <w:r>
        <w:rPr>
          <w:rFonts w:ascii="Arial" w:cs="Arial" w:eastAsia="Arial" w:hAnsi="Arial"/>
          <w:sz w:val="11"/>
          <w:szCs w:val="11"/>
          <w:color w:val="auto"/>
        </w:rPr>
        <w:t>Includes the following items for the nine months ended September 30, 2026: (i) depreciation and amortization expense of $142,570 (2025 - $170,076), (ii) lease intangible amortization of $6 (2025 - $5,893) and (iii) amortization for lease incentives of $18,238 (2025 - $25,950).</w:t>
      </w:r>
    </w:p>
    <w:p>
      <w:pPr>
        <w:spacing w:after="0" w:line="9" w:lineRule="exact"/>
        <w:rPr>
          <w:rFonts w:ascii="Arial" w:cs="Arial" w:eastAsia="Arial" w:hAnsi="Arial"/>
          <w:sz w:val="11"/>
          <w:szCs w:val="11"/>
          <w:color w:val="auto"/>
        </w:rPr>
      </w:pPr>
    </w:p>
    <w:p>
      <w:pPr>
        <w:ind w:left="260" w:hanging="255"/>
        <w:spacing w:after="0" w:line="303" w:lineRule="auto"/>
        <w:tabs>
          <w:tab w:leader="none" w:pos="249"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non-recurring research and development costs incurred for the design and testing related to the development of FTAI Power’s aeroderivative turbine that has not yet been commercially launched and has not generated revenue.</w:t>
      </w:r>
    </w:p>
    <w:p>
      <w:pPr>
        <w:spacing w:after="0" w:line="41" w:lineRule="exact"/>
        <w:rPr>
          <w:rFonts w:ascii="Arial" w:cs="Arial" w:eastAsia="Arial" w:hAnsi="Arial"/>
          <w:sz w:val="11"/>
          <w:szCs w:val="11"/>
          <w:color w:val="auto"/>
        </w:rPr>
      </w:pPr>
    </w:p>
    <w:p>
      <w:pPr>
        <w:ind w:left="260" w:hanging="255"/>
        <w:spacing w:after="0" w:line="303" w:lineRule="auto"/>
        <w:tabs>
          <w:tab w:leader="none" w:pos="249"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September 30, 2026: (i) net income of $21,988 (2025 - net loss of $316), (ii) interest expense of $7,359 (2025 - $2,629), (iii) depreciation and amortization expense of $18,969 (2025 - $9,449), and (iv) tax expense of $7 (2025 -benefit of $105).</w:t>
      </w:r>
    </w:p>
    <w:p>
      <w:pPr>
        <w:spacing w:after="0" w:line="30" w:lineRule="exact"/>
        <w:rPr>
          <w:rFonts w:ascii="Arial" w:cs="Arial" w:eastAsia="Arial" w:hAnsi="Arial"/>
          <w:sz w:val="11"/>
          <w:szCs w:val="11"/>
          <w:color w:val="auto"/>
        </w:rPr>
      </w:pPr>
    </w:p>
    <w:p>
      <w:pPr>
        <w:ind w:left="260"/>
        <w:spacing w:after="0" w:line="303" w:lineRule="auto"/>
        <w:rPr>
          <w:rFonts w:ascii="Arial" w:cs="Arial" w:eastAsia="Arial" w:hAnsi="Arial"/>
          <w:sz w:val="11"/>
          <w:szCs w:val="11"/>
          <w:color w:val="auto"/>
        </w:rPr>
      </w:pPr>
      <w:r>
        <w:rPr>
          <w:rFonts w:ascii="Arial" w:cs="Arial" w:eastAsia="Arial" w:hAnsi="Arial"/>
          <w:sz w:val="11"/>
          <w:szCs w:val="11"/>
          <w:color w:val="auto"/>
        </w:rPr>
        <w:t>Includes the following items for the nine months ended September 30, 2026: (i) net income of $46,192 (2025 - net loss of $1,048), (ii) interest expense of $16,626 (2025 - $4,119), (iii) depreciation and amortization expense of $33,716 (2025 - $13,077), (iv) acquisition and transaction expenses of $0 (2025 - $470), and (v) tax expense of $62 (2025 - benefit of $105).</w:t>
      </w:r>
    </w:p>
    <w:p>
      <w:pPr>
        <w:spacing w:after="0" w:line="41" w:lineRule="exact"/>
        <w:rPr>
          <w:rFonts w:ascii="Arial" w:cs="Arial" w:eastAsia="Arial" w:hAnsi="Arial"/>
          <w:sz w:val="11"/>
          <w:szCs w:val="11"/>
          <w:color w:val="auto"/>
        </w:rPr>
      </w:pPr>
    </w:p>
    <w:p>
      <w:pPr>
        <w:ind w:left="240" w:hanging="235"/>
        <w:spacing w:after="0"/>
        <w:tabs>
          <w:tab w:leader="none" w:pos="2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Excludes the profit elimination of $5,055 and $21,652 for the three and nine months ended September 30, 2026, respectively (2025 - $3,908 and $15,793, respectively), for sales to the SCI Partnerships.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September 30,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revenues increased by $310.6 million, driven by the following:</w:t>
      </w:r>
    </w:p>
    <w:p>
      <w:pPr>
        <w:spacing w:after="0" w:line="84"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Aerospace products revenue increased by $321.4 million, primarily due to a $313.8 million increase in CFM56-5B, CFM56-7B and V2500 engine and module sales.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MRE Contract revenue - affiliate increased by $70.7 million, primarily due to an increase in engine and module sales made to the SCI Partnerships.</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Lease income decreased by $29.8 million, due to decreases in aircraft lease revenue of $12.3 million, driven by the sale of Seed Assets to the 2025 Partnership, and decreases in engine lease revenue of $17.5 million, driven by a decrease in revenue generating assets on lease.</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Asset sales revenue decreased by $32.6 million, primarily due to an overall decrease in the number of sales transactions of commercial aircraft and engines in the current period as compared to the prior period.</w:t>
      </w:r>
    </w:p>
    <w:p>
      <w:pPr>
        <w:spacing w:after="0" w:line="5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Maintenance revenue decreased by $25.1 million, due to decreases in aircraft maintenance revenue of $7.9 million and engine maintenance revenue of $17.2 million, both driven by a decrease in revenue generating assets on lease.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8"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00497F"/>
        </w:rPr>
        <w:t>Comparison of the nine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revenues increased by $916.1 million, driven by the following:</w:t>
      </w:r>
    </w:p>
    <w:p>
      <w:pPr>
        <w:spacing w:after="0" w:line="95"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Aerospace Products revenue increased by $851.1 million, primarily due to a $823.3 million increase in CFM56-5B, CFM56-7B and V2500 engine and module sales.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MRE Contract revenue - affiliate increased by $304.6 million, primarily due to an increase in engine and module sales made to the SCI Partnerships.</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Lease income decreased by $93.0 million, primarily due to a decrease in aircraft lease revenue of $56.5 million, and a decrease in engine lease revenue of $36.5 million, both driven by a decrease in revenue generating assets on lease.</w:t>
      </w:r>
    </w:p>
    <w:p>
      <w:pPr>
        <w:spacing w:after="0" w:line="5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Maintenance revenue decreased by $91.4 million, primarily due to a decrease in aircraft maintenance revenue of $47.0 million and a decrease in engine maintenance revenue of $44.4 million, both driven by a decrease in revenue generating assets on lease.</w:t>
      </w:r>
    </w:p>
    <w:p>
      <w:pPr>
        <w:spacing w:after="0" w:line="4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Asset sales revenue decreased by $72.3 million, primarily due to an overall decrease in the number of sales transactions of commercial aircraft and engines in the current period as compared to the prior period.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September 30,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by $292.6 million, driven by the following:</w:t>
      </w:r>
    </w:p>
    <w:p>
      <w:pPr>
        <w:spacing w:after="0" w:line="84" w:lineRule="exact"/>
        <w:rPr>
          <w:sz w:val="20"/>
          <w:szCs w:val="20"/>
          <w:color w:val="auto"/>
        </w:rPr>
      </w:pPr>
    </w:p>
    <w:p>
      <w:pPr>
        <w:ind w:left="520" w:hanging="260"/>
        <w:spacing w:after="0" w:line="266"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Cost of sales increased by $260.9 million, primarily due to increases in CFM56-5B, CFM56-7B and V2500 engine and module sales, and parts inventory sales, which directly corresponds to components of increases in Aerospace products revenue over the same period.</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Operating expenses increased by $23.2 million, primarily due to increases in compensation and benefits expense and shipping and logistics expense across our operating segments, as well as increased general corporate expenses.</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Research and development expenses increased $22.0 million, resulting from costs incurred during the current period for design and testing related to the development of aeroderivative turbines for FTAI Power.</w:t>
      </w:r>
    </w:p>
    <w:p>
      <w:pPr>
        <w:spacing w:after="0" w:line="50"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Depreciation and amortization expense decreased by $12.0 million, primarily driven by the sale of Seed Assets to the 2025 Partnership.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nine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by $894.3 million, driven by the following:</w:t>
      </w:r>
    </w:p>
    <w:p>
      <w:pPr>
        <w:spacing w:after="0" w:line="95" w:lineRule="exact"/>
        <w:rPr>
          <w:sz w:val="20"/>
          <w:szCs w:val="20"/>
          <w:color w:val="auto"/>
        </w:rPr>
      </w:pPr>
    </w:p>
    <w:p>
      <w:pPr>
        <w:ind w:left="520" w:hanging="260"/>
        <w:spacing w:after="0" w:line="266"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Cost of sales increased by $803.0 million, primarily due to increases in CFM56-5B, CFM56-7B and V2500 engine and module sales, and parts inventory sales, which directly corresponds to components of increases in Aerospace products revenue over the same period.</w:t>
      </w:r>
    </w:p>
    <w:p>
      <w:pPr>
        <w:spacing w:after="0" w:line="5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Operating expenses increased by $69.6 million, primarily due to an increase in compensation and benefits expense due to an increase in employee headcount and increased overall compensation, as well as increased general corporate expenses.</w:t>
      </w:r>
    </w:p>
    <w:p>
      <w:pPr>
        <w:spacing w:after="0" w:line="4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Research and development expenses increased $41.5 million, resulting from costs incurred during the current year for design and testing related to the development of aeroderivative turbines for FTAI Power.</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Depreciation and amortization expense decreased by $27.5 million, primarily driven by the sale of Seed Assets to the 2025 Partnership.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(expense) income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decreased by $10.8 million driven by the following:</w:t>
      </w:r>
    </w:p>
    <w:p>
      <w:pPr>
        <w:spacing w:after="0" w:line="95"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Equity in earnings of unconsolidated entities increased by $21.2 million, driven by net income earned by the 2025 Partnership in the current period, compared to losses in the prior period.</w:t>
      </w:r>
    </w:p>
    <w:p>
      <w:pPr>
        <w:spacing w:after="0" w:line="8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Gain on sale to the 2025 Partnership - affiliate decreased by $4.6 million, driven by the lower number of Seed Assets sold to the 2025 Partnership in the current period as compared to the prior period.</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Interest expense increased $4.3 million, driven by the amended and restated Revolving Credit Facility which was executed on April 24, 2026.</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nine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increased by $1.4 million driven by the following: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1" w:name="page42"/>
    <w:bookmarkEnd w:id="41"/>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Equity in earnings of unconsolidated entities increased by $41.4 million, driven by net income earned by the 2025 Partnership in the current period, compared to losses in the prior period.</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Gain on sale to the 2025 Partnership - affiliate decreased by $32.5 million, driven by the lower number of Seed Assets sold to the 2025 Partnership in the current period as compared to the prior period.</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Other income decreased by $6.5 million, primarily due to a decrease in insurance settlements in the current period as compared to the prior period.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Provision for income taxes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provision for income taxes decreased $4.1 million and $7.7 million for the three and nine months ended September 30, 2026, as compared to the prior period, primarily driven by higher corporate overhead expenses deductible for tax purposes and lower income generated in the Aviation Leasing segment within taxable jurisdictions, offset by higher income generated in the Aerospace Products segment.</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income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Net income increased by $32.9 million and $28.1 million for the three and nine months ended September 30, 2026, as compared to the prior period, primarily due to the changes noted above.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Adjusted EBITDA increased by $50.9 million and $71.0 million for the three and nine months ended September 30, 2026, as compared to the prior period, primarily due to the changes noted above.</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Aerospace Products Segment</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Aerospace Products segment, through our maintenance facilities and joint ventures, among other investments, develops and manufactures, repairs/refurbishes, and sells aircraft engines and aftermarket components primarily for the CFM56-5B, CFM56-7B, and V2500 commercial aircraft engines. Our engine, module, and parts sales are facilitated through a dedicated commercial maintenance program designed to focus on modular and parts repair and refurbishment of CFM56-5B and CFM56-7B engines. In addition, other serviceable used modules and parts are sold through our exclusive partnership, which is responsible for the teardown, repair, marketing, and sales of parts from our CFM56 engine pool.</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In 2023, we acquired the remaining interest in Quick Turn Engine Center LLC (“QuickTurn”), a dedicated hospital maintenance and testing facility specializing in the CFM56-5B and CFM56-7B engines.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In 2024, we acquired Lockheed Martin Commercial Engine Solutions (“LMCES”) to establish permanent engine and module manufacturing capabilities.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In 2025, we entered into an agreement within our MRE business to supply replacement aircraft engines and modules for the life of the 2025 Partnership. We also acquired Pacific Aerodynamic Inc.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(“Pac Aero”), a specialist in CFM56 compressor blade and vane repairs, expanding our repair capabilities, and the MRE business of AerotechOPS (“ATOPS”), expanding our MRE business in Miami.</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In 2026, we entered into an agreement within our MRE business to supply replacement aircraft engines and modules for the life of the 2026 Partnership.</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Additionally, we maintain a (i) 25% equity interest in the Advanced Engine Repair joint venture, which focuses on developing innovative cost-saving programs for engine repairs, (ii) 50% equity interest in QuickTurn Europe, which operates as a dedicated maintenance, repair, and overhaul facility for CFM56 engines, and (iii) 50% equity interest in Prime Engine Accessories LLC, which focuses on developing in-house CFM56 accessory maintenance repairs.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The following table presents our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Three Months Ended September 30,</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60"/>
              <w:spacing w:after="0"/>
              <w:rPr>
                <w:sz w:val="20"/>
                <w:szCs w:val="20"/>
                <w:color w:val="auto"/>
              </w:rPr>
            </w:pPr>
            <w:r>
              <w:rPr>
                <w:rFonts w:ascii="Arial" w:cs="Arial" w:eastAsia="Arial" w:hAnsi="Arial"/>
                <w:sz w:val="11"/>
                <w:szCs w:val="11"/>
                <w:b w:val="1"/>
                <w:bCs w:val="1"/>
                <w:color w:val="auto"/>
              </w:rPr>
              <w:t>Nine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8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Aerospace products revenue</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780,598</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459,206</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321,392</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1,995,412</w:t>
            </w:r>
          </w:p>
        </w:tc>
        <w:tc>
          <w:tcPr>
            <w:tcW w:w="10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1,144,317</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851,095</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MRE Contract revenue - affiliate</w:t>
            </w: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129,408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58,663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70,745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533,437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228,886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304,551</w:t>
            </w:r>
          </w:p>
        </w:tc>
        <w:tc>
          <w:tcPr>
            <w:tcW w:w="0" w:type="dxa"/>
            <w:vAlign w:val="bottom"/>
          </w:tcPr>
          <w:p>
            <w:pPr>
              <w:spacing w:after="0"/>
              <w:rPr>
                <w:sz w:val="1"/>
                <w:szCs w:val="1"/>
                <w:color w:val="auto"/>
              </w:rPr>
            </w:pPr>
          </w:p>
        </w:tc>
      </w:tr>
      <w:tr>
        <w:trPr>
          <w:trHeight w:val="16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910,006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517,869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392,137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2,528,849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1,373,203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1,155,646</w:t>
            </w:r>
          </w:p>
        </w:tc>
        <w:tc>
          <w:tcPr>
            <w:tcW w:w="0" w:type="dxa"/>
            <w:vAlign w:val="bottom"/>
          </w:tcPr>
          <w:p>
            <w:pPr>
              <w:spacing w:after="0"/>
              <w:rPr>
                <w:sz w:val="1"/>
                <w:szCs w:val="1"/>
                <w:color w:val="auto"/>
              </w:rPr>
            </w:pPr>
          </w:p>
        </w:tc>
      </w:tr>
      <w:tr>
        <w:trPr>
          <w:trHeight w:val="182"/>
        </w:trPr>
        <w:tc>
          <w:tcPr>
            <w:tcW w:w="4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618,007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328,153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289,854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1,743,548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874,377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869,171</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11,913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10,545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33,749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25,221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8,528</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253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(2,892)</w:t>
            </w:r>
          </w:p>
        </w:tc>
        <w:tc>
          <w:tcPr>
            <w:tcW w:w="0" w:type="dxa"/>
            <w:vAlign w:val="bottom"/>
          </w:tcPr>
          <w:p>
            <w:pPr>
              <w:spacing w:after="0"/>
              <w:rPr>
                <w:sz w:val="1"/>
                <w:szCs w:val="1"/>
                <w:color w:val="auto"/>
              </w:rPr>
            </w:pPr>
          </w:p>
        </w:tc>
      </w:tr>
      <w:tr>
        <w:trPr>
          <w:trHeight w:val="17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4,942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3,930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11,218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3,305</w:t>
            </w:r>
          </w:p>
        </w:tc>
        <w:tc>
          <w:tcPr>
            <w:tcW w:w="0" w:type="dxa"/>
            <w:vAlign w:val="bottom"/>
          </w:tcPr>
          <w:p>
            <w:pPr>
              <w:spacing w:after="0"/>
              <w:rPr>
                <w:sz w:val="1"/>
                <w:szCs w:val="1"/>
                <w:color w:val="auto"/>
              </w:rPr>
            </w:pPr>
          </w:p>
        </w:tc>
      </w:tr>
      <w:tr>
        <w:trPr>
          <w:trHeight w:val="16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634,986</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343,227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291,759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1,792,073</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913,961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878,112</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Equity in earnings of unconsolidated entities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1,431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767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664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1,209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(385)</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(expense) income</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6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income</w:t>
            </w: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1,377</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767</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610</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1,267</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1,594</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6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276,397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175,409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100,988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738,043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460,836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277,207</w:t>
            </w:r>
          </w:p>
        </w:tc>
        <w:tc>
          <w:tcPr>
            <w:tcW w:w="0" w:type="dxa"/>
            <w:vAlign w:val="bottom"/>
          </w:tcPr>
          <w:p>
            <w:pPr>
              <w:spacing w:after="0"/>
              <w:rPr>
                <w:sz w:val="1"/>
                <w:szCs w:val="1"/>
                <w:color w:val="auto"/>
              </w:rPr>
            </w:pPr>
          </w:p>
        </w:tc>
      </w:tr>
      <w:tr>
        <w:trPr>
          <w:trHeight w:val="17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50,883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26,815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24,068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134,550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72,017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62,533</w:t>
            </w:r>
          </w:p>
        </w:tc>
        <w:tc>
          <w:tcPr>
            <w:tcW w:w="0" w:type="dxa"/>
            <w:vAlign w:val="bottom"/>
          </w:tcPr>
          <w:p>
            <w:pPr>
              <w:spacing w:after="0"/>
              <w:rPr>
                <w:sz w:val="1"/>
                <w:szCs w:val="1"/>
                <w:color w:val="auto"/>
              </w:rPr>
            </w:pPr>
          </w:p>
        </w:tc>
      </w:tr>
      <w:tr>
        <w:trPr>
          <w:trHeight w:val="18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225,514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148,594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76,920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603,493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388,819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214,674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a reconciliation of net income attributable to shareholders to Adjusted EBITDA: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Three Months Ended September 30,</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60"/>
              <w:spacing w:after="0"/>
              <w:rPr>
                <w:sz w:val="20"/>
                <w:szCs w:val="20"/>
                <w:color w:val="auto"/>
              </w:rPr>
            </w:pPr>
            <w:r>
              <w:rPr>
                <w:rFonts w:ascii="Arial" w:cs="Arial" w:eastAsia="Arial" w:hAnsi="Arial"/>
                <w:sz w:val="11"/>
                <w:szCs w:val="11"/>
                <w:b w:val="1"/>
                <w:bCs w:val="1"/>
                <w:color w:val="auto"/>
              </w:rPr>
              <w:t>Nine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18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6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225,514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148,594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76,920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603,493</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388,819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214,674</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Provision for income taxes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50,883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26,815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24,068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134,550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62,533</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488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253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3,145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(2,892)</w:t>
            </w:r>
          </w:p>
        </w:tc>
        <w:tc>
          <w:tcPr>
            <w:tcW w:w="0" w:type="dxa"/>
            <w:vAlign w:val="bottom"/>
          </w:tcPr>
          <w:p>
            <w:pPr>
              <w:spacing w:after="0"/>
              <w:rPr>
                <w:sz w:val="1"/>
                <w:szCs w:val="1"/>
                <w:color w:val="auto"/>
              </w:rPr>
            </w:pPr>
          </w:p>
        </w:tc>
      </w:tr>
      <w:tr>
        <w:trPr>
          <w:trHeight w:val="132"/>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preferred shares</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and capital lease obligations</w:t>
            </w:r>
          </w:p>
        </w:tc>
        <w:tc>
          <w:tcPr>
            <w:tcW w:w="14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Asset impairment charges</w:t>
            </w: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Incentive allocations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Depreciation and amortization expense</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4,942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3,930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14,523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11,218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3,305</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1"/>
                <w:szCs w:val="11"/>
                <w:color w:val="auto"/>
              </w:rPr>
              <w:t>Add: Internalization fee to affiliate</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FTAI Power pre-commercial research and development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1"/>
                <w:szCs w:val="11"/>
                <w:color w:val="auto"/>
              </w:rPr>
              <w:t xml:space="preserve">Add: Pro-rata share of Adjusted EBITDA from unconsolidated entities </w:t>
            </w:r>
            <w:r>
              <w:rPr>
                <w:rFonts w:ascii="Arial" w:cs="Arial" w:eastAsia="Arial" w:hAnsi="Arial"/>
                <w:sz w:val="7"/>
                <w:szCs w:val="7"/>
                <w:color w:val="auto"/>
              </w:rPr>
              <w:t>(1)</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2,109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2,573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439</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 in (earnings) of unconsolidated entities</w:t>
            </w: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(1,431)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(1,209)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385</w:t>
            </w:r>
          </w:p>
        </w:tc>
        <w:tc>
          <w:tcPr>
            <w:tcW w:w="0" w:type="dxa"/>
            <w:vAlign w:val="bottom"/>
          </w:tcPr>
          <w:p>
            <w:pPr>
              <w:spacing w:after="0"/>
              <w:rPr>
                <w:sz w:val="1"/>
                <w:szCs w:val="1"/>
                <w:color w:val="auto"/>
              </w:rPr>
            </w:pPr>
          </w:p>
        </w:tc>
      </w:tr>
      <w:tr>
        <w:trPr>
          <w:trHeight w:val="161"/>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282,379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180,421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101,958</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754,671</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476,230</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278,441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September 30, 2026: (i) net income of $1,431 (2025 - $767), (ii) depreciation and amortization expense of $671 (2025 - $420), and (iii) tax expense of $7 (2025 - tax benefit of $105).</w:t>
      </w:r>
    </w:p>
    <w:p>
      <w:pPr>
        <w:spacing w:after="0" w:line="41" w:lineRule="exact"/>
        <w:rPr>
          <w:rFonts w:ascii="Arial" w:cs="Arial" w:eastAsia="Arial" w:hAnsi="Arial"/>
          <w:sz w:val="11"/>
          <w:szCs w:val="11"/>
          <w:color w:val="auto"/>
        </w:rPr>
      </w:pPr>
    </w:p>
    <w:p>
      <w:pPr>
        <w:ind w:left="260"/>
        <w:spacing w:after="0" w:line="283" w:lineRule="auto"/>
        <w:rPr>
          <w:rFonts w:ascii="Arial" w:cs="Arial" w:eastAsia="Arial" w:hAnsi="Arial"/>
          <w:sz w:val="11"/>
          <w:szCs w:val="11"/>
          <w:color w:val="auto"/>
        </w:rPr>
      </w:pPr>
      <w:r>
        <w:rPr>
          <w:rFonts w:ascii="Arial" w:cs="Arial" w:eastAsia="Arial" w:hAnsi="Arial"/>
          <w:sz w:val="11"/>
          <w:szCs w:val="11"/>
          <w:color w:val="auto"/>
        </w:rPr>
        <w:t>Includes the following items for the nine months ended September 30, 2026: (i) net income of $1,209 (2025 - $1,594), (ii) depreciation and amortization expense of $1,302 (2025 - $645), and (iii) tax expense of $62 (2025 - tax benefit of $105).</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September 30,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revenues increased by $392.1 million, due to the following:</w:t>
      </w:r>
    </w:p>
    <w:p>
      <w:pPr>
        <w:spacing w:after="0" w:line="84" w:lineRule="exact"/>
        <w:rPr>
          <w:sz w:val="20"/>
          <w:szCs w:val="20"/>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Aerospace products revenue increased by $321.4 million, primarily due to a $313.8 million increase in CFM56-5B, CFM56-7B and V2500 engine and module sales.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MRE Contract revenue - affiliate increased by $70.7 million, primarily due to an increase in engine and module sales made to the SCI Partnerships.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nine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revenues increased by $1.2 billion, due to the following:</w:t>
      </w:r>
    </w:p>
    <w:p>
      <w:pPr>
        <w:spacing w:after="0" w:line="95"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Aerospace products revenue increased by $851.1 million, primarily due to a $823.3 million increase in CFM56-5B, CFM56-7B and V2500 engine and module sales.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MRE Contract revenue - affiliate increased by $304.6 million, primarily due to an increase in engine and module sales made to the SCI Partnerships.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by $291.8 million, due to the following:</w:t>
      </w:r>
    </w:p>
    <w:p>
      <w:pPr>
        <w:spacing w:after="0" w:line="95" w:lineRule="exact"/>
        <w:rPr>
          <w:sz w:val="20"/>
          <w:szCs w:val="20"/>
          <w:color w:val="auto"/>
        </w:rPr>
      </w:pPr>
    </w:p>
    <w:p>
      <w:pPr>
        <w:ind w:left="520" w:hanging="260"/>
        <w:spacing w:after="0" w:line="266"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Cost of sales increased by $289.9 million, primarily due to increases in CFM56-5B, CFM56-7B and V2500 engine and module sales and parts inventory sales, which directly corresponds to components of increases in Aerospace products revenue over the same period.</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nine months ended September 30,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by $878.1 million, due to the following:</w:t>
      </w:r>
    </w:p>
    <w:p>
      <w:pPr>
        <w:spacing w:after="0" w:line="84" w:lineRule="exact"/>
        <w:rPr>
          <w:sz w:val="20"/>
          <w:szCs w:val="20"/>
          <w:color w:val="auto"/>
        </w:rPr>
      </w:pPr>
    </w:p>
    <w:p>
      <w:pPr>
        <w:ind w:left="520" w:hanging="260"/>
        <w:spacing w:after="0" w:line="283"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Cost of sales increased by $869.2 million, primarily due to increases in CFM56-5B, CFM56-7B and V2500 engine and module sales and parts inventory sales, which directly corresponds to components of increases in Aerospace products revenue over the same period.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Provision for income taxes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provision for income taxes increased by $24.1 million and $62.5 million for the three and nine months ended September 30, 2026, as compared to the prior period, primarily due to the increase in income discussed above from Aerospace Products activities in jurisdictions subject to taxes.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income</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Net income increased $76.9 million and $214.7 million for the three and nine months ended September 30, 2026, respectively, as compared to the prior period, primarily due to the changes noted above.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Adjusted EBITDA increased $102.0 million and $278.4 million for the three and nine months ended September 30, 2026, respectively, as compared to the prior period, primarily due to the changes noted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color w:val="00497F"/>
        </w:rPr>
        <w:t>Aviation Leasing Segment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As of September 30, 2026, in our Aviation Leasing segment, we own and manage 166 aviation assets, consisting of 21 commercial aircraft and 145 engines.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of September 30, 2026, 19 of our commercial aircraft and 76 of our engines were leased to operators or other third parties. Aviation assets currently off lease are either undergoing repair and/or maintenance, being prepared to go on lease or held in short term storage awaiting a future lease. Our aviation equipment was approximately 69% utilized during the three months ended September 30, 2026, based on the percent of days on-lease in the quarter weighted by the monthly average equity value of our aviation leasing equipment, excluding airframes. Our aircraft currently have a weighted average remaining lease term of 38 months, and our engines currently on-lease have an average remaining lease term of 10 months. The table below provides additional information on the assets in our Aviation Leasing segment, including transfers which involve aircraft breakdowns, engine transfers from leasing equipment to inventory for manufacturing and sales, and engine transfers from inventory to leasing equipment for rebuilding and sales: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shd w:val="clear" w:color="auto" w:fill="00497F"/>
          </w:tcPr>
          <w:p>
            <w:pPr>
              <w:spacing w:after="0"/>
              <w:rPr>
                <w:sz w:val="14"/>
                <w:szCs w:val="14"/>
                <w:color w:val="auto"/>
              </w:rPr>
            </w:pPr>
          </w:p>
        </w:tc>
        <w:tc>
          <w:tcPr>
            <w:tcW w:w="4540" w:type="dxa"/>
            <w:vAlign w:val="bottom"/>
            <w:gridSpan w:val="3"/>
            <w:shd w:val="clear" w:color="auto" w:fill="00497F"/>
          </w:tcPr>
          <w:p>
            <w:pPr>
              <w:spacing w:after="0"/>
              <w:rPr>
                <w:sz w:val="20"/>
                <w:szCs w:val="20"/>
                <w:color w:val="auto"/>
              </w:rPr>
            </w:pPr>
            <w:r>
              <w:rPr>
                <w:rFonts w:ascii="Arial" w:cs="Arial" w:eastAsia="Arial" w:hAnsi="Arial"/>
                <w:sz w:val="11"/>
                <w:szCs w:val="11"/>
                <w:b w:val="1"/>
                <w:bCs w:val="1"/>
                <w:color w:val="FFFFFF"/>
              </w:rPr>
              <w:t>Aviation Assets</w:t>
            </w:r>
          </w:p>
        </w:tc>
        <w:tc>
          <w:tcPr>
            <w:tcW w:w="1660" w:type="dxa"/>
            <w:vAlign w:val="bottom"/>
            <w:shd w:val="clear" w:color="auto" w:fill="00497F"/>
          </w:tcPr>
          <w:p>
            <w:pPr>
              <w:ind w:left="820"/>
              <w:spacing w:after="0"/>
              <w:rPr>
                <w:sz w:val="20"/>
                <w:szCs w:val="20"/>
                <w:color w:val="auto"/>
              </w:rPr>
            </w:pPr>
            <w:r>
              <w:rPr>
                <w:rFonts w:ascii="Arial" w:cs="Arial" w:eastAsia="Arial" w:hAnsi="Arial"/>
                <w:sz w:val="11"/>
                <w:szCs w:val="11"/>
                <w:b w:val="1"/>
                <w:bCs w:val="1"/>
                <w:color w:val="FFFFFF"/>
              </w:rPr>
              <w:t>Widebody</w:t>
            </w:r>
          </w:p>
        </w:tc>
        <w:tc>
          <w:tcPr>
            <w:tcW w:w="520" w:type="dxa"/>
            <w:vAlign w:val="bottom"/>
            <w:shd w:val="clear" w:color="auto" w:fill="00497F"/>
          </w:tcPr>
          <w:p>
            <w:pPr>
              <w:spacing w:after="0"/>
              <w:rPr>
                <w:sz w:val="14"/>
                <w:szCs w:val="14"/>
                <w:color w:val="auto"/>
              </w:rPr>
            </w:pPr>
          </w:p>
        </w:tc>
        <w:tc>
          <w:tcPr>
            <w:tcW w:w="100" w:type="dxa"/>
            <w:vAlign w:val="bottom"/>
            <w:shd w:val="clear" w:color="auto" w:fill="00497F"/>
          </w:tcPr>
          <w:p>
            <w:pPr>
              <w:spacing w:after="0"/>
              <w:rPr>
                <w:sz w:val="14"/>
                <w:szCs w:val="14"/>
                <w:color w:val="auto"/>
              </w:rPr>
            </w:pPr>
          </w:p>
        </w:tc>
        <w:tc>
          <w:tcPr>
            <w:tcW w:w="1680" w:type="dxa"/>
            <w:vAlign w:val="bottom"/>
            <w:shd w:val="clear" w:color="auto" w:fill="00497F"/>
          </w:tcPr>
          <w:p>
            <w:pPr>
              <w:ind w:left="760"/>
              <w:spacing w:after="0"/>
              <w:rPr>
                <w:sz w:val="20"/>
                <w:szCs w:val="20"/>
                <w:color w:val="auto"/>
              </w:rPr>
            </w:pPr>
            <w:r>
              <w:rPr>
                <w:rFonts w:ascii="Arial" w:cs="Arial" w:eastAsia="Arial" w:hAnsi="Arial"/>
                <w:sz w:val="11"/>
                <w:szCs w:val="11"/>
                <w:b w:val="1"/>
                <w:bCs w:val="1"/>
                <w:color w:val="FFFFFF"/>
              </w:rPr>
              <w:t>Narrowbody</w:t>
            </w:r>
          </w:p>
        </w:tc>
        <w:tc>
          <w:tcPr>
            <w:tcW w:w="500" w:type="dxa"/>
            <w:vAlign w:val="bottom"/>
            <w:shd w:val="clear" w:color="auto" w:fill="00497F"/>
          </w:tcPr>
          <w:p>
            <w:pPr>
              <w:spacing w:after="0"/>
              <w:rPr>
                <w:sz w:val="14"/>
                <w:szCs w:val="14"/>
                <w:color w:val="auto"/>
              </w:rPr>
            </w:pPr>
          </w:p>
        </w:tc>
        <w:tc>
          <w:tcPr>
            <w:tcW w:w="80" w:type="dxa"/>
            <w:vAlign w:val="bottom"/>
            <w:shd w:val="clear" w:color="auto" w:fill="00497F"/>
          </w:tcPr>
          <w:p>
            <w:pPr>
              <w:spacing w:after="0"/>
              <w:rPr>
                <w:sz w:val="14"/>
                <w:szCs w:val="14"/>
                <w:color w:val="auto"/>
              </w:rPr>
            </w:pPr>
          </w:p>
        </w:tc>
        <w:tc>
          <w:tcPr>
            <w:tcW w:w="2180" w:type="dxa"/>
            <w:vAlign w:val="bottom"/>
            <w:shd w:val="clear" w:color="auto" w:fill="00497F"/>
          </w:tcPr>
          <w:p>
            <w:pPr>
              <w:jc w:val="right"/>
              <w:ind w:right="903"/>
              <w:spacing w:after="0"/>
              <w:rPr>
                <w:sz w:val="20"/>
                <w:szCs w:val="20"/>
                <w:color w:val="auto"/>
              </w:rPr>
            </w:pPr>
            <w:r>
              <w:rPr>
                <w:rFonts w:ascii="Arial" w:cs="Arial" w:eastAsia="Arial" w:hAnsi="Arial"/>
                <w:sz w:val="11"/>
                <w:szCs w:val="11"/>
                <w:b w:val="1"/>
                <w:bCs w:val="1"/>
                <w:color w:val="FFFFFF"/>
              </w:rPr>
              <w:t>Total</w:t>
            </w:r>
          </w:p>
        </w:tc>
      </w:tr>
      <w:tr>
        <w:trPr>
          <w:trHeight w:val="138"/>
        </w:trPr>
        <w:tc>
          <w:tcPr>
            <w:tcW w:w="20" w:type="dxa"/>
            <w:vAlign w:val="bottom"/>
          </w:tcPr>
          <w:p>
            <w:pPr>
              <w:spacing w:after="0"/>
              <w:rPr>
                <w:sz w:val="11"/>
                <w:szCs w:val="11"/>
                <w:color w:val="auto"/>
              </w:rPr>
            </w:pPr>
          </w:p>
        </w:tc>
        <w:tc>
          <w:tcPr>
            <w:tcW w:w="4540" w:type="dxa"/>
            <w:vAlign w:val="bottom"/>
            <w:gridSpan w:val="3"/>
          </w:tcPr>
          <w:p>
            <w:pPr>
              <w:spacing w:after="0"/>
              <w:rPr>
                <w:sz w:val="20"/>
                <w:szCs w:val="20"/>
                <w:color w:val="auto"/>
              </w:rPr>
            </w:pPr>
            <w:r>
              <w:rPr>
                <w:rFonts w:ascii="Arial" w:cs="Arial" w:eastAsia="Arial" w:hAnsi="Arial"/>
                <w:sz w:val="11"/>
                <w:szCs w:val="11"/>
                <w:b w:val="1"/>
                <w:bCs w:val="1"/>
                <w:i w:val="1"/>
                <w:iCs w:val="1"/>
                <w:color w:val="auto"/>
              </w:rPr>
              <w:t>Aircraft</w:t>
            </w:r>
          </w:p>
        </w:tc>
        <w:tc>
          <w:tcPr>
            <w:tcW w:w="1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Assets at January 1, 2026</w:t>
            </w:r>
          </w:p>
        </w:tc>
        <w:tc>
          <w:tcPr>
            <w:tcW w:w="16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42</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w:t>
            </w:r>
          </w:p>
        </w:tc>
      </w:tr>
      <w:tr>
        <w:trPr>
          <w:trHeight w:val="167"/>
        </w:trPr>
        <w:tc>
          <w:tcPr>
            <w:tcW w:w="20" w:type="dxa"/>
            <w:vAlign w:val="bottom"/>
          </w:tcPr>
          <w:p>
            <w:pPr>
              <w:spacing w:after="0"/>
              <w:rPr>
                <w:sz w:val="14"/>
                <w:szCs w:val="14"/>
                <w:color w:val="auto"/>
              </w:rPr>
            </w:pPr>
          </w:p>
        </w:tc>
        <w:tc>
          <w:tcPr>
            <w:tcW w:w="4540" w:type="dxa"/>
            <w:vAlign w:val="bottom"/>
            <w:gridSpan w:val="3"/>
          </w:tcPr>
          <w:p>
            <w:pPr>
              <w:spacing w:after="0"/>
              <w:rPr>
                <w:sz w:val="20"/>
                <w:szCs w:val="20"/>
                <w:color w:val="auto"/>
              </w:rPr>
            </w:pPr>
            <w:r>
              <w:rPr>
                <w:rFonts w:ascii="Arial" w:cs="Arial" w:eastAsia="Arial" w:hAnsi="Arial"/>
                <w:sz w:val="11"/>
                <w:szCs w:val="11"/>
                <w:color w:val="auto"/>
              </w:rPr>
              <w:t>Purchases</w:t>
            </w:r>
          </w:p>
        </w:tc>
        <w:tc>
          <w:tcPr>
            <w:tcW w:w="1660" w:type="dxa"/>
            <w:vAlign w:val="bottom"/>
          </w:tcPr>
          <w:p>
            <w:pPr>
              <w:spacing w:after="0"/>
              <w:rPr>
                <w:sz w:val="14"/>
                <w:szCs w:val="14"/>
                <w:color w:val="auto"/>
              </w:rPr>
            </w:pPr>
          </w:p>
        </w:tc>
        <w:tc>
          <w:tcPr>
            <w:tcW w:w="2300" w:type="dxa"/>
            <w:vAlign w:val="bottom"/>
            <w:gridSpan w:val="3"/>
          </w:tcPr>
          <w:p>
            <w:pPr>
              <w:jc w:val="right"/>
              <w:ind w:right="1783"/>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20" w:type="dxa"/>
            <w:vAlign w:val="bottom"/>
            <w:shd w:val="clear" w:color="auto" w:fill="CCEEFF"/>
          </w:tcPr>
          <w:p>
            <w:pPr>
              <w:spacing w:after="0"/>
              <w:rPr>
                <w:sz w:val="15"/>
                <w:szCs w:val="15"/>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Sales</w:t>
            </w:r>
          </w:p>
        </w:tc>
        <w:tc>
          <w:tcPr>
            <w:tcW w:w="166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right"/>
              <w:ind w:right="178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67"/>
        </w:trPr>
        <w:tc>
          <w:tcPr>
            <w:tcW w:w="20" w:type="dxa"/>
            <w:vAlign w:val="bottom"/>
          </w:tcPr>
          <w:p>
            <w:pPr>
              <w:spacing w:after="0"/>
              <w:rPr>
                <w:sz w:val="14"/>
                <w:szCs w:val="14"/>
                <w:color w:val="auto"/>
              </w:rPr>
            </w:pPr>
          </w:p>
        </w:tc>
        <w:tc>
          <w:tcPr>
            <w:tcW w:w="4540" w:type="dxa"/>
            <w:vAlign w:val="bottom"/>
            <w:gridSpan w:val="3"/>
          </w:tcPr>
          <w:p>
            <w:pPr>
              <w:spacing w:after="0"/>
              <w:rPr>
                <w:sz w:val="20"/>
                <w:szCs w:val="20"/>
                <w:color w:val="auto"/>
              </w:rPr>
            </w:pPr>
            <w:r>
              <w:rPr>
                <w:rFonts w:ascii="Arial" w:cs="Arial" w:eastAsia="Arial" w:hAnsi="Arial"/>
                <w:sz w:val="11"/>
                <w:szCs w:val="11"/>
                <w:color w:val="auto"/>
              </w:rPr>
              <w:t>Transfers</w:t>
            </w:r>
          </w:p>
        </w:tc>
        <w:tc>
          <w:tcPr>
            <w:tcW w:w="1660" w:type="dxa"/>
            <w:vAlign w:val="bottom"/>
          </w:tcPr>
          <w:p>
            <w:pPr>
              <w:spacing w:after="0"/>
              <w:rPr>
                <w:sz w:val="14"/>
                <w:szCs w:val="14"/>
                <w:color w:val="auto"/>
              </w:rPr>
            </w:pPr>
          </w:p>
        </w:tc>
        <w:tc>
          <w:tcPr>
            <w:tcW w:w="2300" w:type="dxa"/>
            <w:vAlign w:val="bottom"/>
            <w:gridSpan w:val="3"/>
          </w:tcPr>
          <w:p>
            <w:pPr>
              <w:jc w:val="right"/>
              <w:ind w:right="178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70"/>
        </w:trPr>
        <w:tc>
          <w:tcPr>
            <w:tcW w:w="20" w:type="dxa"/>
            <w:vAlign w:val="bottom"/>
            <w:shd w:val="clear" w:color="auto" w:fill="CCEEFF"/>
          </w:tcPr>
          <w:p>
            <w:pPr>
              <w:spacing w:after="0"/>
              <w:rPr>
                <w:sz w:val="14"/>
                <w:szCs w:val="14"/>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Insurance settlement - Russia assets</w:t>
            </w:r>
          </w:p>
        </w:tc>
        <w:tc>
          <w:tcPr>
            <w:tcW w:w="16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63"/>
        </w:trPr>
        <w:tc>
          <w:tcPr>
            <w:tcW w:w="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b w:val="1"/>
                <w:bCs w:val="1"/>
                <w:color w:val="auto"/>
              </w:rPr>
              <w:t>Assets at September 30, 2026</w:t>
            </w:r>
          </w:p>
        </w:tc>
        <w:tc>
          <w:tcPr>
            <w:tcW w:w="1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w:t>
            </w:r>
          </w:p>
        </w:tc>
        <w:tc>
          <w:tcPr>
            <w:tcW w:w="10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19</w:t>
            </w: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w:t>
            </w:r>
          </w:p>
        </w:tc>
      </w:tr>
      <w:tr>
        <w:trPr>
          <w:trHeight w:val="182"/>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i w:val="1"/>
                <w:iCs w:val="1"/>
                <w:color w:val="auto"/>
                <w:w w:val="98"/>
              </w:rPr>
              <w:t>Engines</w:t>
            </w:r>
          </w:p>
        </w:tc>
        <w:tc>
          <w:tcPr>
            <w:tcW w:w="4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Assets at January 1, 2026</w:t>
            </w:r>
          </w:p>
        </w:tc>
        <w:tc>
          <w:tcPr>
            <w:tcW w:w="16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18</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225</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243</w:t>
            </w:r>
          </w:p>
        </w:tc>
      </w:tr>
      <w:tr>
        <w:trPr>
          <w:trHeight w:val="167"/>
        </w:trPr>
        <w:tc>
          <w:tcPr>
            <w:tcW w:w="20" w:type="dxa"/>
            <w:vAlign w:val="bottom"/>
          </w:tcPr>
          <w:p>
            <w:pPr>
              <w:spacing w:after="0"/>
              <w:rPr>
                <w:sz w:val="14"/>
                <w:szCs w:val="14"/>
                <w:color w:val="auto"/>
              </w:rPr>
            </w:pPr>
          </w:p>
        </w:tc>
        <w:tc>
          <w:tcPr>
            <w:tcW w:w="4540" w:type="dxa"/>
            <w:vAlign w:val="bottom"/>
            <w:gridSpan w:val="3"/>
          </w:tcPr>
          <w:p>
            <w:pPr>
              <w:spacing w:after="0"/>
              <w:rPr>
                <w:sz w:val="20"/>
                <w:szCs w:val="20"/>
                <w:color w:val="auto"/>
              </w:rPr>
            </w:pPr>
            <w:r>
              <w:rPr>
                <w:rFonts w:ascii="Arial" w:cs="Arial" w:eastAsia="Arial" w:hAnsi="Arial"/>
                <w:sz w:val="11"/>
                <w:szCs w:val="11"/>
                <w:color w:val="auto"/>
              </w:rPr>
              <w:t>Purchases</w:t>
            </w:r>
          </w:p>
        </w:tc>
        <w:tc>
          <w:tcPr>
            <w:tcW w:w="166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1"/>
                <w:szCs w:val="11"/>
                <w:color w:val="auto"/>
              </w:rPr>
              <w:t>16</w:t>
            </w:r>
          </w:p>
        </w:tc>
      </w:tr>
      <w:tr>
        <w:trPr>
          <w:trHeight w:val="173"/>
        </w:trPr>
        <w:tc>
          <w:tcPr>
            <w:tcW w:w="20" w:type="dxa"/>
            <w:vAlign w:val="bottom"/>
            <w:shd w:val="clear" w:color="auto" w:fill="CCEEFF"/>
          </w:tcPr>
          <w:p>
            <w:pPr>
              <w:spacing w:after="0"/>
              <w:rPr>
                <w:sz w:val="15"/>
                <w:szCs w:val="15"/>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Sales</w:t>
            </w:r>
          </w:p>
        </w:tc>
        <w:tc>
          <w:tcPr>
            <w:tcW w:w="166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right"/>
              <w:ind w:right="178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67"/>
        </w:trPr>
        <w:tc>
          <w:tcPr>
            <w:tcW w:w="20" w:type="dxa"/>
            <w:vAlign w:val="bottom"/>
          </w:tcPr>
          <w:p>
            <w:pPr>
              <w:spacing w:after="0"/>
              <w:rPr>
                <w:sz w:val="14"/>
                <w:szCs w:val="14"/>
                <w:color w:val="auto"/>
              </w:rPr>
            </w:pPr>
          </w:p>
        </w:tc>
        <w:tc>
          <w:tcPr>
            <w:tcW w:w="4540" w:type="dxa"/>
            <w:vAlign w:val="bottom"/>
            <w:gridSpan w:val="3"/>
          </w:tcPr>
          <w:p>
            <w:pPr>
              <w:spacing w:after="0"/>
              <w:rPr>
                <w:sz w:val="20"/>
                <w:szCs w:val="20"/>
                <w:color w:val="auto"/>
              </w:rPr>
            </w:pPr>
            <w:r>
              <w:rPr>
                <w:rFonts w:ascii="Arial" w:cs="Arial" w:eastAsia="Arial" w:hAnsi="Arial"/>
                <w:sz w:val="11"/>
                <w:szCs w:val="11"/>
                <w:color w:val="auto"/>
              </w:rPr>
              <w:t>Transfers</w:t>
            </w:r>
          </w:p>
        </w:tc>
        <w:tc>
          <w:tcPr>
            <w:tcW w:w="1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(95)</w:t>
            </w:r>
          </w:p>
        </w:tc>
        <w:tc>
          <w:tcPr>
            <w:tcW w:w="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1"/>
                <w:szCs w:val="11"/>
                <w:color w:val="auto"/>
              </w:rPr>
              <w:t>(96)</w:t>
            </w:r>
          </w:p>
        </w:tc>
      </w:tr>
      <w:tr>
        <w:trPr>
          <w:trHeight w:val="170"/>
        </w:trPr>
        <w:tc>
          <w:tcPr>
            <w:tcW w:w="20" w:type="dxa"/>
            <w:vAlign w:val="bottom"/>
            <w:shd w:val="clear" w:color="auto" w:fill="CCEEFF"/>
          </w:tcPr>
          <w:p>
            <w:pPr>
              <w:spacing w:after="0"/>
              <w:rPr>
                <w:sz w:val="14"/>
                <w:szCs w:val="14"/>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Insurance settlement - Russia assets</w:t>
            </w:r>
          </w:p>
        </w:tc>
        <w:tc>
          <w:tcPr>
            <w:tcW w:w="16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r>
      <w:tr>
        <w:trPr>
          <w:trHeight w:val="163"/>
        </w:trPr>
        <w:tc>
          <w:tcPr>
            <w:tcW w:w="20" w:type="dxa"/>
            <w:vAlign w:val="bottom"/>
          </w:tcPr>
          <w:p>
            <w:pPr>
              <w:spacing w:after="0"/>
              <w:rPr>
                <w:sz w:val="14"/>
                <w:szCs w:val="14"/>
                <w:color w:val="auto"/>
              </w:rPr>
            </w:pPr>
          </w:p>
        </w:tc>
        <w:tc>
          <w:tcPr>
            <w:tcW w:w="4540" w:type="dxa"/>
            <w:vAlign w:val="bottom"/>
            <w:gridSpan w:val="3"/>
          </w:tcPr>
          <w:p>
            <w:pPr>
              <w:spacing w:after="0"/>
              <w:rPr>
                <w:sz w:val="20"/>
                <w:szCs w:val="20"/>
                <w:color w:val="auto"/>
              </w:rPr>
            </w:pPr>
            <w:r>
              <w:rPr>
                <w:rFonts w:ascii="Arial" w:cs="Arial" w:eastAsia="Arial" w:hAnsi="Arial"/>
                <w:sz w:val="11"/>
                <w:szCs w:val="11"/>
                <w:b w:val="1"/>
                <w:bCs w:val="1"/>
                <w:color w:val="auto"/>
              </w:rPr>
              <w:t>Assets at September 30, 2026</w:t>
            </w:r>
          </w:p>
        </w:tc>
        <w:tc>
          <w:tcPr>
            <w:tcW w:w="1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137</w:t>
            </w:r>
          </w:p>
        </w:tc>
        <w:tc>
          <w:tcPr>
            <w:tcW w:w="80" w:type="dxa"/>
            <w:vAlign w:val="bottom"/>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w:t>
            </w: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color w:val="auto"/>
        </w:rPr>
        <w:t>The following table presents our results of operations for our Aviation Leasing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Three Months Ended September 30,</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60"/>
              <w:spacing w:after="0"/>
              <w:rPr>
                <w:sz w:val="20"/>
                <w:szCs w:val="20"/>
                <w:color w:val="auto"/>
              </w:rPr>
            </w:pPr>
            <w:r>
              <w:rPr>
                <w:rFonts w:ascii="Arial" w:cs="Arial" w:eastAsia="Arial" w:hAnsi="Arial"/>
                <w:sz w:val="11"/>
                <w:szCs w:val="11"/>
                <w:b w:val="1"/>
                <w:bCs w:val="1"/>
                <w:color w:val="auto"/>
              </w:rPr>
              <w:t>Nine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8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Lease income</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25,281</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55,072</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(29,791)</w:t>
            </w:r>
          </w:p>
        </w:tc>
        <w:tc>
          <w:tcPr>
            <w:tcW w:w="10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92,938</w:t>
            </w:r>
          </w:p>
        </w:tc>
        <w:tc>
          <w:tcPr>
            <w:tcW w:w="10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185,951</w:t>
            </w:r>
          </w:p>
        </w:tc>
        <w:tc>
          <w:tcPr>
            <w:tcW w:w="10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(93,013)</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Maintenance revenue</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27,292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83,684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175,081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(91,397)</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Asset sales revenue</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5,886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38,461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(32,575)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32,995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105,315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(72,320)</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Other revenue </w:t>
            </w:r>
            <w:r>
              <w:rPr>
                <w:rFonts w:ascii="Arial" w:cs="Arial" w:eastAsia="Arial" w:hAnsi="Arial"/>
                <w:sz w:val="7"/>
                <w:szCs w:val="7"/>
                <w:color w:val="auto"/>
              </w:rPr>
              <w:t>(1)</w:t>
            </w: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9,192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5,900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22,973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5,827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17,146</w:t>
            </w:r>
          </w:p>
        </w:tc>
        <w:tc>
          <w:tcPr>
            <w:tcW w:w="0" w:type="dxa"/>
            <w:vAlign w:val="bottom"/>
          </w:tcPr>
          <w:p>
            <w:pPr>
              <w:spacing w:after="0"/>
              <w:rPr>
                <w:sz w:val="1"/>
                <w:szCs w:val="1"/>
                <w:color w:val="auto"/>
              </w:rPr>
            </w:pPr>
          </w:p>
        </w:tc>
      </w:tr>
      <w:tr>
        <w:trPr>
          <w:trHeight w:val="16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revenues</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67,651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149,195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(81,544)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232,590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472,174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(239,584)</w:t>
            </w:r>
          </w:p>
        </w:tc>
        <w:tc>
          <w:tcPr>
            <w:tcW w:w="0" w:type="dxa"/>
            <w:vAlign w:val="bottom"/>
          </w:tcPr>
          <w:p>
            <w:pPr>
              <w:spacing w:after="0"/>
              <w:rPr>
                <w:sz w:val="1"/>
                <w:szCs w:val="1"/>
                <w:color w:val="auto"/>
              </w:rPr>
            </w:pPr>
          </w:p>
        </w:tc>
      </w:tr>
      <w:tr>
        <w:trPr>
          <w:trHeight w:val="182"/>
        </w:trPr>
        <w:tc>
          <w:tcPr>
            <w:tcW w:w="4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sales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5,814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40,323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106,517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(66,194)</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12,479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10,146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34,539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28,661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5,878</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7,408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w:t>
            </w:r>
          </w:p>
        </w:tc>
        <w:tc>
          <w:tcPr>
            <w:tcW w:w="0" w:type="dxa"/>
            <w:vAlign w:val="bottom"/>
          </w:tcPr>
          <w:p>
            <w:pPr>
              <w:spacing w:after="0"/>
              <w:rPr>
                <w:sz w:val="1"/>
                <w:szCs w:val="1"/>
                <w:color w:val="auto"/>
              </w:rPr>
            </w:pPr>
          </w:p>
        </w:tc>
      </w:tr>
      <w:tr>
        <w:trPr>
          <w:trHeight w:val="17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37,242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50,226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(12,984)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124,712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155,710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(30,998)</w:t>
            </w:r>
          </w:p>
        </w:tc>
        <w:tc>
          <w:tcPr>
            <w:tcW w:w="0" w:type="dxa"/>
            <w:vAlign w:val="bottom"/>
          </w:tcPr>
          <w:p>
            <w:pPr>
              <w:spacing w:after="0"/>
              <w:rPr>
                <w:sz w:val="1"/>
                <w:szCs w:val="1"/>
                <w:color w:val="auto"/>
              </w:rPr>
            </w:pPr>
          </w:p>
        </w:tc>
      </w:tr>
      <w:tr>
        <w:trPr>
          <w:trHeight w:val="16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56,909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98,712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(41,803)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206,982</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297,941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(90,959)</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Equity in earnings (losses) of unconsolidated entities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20,557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21,640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44,983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47,625</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to the 2025 Partnership - affiliate</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17,633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(32,450)</w:t>
            </w:r>
          </w:p>
        </w:tc>
        <w:tc>
          <w:tcPr>
            <w:tcW w:w="0" w:type="dxa"/>
            <w:vAlign w:val="bottom"/>
          </w:tcPr>
          <w:p>
            <w:pPr>
              <w:spacing w:after="0"/>
              <w:rPr>
                <w:sz w:val="1"/>
                <w:szCs w:val="1"/>
                <w:color w:val="auto"/>
              </w:rPr>
            </w:pPr>
          </w:p>
        </w:tc>
      </w:tr>
      <w:tr>
        <w:trPr>
          <w:trHeight w:val="17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56,698</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61,696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(4,998)</w:t>
            </w:r>
          </w:p>
        </w:tc>
        <w:tc>
          <w:tcPr>
            <w:tcW w:w="0" w:type="dxa"/>
            <w:vAlign w:val="bottom"/>
          </w:tcPr>
          <w:p>
            <w:pPr>
              <w:spacing w:after="0"/>
              <w:rPr>
                <w:sz w:val="1"/>
                <w:szCs w:val="1"/>
                <w:color w:val="auto"/>
              </w:rPr>
            </w:pPr>
          </w:p>
        </w:tc>
      </w:tr>
      <w:tr>
        <w:trPr>
          <w:trHeight w:val="16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other income</w:t>
            </w: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22,779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5,629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17,150</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119,314</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109,137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10,177</w:t>
            </w:r>
          </w:p>
        </w:tc>
        <w:tc>
          <w:tcPr>
            <w:tcW w:w="0" w:type="dxa"/>
            <w:vAlign w:val="bottom"/>
          </w:tcPr>
          <w:p>
            <w:pPr>
              <w:spacing w:after="0"/>
              <w:rPr>
                <w:sz w:val="1"/>
                <w:szCs w:val="1"/>
                <w:color w:val="auto"/>
              </w:rPr>
            </w:pPr>
          </w:p>
        </w:tc>
      </w:tr>
      <w:tr>
        <w:trPr>
          <w:trHeight w:val="160"/>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33,521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56,112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(22,591)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144,922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283,370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(138,448)</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w:t>
            </w: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8,373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14,500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(6,127)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34,470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58,301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(23,831)</w:t>
            </w:r>
          </w:p>
        </w:tc>
        <w:tc>
          <w:tcPr>
            <w:tcW w:w="0" w:type="dxa"/>
            <w:vAlign w:val="bottom"/>
          </w:tcPr>
          <w:p>
            <w:pPr>
              <w:spacing w:after="0"/>
              <w:rPr>
                <w:sz w:val="1"/>
                <w:szCs w:val="1"/>
                <w:color w:val="auto"/>
              </w:rPr>
            </w:pPr>
          </w:p>
        </w:tc>
      </w:tr>
      <w:tr>
        <w:trPr>
          <w:trHeight w:val="161"/>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25,148</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41,612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(16,464)</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110,452</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225,069</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(114,617)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40" w:hanging="235"/>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Includes servicing fees of $4,704 and $17,553 for the three and nine months ended September 30, 2026, respectively (2025 - $3,035 and $5,635, respectively), from the SCI Partnerships.</w:t>
      </w:r>
    </w:p>
    <w:p>
      <w:pPr>
        <w:spacing w:after="0" w:line="208"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color w:val="auto"/>
        </w:rPr>
        <w:t>The following table sets forth a reconciliation of net income attributable to shareholders to Adjusted EBITDA: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Three Months Ended September 30,</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60"/>
              <w:spacing w:after="0"/>
              <w:rPr>
                <w:sz w:val="20"/>
                <w:szCs w:val="20"/>
                <w:color w:val="auto"/>
              </w:rPr>
            </w:pPr>
            <w:r>
              <w:rPr>
                <w:rFonts w:ascii="Arial" w:cs="Arial" w:eastAsia="Arial" w:hAnsi="Arial"/>
                <w:sz w:val="11"/>
                <w:szCs w:val="11"/>
                <w:b w:val="1"/>
                <w:bCs w:val="1"/>
                <w:color w:val="auto"/>
              </w:rPr>
              <w:t>Nine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8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6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attributable to shareholders</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25,148</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41,612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(16,464)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110,452</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225,069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(114,617)</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Provision for income taxes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8,373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(6,127)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34,470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58,301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(23,831)</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886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1,374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7,408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7,053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355</w:t>
            </w:r>
          </w:p>
        </w:tc>
        <w:tc>
          <w:tcPr>
            <w:tcW w:w="0" w:type="dxa"/>
            <w:vAlign w:val="bottom"/>
          </w:tcPr>
          <w:p>
            <w:pPr>
              <w:spacing w:after="0"/>
              <w:rPr>
                <w:sz w:val="1"/>
                <w:szCs w:val="1"/>
                <w:color w:val="auto"/>
              </w:rPr>
            </w:pPr>
          </w:p>
        </w:tc>
      </w:tr>
      <w:tr>
        <w:trPr>
          <w:trHeight w:val="132"/>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preferred shares</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and capital lease obligations</w:t>
            </w:r>
          </w:p>
        </w:tc>
        <w:tc>
          <w:tcPr>
            <w:tcW w:w="14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Asset impairment charges</w:t>
            </w: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Incentive allocations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 xml:space="preserve">Add: Depreciation and amortization expense </w:t>
            </w:r>
            <w:r>
              <w:rPr>
                <w:rFonts w:ascii="Arial" w:cs="Arial" w:eastAsia="Arial" w:hAnsi="Arial"/>
                <w:sz w:val="7"/>
                <w:szCs w:val="7"/>
                <w:color w:val="auto"/>
              </w:rPr>
              <w:t>(1)</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43,130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62,803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(19,673)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142,956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187,553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(44,597)</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1"/>
                <w:szCs w:val="11"/>
                <w:color w:val="auto"/>
              </w:rPr>
              <w:t>Add: Internalization fee to affiliate</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FTAI Power pre-commercial research and development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1"/>
                <w:szCs w:val="11"/>
                <w:color w:val="auto"/>
              </w:rPr>
              <w:t xml:space="preserve">Add: Pro-rata share of Adjusted EBITDA from unconsolidated entities </w:t>
            </w:r>
            <w:r>
              <w:rPr>
                <w:rFonts w:ascii="Arial" w:cs="Arial" w:eastAsia="Arial" w:hAnsi="Arial"/>
                <w:sz w:val="7"/>
                <w:szCs w:val="7"/>
                <w:color w:val="auto"/>
              </w:rPr>
              <w:t>(2)</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46,214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10,575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35,639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94,023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14,379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79,644</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 in (earnings) losses of unconsolidated entities</w:t>
            </w: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(20,557)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(21,640)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(44,983)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(47,625)</w:t>
            </w:r>
          </w:p>
        </w:tc>
        <w:tc>
          <w:tcPr>
            <w:tcW w:w="0" w:type="dxa"/>
            <w:vAlign w:val="bottom"/>
          </w:tcPr>
          <w:p>
            <w:pPr>
              <w:spacing w:after="0"/>
              <w:rPr>
                <w:sz w:val="1"/>
                <w:szCs w:val="1"/>
                <w:color w:val="auto"/>
              </w:rPr>
            </w:pPr>
          </w:p>
        </w:tc>
      </w:tr>
      <w:tr>
        <w:trPr>
          <w:trHeight w:val="161"/>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104,043</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134,408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(30,365)</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345,212</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495,700</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(150,488)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hanging="255"/>
        <w:spacing w:after="0" w:line="303"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September 30, 2026: (i) depreciation expense of $37,242 (2025 - $50,226), (ii) lease intangible amortization of $(242) (2025 - $534) and (iii) amortization for lease incentives of $6,130 (2025 - $12,043).</w:t>
      </w:r>
    </w:p>
    <w:p>
      <w:pPr>
        <w:spacing w:after="0" w:line="41" w:lineRule="exact"/>
        <w:rPr>
          <w:rFonts w:ascii="Arial" w:cs="Arial" w:eastAsia="Arial" w:hAnsi="Arial"/>
          <w:sz w:val="11"/>
          <w:szCs w:val="11"/>
          <w:color w:val="auto"/>
        </w:rPr>
      </w:pPr>
    </w:p>
    <w:p>
      <w:pPr>
        <w:ind w:left="260"/>
        <w:spacing w:after="0" w:line="283" w:lineRule="auto"/>
        <w:rPr>
          <w:rFonts w:ascii="Arial" w:cs="Arial" w:eastAsia="Arial" w:hAnsi="Arial"/>
          <w:sz w:val="11"/>
          <w:szCs w:val="11"/>
          <w:color w:val="auto"/>
        </w:rPr>
      </w:pPr>
      <w:r>
        <w:rPr>
          <w:rFonts w:ascii="Arial" w:cs="Arial" w:eastAsia="Arial" w:hAnsi="Arial"/>
          <w:sz w:val="11"/>
          <w:szCs w:val="11"/>
          <w:color w:val="auto"/>
        </w:rPr>
        <w:t>Includes the following items for the nine months ended September 30, 2026: (i) depreciation expense of $124,712 (2025 - $155,710), (ii) lease intangible amortization of $6 (2025 - $5,893) and (iii) amortization for lease incentives of $18,238 (2025 - $25,950).</w:t>
      </w:r>
    </w:p>
    <w:p>
      <w:pPr>
        <w:spacing w:after="0" w:line="51" w:lineRule="exact"/>
        <w:rPr>
          <w:rFonts w:ascii="Arial" w:cs="Arial" w:eastAsia="Arial" w:hAnsi="Arial"/>
          <w:sz w:val="11"/>
          <w:szCs w:val="11"/>
          <w:color w:val="auto"/>
        </w:rPr>
      </w:pPr>
    </w:p>
    <w:p>
      <w:pPr>
        <w:ind w:left="260" w:hanging="255"/>
        <w:spacing w:after="0" w:line="303"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the following items for the three months ended September 30, 2026: (i) net income of $20,557 (2025 - net loss of $1,083), (ii) interest expense of $7,359 (2025 - $2,629), and (iii) depreciation and amortization of $18,298 (2025 - $9,029).</w:t>
      </w:r>
    </w:p>
    <w:p>
      <w:pPr>
        <w:spacing w:after="0" w:line="41" w:lineRule="exact"/>
        <w:rPr>
          <w:sz w:val="20"/>
          <w:szCs w:val="20"/>
          <w:color w:val="auto"/>
        </w:rPr>
      </w:pPr>
    </w:p>
    <w:p>
      <w:pPr>
        <w:ind w:left="260"/>
        <w:spacing w:after="0" w:line="303" w:lineRule="auto"/>
        <w:rPr>
          <w:sz w:val="20"/>
          <w:szCs w:val="20"/>
          <w:color w:val="auto"/>
        </w:rPr>
      </w:pPr>
      <w:r>
        <w:rPr>
          <w:rFonts w:ascii="Arial" w:cs="Arial" w:eastAsia="Arial" w:hAnsi="Arial"/>
          <w:sz w:val="11"/>
          <w:szCs w:val="11"/>
          <w:color w:val="auto"/>
        </w:rPr>
        <w:t>Includes the following items for the nine months ended September 30, 2026: (i) net income of $44,983 (2025 - net loss of $2,642), (ii) interest expense of $16,626 (2025 - $4,119), (iii) depreciation and amortization of $32,414 (2025 - $12,432) and (iv) acquisition and transactions expenses of $0 (2025 - $470).</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Revenues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revenue decreased by $81.5 million, driven by the following:</w:t>
      </w:r>
    </w:p>
    <w:p>
      <w:pPr>
        <w:spacing w:after="0" w:line="95" w:lineRule="exact"/>
        <w:rPr>
          <w:sz w:val="20"/>
          <w:szCs w:val="20"/>
          <w:color w:val="auto"/>
        </w:rPr>
      </w:pPr>
    </w:p>
    <w:p>
      <w:pPr>
        <w:ind w:left="520" w:hanging="260"/>
        <w:spacing w:after="0" w:line="266"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color w:val="auto"/>
        </w:rPr>
        <w:t>Lease income decreased by $29.8 million, due to decreases in aircraft lease revenue of $12.3 million, driven by the sale of Seed Assets to the 2025 Partnership, and decreases in engine lease revenue of $17.5 million, driven by a decrease in revenue generating assets on lease.</w:t>
      </w:r>
    </w:p>
    <w:p>
      <w:pPr>
        <w:spacing w:after="0" w:line="5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color w:val="auto"/>
        </w:rPr>
        <w:t>Maintenance revenue decreased by $25.1 million, due to decreases in aircraft maintenance revenue of $7.9 million and engine maintenance revenue of $17.2 million, both driven by a decrease in revenue generating assets on lease.</w:t>
      </w:r>
    </w:p>
    <w:p>
      <w:pPr>
        <w:spacing w:after="0" w:line="40"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36"/>
        </w:numPr>
        <w:rPr>
          <w:rFonts w:ascii="Arial" w:cs="Arial" w:eastAsia="Arial" w:hAnsi="Arial"/>
          <w:sz w:val="13"/>
          <w:szCs w:val="13"/>
          <w:color w:val="auto"/>
        </w:rPr>
      </w:pPr>
      <w:r>
        <w:rPr>
          <w:rFonts w:ascii="Arial" w:cs="Arial" w:eastAsia="Arial" w:hAnsi="Arial"/>
          <w:sz w:val="13"/>
          <w:szCs w:val="13"/>
          <w:color w:val="auto"/>
        </w:rPr>
        <w:t>Asset sales revenue decreased by $32.6 million, primarily due to an overall decrease in the number of sales transactions of commercial aircraft and engines in the current period as compared to the prior period.</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Other revenue increased by $5.9 million, primarily as a result of servicing fees earned in our capacity as the Servicer to the SCI Partnerships.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nine months ended September 30,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revenue decreased by $239.6 million, driven by the following:</w:t>
      </w:r>
    </w:p>
    <w:p>
      <w:pPr>
        <w:spacing w:after="0" w:line="84" w:lineRule="exact"/>
        <w:rPr>
          <w:sz w:val="20"/>
          <w:szCs w:val="20"/>
          <w:color w:val="auto"/>
        </w:rPr>
      </w:pPr>
    </w:p>
    <w:p>
      <w:pPr>
        <w:ind w:left="520" w:hanging="260"/>
        <w:spacing w:after="0" w:line="283" w:lineRule="auto"/>
        <w:tabs>
          <w:tab w:leader="none" w:pos="511" w:val="left"/>
        </w:tabs>
        <w:numPr>
          <w:ilvl w:val="0"/>
          <w:numId w:val="37"/>
        </w:numPr>
        <w:rPr>
          <w:rFonts w:ascii="Arial" w:cs="Arial" w:eastAsia="Arial" w:hAnsi="Arial"/>
          <w:sz w:val="13"/>
          <w:szCs w:val="13"/>
          <w:color w:val="auto"/>
        </w:rPr>
      </w:pPr>
      <w:r>
        <w:rPr>
          <w:rFonts w:ascii="Arial" w:cs="Arial" w:eastAsia="Arial" w:hAnsi="Arial"/>
          <w:sz w:val="13"/>
          <w:szCs w:val="13"/>
          <w:color w:val="auto"/>
        </w:rPr>
        <w:t>Maintenance revenue decreased by $91.4 million, primarily due to a decrease in aircraft maintenance revenue of $47.0 million and a decrease in engine maintenance revenue of $44.4 million, both driven by a decrease in revenue generating assets on lease.</w:t>
      </w:r>
    </w:p>
    <w:p>
      <w:pPr>
        <w:spacing w:after="0" w:line="40"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7"/>
        </w:numPr>
        <w:rPr>
          <w:rFonts w:ascii="Arial" w:cs="Arial" w:eastAsia="Arial" w:hAnsi="Arial"/>
          <w:sz w:val="13"/>
          <w:szCs w:val="13"/>
          <w:color w:val="auto"/>
        </w:rPr>
      </w:pPr>
      <w:r>
        <w:rPr>
          <w:rFonts w:ascii="Arial" w:cs="Arial" w:eastAsia="Arial" w:hAnsi="Arial"/>
          <w:sz w:val="13"/>
          <w:szCs w:val="13"/>
          <w:color w:val="auto"/>
        </w:rPr>
        <w:t>Lease income decreased by $93.0 million, primarily due to a decrease in aircraft lease revenue of $56.5 million, and a decrease in engine lease revenue of $36.5 million, both driven by a decrease in revenue generating assets on 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8" w:right="319" w:bottom="1440" w:gutter="0" w:footer="0" w:header="0"/>
        </w:sectPr>
      </w:pPr>
    </w:p>
    <w:bookmarkStart w:id="47" w:name="page48"/>
    <w:bookmarkEnd w:id="47"/>
    <w:p>
      <w:pPr>
        <w:ind w:left="520" w:hanging="260"/>
        <w:spacing w:after="0" w:line="266" w:lineRule="auto"/>
        <w:tabs>
          <w:tab w:leader="none" w:pos="511" w:val="left"/>
        </w:tabs>
        <w:numPr>
          <w:ilvl w:val="0"/>
          <w:numId w:val="38"/>
        </w:numPr>
        <w:rPr>
          <w:rFonts w:ascii="Arial" w:cs="Arial" w:eastAsia="Arial" w:hAnsi="Arial"/>
          <w:sz w:val="13"/>
          <w:szCs w:val="13"/>
          <w:color w:val="auto"/>
        </w:rPr>
      </w:pPr>
      <w:r>
        <w:rPr>
          <w:rFonts w:ascii="Arial" w:cs="Arial" w:eastAsia="Arial" w:hAnsi="Arial"/>
          <w:sz w:val="13"/>
          <w:szCs w:val="13"/>
          <w:color w:val="auto"/>
        </w:rPr>
        <w:t>Asset sales revenue decreased by $72.3 million, primarily due to an overall decrease in the number of sales transactions of commercial aircraft and engines in the current period as compared to the prior period.</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Other revenue increased by $17.1 million, primarily as a result of servicing fees earned in our capacity as the Servicer to the SCI Partnerships.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decreased by $41.8 million, driven by the following:</w:t>
      </w:r>
    </w:p>
    <w:p>
      <w:pPr>
        <w:spacing w:after="0" w:line="84" w:lineRule="exact"/>
        <w:rPr>
          <w:sz w:val="20"/>
          <w:szCs w:val="20"/>
          <w:color w:val="auto"/>
        </w:rPr>
      </w:pPr>
    </w:p>
    <w:p>
      <w:pPr>
        <w:ind w:left="520" w:hanging="260"/>
        <w:spacing w:after="0" w:line="283" w:lineRule="auto"/>
        <w:tabs>
          <w:tab w:leader="none" w:pos="511"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Cost of sales decreased by $29.0 million, primarily due to an overall decrease in the number of sales transactions of commercial aircraft and engines, which is in line with an overall decrease in the corresponding asset sales revenue.</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Depreciation and amortization expense decreased by $13.0 million, primarily driven by the sale of Seed Assets to the 2025 Partnership.</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Acquisition and transaction expenses decreased $2.2 million, primarily driven by a decrease in legal fees and professional services associated with the SCI.</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Operating expenses increased $2.3 million, primarily driven by an increase in equipment lease expense in the current period, as well as an increase in compensation and insurance expense.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nine months ended September 30,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decreased by $91.0 million, driven by the following:</w:t>
      </w:r>
    </w:p>
    <w:p>
      <w:pPr>
        <w:spacing w:after="0" w:line="84" w:lineRule="exact"/>
        <w:rPr>
          <w:sz w:val="20"/>
          <w:szCs w:val="20"/>
          <w:color w:val="auto"/>
        </w:rPr>
      </w:pPr>
    </w:p>
    <w:p>
      <w:pPr>
        <w:ind w:left="520" w:hanging="260"/>
        <w:spacing w:after="0" w:line="266" w:lineRule="auto"/>
        <w:tabs>
          <w:tab w:leader="none" w:pos="511"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Cost of sales decreased by $66.2 million, primarily due to an overall decrease in the number of sales transactions of commercial aircraft and engines, which is in line with an overall decrease in the corresponding asset sales revenue.</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Depreciation and amortization expense decreased by $31.0 million, primarily driven by the sale of Seed Assets to the 2025 Partnership.</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Operating expense increased by $5.9 million, primarily driven by an increase in equipment lease expense in the current period.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income (expense)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September 30, 2026 and 2025</w:t>
      </w:r>
    </w:p>
    <w:p>
      <w:pPr>
        <w:spacing w:after="0" w:line="84"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Total other income increased by $17.2 million, primarily due to (i) a $21.6 million increase in equity in earnings of unconsolidated entities as a result of net income earned by the 2025 Partnership; partially offset by (ii) a $4.6 million decrease in Gain on sale to the 2025 Partnership - affiliate, driven by the lower number of Seed Assets sold to the 2025 Partnership as compared to the prior period.</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nine months ended September 30, 2026 and 2025</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Total other income increased by $10.2 million, primarily due to (i) a $47.6 million increase in equity in earnings of unconsolidated entities as a result of net income earned by the 2025 Partnership; partially offset by (ii) a $32.5 million decrease in Gain on sale to the 2025 Partnership - affiliate, driven by the lower number of Seed Assets sold to the 2025 Partnership as compared to the prior period, and (iii) a $5.0 million decrease in other income, driven by lower insurance proceeds as compared to the prior period.</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Provision for income taxes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provision for income taxes decreased by $6.1 million and $23.8 million for the three and nine months ended September 30, 2026, respectively, as compared to the prior period, primarily due to the respective changes in income discussed above from leasing activities in jurisdictions subject to taxes.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income</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Net income decreased by $16.5 million and $114.6 million for the three and nine months ended September 30, 2026, respectively, as compared to the prior period, primarily due to the changes noted above.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Adjusted EBITDA decreased by $30.4 million and $150.5 million for the three and nine months ended September 30, 2026, respectively, as compared to the prior period, primarily due to the changes noted above.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color w:val="00497F"/>
        </w:rPr>
        <w:t>Corporate and Other</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results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4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60"/>
              <w:spacing w:after="0"/>
              <w:rPr>
                <w:sz w:val="20"/>
                <w:szCs w:val="20"/>
                <w:color w:val="auto"/>
              </w:rPr>
            </w:pPr>
            <w:r>
              <w:rPr>
                <w:rFonts w:ascii="Arial" w:cs="Arial" w:eastAsia="Arial" w:hAnsi="Arial"/>
                <w:sz w:val="11"/>
                <w:szCs w:val="11"/>
                <w:b w:val="1"/>
                <w:bCs w:val="1"/>
                <w:color w:val="auto"/>
              </w:rPr>
              <w:t>Nine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4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1"/>
        </w:trPr>
        <w:tc>
          <w:tcPr>
            <w:tcW w:w="418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15"/>
                <w:szCs w:val="15"/>
                <w:color w:val="auto"/>
              </w:rPr>
            </w:pPr>
          </w:p>
        </w:tc>
        <w:tc>
          <w:tcPr>
            <w:tcW w:w="840" w:type="dxa"/>
            <w:vAlign w:val="bottom"/>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60" w:type="dxa"/>
            <w:vAlign w:val="bottom"/>
          </w:tcPr>
          <w:p>
            <w:pPr>
              <w:spacing w:after="0"/>
              <w:rPr>
                <w:sz w:val="15"/>
                <w:szCs w:val="15"/>
                <w:color w:val="auto"/>
              </w:rPr>
            </w:pPr>
          </w:p>
        </w:tc>
        <w:tc>
          <w:tcPr>
            <w:tcW w:w="840" w:type="dxa"/>
            <w:vAlign w:val="bottom"/>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1"/>
                <w:szCs w:val="11"/>
                <w:b w:val="1"/>
                <w:bCs w:val="1"/>
                <w:color w:val="auto"/>
              </w:rPr>
              <w:t>Change</w:t>
            </w:r>
          </w:p>
        </w:tc>
      </w:tr>
      <w:tr>
        <w:trPr>
          <w:trHeight w:val="15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Revenues</w:t>
            </w: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7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revenue</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r>
      <w:tr>
        <w:trPr>
          <w:trHeight w:val="16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revenues</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82"/>
        </w:trPr>
        <w:tc>
          <w:tcPr>
            <w:tcW w:w="4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37,935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18,401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19,534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107,146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51,976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55,170</w:t>
            </w: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Research and development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22,014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41,461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41,461</w:t>
            </w: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2,305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6,963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7,387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(424)</w:t>
            </w: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and transaction expenses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3,532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19,429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10,780</w:t>
            </w:r>
          </w:p>
        </w:tc>
      </w:tr>
      <w:tr>
        <w:trPr>
          <w:trHeight w:val="17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Depreciation and amortization</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1,111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3,335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w:t>
            </w:r>
          </w:p>
        </w:tc>
      </w:tr>
      <w:tr>
        <w:trPr>
          <w:trHeight w:val="16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expenses</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66,897</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24,248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42,649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178,334</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71,160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107,174</w:t>
            </w:r>
          </w:p>
        </w:tc>
      </w:tr>
      <w:tr>
        <w:trPr>
          <w:trHeight w:val="192"/>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(expense) income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(65,119)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(60,784)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(4,335)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(190,628)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(186,789)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(3,839)</w:t>
            </w: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568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(1,533)</w:t>
            </w:r>
          </w:p>
        </w:tc>
      </w:tr>
      <w:tr>
        <w:trPr>
          <w:trHeight w:val="16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expense</w:t>
            </w: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(65,119)</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(59,317)</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(5,802)</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(190,060)</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(184,688)</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(5,372)</w:t>
            </w:r>
          </w:p>
        </w:tc>
      </w:tr>
      <w:tr>
        <w:trPr>
          <w:trHeight w:val="16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Loss before income taxes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(132,016)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(83,565)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(48,451)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(368,394)</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(255,844)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(112,550)</w:t>
            </w:r>
          </w:p>
        </w:tc>
      </w:tr>
      <w:tr>
        <w:trPr>
          <w:trHeight w:val="17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Benefit from income taxes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(37,017)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(14,985)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(22,032)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(89,702)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(43,251)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(46,451)</w:t>
            </w:r>
          </w:p>
        </w:tc>
      </w:tr>
      <w:tr>
        <w:trPr>
          <w:trHeight w:val="16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loss</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(94,999)</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(68,580)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(26,419)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(278,692)</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(212,593)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(66,099)</w:t>
            </w:r>
          </w:p>
        </w:tc>
      </w:tr>
      <w:tr>
        <w:trPr>
          <w:trHeight w:val="160"/>
        </w:trPr>
        <w:tc>
          <w:tcPr>
            <w:tcW w:w="4180" w:type="dxa"/>
            <w:vAlign w:val="bottom"/>
          </w:tcPr>
          <w:p>
            <w:pPr>
              <w:ind w:left="20"/>
              <w:spacing w:after="0"/>
              <w:rPr>
                <w:sz w:val="20"/>
                <w:szCs w:val="20"/>
                <w:color w:val="auto"/>
              </w:rPr>
            </w:pPr>
            <w:r>
              <w:rPr>
                <w:rFonts w:ascii="Arial" w:cs="Arial" w:eastAsia="Arial" w:hAnsi="Arial"/>
                <w:sz w:val="11"/>
                <w:szCs w:val="11"/>
                <w:color w:val="auto"/>
              </w:rPr>
              <w:t>Less: Dividends on preferred shares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1,544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(2,165)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8,962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13,533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(4,571)</w:t>
            </w: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Loss on redemption of preferred shares</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3,800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(2,527)</w:t>
            </w:r>
          </w:p>
        </w:tc>
      </w:tr>
      <w:tr>
        <w:trPr>
          <w:trHeight w:val="161"/>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Net loss attributable to shareholders</w:t>
            </w: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(96,543)</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(72,289)</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(24,254)</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(291,454)</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(232,453)</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(59,001)</w:t>
            </w: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color w:val="auto"/>
        </w:rPr>
        <w:t>The following table sets forth a reconciliation of net loss attributable to shareholders to Adjusted EBITDA: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Three Months Ended September 30,</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5"/>
          </w:tcPr>
          <w:p>
            <w:pPr>
              <w:ind w:left="360"/>
              <w:spacing w:after="0"/>
              <w:rPr>
                <w:sz w:val="20"/>
                <w:szCs w:val="20"/>
                <w:color w:val="auto"/>
              </w:rPr>
            </w:pPr>
            <w:r>
              <w:rPr>
                <w:rFonts w:ascii="Arial" w:cs="Arial" w:eastAsia="Arial" w:hAnsi="Arial"/>
                <w:sz w:val="11"/>
                <w:szCs w:val="11"/>
                <w:b w:val="1"/>
                <w:bCs w:val="1"/>
                <w:color w:val="auto"/>
              </w:rPr>
              <w:t>Nine Months Ended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18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Change</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6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loss attributable to shareholders</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(96,543)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(72,289)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(24,254)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(291,454)</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(232,453)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(59,001)</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Benefit from income taxes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(37,017)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(14,985)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(22,032)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(89,702)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(43,251)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(46,451)</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Equity-based compensation expense</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7,168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20,072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5,207</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Acquisition and transaction expenses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3,532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19,429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8,649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10,780</w:t>
            </w:r>
          </w:p>
        </w:tc>
        <w:tc>
          <w:tcPr>
            <w:tcW w:w="0" w:type="dxa"/>
            <w:vAlign w:val="bottom"/>
          </w:tcPr>
          <w:p>
            <w:pPr>
              <w:spacing w:after="0"/>
              <w:rPr>
                <w:sz w:val="1"/>
                <w:szCs w:val="1"/>
                <w:color w:val="auto"/>
              </w:rPr>
            </w:pPr>
          </w:p>
        </w:tc>
      </w:tr>
      <w:tr>
        <w:trPr>
          <w:trHeight w:val="132"/>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Losses on the modification or extinguishment of debt and preferred shares</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3,800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6,327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(2,527)</w:t>
            </w: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and capital lease obligations</w:t>
            </w:r>
          </w:p>
        </w:tc>
        <w:tc>
          <w:tcPr>
            <w:tcW w:w="14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Asset impairment charges</w:t>
            </w: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Incentive allocations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Arial" w:cs="Arial" w:eastAsia="Arial" w:hAnsi="Arial"/>
                <w:sz w:val="11"/>
                <w:szCs w:val="11"/>
                <w:color w:val="auto"/>
              </w:rPr>
              <w:t>Add: Depreciation and amortization expense</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1,111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3,335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3,148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 Interest expense and dividends on preferred shares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66,663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199,591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200,322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(731)</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1"/>
                <w:szCs w:val="11"/>
                <w:color w:val="auto"/>
              </w:rPr>
              <w:t>Add: Internalization fee to affiliate</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Add: FTAI Power pre-commercial research and development </w:t>
            </w:r>
            <w:r>
              <w:rPr>
                <w:rFonts w:ascii="Arial" w:cs="Arial" w:eastAsia="Arial" w:hAnsi="Arial"/>
                <w:sz w:val="7"/>
                <w:szCs w:val="7"/>
                <w:color w:val="auto"/>
              </w:rPr>
              <w:t>(1)</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22,014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41,461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41,461</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1"/>
                <w:szCs w:val="11"/>
                <w:color w:val="auto"/>
              </w:rPr>
              <w:t>Add: Pro-rata share of Adjusted EBITDA from unconsolidated entities</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Equity in losses (earnings) of unconsolidated entities</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4180" w:type="dxa"/>
            <w:vAlign w:val="bottom"/>
          </w:tcPr>
          <w:p>
            <w:pPr>
              <w:ind w:left="20"/>
              <w:spacing w:after="0"/>
              <w:rPr>
                <w:sz w:val="20"/>
                <w:szCs w:val="20"/>
                <w:color w:val="auto"/>
              </w:rPr>
            </w:pPr>
            <w:r>
              <w:rPr>
                <w:rFonts w:ascii="Arial" w:cs="Arial" w:eastAsia="Arial" w:hAnsi="Arial"/>
                <w:sz w:val="11"/>
                <w:szCs w:val="11"/>
                <w:b w:val="1"/>
                <w:bCs w:val="1"/>
                <w:color w:val="auto"/>
              </w:rPr>
              <w:t>Adjusted EBITDA (non-GAAP)</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(33,072)</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(13,540)</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(19,532)</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(93,468)</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(42,393)</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(51,075)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60" w:hanging="255"/>
        <w:spacing w:after="0" w:line="303" w:lineRule="auto"/>
        <w:tabs>
          <w:tab w:leader="none" w:pos="249"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Represents non-recurring research and development costs incurred for the design and testing related to the development of FTAI Power’s aeroderivative turbine that has not yet been commercially launched and has not generated revenue.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Expenses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three months ended September 30, 2026 and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by $42.6 million, primarily due to the following:</w:t>
      </w:r>
    </w:p>
    <w:p>
      <w:pPr>
        <w:spacing w:after="0" w:line="95" w:lineRule="exact"/>
        <w:rPr>
          <w:sz w:val="20"/>
          <w:szCs w:val="20"/>
          <w:color w:val="auto"/>
        </w:rPr>
      </w:pPr>
    </w:p>
    <w:p>
      <w:pPr>
        <w:ind w:left="520" w:hanging="260"/>
        <w:spacing w:after="0" w:line="266" w:lineRule="auto"/>
        <w:tabs>
          <w:tab w:leader="none" w:pos="5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Research and development expenses increased $22.0 million, resulting from costs incurred during the current period for design and testing related to the development of aeroderivative turbines for FTAI Power.</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Operating expenses increased $19.5 million, primarily driven by higher compensation and benefits expense due to an increase in employee headcount and overall compensation, as well as increased general corporate expenses.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Comparison of the nine months ended September 30,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Total expenses increased by $107.2 million, primarily due to the following:</w:t>
      </w:r>
    </w:p>
    <w:p>
      <w:pPr>
        <w:spacing w:after="0" w:line="84" w:lineRule="exact"/>
        <w:rPr>
          <w:sz w:val="20"/>
          <w:szCs w:val="20"/>
          <w:color w:val="auto"/>
        </w:rPr>
      </w:pPr>
    </w:p>
    <w:p>
      <w:pPr>
        <w:ind w:left="520" w:hanging="260"/>
        <w:spacing w:after="0" w:line="283" w:lineRule="auto"/>
        <w:tabs>
          <w:tab w:leader="none" w:pos="511"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Research and development expenses increased $41.5 million, resulting from costs incurred during the current year for design and testing related to the development of aeroderivative turbines for FTAI Power.</w:t>
      </w:r>
    </w:p>
    <w:p>
      <w:pPr>
        <w:spacing w:after="0" w:line="40"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43"/>
        </w:numPr>
        <w:rPr>
          <w:rFonts w:ascii="Arial" w:cs="Arial" w:eastAsia="Arial" w:hAnsi="Arial"/>
          <w:sz w:val="13"/>
          <w:szCs w:val="13"/>
          <w:color w:val="auto"/>
        </w:rPr>
      </w:pPr>
      <w:r>
        <w:rPr>
          <w:rFonts w:ascii="Arial" w:cs="Arial" w:eastAsia="Arial" w:hAnsi="Arial"/>
          <w:sz w:val="13"/>
          <w:szCs w:val="13"/>
          <w:color w:val="auto"/>
        </w:rPr>
        <w:t>Operating expenses increased $55.2 million, primarily driven by higher compensation and benefits expense due to an increase in employee headcount and overall compensation, as well as increased general corporate expenses.</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Acquisition and transaction expense increased $10.8 million, primarily due to higher professional fees associated with acquisitions and transactions in the current period.</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Other (expense) income</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Total other expense increased $5.8 million and $5.4 million for the three and nine months ended September 30, 2026, as compared to the prior period. The increase was mainly driven by higher interest expense, due to amounts drawn on the amended and restated Revolving Credit Facility.</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Benefit from income taxes</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benefit from income taxes increased by $22.0 million and $46.5 million for the three and nine months ended September 30, 2026, respectively, as compared to the prior period. The increase was mainly driven by higher corporate overhead expenses deductible for 2026 tax purposes.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Net loss</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Net loss increased by $26.4 million and $66.1 million during the three and nine months ended September 30, 2026, respectively, as compared to the prior period, primarily due to the changes noted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i w:val="1"/>
          <w:iCs w:val="1"/>
          <w:color w:val="00497F"/>
        </w:rPr>
        <w:t>Adjusted EBITDA (Non-GAAP)</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Adjusted EBITDA decreased by $19.5 million and $51.1 million during the three and nine months ended September 30, 2026, respectively, as compared to the prior period, primarily due to the changes noted above.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00497F"/>
        </w:rPr>
        <w:t>Liquidity and Capital Resources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we have sufficient liquidity to satisfy our cash needs, however, we continue to evaluate and take action, as necessary, to preserve adequate liquidity and ensure that our business can continue to operate during various environments. As of September 30, 2026, we had $385.6 million of cash and cash equivalents and $2.025 billion of undrawn availability under our Revolving Credit Facility, for total liquidity of approximately $2.4 billion.</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December 30, 2024, we announced the launch of the SCI in collaboration with third-party institutional investors. The SCI and its related partnerships allow the Company to generate income while maintaining an asset-light business model. The SCI Partnerships under the initiative focus on acquiring 737NG and A320ceo aircraft. The 2025 Partnership completed its fundraise in October 2025 with $2.0 billion of equity commitments. During 2026, we launched the 2026 Partnership, which began acquiring aircraft in the third quarter.</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September 30, 2026, we held approximately 19% and 21% capital interests in the 2025 Partnership and 2026 Partnership. During the nine months ended September 30, 2026, we contributed $115.1 million to the SCI Partnerships and received $66.8 million of returns of capital. We have completed the sale of all committed seed aircraft to the 2025 Partnership, including $175.7 million of sales in 2026. The SCI Partnerships also generated cash for us through MRE contract revenue of $533.4 million and servicing fees of $17.6 million for the nine months ended September 30, 2026.</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principal uses of liquidity have been and continue to be (i) purchases of inventory, including engine feedstock and FTAI Power production inventory, (ii) acquisitions of aircraft and engines, (iii) dividends to our ordinary and preferred shareholders and share repurchases and redemptions, (iv) investments in unconsolidated entities, (v) expenses associated with our operating activities, and (vi) interest and principal payments on our Senior Notes and Revolving Credit Facility.</w:t>
      </w:r>
    </w:p>
    <w:p>
      <w:pPr>
        <w:spacing w:after="0" w:line="53" w:lineRule="exact"/>
        <w:rPr>
          <w:sz w:val="20"/>
          <w:szCs w:val="20"/>
          <w:color w:val="auto"/>
        </w:rPr>
      </w:pPr>
    </w:p>
    <w:p>
      <w:pPr>
        <w:ind w:left="500" w:hanging="240"/>
        <w:spacing w:after="0"/>
        <w:tabs>
          <w:tab w:leader="none" w:pos="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Inventory increased $885.9 million during the nine months ended September 30, 2026 (2025 - $391.9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Cash used for the purpose of making investments was $534.3 million during the nine months ended September 30, 2026 (2025 - $757.4 million).</w:t>
      </w:r>
    </w:p>
    <w:p>
      <w:pPr>
        <w:spacing w:after="0" w:line="9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44"/>
        </w:numPr>
        <w:rPr>
          <w:rFonts w:ascii="Arial" w:cs="Arial" w:eastAsia="Arial" w:hAnsi="Arial"/>
          <w:sz w:val="13"/>
          <w:szCs w:val="13"/>
          <w:color w:val="auto"/>
        </w:rPr>
      </w:pPr>
      <w:r>
        <w:rPr>
          <w:rFonts w:ascii="Arial" w:cs="Arial" w:eastAsia="Arial" w:hAnsi="Arial"/>
          <w:sz w:val="13"/>
          <w:szCs w:val="13"/>
          <w:color w:val="auto"/>
        </w:rPr>
        <w:t>Distributions to shareholders, including cash dividends, preferred stock redemptions and share repurchases, were $303.0 million during the nine months ended September 30, 2026 (2025 - $230.0 million).</w:t>
      </w:r>
    </w:p>
    <w:p>
      <w:pPr>
        <w:spacing w:after="0" w:line="61"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44"/>
        </w:numPr>
        <w:rPr>
          <w:rFonts w:ascii="Arial" w:cs="Arial" w:eastAsia="Arial" w:hAnsi="Arial"/>
          <w:sz w:val="13"/>
          <w:szCs w:val="13"/>
          <w:color w:val="auto"/>
        </w:rPr>
      </w:pPr>
      <w:r>
        <w:rPr>
          <w:rFonts w:ascii="Arial" w:cs="Arial" w:eastAsia="Arial" w:hAnsi="Arial"/>
          <w:sz w:val="13"/>
          <w:szCs w:val="13"/>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5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Our principal sources of liquidity to fund these uses have been and continue to be (i) revenue from our Aerospace Products and Aviation Leasing segments net of operating expenses, (ii) customer deposits, (iii) proceeds from borrowings or the issuance of securities and (iv) proceeds from asset sales.</w:t>
      </w:r>
    </w:p>
    <w:p>
      <w:pPr>
        <w:spacing w:after="0" w:line="40" w:lineRule="exact"/>
        <w:rPr>
          <w:sz w:val="20"/>
          <w:szCs w:val="20"/>
          <w:color w:val="auto"/>
        </w:rPr>
      </w:pPr>
    </w:p>
    <w:p>
      <w:pPr>
        <w:ind w:left="520" w:hanging="260"/>
        <w:spacing w:after="0" w:line="283" w:lineRule="auto"/>
        <w:tabs>
          <w:tab w:leader="none" w:pos="511" w:val="left"/>
        </w:tabs>
        <w:numPr>
          <w:ilvl w:val="0"/>
          <w:numId w:val="45"/>
        </w:numPr>
        <w:rPr>
          <w:rFonts w:ascii="Arial" w:cs="Arial" w:eastAsia="Arial" w:hAnsi="Arial"/>
          <w:sz w:val="13"/>
          <w:szCs w:val="13"/>
          <w:color w:val="auto"/>
        </w:rPr>
      </w:pPr>
      <w:r>
        <w:rPr>
          <w:rFonts w:ascii="Arial" w:cs="Arial" w:eastAsia="Arial" w:hAnsi="Arial"/>
          <w:sz w:val="13"/>
          <w:szCs w:val="13"/>
          <w:color w:val="auto"/>
        </w:rPr>
        <w:t>Net cash used in operating activities was $333.0 million during the nine months ended September 30, 2026 (2025 - $131.7 million), reflecting the increase in inventory, partially offset by $234.0 million of customer deposits received from J&amp;F, an affiliate, in advance of FTAI Power equipment deliveries.</w:t>
      </w:r>
    </w:p>
    <w:p>
      <w:pPr>
        <w:spacing w:after="0" w:line="40"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45"/>
        </w:numPr>
        <w:rPr>
          <w:rFonts w:ascii="Arial" w:cs="Arial" w:eastAsia="Arial" w:hAnsi="Arial"/>
          <w:sz w:val="13"/>
          <w:szCs w:val="13"/>
          <w:color w:val="auto"/>
        </w:rPr>
      </w:pPr>
      <w:r>
        <w:rPr>
          <w:rFonts w:ascii="Arial" w:cs="Arial" w:eastAsia="Arial" w:hAnsi="Arial"/>
          <w:sz w:val="13"/>
          <w:szCs w:val="13"/>
          <w:color w:val="auto"/>
        </w:rPr>
        <w:t>During the nine months ended September 30, 2026, additional borrowings and total principal repayments in connection with the Revolving Credit Facility were $1,225.0 million and $1,225.0 million, respectively (2025 - $430.0 million and $430.0 million, respectively). The Revolving Credit Facility, which was amended in April 2026, provides up to $2.025 billion of borrowings and matures in April 2031; no amounts were outstanding at September 30, 2026.</w:t>
      </w:r>
    </w:p>
    <w:p>
      <w:pPr>
        <w:spacing w:after="0" w:line="5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Proceeds from the sale of assets were $1,163.9 million during the nine months ended September 30, 2026 (2025 - $1,375.5 million), including $175.7 million from sales to the 2025 Partnership (2025 - $485.1 million).</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currently evaluating several potential transactions and related financings, including, but not limited to, certain additional debt and equity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00497F"/>
        </w:rPr>
        <w:t>Historical Cash Flow</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Comparison of the nine months ended September 30, 2026 and 2025</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compares the historical cash flow for the nine months ended September 30, 2026 and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1"/>
                <w:szCs w:val="11"/>
                <w:b w:val="1"/>
                <w:bCs w:val="1"/>
                <w:color w:val="auto"/>
              </w:rPr>
              <w:t>Nine Months Ended September 30,</w:t>
            </w:r>
          </w:p>
        </w:tc>
      </w:tr>
      <w:tr>
        <w:trPr>
          <w:trHeight w:val="16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2025</w:t>
            </w:r>
          </w:p>
        </w:tc>
      </w:tr>
      <w:tr>
        <w:trPr>
          <w:trHeight w:val="150"/>
        </w:trPr>
        <w:tc>
          <w:tcPr>
            <w:tcW w:w="8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 Data:</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0"/>
        </w:trPr>
        <w:tc>
          <w:tcPr>
            <w:tcW w:w="8020" w:type="dxa"/>
            <w:vAlign w:val="bottom"/>
          </w:tcPr>
          <w:p>
            <w:pPr>
              <w:ind w:left="20"/>
              <w:spacing w:after="0"/>
              <w:rPr>
                <w:sz w:val="20"/>
                <w:szCs w:val="20"/>
                <w:color w:val="auto"/>
              </w:rPr>
            </w:pPr>
            <w:r>
              <w:rPr>
                <w:rFonts w:ascii="Arial" w:cs="Arial" w:eastAsia="Arial" w:hAnsi="Arial"/>
                <w:sz w:val="11"/>
                <w:szCs w:val="11"/>
                <w:color w:val="auto"/>
              </w:rPr>
              <w:t>Net cash used in operating activities</w:t>
            </w: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(333,017)</w:t>
            </w:r>
          </w:p>
        </w:tc>
        <w:tc>
          <w:tcPr>
            <w:tcW w:w="100" w:type="dxa"/>
            <w:vAlign w:val="bottom"/>
          </w:tcPr>
          <w:p>
            <w:pPr>
              <w:spacing w:after="0"/>
              <w:rPr>
                <w:sz w:val="14"/>
                <w:szCs w:val="14"/>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(131,666)</w:t>
            </w: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investing activities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757,672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722,668</w:t>
            </w:r>
          </w:p>
        </w:tc>
      </w:tr>
      <w:tr>
        <w:trPr>
          <w:trHeight w:val="169"/>
        </w:trPr>
        <w:tc>
          <w:tcPr>
            <w:tcW w:w="8020" w:type="dxa"/>
            <w:vAlign w:val="bottom"/>
          </w:tcPr>
          <w:p>
            <w:pPr>
              <w:ind w:left="20"/>
              <w:spacing w:after="0"/>
              <w:rPr>
                <w:sz w:val="20"/>
                <w:szCs w:val="20"/>
                <w:color w:val="auto"/>
              </w:rPr>
            </w:pPr>
            <w:r>
              <w:rPr>
                <w:rFonts w:ascii="Arial" w:cs="Arial" w:eastAsia="Arial" w:hAnsi="Arial"/>
                <w:sz w:val="11"/>
                <w:szCs w:val="11"/>
                <w:color w:val="auto"/>
              </w:rPr>
              <w:t>Net cash used in financing activities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(339,507)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(196,173)</w:t>
            </w:r>
          </w:p>
        </w:tc>
      </w:tr>
    </w:tbl>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Net cash used in operating activities increased $201.4 million, primarily reflecting the increase in inventory, partially offset by customer deposits received from J&amp;F. Other drivers included an increase in our Net income of $28.1 million and certain adjustments to reconcile net income to cash used in operating activities, including a:</w:t>
      </w:r>
    </w:p>
    <w:p>
      <w:pPr>
        <w:spacing w:after="0" w:line="61" w:lineRule="exact"/>
        <w:rPr>
          <w:sz w:val="20"/>
          <w:szCs w:val="20"/>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increase in Changes in net working capital of $155.9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in Deferred income taxes of $64.4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increase in Equity in earnings of unconsolidated entities of $41.4 million; partially offset by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in Gain on sale of assets to the 2025 Partnership of $32.5 million, and</w:t>
      </w:r>
    </w:p>
    <w:p>
      <w:pPr>
        <w:spacing w:after="0" w:line="83" w:lineRule="exact"/>
        <w:rPr>
          <w:rFonts w:ascii="Arial" w:cs="Arial" w:eastAsia="Arial" w:hAnsi="Arial"/>
          <w:sz w:val="13"/>
          <w:szCs w:val="13"/>
          <w:color w:val="auto"/>
        </w:rPr>
      </w:pPr>
    </w:p>
    <w:p>
      <w:pPr>
        <w:ind w:right="5600" w:firstLine="260"/>
        <w:spacing w:after="0" w:line="383" w:lineRule="auto"/>
        <w:tabs>
          <w:tab w:leader="none" w:pos="501"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in Security deposits and maintenance claims included in earnings of $18.2 million. Net cash provided by investing activities increased $35.0 million, primarily due to an:</w:t>
      </w: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in Acquisition of leasing equipment of $191.7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increase in Proceeds from sale of assets of $97.8 million,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in Investment in unconsolidated entities of $59.2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increase in Return of capital from unconsolidated entities of $40.2 million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in Acquisition of business, net of cash acquired of $37.1 million; partially offset by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in Proceeds from the sale of assets to the 2025 partnership of $309.5 million,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in Return of deposits for acquisition of leasing equipment of $36.8 million.</w:t>
      </w:r>
    </w:p>
    <w:p>
      <w:pPr>
        <w:spacing w:after="0" w:line="328"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increase in Proceeds from debt of $795.0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increase in Repayment of debt of $795.0 million,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increase in Share repurchases of $50.0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increase in Cash dividends on ordinary shares of $46.2 million,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decrease in Receipt of maintenance deposits under operating lease agreements of $24.9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increase in Payment of deferred financing costs of $11.6 million,</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Increase in Settlement of equity-based compensation of $32.1 million; partially offset by</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decrease in Redemption of preferred shares of $18.7 million.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Contractual Obligations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Our material cash requirements include the following contractual and other obligations:</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00497F"/>
        </w:rPr>
        <w:t>Debt Obligations</w:t>
      </w:r>
      <w:r>
        <w:rPr>
          <w:rFonts w:ascii="Arial" w:cs="Arial" w:eastAsia="Arial" w:hAnsi="Arial"/>
          <w:sz w:val="13"/>
          <w:szCs w:val="13"/>
          <w:color w:val="00497F"/>
        </w:rPr>
        <w:t>—</w:t>
      </w:r>
      <w:r>
        <w:rPr>
          <w:rFonts w:ascii="Arial" w:cs="Arial" w:eastAsia="Arial" w:hAnsi="Arial"/>
          <w:sz w:val="13"/>
          <w:szCs w:val="13"/>
          <w:color w:val="000000"/>
        </w:rPr>
        <w:t>As of September 30, 2026, we had outstanding principal and interest payment obligations of $3.5 billion and $1.0 billion, respectively, of which only interest payments of $228.8</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million are due in the next twelve months. Refer to Note 6, “Debt” in our “Notes to Consolidated Financial Statements” for additional information about our debt obligations.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Lease Obligations</w:t>
      </w:r>
      <w:r>
        <w:rPr>
          <w:rFonts w:ascii="Arial" w:cs="Arial" w:eastAsia="Arial" w:hAnsi="Arial"/>
          <w:sz w:val="13"/>
          <w:szCs w:val="13"/>
          <w:color w:val="000000"/>
        </w:rPr>
        <w:t>—As of September 30, 2026, we had outstanding operating and finance lease obligations of $38.9 million, of which $2.8 million is due in the next twelve months.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i w:val="1"/>
          <w:iCs w:val="1"/>
          <w:color w:val="00497F"/>
        </w:rPr>
        <w:t>Other Cash Requirements</w:t>
      </w:r>
      <w:r>
        <w:rPr>
          <w:rFonts w:ascii="Arial" w:cs="Arial" w:eastAsia="Arial" w:hAnsi="Arial"/>
          <w:sz w:val="13"/>
          <w:szCs w:val="13"/>
          <w:color w:val="000000"/>
        </w:rPr>
        <w:t>—In addition to our contractual obligations, we pay quarterly cash dividends on our ordinary shares and preferred shares, which are subject to change at the discretion of</w:t>
      </w:r>
      <w:r>
        <w:rPr>
          <w:rFonts w:ascii="Arial" w:cs="Arial" w:eastAsia="Arial" w:hAnsi="Arial"/>
          <w:sz w:val="13"/>
          <w:szCs w:val="13"/>
          <w:b w:val="1"/>
          <w:bCs w:val="1"/>
          <w:i w:val="1"/>
          <w:iCs w:val="1"/>
          <w:color w:val="00497F"/>
        </w:rPr>
        <w:t xml:space="preserve"> </w:t>
      </w:r>
      <w:r>
        <w:rPr>
          <w:rFonts w:ascii="Arial" w:cs="Arial" w:eastAsia="Arial" w:hAnsi="Arial"/>
          <w:sz w:val="13"/>
          <w:szCs w:val="13"/>
          <w:color w:val="000000"/>
        </w:rPr>
        <w:t>our Board of Directors. During the last twelve months, we declared cash dividends of $174.5 million and $12.7 million on our ordinary shares and preferred shares,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 expect to meet our future short-term liquidity requirements through cash on hand, unused borrowing capacity or future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53" w:name="page54"/>
    <w:bookmarkEnd w:id="53"/>
    <w:p>
      <w:pPr>
        <w:jc w:val="both"/>
        <w:spacing w:after="0" w:line="253" w:lineRule="auto"/>
        <w:rPr>
          <w:sz w:val="20"/>
          <w:szCs w:val="20"/>
          <w:color w:val="auto"/>
        </w:rPr>
      </w:pPr>
      <w:r>
        <w:rPr>
          <w:rFonts w:ascii="Arial" w:cs="Arial" w:eastAsia="Arial" w:hAnsi="Arial"/>
          <w:sz w:val="13"/>
          <w:szCs w:val="13"/>
          <w:color w:val="auto"/>
        </w:rPr>
        <w:t>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Critical Accounting Estimates and Policies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There were no material changes to our critical accounting estimates described in our Annual Report on Form 10-K for the year ended December 31,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Recent Accounting Pronouncements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See Note 2, “Summary of Significant Accounting Policies” in our “Notes to Consolidated Financial Statements” for recent accounting pronouncements.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3. Quantitative and Qualitative Disclosures About Market Risk</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Interest Rate Risk</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Revolving Credit Facility.</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borrowing agreements of ours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September 30, 2026, assuming we do not hedge our exposure to interest rate fluctuations related to our outstanding floating rate debt, a hypothetical 100-basis point increase/decrease in our variable interest rate on our borrowings would not have increased or decreased interest expense over the next 12 months.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4. Controls and Procedures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Disclosure Controls and Procedures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497F"/>
        </w:rPr>
        <w:t>Internal Control over Financial Reporting</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3"/>
          <w:szCs w:val="13"/>
          <w:b w:val="1"/>
          <w:bCs w:val="1"/>
          <w:color w:val="006EBF"/>
        </w:rPr>
        <w:t>PART II—OTHER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1. Legal Proceedings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1A. Risk Factors</w:t>
      </w:r>
    </w:p>
    <w:p>
      <w:pPr>
        <w:spacing w:after="0" w:line="97" w:lineRule="exact"/>
        <w:rPr>
          <w:sz w:val="20"/>
          <w:szCs w:val="20"/>
          <w:color w:val="auto"/>
        </w:rPr>
      </w:pPr>
    </w:p>
    <w:p>
      <w:pPr>
        <w:jc w:val="both"/>
        <w:spacing w:after="0" w:line="291" w:lineRule="auto"/>
        <w:rPr>
          <w:sz w:val="20"/>
          <w:szCs w:val="20"/>
          <w:color w:val="auto"/>
        </w:rPr>
      </w:pPr>
      <w:r>
        <w:rPr>
          <w:rFonts w:ascii="Arial" w:cs="Arial" w:eastAsia="Arial" w:hAnsi="Arial"/>
          <w:sz w:val="12"/>
          <w:szCs w:val="12"/>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taxation and risks related to the Company’s shares. However, these categories do overlap and should not be considered exclusive.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Risks Related to Our Business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Uncertainty relating to macroeconomic conditions, including those that affect the commercial aviation industry, may reduce the demand for our assets, result in non-performance of contracts by our lessees or charterers, limit our ability to obtain additional capital to finance new investments, or have other unforeseen negative effects.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Uncertainty and negative trends in general economic conditions in the United States and abroad, including significant tightening of credit markets and commodity price volatility, historically have created and continue to create difficult operating environments for owners and operators in the aviation industry. As a provider of products and services to the commercial aviation industry, we are greatly affected by the overall economic conditions and other trends that affect our customers and lessees in that industry, including any projected market growth that may not materialize or be sustainable and any lasting effects of tariffs. The commercial aviation industry is historically cyclical and has been negatively affected in the past, and could be negatively affected in future periods, by geopolitical events, natural disasters, pandemics, supply chain disruptions, labor issues, environmental concerns (including climate change), lack of capital, cost inflation, and weak or volatile economic conditions. A number of governments have implemented, or are considering implementing, a broad variety of governmental actions or new regulations for the financial markets and international trade. In addition, limitations on the availability of capital, higher costs of capital for financing expenditures or the desire to preserve liquidity, may cause our current or prospective customers and lessees to make reductions in future capital budgets and spending.</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customers’ and lessees’ business, which may in turn result in a significant reduction in revenues, earnings and cash flows, difficulties accessing capital and a deterioration in the value of our assets. We have in the past been exposed to increased credit risk from our customers and lessees and third parties who have obligations to us, which resulted in non-performance of contracts by our customers and lessees and adversely impacted our business, financial condition, results of operations and cash flows. We cannot assure you that similar loss events may not occur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Instability in geographies where we have assets or where we derive revenue could have a material adverse effect on our business, customers, lessees, operations and financial results.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and in the Middle East, including some assets in Russia. In late February 2022, Russian military forces launched significant military action against Ukraine. The conflict remains ongoing and sustained conflict and disruption in the region is likely. Following missile strikes in Iran in February 2026, there has been increased instability in the Middle East, and global oil prices have been fluctuating. The related regional impacts, as well as actions taken by other countries, including new and stricter export controls and sanctions by other countries and organizations against officials, individuals, regions, and industries in Russia and Ukraine and Iran, and each country’s potential response to such sanctions, tensions and military actions, could have a material adverse effect on our business and delay or prevent us from accessing certain of our assets. We are actively monitoring the security of our remaining assets in the regions.</w:t>
      </w:r>
    </w:p>
    <w:p>
      <w:pPr>
        <w:spacing w:after="0" w:line="65"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The aviation industry has experienced periods of oversupply during which lease rates and asset values have declined, particularly during economic downturns, and any future oversupply could materially adversely affect our results of operations and cash flows.</w:t>
      </w:r>
    </w:p>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oversupply of a specific asset is likely to depress lease rates for and the value of that type of asset and result in decreased utilization of our assets, and the aviation industry has experienced periods of oversupply during which rates and asset values have declined, particularly during economic downturns. Factors that could lead to such oversupply include, without limitation:</w:t>
      </w:r>
    </w:p>
    <w:p>
      <w:pPr>
        <w:spacing w:after="0" w:line="61" w:lineRule="exact"/>
        <w:rPr>
          <w:sz w:val="20"/>
          <w:szCs w:val="20"/>
          <w:color w:val="auto"/>
        </w:rPr>
      </w:pPr>
    </w:p>
    <w:p>
      <w:pPr>
        <w:ind w:left="500" w:hanging="240"/>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general demand for the type of assets that we purchase;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3" w:right="319" w:bottom="1440" w:gutter="0" w:footer="0" w:header="0"/>
        </w:sectPr>
      </w:pPr>
    </w:p>
    <w:bookmarkStart w:id="55" w:name="page56"/>
    <w:bookmarkEnd w:id="55"/>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general macroeconomic conditions, including market prices for commodities that our assets may serve;</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geopolitical events, including war, prolonged armed conflict and acts of terrorism;</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outbreaks of communicable diseases and natural disasters;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governmental regulation, including on international trade;</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interest rates;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availability of credit;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potential reduced cash flows and financial condition, including potential liquidity restraints;</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restructurings and bankruptcies of companies in the industries in which we operate, including our customers and lessees;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manufacturer production levels and technological innovation;</w:t>
      </w:r>
    </w:p>
    <w:p>
      <w:pPr>
        <w:spacing w:after="0" w:line="94"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manufacturers merging or exiting the industry or ceasing to produce certain asset types;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retirement and obsolescence of the assets that we own, maintain, repair or exchange;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increases in supply levels of assets in the market due to the sale or merging of operating lessors.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These and other related factors are generally outside of our control and could lead to (i) persistence of, or increase in, the oversupply of the types of assets that we acquire, maintain, repair or exchange or (ii) decreased utilization of our assets, either of which could materially adversely affect our results of operations and cash flow.</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aviation industry is heavily regulated, and if we fail to comply with applicable requirements, our results of operations could suffer.</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Governmental agencies throughout the world, including the Federal Aviation Administration (“FAA”), Transport Canada, and European Union Aviation Safety Agency,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FAA and equivalent regulatory agencies in other jurisdictions in which we operate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retirement or prolonged grounding of commercial aircraft could reduce our revenues and the value of any related inventory.</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lessees with whom we enter into leases or other contractual arrangements with lessees or customers. Inherent in the nature of the leases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or other contractual arrangements. In addition, when counterparties default, we may fail to recover all of our assets, and the assets we do recover may be returned in damaged condition or to locations where we will not be able to efficiently lease or sell them. In most cases, we maintain, or require our lessees to maintain, certain insurances to cover the risk of damages or loss of our assets. However, these insurance policies may not be sufficient to protect us against a loss.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Depending on the specific sector, the risk of contractual defaults may be elevated due to excess capacity as a result of oversupply during the most recent economic downturn. We lease assets to our lessees pursuant to fixed-price contracts, and our lessees then seek to utilize those assets to transport goods and provide services. If the price at which our lessees receive for their transportation services decreases as a result of an oversupply in the marketplace, then our lessees may be forced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13"/>
          <w:szCs w:val="13"/>
          <w:color w:val="auto"/>
        </w:rPr>
        <w:t>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aviation industry has experienced periods of oversupply during which lease rates and asset values have declined, particularly during economic downturns, and any future oversupply could materially adversely affect our results of operations and cash flows.” Any default by a material customer or lessee would have a significant impact on our profitability at the time the customer or lessee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We acquire a high concentration of CFM56-5B, CFM56-7B and V2500 engines and related parts and our business, prospects, financial condition, results of operations and cash flows could be adversely affected by changes in market demand or problems specific to that asset or sector.</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acquire a high concentration of CFM56-5B, CFM56-7B and V2500 engines and related parts and our business and financial results could be adversely affected by sector-specific or asset-specific factors. If the market demand for such engines and related parts declines, it is redesigned or replaced by its manufacturer or it experiences design or technical problems, the value and rates relating to such asset may decline, and we may be unable to lease or sell such engines or related parts on favorable terms, if at all. Any decrease in the value and rates of our assets may have a material adverse effect on our business, prospects,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highly competitive markets.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markets for our products and services are highly competitive. Market competition for opportunities to acquire aviation assets includes traditional transportation companies, commercial and investment banks, as well as a growing number of non-traditional participants, such as hedge funds, private equity funds and other private investors.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Market competition for our Aerospace Products business includes engine manufacturers, engine component and parts manufacturers, airline and aircraft service companies, companies providing maintenance, repair and overhaul services and aircraft spare parts distributors and redistributors.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success of our Aerospace Products segment is dependent upon our ability to manage our operational footprint.</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currently perform maintenance, repair and exchange activities at our maintenance facilities in the United States, Canada and Europe. Our maintenance facilities could become unavailable either temporarily or permanently due to labor disruptions at any of our facilities or other circumstances that may be beyond our control, such as geopolitical developments or logistical complications arising from catastrophic and weather-related events.</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Potential logistical complications resulting from circumstances beyond our control may include, but are not limited to, power loss, telecommunication and information systems failures, or other internal or external system or service failures, accidents or incidents arising from acts of war, terrorism, cyber-attacks, weather, global climate change, earthquakes, hurricanes, fires, floods, tornadoes, explosions or other natural disasters or pandemics, including public health crises.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If any of these events were to occur at or around any of our facilities, this could result in potential damage to physical assets and we may be unable to shift work to other facilities or to make up for lost work, which could result in a prolonged interruption of our business, significant delays in shipments of products, the loss of sales and customers and large expenses to repair or replace the facility or facilities. We may not have insurance to adequately compensate us for any of these events. If insurance or other risk transfer mechanisms, such as existing disaster recovery and business continuity plans, are insufficient to recover all costs, we could experience a material adverse effect on our business, prospects, financial condition, results of operations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i w:val="1"/>
          <w:iCs w:val="1"/>
          <w:color w:val="auto"/>
        </w:rPr>
        <w:t>Certain liens may arise on our assets.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Certain of our assets are currently subject to liens under our fourth amended and restated revolving credit facility (the “Revolving Credit Facility”). In the event of a default under the Revolving Credit Facility,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values of our assets may fluctuate due to various factors.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generate a sufficient amount of cash or generate sufficient free cash flow to fund our operations or repay our indebtedness.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September 30, 2026, we had $3.5 billion of indebtedness outstanding. Our ability to make payments on our indebtedness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use of joint ventures or partnerships may present unforeseen obstacles or costs.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addition, we expect to utilize third-party contractors to perform services and functions related to the operation and leasing of our assets. These functions may include billing, collections, recovery and asset monitoring. Because we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Strategic Capital Initiative involves certain risks which could adversely affect our business, prospects, financial condition, results of operations and cash flows.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December 30, 2024, we announced the launch of a Strategic Capital Initiative in collaboration with third-party institutional investors. The first and second partnerships under the initiative, the 2025 Partnership and 2026 Partnership (collectively, the “SCI Partnerships”), focus on acquiring 737NG and A320ceo aircraft. The Strategic Capital Initiative, and its related partnerships, allow us to maintain an asset-light business model while the partnerships actively acquire on-lease narrowbody aircraft at scale. The SCI Partnerships, and follow-on partnerships, are or will be the primary buyer of all future on-lease 737NG and A320ceo aircraft that meet such partnership’s criteria. Through our wholly owned consolidated subsidiaries, we are both the general partner of the SCI Partnerships and the servicers of their aircraft and engine portfolio. As servicers, our subsidiaries provide services to the SCI Partnerships related to acquiring, leasing, remarketing and selling aircraft, administering leases and collections, overseeing lessee maintenance and insurance, and obtaining valuations. We receive customary, market-based servicing fees in exchange for the services rendered. The Company also made a minority capital commitment to the SCI Partnerships. We expect to provide aircraft management services to, and make minority investments in, future partnerships. Our Strategic Capital Initiative is subject to certain risks, which include, but are not limited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8" w:name="page59"/>
    <w:bookmarkEnd w:id="58"/>
    <w:p>
      <w:pPr>
        <w:jc w:val="both"/>
        <w:ind w:left="520" w:hanging="260"/>
        <w:spacing w:after="0" w:line="253"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Market Risk</w:t>
      </w:r>
      <w:r>
        <w:rPr>
          <w:rFonts w:ascii="Arial" w:cs="Arial" w:eastAsia="Arial" w:hAnsi="Arial"/>
          <w:sz w:val="13"/>
          <w:szCs w:val="13"/>
          <w:color w:val="auto"/>
        </w:rPr>
        <w:t>. Difficult market conditions may adversely affect our Strategic Capital Initiative in many ways, including by negatively impacting the SCI Partnerships and future partnerships’ ability</w:t>
      </w:r>
      <w:r>
        <w:rPr>
          <w:rFonts w:ascii="Arial" w:cs="Arial" w:eastAsia="Arial" w:hAnsi="Arial"/>
          <w:sz w:val="13"/>
          <w:szCs w:val="13"/>
          <w:i w:val="1"/>
          <w:iCs w:val="1"/>
          <w:color w:val="auto"/>
        </w:rPr>
        <w:t xml:space="preserve"> </w:t>
      </w:r>
      <w:r>
        <w:rPr>
          <w:rFonts w:ascii="Arial" w:cs="Arial" w:eastAsia="Arial" w:hAnsi="Arial"/>
          <w:sz w:val="13"/>
          <w:szCs w:val="13"/>
          <w:color w:val="auto"/>
        </w:rPr>
        <w:t>to raise or deploy capital, lowering servicing fees and profit participation distributions, increasing the cost of financial instruments and executing transactions and adversely affecting the performance of the partnerships’ investments. In addition, market or idiosyncratic factors may make it difficult to raise new capital from investors into the Strategic Capital Initiative. Any of these circumstances could have a material adverse effect on our business, prospects, financial condition, results of operations and cash flows.</w:t>
      </w:r>
    </w:p>
    <w:p>
      <w:pPr>
        <w:spacing w:after="0" w:line="69" w:lineRule="exact"/>
        <w:rPr>
          <w:rFonts w:ascii="Arial" w:cs="Arial" w:eastAsia="Arial" w:hAnsi="Arial"/>
          <w:sz w:val="13"/>
          <w:szCs w:val="13"/>
          <w:color w:val="auto"/>
        </w:rPr>
      </w:pP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Liquidity Risk</w:t>
      </w:r>
      <w:r>
        <w:rPr>
          <w:rFonts w:ascii="Arial" w:cs="Arial" w:eastAsia="Arial" w:hAnsi="Arial"/>
          <w:sz w:val="13"/>
          <w:szCs w:val="13"/>
          <w:color w:val="auto"/>
        </w:rPr>
        <w:t>. Our Strategic Capital Initiative may invest in relatively high-risk, illiquid assets and may fail to realize any profits from these activities for a considerable period of time, if at all.</w:t>
      </w:r>
    </w:p>
    <w:p>
      <w:pPr>
        <w:spacing w:after="0" w:line="8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Valuation Risk</w:t>
      </w:r>
      <w:r>
        <w:rPr>
          <w:rFonts w:ascii="Arial" w:cs="Arial" w:eastAsia="Arial" w:hAnsi="Arial"/>
          <w:sz w:val="13"/>
          <w:szCs w:val="13"/>
          <w:color w:val="auto"/>
        </w:rPr>
        <w:t>. Valuation methodologies for certain assets held by our Strategic Capital Initiative are subject to significant subjectivity and the values established pursuant to such</w:t>
      </w:r>
      <w:r>
        <w:rPr>
          <w:rFonts w:ascii="Arial" w:cs="Arial" w:eastAsia="Arial" w:hAnsi="Arial"/>
          <w:sz w:val="13"/>
          <w:szCs w:val="13"/>
          <w:i w:val="1"/>
          <w:iCs w:val="1"/>
          <w:color w:val="auto"/>
        </w:rPr>
        <w:t xml:space="preserve"> </w:t>
      </w:r>
      <w:r>
        <w:rPr>
          <w:rFonts w:ascii="Arial" w:cs="Arial" w:eastAsia="Arial" w:hAnsi="Arial"/>
          <w:sz w:val="13"/>
          <w:szCs w:val="13"/>
          <w:color w:val="auto"/>
        </w:rPr>
        <w:t>methodologies may never be realized, which could result in significant losses from our Strategic Capital Initiative.</w:t>
      </w:r>
    </w:p>
    <w:p>
      <w:pPr>
        <w:spacing w:after="0" w:line="61"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Key Personnel Risk</w:t>
      </w:r>
      <w:r>
        <w:rPr>
          <w:rFonts w:ascii="Arial" w:cs="Arial" w:eastAsia="Arial" w:hAnsi="Arial"/>
          <w:sz w:val="13"/>
          <w:szCs w:val="13"/>
          <w:color w:val="auto"/>
        </w:rPr>
        <w:t>. Our business and financial condition may be materially adversely impacted by the loss of any of the key investment professionals involved in our Strategic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Initiative. Our ability to retain and attract investment professionals is critical to the success and growth of our Strategic Capital Initiative. In addition, evaluating transactions for our Strategic Capital Initiative may divert the time and attention of our management from other parts of our business.</w:t>
      </w:r>
    </w:p>
    <w:p>
      <w:pPr>
        <w:spacing w:after="0" w:line="5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Litigation Risk</w:t>
      </w:r>
      <w:r>
        <w:rPr>
          <w:rFonts w:ascii="Arial" w:cs="Arial" w:eastAsia="Arial" w:hAnsi="Arial"/>
          <w:sz w:val="13"/>
          <w:szCs w:val="13"/>
          <w:color w:val="auto"/>
        </w:rPr>
        <w:t>. One of our subsidiaries is the Servicer of the SCI Partnerships and we expect to serve as Servicer of future partnerships. As Servicer, we may be subject to the risk of litigation</w:t>
      </w:r>
      <w:r>
        <w:rPr>
          <w:rFonts w:ascii="Arial" w:cs="Arial" w:eastAsia="Arial" w:hAnsi="Arial"/>
          <w:sz w:val="13"/>
          <w:szCs w:val="13"/>
          <w:i w:val="1"/>
          <w:iCs w:val="1"/>
          <w:color w:val="auto"/>
        </w:rPr>
        <w:t xml:space="preserve"> </w:t>
      </w:r>
      <w:r>
        <w:rPr>
          <w:rFonts w:ascii="Arial" w:cs="Arial" w:eastAsia="Arial" w:hAnsi="Arial"/>
          <w:sz w:val="13"/>
          <w:szCs w:val="13"/>
          <w:color w:val="auto"/>
        </w:rPr>
        <w:t>by third parties, including investors in our Strategic Capital Initiative dissatisfied with our oversight of the SCI Partnerships and future partnerships or the performance thereof.</w:t>
      </w:r>
    </w:p>
    <w:p>
      <w:pPr>
        <w:spacing w:after="0" w:line="61" w:lineRule="exact"/>
        <w:rPr>
          <w:rFonts w:ascii="Arial" w:cs="Arial" w:eastAsia="Arial" w:hAnsi="Arial"/>
          <w:sz w:val="13"/>
          <w:szCs w:val="13"/>
          <w:color w:val="auto"/>
        </w:rPr>
      </w:pPr>
    </w:p>
    <w:p>
      <w:pPr>
        <w:jc w:val="both"/>
        <w:ind w:left="520" w:hanging="260"/>
        <w:spacing w:after="0" w:line="249"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Allocation and Conflicts of Interest Risk</w:t>
      </w:r>
      <w:r>
        <w:rPr>
          <w:rFonts w:ascii="Arial" w:cs="Arial" w:eastAsia="Arial" w:hAnsi="Arial"/>
          <w:sz w:val="13"/>
          <w:szCs w:val="13"/>
          <w:color w:val="auto"/>
        </w:rPr>
        <w:t>. The SCI Partnerships, and follow-on partnerships, are the primary buyer of all future on-lease 737NG and A320ceo aircraft. In the future, we may</w:t>
      </w:r>
      <w:r>
        <w:rPr>
          <w:rFonts w:ascii="Arial" w:cs="Arial" w:eastAsia="Arial" w:hAnsi="Arial"/>
          <w:sz w:val="13"/>
          <w:szCs w:val="13"/>
          <w:i w:val="1"/>
          <w:iCs w:val="1"/>
          <w:color w:val="auto"/>
        </w:rPr>
        <w:t xml:space="preserve"> </w:t>
      </w:r>
      <w:r>
        <w:rPr>
          <w:rFonts w:ascii="Arial" w:cs="Arial" w:eastAsia="Arial" w:hAnsi="Arial"/>
          <w:sz w:val="13"/>
          <w:szCs w:val="13"/>
          <w:color w:val="auto"/>
        </w:rPr>
        <w:t>agree to allocate buying opportunities for certain assets to other partnerships. In addition, potential conflicts of interest may arise with respect to our decisions regarding how to allocate investment opportunities between us and partnerships in our Strategic Capital Initiative. Allocating investment opportunities appropriately frequently involves significant and subjective judgments. Investors in our Strategic Capital Initiative and our shareholders may perceive conflicts of interest regarding such investment decisions, which could harm our reputation with such investors and our shareholders.</w:t>
      </w:r>
    </w:p>
    <w:p>
      <w:pPr>
        <w:spacing w:after="0" w:line="73" w:lineRule="exact"/>
        <w:rPr>
          <w:rFonts w:ascii="Arial" w:cs="Arial" w:eastAsia="Arial" w:hAnsi="Arial"/>
          <w:sz w:val="13"/>
          <w:szCs w:val="13"/>
          <w:color w:val="auto"/>
        </w:rPr>
      </w:pPr>
    </w:p>
    <w:p>
      <w:pPr>
        <w:jc w:val="both"/>
        <w:ind w:left="520" w:hanging="260"/>
        <w:spacing w:after="0" w:line="252"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Leverage Risk</w:t>
      </w:r>
      <w:r>
        <w:rPr>
          <w:rFonts w:ascii="Arial" w:cs="Arial" w:eastAsia="Arial" w:hAnsi="Arial"/>
          <w:sz w:val="13"/>
          <w:szCs w:val="13"/>
          <w:color w:val="auto"/>
        </w:rPr>
        <w:t>. Our Strategic Capital Initiative utilizes leverage in investments, which could materially adversely affect its ability to achieve positive rates of return on those investments. The</w:t>
      </w:r>
      <w:r>
        <w:rPr>
          <w:rFonts w:ascii="Arial" w:cs="Arial" w:eastAsia="Arial" w:hAnsi="Arial"/>
          <w:sz w:val="13"/>
          <w:szCs w:val="13"/>
          <w:i w:val="1"/>
          <w:iCs w:val="1"/>
          <w:color w:val="auto"/>
        </w:rPr>
        <w:t xml:space="preserve"> </w:t>
      </w:r>
      <w:r>
        <w:rPr>
          <w:rFonts w:ascii="Arial" w:cs="Arial" w:eastAsia="Arial" w:hAnsi="Arial"/>
          <w:sz w:val="13"/>
          <w:szCs w:val="13"/>
          <w:color w:val="auto"/>
        </w:rPr>
        <w:t>use of leverage poses a significant degree of risk, including by significantly increasing the risk of loss associated with leveraged investments that decline in value, and enhances the possibility of a significant loss in the value of the investments made by our Strategic Capital Initiative.</w:t>
      </w:r>
    </w:p>
    <w:p>
      <w:pPr>
        <w:spacing w:after="0" w:line="70" w:lineRule="exact"/>
        <w:rPr>
          <w:rFonts w:ascii="Arial" w:cs="Arial" w:eastAsia="Arial" w:hAnsi="Arial"/>
          <w:sz w:val="13"/>
          <w:szCs w:val="13"/>
          <w:color w:val="auto"/>
        </w:rPr>
      </w:pPr>
    </w:p>
    <w:p>
      <w:pPr>
        <w:jc w:val="both"/>
        <w:ind w:left="520" w:hanging="260"/>
        <w:spacing w:after="0" w:line="253"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Risks of loss related to our investment</w:t>
      </w:r>
      <w:r>
        <w:rPr>
          <w:rFonts w:ascii="Arial" w:cs="Arial" w:eastAsia="Arial" w:hAnsi="Arial"/>
          <w:sz w:val="13"/>
          <w:szCs w:val="13"/>
          <w:color w:val="auto"/>
        </w:rPr>
        <w:t>. We made minority capital commitments in the SCI Partnerships and expect to make minority investments in future partnerships. Our investments are</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the risk of loss if the SCI Partnerships and future partnership do not perform well. In addition, we receive servicing fees and profit participation distributions for the services we provide to the SCI Partnerships and expect to perform for future partnerships. If the SCI Partnerships and future partnerships are not successful, that will have an adverse effect on our results of operations and cash flows.</w:t>
      </w:r>
    </w:p>
    <w:p>
      <w:pPr>
        <w:spacing w:after="0" w:line="59" w:lineRule="exact"/>
        <w:rPr>
          <w:rFonts w:ascii="Arial" w:cs="Arial" w:eastAsia="Arial" w:hAnsi="Arial"/>
          <w:sz w:val="13"/>
          <w:szCs w:val="13"/>
          <w:color w:val="auto"/>
        </w:rPr>
      </w:pPr>
    </w:p>
    <w:p>
      <w:pPr>
        <w:jc w:val="both"/>
        <w:ind w:left="520" w:hanging="260"/>
        <w:spacing w:after="0" w:line="259"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Regulatory Risk</w:t>
      </w:r>
      <w:r>
        <w:rPr>
          <w:rFonts w:ascii="Arial" w:cs="Arial" w:eastAsia="Arial" w:hAnsi="Arial"/>
          <w:sz w:val="13"/>
          <w:szCs w:val="13"/>
          <w:color w:val="auto"/>
        </w:rPr>
        <w:t>. Tariffs, sanctions and other restrictions imposed by the U.S. government, and the potential for further regulatory changes, may create regulatory uncertainty and adversely</w:t>
      </w:r>
      <w:r>
        <w:rPr>
          <w:rFonts w:ascii="Arial" w:cs="Arial" w:eastAsia="Arial" w:hAnsi="Arial"/>
          <w:sz w:val="13"/>
          <w:szCs w:val="13"/>
          <w:i w:val="1"/>
          <w:iCs w:val="1"/>
          <w:color w:val="auto"/>
        </w:rPr>
        <w:t xml:space="preserve"> </w:t>
      </w:r>
      <w:r>
        <w:rPr>
          <w:rFonts w:ascii="Arial" w:cs="Arial" w:eastAsia="Arial" w:hAnsi="Arial"/>
          <w:sz w:val="13"/>
          <w:szCs w:val="13"/>
          <w:color w:val="auto"/>
        </w:rPr>
        <w:t>affect the investment strategies and the profitability of the SCI Partnerships and future partnerships. In addition, changes in laws or regulations could affect our ability to continue to execute on our Strategic Capital Initiative in a manner that does not require us or any of our subsidiaries to register as an investment company under the Investment Company Act or as an investment adviser under the Investment Advisers Act.</w:t>
      </w:r>
    </w:p>
    <w:p>
      <w:pPr>
        <w:spacing w:after="0" w:line="54"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Diligence Risk</w:t>
      </w:r>
      <w:r>
        <w:rPr>
          <w:rFonts w:ascii="Arial" w:cs="Arial" w:eastAsia="Arial" w:hAnsi="Arial"/>
          <w:sz w:val="13"/>
          <w:szCs w:val="13"/>
          <w:color w:val="auto"/>
        </w:rPr>
        <w:t>. The due diligence process that our Strategic Capital Initiative undertakes in connection with its investments may not reveal all facts that may be relevant in connection with</w:t>
      </w:r>
      <w:r>
        <w:rPr>
          <w:rFonts w:ascii="Arial" w:cs="Arial" w:eastAsia="Arial" w:hAnsi="Arial"/>
          <w:sz w:val="13"/>
          <w:szCs w:val="13"/>
          <w:i w:val="1"/>
          <w:iCs w:val="1"/>
          <w:color w:val="auto"/>
        </w:rPr>
        <w:t xml:space="preserve"> </w:t>
      </w:r>
      <w:r>
        <w:rPr>
          <w:rFonts w:ascii="Arial" w:cs="Arial" w:eastAsia="Arial" w:hAnsi="Arial"/>
          <w:sz w:val="13"/>
          <w:szCs w:val="13"/>
          <w:color w:val="auto"/>
        </w:rPr>
        <w:t>making an investment.</w:t>
      </w:r>
    </w:p>
    <w:p>
      <w:pPr>
        <w:spacing w:after="0" w:line="61"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Hedging and Risk Management</w:t>
      </w:r>
      <w:r>
        <w:rPr>
          <w:rFonts w:ascii="Arial" w:cs="Arial" w:eastAsia="Arial" w:hAnsi="Arial"/>
          <w:sz w:val="13"/>
          <w:szCs w:val="13"/>
          <w:color w:val="auto"/>
        </w:rPr>
        <w:t>. Risk management activities may materially adversely affect the return on our Strategic Capital Initiative’s investments. When managing our Strategic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Initiative’s exposure to market risks, we expect to use hedging strategies, and if our risk management processes and systems are ineffective, we may be exposed to material unanticipated losses.</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partnerships in our Strategic Capital Initiative and its investments may be subject to numerous additional risks, which we may not be able to foresee or anticipate. Many of these factors are outside of our control and any one of them could result in a material adverse effect on our business, prospects, financial condition, results of operations and cash flows.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the risks and costs of obsolescence of our assets.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Technological and other improvements expose us to the risk that certain of our assets may become technologically or commercially obsolete. For example, as manufacturers introduce technological innovations and new types of aircraft and engines, our engines and related parts could become less desirable to potential lessees and maintenance and repair customers. Such technological innovations may increase the rate of obsolescence of existing aircraft and our engines faster than currently anticipated by us. It could also adversely affect the performance of our maintenance facilities if they are not able to perform the required maintenance and repairs or necessitate us to invest significant capital to upgrade our facilities. In addition,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9" w:name="page60"/>
    <w:bookmarkEnd w:id="59"/>
    <w:p>
      <w:pPr>
        <w:jc w:val="both"/>
        <w:spacing w:after="0" w:line="261" w:lineRule="auto"/>
        <w:rPr>
          <w:sz w:val="20"/>
          <w:szCs w:val="20"/>
          <w:color w:val="auto"/>
        </w:rPr>
      </w:pPr>
      <w:r>
        <w:rPr>
          <w:rFonts w:ascii="Arial" w:cs="Arial" w:eastAsia="Arial" w:hAnsi="Arial"/>
          <w:sz w:val="13"/>
          <w:szCs w:val="13"/>
          <w:color w:val="auto"/>
        </w:rPr>
        <w:t>imposition of increased regulation regarding stringent noise or emissions restrictions may make some of our aircraft and engines less desirable and less valuable in the marketplace. Any of these risks may adversely affect our ability to lease or sell our aircraft, engines and related parts and conduct maintenance, repair and exchanges on favorable terms, if at all, which could materially adversely affect our operating results and growth prospects.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inability to obtain certain components from suppliers could harm our business.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Our business is affected by the availability and price of the component parts that we use to maintain or repair our engines or for our partners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such as tariffs, and legislative or regulatory changes. As a result, our suppliers may fail to perform according to specifications when required and we may be unable to identify alternate suppliers or to otherwise mitigate the consequences of their non-performance.</w:t>
      </w:r>
    </w:p>
    <w:p>
      <w:pPr>
        <w:spacing w:after="0" w:line="43"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Transitions to new suppliers may lead to significant costs and delays, particularly due to the recertification of newly supplied parts, as required by our customers, lessees, and/or regulatory agencies. Our inability to fill our supply needs could jeopardize our ability to fulfill obligations under contracts, which could result in reduced revenues and profits, contract penalties or terminations, and damage to lessee and customer relationships. Further, increased costs of such components could reduce our profits if we were unable to pass along such price increases to our customers and lessees.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could be negatively impacted by environmental, social, and governance (ESG) and sustainability-related matters.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Governments, investors, customers, lessees,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5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assets generally require routine maintenance, and we may be exposed to unforeseen maintenance costs.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may be exposed to unforeseen maintenance costs for our assets associated with a lessee’s or charterer’s failure to properly maintain the asset. We enter into leases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to meet their obligations to perform required scheduled maintenance or our inability to maintain our assets could materially adversely affect our business, prospects, financial condition, results of operations and cash flows.</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customers and lessees operate in highly regulated industries and changes in laws or regulations, including laws with respect to international trade, may adversely affect our ability to lease or sell our assets.</w:t>
      </w:r>
    </w:p>
    <w:p>
      <w:pPr>
        <w:spacing w:after="0" w:line="3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customers and lessees operate in highly regulated industries such as aviation. A number of our contractual arrangements - for example, our leasing of aircraft engines to third-party operators-require the operator (our lessee) to obtain specific governmental or regulatory licenses, consents or approvals. These include consents for certain payments under such arrangements and for the export, import or re-export of the related assets. Failure by our lessee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0" w:name="page61"/>
    <w:bookmarkEnd w:id="60"/>
    <w:p>
      <w:pPr>
        <w:jc w:val="both"/>
        <w:spacing w:after="0" w:line="266" w:lineRule="auto"/>
        <w:rPr>
          <w:sz w:val="20"/>
          <w:szCs w:val="20"/>
          <w:color w:val="auto"/>
        </w:rPr>
      </w:pPr>
      <w:r>
        <w:rPr>
          <w:rFonts w:ascii="Arial" w:cs="Arial" w:eastAsia="Arial" w:hAnsi="Arial"/>
          <w:sz w:val="13"/>
          <w:szCs w:val="13"/>
          <w:color w:val="auto"/>
        </w:rPr>
        <w:t>countries, persons and entities. If any such regulations or sanctions affect the asset operators that are our customers, lessees, our business, prospects, financial condition, results of operations and cash flows may be materially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renew or obtain new or favorable leases, which could adversely affect our business, prospects, financial condition, results of operations and cash flows.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ability to renew existing leases or obtain new leases will also depend on prevailing market conditions, and upon expiration of the contracts governing the leasing of the applicable assets, we may be exposed to increased volatility in terms of rates and contract provisions. For example, our lessees may reduce their activity levels or seek to terminate or renegotiate their leases with us. If we are not able to renew or obtain new leases in direct continuation, or if new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involve additional risks, which could adversely affect our business, prospects, financial condition, results of operations and cash flows.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We and our customers and lessees operate in various regions throughout the world. As a result, we may, directly or indirectly, be exposed to political and other uncertainties, including risks of:</w:t>
      </w:r>
    </w:p>
    <w:p>
      <w:pPr>
        <w:spacing w:after="0" w:line="84" w:lineRule="exact"/>
        <w:rPr>
          <w:sz w:val="20"/>
          <w:szCs w:val="20"/>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terrorist acts, armed hostilities, war and civil disturbances;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acts of piracy;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potential cybersecurity attacks;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significant governmental influence over many aspects of local economies;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seizure, nationalization or expropriation of property or equipment;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repudiation, nullification, modification or renegotiation of contracts;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limitations on insurance coverage, such as war risk coverage, in certain areas;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political unrest;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foreign and U.S. monetary policy and foreign currency fluctuations and devaluations;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inability to repatriate income or capital;</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complications associated with repairing and replacing equipment in remote locations;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import-export quotas, wage and price controls, imposition of trade barriers;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U.S. and foreign sanctions or trade embargoes;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restrictions on the transfer of funds into or out of countries in which we operate;</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compliance with U.S. Treasury sanctions regulations restricting doing business with certain nations or specially designated nationals;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regulatory or financial requirements to comply with foreign bureaucratic actions;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compliance with applicable anti-corruption laws and regulations;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changing taxation policies, including confiscatory taxation;</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other forms of government regulation and economic conditions that are beyond our control; and</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governmental corruption.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Any of these or other risks could adversely impact our customers’ and lessees’ international operations which could materially adversely impact our operating results and growth opportunities.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1" w:name="page62"/>
    <w:bookmarkEnd w:id="61"/>
    <w:p>
      <w:pPr>
        <w:jc w:val="both"/>
        <w:spacing w:after="0" w:line="276" w:lineRule="auto"/>
        <w:rPr>
          <w:sz w:val="20"/>
          <w:szCs w:val="20"/>
          <w:color w:val="auto"/>
        </w:rPr>
      </w:pPr>
      <w:r>
        <w:rPr>
          <w:rFonts w:ascii="Arial" w:cs="Arial" w:eastAsia="Arial" w:hAnsi="Arial"/>
          <w:sz w:val="13"/>
          <w:szCs w:val="13"/>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To the extent that we acquire assets in emerging markets – which we may do throughout the world – 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in such countries, or the ability of our lessees, which operate in these markets, to meet their contractual obligations. As a result, lessees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we have and may continue to acquire assets located in emerging markets throughout the world, we may be exposed to any one or a combination of these risks, which could adversely affect our operating results.</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are actively evaluating potential acquisitions of assets and operating companies in other aviation sectors which could result in additional risks and uncertainties for our business and unexpected regulatory compliance costs.</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Implementing new or expanded platforms, products and services and keeping pace with technological or process developments in our industries may require significant capital and operational risk.</w:t>
      </w:r>
    </w:p>
    <w:p>
      <w:pPr>
        <w:spacing w:after="0" w:line="2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commercial and business aviation industries are constantly undergoing development and change, and it is likely that new products, platforms, equipment, digital tools and methods which are more advanced, will be introduced in the future. We may need to make significant expenditures to fund and implement new or expanded platforms and purchase new equipment.</w:t>
      </w:r>
    </w:p>
    <w:p>
      <w:pPr>
        <w:spacing w:after="0" w:line="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New or expanded platforms with new technologies typically carry risks associated with design responsibility, development of new production tools, hiring and training of qualified personnel, increased capital and funding commitments, ability to meet customer specifications, delivery schedules and unique contractual requirements, supplier performance, subcontractor performance, ability of the lessee to meet its contractual obligations to us, and our ability to accurately estimate costs associated with such platforms. We may face financial risks in connection with new or expanded platforms or technologies if we are not able to reduce the costs of these products over time, through experience and other measures, including the introduction of new designs, technologies, manufacturing methods and suppliers. In addition, any new or expanded platform may not generate sufficient demand or may experience technological problems or significant delays in the regulatory certification or manufacturing and delivery schedule. If we were unable to perform our obligations under new or expanded platforms to the customer’s satisfaction or expectations or manufacture products at our estimated costs, if we were to experience unexpected fluctuations in raw material prices or other fluctuations in supplier costs leading to cost overruns, if we were unable to successfully perform under revised design and manufacturing plans or successfully and equitably resolve claims and assertions, or if a new or expanded platform in which we had made a significant investment was terminated or experienced weak demand, delays or technological problems, our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13"/>
          <w:szCs w:val="13"/>
          <w:color w:val="auto"/>
        </w:rPr>
        <w:t>business, financial condition and results of operations could be adversely affected. This risk includes the potential for default, quality problems or failure to meet contractual requirements and could result in low margin or forward loss contracts, and the risk of having to write-off inventory or contract assets if they were deemed to be unrecoverable over the life of the platform. In addition, beginning new work on existing platforms carries risks associated with the transfer of technology, knowledge and tooling. Any of the foregoing risks or expenditures could adversely affect our business, results of operations and financial condition.</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 perform on new or expanded platforms, we may be required to construct or acquire new facilities, requiring additional up-front investment costs. In the case of significant platform delays and/or platform cancellations, we could be required to bear certain unrecoverable construction and maintenance costs and incur potential impairment charges for the new facilities. We also may need to expend additional resources to determine an alternate revenue generating use for the facilities. Likewise, significant delays in the construction or acquisition of a plant site could impact production schedules.</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addition, we may need to make significant expenditures to keep pace with new technological or process developments in our industries. Technological development and expenditures pose a number of challenges and risks, including the following:</w:t>
      </w:r>
    </w:p>
    <w:p>
      <w:pPr>
        <w:spacing w:after="0" w:line="40" w:lineRule="exact"/>
        <w:rPr>
          <w:sz w:val="20"/>
          <w:szCs w:val="20"/>
          <w:color w:val="auto"/>
        </w:rPr>
      </w:pP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we may not be able to successfully protect the proprietary interests we have in our aftermarket services and component and accessory repair processes;</w:t>
      </w:r>
    </w:p>
    <w:p>
      <w:pPr>
        <w:spacing w:after="0" w:line="8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52"/>
        </w:numPr>
        <w:rPr>
          <w:rFonts w:ascii="Arial" w:cs="Arial" w:eastAsia="Arial" w:hAnsi="Arial"/>
          <w:sz w:val="13"/>
          <w:szCs w:val="13"/>
          <w:color w:val="auto"/>
        </w:rPr>
      </w:pPr>
      <w:r>
        <w:rPr>
          <w:rFonts w:ascii="Arial" w:cs="Arial" w:eastAsia="Arial" w:hAnsi="Arial"/>
          <w:sz w:val="13"/>
          <w:szCs w:val="13"/>
          <w:color w:val="auto"/>
        </w:rPr>
        <w:t>we may need to expend significant capital to (i) purchase new equipment and machines, (ii) train employees in new methods of servicing engines, components or parts and (iii) fund the research and development of new platforms; and</w:t>
      </w:r>
    </w:p>
    <w:p>
      <w:pPr>
        <w:spacing w:after="0" w:line="40"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52"/>
        </w:numPr>
        <w:rPr>
          <w:rFonts w:ascii="Arial" w:cs="Arial" w:eastAsia="Arial" w:hAnsi="Arial"/>
          <w:sz w:val="13"/>
          <w:szCs w:val="13"/>
          <w:color w:val="auto"/>
        </w:rPr>
      </w:pPr>
      <w:r>
        <w:rPr>
          <w:rFonts w:ascii="Arial" w:cs="Arial" w:eastAsia="Arial" w:hAnsi="Arial"/>
          <w:sz w:val="13"/>
          <w:szCs w:val="13"/>
          <w:color w:val="auto"/>
        </w:rPr>
        <w:t>development by our competitors of patents or methodologies that preclude us from providing aftermarket services could adversely affect our business, financial condition and results of operations.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we may not be able to successfully develop new products, equipment or methods of repair and overhaul service, and the failure to do so could adversely affect our business,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agreements governing our indebtedness place restrictions on us and our subsidiaries, reducing operational flexibility and creating default risks.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agreements governing our indebtedness, including, but not limited to, the indentures governing our senior unsecured notes due 2028, 2030, 2031, 2032 and 2033 (“Senior Notes”) and the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53" w:lineRule="exact"/>
        <w:rPr>
          <w:sz w:val="20"/>
          <w:szCs w:val="20"/>
          <w:color w:val="auto"/>
        </w:rPr>
      </w:pPr>
    </w:p>
    <w:p>
      <w:pPr>
        <w:ind w:left="500" w:hanging="240"/>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merge, consolidate or transfer all, or substantially all, of our assets;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incur additional debt or issue preferred shares;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make certain investments or acquisitions;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create liens on our or our subsidiaries’ assets;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sell assets;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make distributions on or repurchase our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enter into transactions with affiliates;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create dividend restrictions and other payment restrictions that affect our subsidiaries.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Terrorist attacks or other hostilities could negatively impact our operations and our profitability and may expose us to liability and reputational damage.</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and lessees operate. In addition, terrorist attacks or hostilities may directly impact airports or aircraft or our physical facilities or those of our lessees.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lessee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Projects in the aerospace products and services sector are exposed to a variety of unplanned interruptions which could cause our results of operations to suffer.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3" w:name="page64"/>
    <w:bookmarkEnd w:id="63"/>
    <w:p>
      <w:pPr>
        <w:jc w:val="both"/>
        <w:spacing w:after="0" w:line="248" w:lineRule="auto"/>
        <w:rPr>
          <w:sz w:val="20"/>
          <w:szCs w:val="20"/>
          <w:color w:val="auto"/>
        </w:rPr>
      </w:pPr>
      <w:r>
        <w:rPr>
          <w:rFonts w:ascii="Arial" w:cs="Arial" w:eastAsia="Arial" w:hAnsi="Arial"/>
          <w:sz w:val="13"/>
          <w:szCs w:val="13"/>
          <w:color w:val="auto"/>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or legal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Our leases typically require payments in U.S. dollars, but many of our lessees operate in other currencies; if foreign currencies devalue against the U.S. dollar, our lessees may be unable to meet their payment obligations to us in a timely manner.</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current leases typically require that payments be made in U.S. dollars. If the currency that our lessees typically use in operating their businesses devalues against the U.S. dollar, our lessees could encounter difficulties in making payments to us in U.S. dollars. Furthermore, many foreign countries have currency and exchange laws regulating international payments that may impede or prevent payments from being paid to us in U.S. dollars. Future leases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inability to obtain sufficient capital would constrain our ability to grow our portfolio and to increase our revenues.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1" w:lineRule="exact"/>
        <w:rPr>
          <w:sz w:val="20"/>
          <w:szCs w:val="20"/>
          <w:color w:val="auto"/>
        </w:rPr>
      </w:pPr>
    </w:p>
    <w:p>
      <w:pPr>
        <w:ind w:left="500" w:hanging="240"/>
        <w:spacing w:after="0"/>
        <w:tabs>
          <w:tab w:leader="none" w:pos="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meet the terms and maturities of our existing and future debt facilities;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purchase new assets or refinance existing assets;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fund our working capital needs and maintain adequate liquidity; and</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finance other growth initiatives.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we conduct our operations so that neither we nor any of our subsidiaries are required to register as an investment company under the Investment Company Act or as an investment adviser under the Investment Advisers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5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4" w:name="page65"/>
    <w:bookmarkEnd w:id="64"/>
    <w:p>
      <w:pPr>
        <w:jc w:val="both"/>
        <w:spacing w:after="0" w:line="249" w:lineRule="auto"/>
        <w:rPr>
          <w:sz w:val="20"/>
          <w:szCs w:val="20"/>
          <w:color w:val="auto"/>
        </w:rPr>
      </w:pPr>
      <w:r>
        <w:rPr>
          <w:rFonts w:ascii="Arial" w:cs="Arial" w:eastAsia="Arial" w:hAnsi="Arial"/>
          <w:sz w:val="13"/>
          <w:szCs w:val="13"/>
          <w:color w:val="auto"/>
        </w:rPr>
        <w:t>federal, state and local levels relating to greenhouse gas emissions and climate change. While there has historically been a lack of consistent climate change legislation,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In addition, there also is an increasing number of government policies and initiatives in the U.S. that may conflict with other regulatory requirements, resulting in regulatory uncertainty.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62" w:lineRule="exact"/>
        <w:rPr>
          <w:sz w:val="20"/>
          <w:szCs w:val="20"/>
          <w:color w:val="auto"/>
        </w:rPr>
      </w:pPr>
    </w:p>
    <w:p>
      <w:pPr>
        <w:jc w:val="both"/>
        <w:spacing w:after="0" w:line="319" w:lineRule="auto"/>
        <w:rPr>
          <w:sz w:val="20"/>
          <w:szCs w:val="20"/>
          <w:color w:val="auto"/>
        </w:rPr>
      </w:pPr>
      <w:r>
        <w:rPr>
          <w:rFonts w:ascii="Arial" w:cs="Arial" w:eastAsia="Arial" w:hAnsi="Arial"/>
          <w:sz w:val="12"/>
          <w:szCs w:val="12"/>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 and increased adoption of artificial intelligence could heighten these risks.</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53" w:lineRule="exact"/>
        <w:rPr>
          <w:sz w:val="20"/>
          <w:szCs w:val="20"/>
          <w:color w:val="auto"/>
        </w:rPr>
      </w:pPr>
    </w:p>
    <w:p>
      <w:pPr>
        <w:jc w:val="both"/>
        <w:spacing w:after="0" w:line="293" w:lineRule="auto"/>
        <w:rPr>
          <w:sz w:val="20"/>
          <w:szCs w:val="20"/>
          <w:color w:val="auto"/>
        </w:rPr>
      </w:pPr>
      <w:r>
        <w:rPr>
          <w:rFonts w:ascii="Arial" w:cs="Arial" w:eastAsia="Arial" w:hAnsi="Arial"/>
          <w:sz w:val="13"/>
          <w:szCs w:val="13"/>
          <w:b w:val="1"/>
          <w:bCs w:val="1"/>
          <w:i w:val="1"/>
          <w:iCs w:val="1"/>
          <w:color w:val="auto"/>
        </w:rPr>
        <w:t>If we are deemed an “investment adviser” under the Investment Advisers Act, it could have a material adverse effect on our business, prospects, financial condition, results of operations and cash flows.</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conduct our operations so that neither we nor any of our subsidiaries are required to register as an investment adviser under the Investment Advisers Act. If we or one or more of our subsidiaries registers as an investment adviser under the Investment Advisers Act, we will become subject to various requirements under the Investment Advisers Act, such as fiduciary duties to clients, anti-fraud provisions, substantive prohibitions and requirements, contractual and record-keeping requirements and administrative oversight by the SEC (primarily by inspection). In addition, if we or one or more of our subsidiaries registers as an investment adviser under the Investment Advisers Act, we will be required to continually address potential conflicts between our interests and those of our clients. It is possible that actual, potential or perceived conflicts of interest could give rise to investor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5" w:name="page66"/>
    <w:bookmarkEnd w:id="65"/>
    <w:p>
      <w:pPr>
        <w:jc w:val="both"/>
        <w:spacing w:after="0" w:line="266" w:lineRule="auto"/>
        <w:rPr>
          <w:sz w:val="20"/>
          <w:szCs w:val="20"/>
          <w:color w:val="auto"/>
        </w:rPr>
      </w:pPr>
      <w:r>
        <w:rPr>
          <w:rFonts w:ascii="Arial" w:cs="Arial" w:eastAsia="Arial" w:hAnsi="Arial"/>
          <w:sz w:val="13"/>
          <w:szCs w:val="13"/>
          <w:color w:val="auto"/>
        </w:rPr>
        <w:t>dissatisfaction, litigation or regulatory enforcement actions. If we or any of our subsidiaries are deemed to be out of compliance with any such rules and regulations, we may be subject to civil liability, criminal liability and/or regulatory sanctions, which could have a material adverse effect on our business, prospects, financial condition, results of operations and cash flows.</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5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Risks Related to Taxation</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The Company has been and may be a passive foreign investment company (“PFIC”) and it could be a controlled foreign corporation (“CFC”) for U.S. federal income tax purposes, which may result in adverse tax considerations for U.S. shareholders.</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believe that the Company was treated as a PFIC in the taxable years ended December 31, 2022, and December 31, 2023 (collectively with any other taxable years in which we are treated as a PFIC, the “PFIC Years”). Based on our analysis, the Company was not a PFIC for the taxable year ended December 31, 2024 and December 31, 2025, and we do not expect it to be a PFIC thereafter, however, no assurance can be given in that regard. In addition, the Company could be treated as a CFC for U.S. federal income tax purposes for any given taxable year.</w:t>
      </w:r>
    </w:p>
    <w:p>
      <w:pPr>
        <w:spacing w:after="0" w:line="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These rules generally continue to apply to each shareholder who held our shares during any PFIC Year (“PFIC Holders”) and has not made either (i) a valid QEF election for the first PFIC Year in which such shareholder held our shares or (ii) certain other elections with respect to our shares under the PFIC rules, even if the Company is not treated as a PFIC for any subsequent taxable year. The effect of this deferred tax could be materially adverse to you. Alternatively, if you are a PFIC Holder and make a valid QEF election for us and each of our PFIC subsidiaries, or if we are a CFC and you own 10% or more of our shares (by vote or value), you will generally not be subject to those taxes, but could recognize taxable income with respect to our shares in excess of any distributions that we make to you, thus giving rise to so called “phantom income” and to a potential out-of-pocket tax liability. No assurances can be given that any given shareholder will be able to make a valid QEF election with respect to us or our PFIC subsidiaries.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6" w:name="page67"/>
    <w:bookmarkEnd w:id="66"/>
    <w:p>
      <w:pPr>
        <w:jc w:val="both"/>
        <w:spacing w:after="0" w:line="261" w:lineRule="auto"/>
        <w:rPr>
          <w:sz w:val="20"/>
          <w:szCs w:val="20"/>
          <w:color w:val="auto"/>
        </w:rPr>
      </w:pPr>
      <w:r>
        <w:rPr>
          <w:rFonts w:ascii="Arial" w:cs="Arial" w:eastAsia="Arial" w:hAnsi="Arial"/>
          <w:sz w:val="13"/>
          <w:szCs w:val="13"/>
          <w:color w:val="auto"/>
        </w:rPr>
        <w:t>For any PFIC Year or taxable year of ours immediately following a PFIC Year,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Investors should consult their tax advisors regarding the potential impact of these rules on their investment in us.</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spacing w:after="0" w:line="3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If there is not sufficient trading in our shares, or if 50% of our shares are held by certain 5% shareholders, we could lose our eligibility for an exemption from U.S. federal income taxation on rental income from our aircraft used in “international traffic” and could be subject to U.S. federal income taxation which would adversely affect our business and result in decreased cash available for distribution to our shareholders.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connected earnings and profits at a rate of 30%. The imposition of such taxes could adversely affect our business and would result in decreased cash available for distribution to our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or our subsidiaries may become subject to increased and/or unanticipated tax liabilities that may have a material adverse effect on our results of operations.</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face or otherwise anticipate. Further, the Organisation for Economic Co-operation and Development (the “OECD”) together with other countries comprising the membership of the “Inclusive Framework,” established “BEPS 2.0” initiative, which is aimed at (i) shifting taxing rights to the jurisdiction of the consumer and (ii) ensuring all companies pay a global minimum tax. Numerous countries, including European Union member states, have enacted or are expected to enact minimum tax legislation, and other countries may enact such legislation in the future. As a result of these developments, the tax laws of certain countries in which we and our affiliates do business have increased and may further increase our liabilities for taxes (and possibly interest and penalties), which could harm our business, cash flows, results of operations and financial position. For instance, Bermuda has enacted a corporate tax regime with a 15% rate to which the Company has been subject to beginning January 1, 2025. The impact on the Company of these legislative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13"/>
          <w:szCs w:val="13"/>
          <w:color w:val="auto"/>
        </w:rPr>
        <w:t>regulatory changes will depend on the timing of implementation, the exact nature of each country's legislation, guidance and regulations thereon and their application by tax authorities either prospectively or retrospectively. In addition, a portion of certain of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We currently do not expect the tariff policies of the U.S. federal government to have a material impact on our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Risks Related to Our Shares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market price and trading volume of our ordinary and preferred shares may be volatile, which could result in rapid and substantial losses for our shareholders.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spacing w:after="0" w:line="59" w:lineRule="exact"/>
        <w:rPr>
          <w:sz w:val="20"/>
          <w:szCs w:val="20"/>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 shift in our investor base;</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our quarterly or annual earnings, or those of other comparable companies;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actual or anticipated fluctuations in our operating results;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investments, acquisitions or dispositions;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failure of securities analysts to cover our ordinary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changes in earnings estimates by securities analysts or our ability to meet those estimates;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operating and share price performance of other comparable companies;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prevailing interest rates or rates of return being paid by other comparable companies and the market for securities similar to our preferred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additional issuances of preferred shares;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whether we declare distributions on our preferred shares;</w:t>
      </w:r>
    </w:p>
    <w:p>
      <w:pPr>
        <w:spacing w:after="0" w:line="52"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overall market fluctuations;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general economic conditions;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developments in the markets and market sectors in which we participate.</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Short sellers have and may in the future engage in activity intended to drive down the market price of our ordinary shares, which could in the future result in related governmental and regulatory scrutiny, among other effects.</w:t>
      </w:r>
    </w:p>
    <w:p>
      <w:pPr>
        <w:spacing w:after="0" w:line="3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ordinary shares for the price to decline. At any time, short sellers may publish, or arrange for the publication of, opinions or characterizations that are intended to create negative market momentum. Short selling reports can cause increased volatility in an issuer’s share price and result in regulatory and governmental inquiries. For example, in January 2025, several short seller reports were published which contained certain allegations against the Company (the “Short Seller Reports”). In response to the Short Seller Reports, the Audit Committee of our board of directors completed an internal investigation with the assistance of outside counsel and forensic accountants into the allegations in the Short Seller Reports. The internal investigation concluded that the allegations of misconduct in the Short Seller Reports were all without merit. Any future inquiries or investigations conducted by a governmental organization or other regulatory body, or any future internal investigation could result in a material diversion of our management’s time and result in substantial cost and, in the event of an adverse finding, could have a material adverse effect on our business, prospects, financial condition, results of operations and cash flows. In addition, any perceived or actual failure by us to comply with applicable laws, rules, regulations, and standards could have a significant impact on our reputation and expose us to legal risk and potential criminal and civil liability.</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increase in market interest rates may have an adverse effect on the market price of our shares.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8" w:name="page69"/>
    <w:bookmarkEnd w:id="68"/>
    <w:p>
      <w:pPr>
        <w:jc w:val="both"/>
        <w:spacing w:after="0" w:line="253" w:lineRule="auto"/>
        <w:rPr>
          <w:sz w:val="20"/>
          <w:szCs w:val="20"/>
          <w:color w:val="auto"/>
        </w:rPr>
      </w:pPr>
      <w:r>
        <w:rPr>
          <w:rFonts w:ascii="Arial" w:cs="Arial" w:eastAsia="Arial" w:hAnsi="Arial"/>
          <w:sz w:val="13"/>
          <w:szCs w:val="13"/>
          <w:color w:val="auto"/>
        </w:rPr>
        <w:t>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3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Your percentage ownership in us may be diluted in the future.</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Your percentage ownership in FTAI Aviation Ltd. may be diluted in the future because of equity awards that we expect will be granted to our directors, officers and employees, as well as other equity instruments such as debt and equity financing.</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board of directors has adopted the FTAI Aviation Ltd. 2025 Omnibus Incentive Plan (the “Incentive Plan”), which provides for the grant of equity-based awards, including restricted shares, stock options, stock appreciation rights, performance awards, restricted share units, and other equity-based and non-equity based awards, to the directors, officers, employees, service providers, consultants and advisors who performed services for us, and to our directors, officers, employees, service providers, consultants and advisors. We initially reserved 5,750,000 ordinary shares for issuance under the Incentive Plan. As of September 30, 2026, rights relating to 5,643,940 of our ordinary shares were outstanding under the Incentive Plan.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or issuances of our ordinary shares could adversely affect the market price of our ordinary shares.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determination of how much leverage to use to finance our acquisitions may adversely affect our return on our assets and may reduce funds available for distribution.</w:t>
      </w:r>
    </w:p>
    <w:p>
      <w:pPr>
        <w:spacing w:after="0" w:line="84"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We utilize leverage to finance many of our asset acquisitions, which entitles certain lenders to cash flows prior to retaining a return on our assets. While we target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i w:val="1"/>
          <w:iCs w:val="1"/>
          <w:color w:val="auto"/>
        </w:rPr>
        <w:t>While we currently intend to pay regular quarterly dividends to our shareholders, we may change our dividend policy at any time.</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Our indirect intermediate holding company subsidiary FTAI LLC is currently, and may in the future be, subject to certain covenants included in its financing agreements that limit its ability to make distributions to us. In addition, our existing indebtedness does, and our future indebtedness may, limit our ability to pay dividends on our ordinary and preferred shares. Furthermore, the terms of our preferred shares generally prevent us from declaring or paying dividends on or repurchasing our ordinary shares or other junior capital unless all accrued distributions on such preferred shares have been paid in full.</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Anti-takeover provisions in our Articles could delay or prevent a change in control.</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b w:val="1"/>
          <w:bCs w:val="1"/>
          <w:i w:val="1"/>
          <w:iCs w:val="1"/>
          <w:color w:val="auto"/>
        </w:rPr>
        <w:t>If securities or industry analysts do not publish research or reports about our business, or if they downgrade their recommendations regarding our ordinary shares, our share price and trading volume could decline.</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2. Unregistered Sales of Equity Securities and Use of Proceeds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September 15, 2026, our Board of Directors authorized a Share Repurchase Program, which allows for the repurchase of up to $500.0 million of the Company’s outstanding ordinary shares. Our Share Repurchase Program may be effected from time to time, depending on market conditions and other factors, through open market purchases and privately negotiated transactions.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On October 27, 2026, the Company’s Board of Directors approved a $500.0 million increase to the Company’s share repurchase program, bringing the total authorization to $1.0 billion.</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Share Repurchase Program will end on the earlier of the date of completion of the repurchases and September 30, 2027. The table below details the repurchases that were made under the program during the three months ended September 30, 2026.</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20" w:type="dxa"/>
            <w:vAlign w:val="bottom"/>
          </w:tcPr>
          <w:p>
            <w:pPr>
              <w:spacing w:after="0"/>
              <w:rPr>
                <w:sz w:val="13"/>
                <w:szCs w:val="13"/>
                <w:color w:val="auto"/>
              </w:rPr>
            </w:pPr>
          </w:p>
        </w:tc>
        <w:tc>
          <w:tcPr>
            <w:tcW w:w="4280" w:type="dxa"/>
            <w:vAlign w:val="bottom"/>
            <w:tcBorders>
              <w:bottom w:val="single" w:sz="8" w:color="auto"/>
            </w:tcBorders>
            <w:gridSpan w:val="7"/>
          </w:tcPr>
          <w:p>
            <w:pPr>
              <w:jc w:val="right"/>
              <w:ind w:right="299"/>
              <w:spacing w:after="0"/>
              <w:rPr>
                <w:sz w:val="20"/>
                <w:szCs w:val="20"/>
                <w:color w:val="auto"/>
              </w:rPr>
            </w:pPr>
            <w:r>
              <w:rPr>
                <w:rFonts w:ascii="Arial" w:cs="Arial" w:eastAsia="Arial" w:hAnsi="Arial"/>
                <w:sz w:val="11"/>
                <w:szCs w:val="11"/>
                <w:b w:val="1"/>
                <w:bCs w:val="1"/>
                <w:color w:val="auto"/>
              </w:rPr>
              <w:t>Share Purchases Under Publicly Announced Repurchase Program</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tcPr>
          <w:p>
            <w:pPr>
              <w:spacing w:after="0"/>
              <w:rPr>
                <w:sz w:val="14"/>
                <w:szCs w:val="14"/>
                <w:color w:val="auto"/>
              </w:rPr>
            </w:pPr>
          </w:p>
        </w:tc>
        <w:tc>
          <w:tcPr>
            <w:tcW w:w="138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Shares Purchased</w:t>
            </w:r>
          </w:p>
        </w:tc>
        <w:tc>
          <w:tcPr>
            <w:tcW w:w="8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Average Price per Share</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center"/>
              <w:ind w:right="99"/>
              <w:spacing w:after="0"/>
              <w:rPr>
                <w:sz w:val="20"/>
                <w:szCs w:val="20"/>
                <w:color w:val="auto"/>
              </w:rPr>
            </w:pPr>
            <w:r>
              <w:rPr>
                <w:rFonts w:ascii="Arial" w:cs="Arial" w:eastAsia="Arial" w:hAnsi="Arial"/>
                <w:sz w:val="11"/>
                <w:szCs w:val="11"/>
                <w:b w:val="1"/>
                <w:bCs w:val="1"/>
                <w:color w:val="auto"/>
              </w:rPr>
              <w:t>Aggregate Cost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Maximum Dollar Amount Still</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Available Under Repurchase Program</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3"/>
                <w:szCs w:val="13"/>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1"/>
                <w:szCs w:val="11"/>
                <w:color w:val="auto"/>
              </w:rPr>
              <w:t>(in thousands)</w:t>
            </w:r>
          </w:p>
        </w:tc>
        <w:tc>
          <w:tcPr>
            <w:tcW w:w="0" w:type="dxa"/>
            <w:vAlign w:val="bottom"/>
          </w:tcPr>
          <w:p>
            <w:pPr>
              <w:spacing w:after="0"/>
              <w:rPr>
                <w:sz w:val="1"/>
                <w:szCs w:val="1"/>
                <w:color w:val="auto"/>
              </w:rPr>
            </w:pPr>
          </w:p>
        </w:tc>
      </w:tr>
      <w:tr>
        <w:trPr>
          <w:trHeight w:val="184"/>
        </w:trPr>
        <w:tc>
          <w:tcPr>
            <w:tcW w:w="4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dollar amount available to be repurchased</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20" w:type="dxa"/>
            <w:vAlign w:val="bottom"/>
          </w:tcPr>
          <w:p>
            <w:pPr>
              <w:ind w:left="100"/>
              <w:spacing w:after="0"/>
              <w:rPr>
                <w:sz w:val="20"/>
                <w:szCs w:val="20"/>
                <w:color w:val="auto"/>
              </w:rPr>
            </w:pPr>
            <w:r>
              <w:rPr>
                <w:rFonts w:ascii="Arial" w:cs="Arial" w:eastAsia="Arial" w:hAnsi="Arial"/>
                <w:sz w:val="13"/>
                <w:szCs w:val="13"/>
                <w:color w:val="auto"/>
              </w:rPr>
              <w:t>July</w:t>
            </w: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36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August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September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260,156</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192.00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49,950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450,050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260,156</w:t>
            </w:r>
          </w:p>
        </w:tc>
        <w:tc>
          <w:tcPr>
            <w:tcW w:w="580" w:type="dxa"/>
            <w:vAlign w:val="bottom"/>
            <w:tcBorders>
              <w:bottom w:val="single" w:sz="8" w:color="CCEEFF"/>
            </w:tcBorders>
            <w:gridSpan w:val="2"/>
            <w:shd w:val="clear" w:color="auto" w:fill="CCEEFF"/>
          </w:tcPr>
          <w:p>
            <w:pPr>
              <w:jc w:val="right"/>
              <w:ind w:right="36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49,950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450,050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820" w:type="dxa"/>
            <w:vAlign w:val="bottom"/>
          </w:tcPr>
          <w:p>
            <w:pPr>
              <w:spacing w:after="0"/>
              <w:rPr>
                <w:sz w:val="24"/>
                <w:szCs w:val="24"/>
                <w:color w:val="auto"/>
              </w:rPr>
            </w:pPr>
          </w:p>
        </w:tc>
        <w:tc>
          <w:tcPr>
            <w:tcW w:w="1380" w:type="dxa"/>
            <w:vAlign w:val="bottom"/>
          </w:tcPr>
          <w:p>
            <w:pPr>
              <w:jc w:val="right"/>
              <w:ind w:right="418"/>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8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0" w:name="page71"/>
    <w:bookmarkEnd w:id="70"/>
    <w:p>
      <w:pPr>
        <w:jc w:val="both"/>
        <w:spacing w:after="0" w:line="254" w:lineRule="auto"/>
        <w:rPr>
          <w:sz w:val="20"/>
          <w:szCs w:val="20"/>
          <w:color w:val="auto"/>
        </w:rPr>
      </w:pPr>
      <w:r>
        <w:rPr>
          <w:rFonts w:ascii="Arial" w:cs="Arial" w:eastAsia="Arial" w:hAnsi="Arial"/>
          <w:sz w:val="13"/>
          <w:szCs w:val="13"/>
          <w:color w:val="auto"/>
        </w:rPr>
        <w:t>During the three months ended September 30, 2026, we repurchased 260,156 ordinary shares pursuant to our publicly announced share repurchase program at an aggregate cost of $49.95 million and an average price of $192.00 per ordinary share. At September 30, 2026, $450.1 million remained available for repurchase under the share repurchase program. Subsequent to September 30, 2026 and through the period ended October 30, 2026, we repurchased 187,178 ordinary shares at an aggregate cost of $30.0 million and an average price of $160.27 per ordinary share. In the future, we may authorize additional purchase activities under the currently authorized share repurchase program, increase the amount authorized under the share repurchase program, or adopt additional trading plans. Our decision to repurchase ordinary shares will depend on, among other matters, the market price of the ordinary shares and our capital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3. Defaults Upon Senior Securities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4. Mine Safety Disclosures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006EBF"/>
        </w:rPr>
        <w:t>Item 5. Other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color w:val="006EBF"/>
        </w:rPr>
        <w:t>Item 6. Exhibits</w:t>
      </w:r>
    </w:p>
    <w:p>
      <w:pPr>
        <w:spacing w:after="0" w:line="46" w:lineRule="exact"/>
        <w:rPr>
          <w:sz w:val="20"/>
          <w:szCs w:val="20"/>
          <w:color w:val="auto"/>
        </w:rPr>
      </w:pPr>
    </w:p>
    <w:p>
      <w:pPr>
        <w:ind w:left="760"/>
        <w:spacing w:after="0"/>
        <w:tabs>
          <w:tab w:leader="none" w:pos="60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27875" cy="175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spacing w:after="0" w:line="23" w:lineRule="exact"/>
        <w:rPr>
          <w:sz w:val="20"/>
          <w:szCs w:val="20"/>
          <w:color w:val="auto"/>
        </w:rPr>
      </w:pPr>
    </w:p>
    <w:p>
      <w:pPr>
        <w:ind w:left="1200"/>
        <w:spacing w:after="0"/>
        <w:tabs>
          <w:tab w:leader="none" w:pos="1460" w:val="left"/>
        </w:tabs>
        <w:rPr>
          <w:rFonts w:ascii="Arial" w:cs="Arial" w:eastAsia="Arial" w:hAnsi="Arial"/>
          <w:sz w:val="11"/>
          <w:szCs w:val="11"/>
          <w:color w:val="0000FF"/>
        </w:rPr>
      </w:pPr>
      <w:hyperlink r:id="rId83">
        <w:r>
          <w:rPr>
            <w:rFonts w:ascii="Arial" w:cs="Arial" w:eastAsia="Arial" w:hAnsi="Arial"/>
            <w:sz w:val="11"/>
            <w:szCs w:val="11"/>
            <w:u w:val="single" w:color="auto"/>
            <w:color w:val="0000FF"/>
          </w:rPr>
          <w:t>3.1</w:t>
        </w:r>
      </w:hyperlink>
      <w:r>
        <w:rPr>
          <w:rFonts w:ascii="Arial" w:cs="Arial" w:eastAsia="Arial" w:hAnsi="Arial"/>
          <w:sz w:val="11"/>
          <w:szCs w:val="11"/>
          <w:color w:val="0000FF"/>
        </w:rPr>
        <w:tab/>
        <w:t>Amended and Restated Memorandum and Articles of Association of the Company (incorporated by reference to Exhibit 2.1 of the Company’s Current Report on Form 8-K, filed on November 14,</w:t>
      </w:r>
    </w:p>
    <w:p>
      <w:pPr>
        <w:ind w:left="1480"/>
        <w:spacing w:after="0"/>
        <w:rPr>
          <w:sz w:val="20"/>
          <w:szCs w:val="20"/>
          <w:color w:val="auto"/>
        </w:rPr>
      </w:pPr>
      <w:r>
        <w:rPr>
          <w:rFonts w:ascii="Arial" w:cs="Arial" w:eastAsia="Arial" w:hAnsi="Arial"/>
          <w:sz w:val="11"/>
          <w:szCs w:val="11"/>
          <w:color w:val="auto"/>
        </w:rPr>
        <w:t>2022).</w:t>
      </w:r>
    </w:p>
    <w:p>
      <w:pPr>
        <w:spacing w:after="0" w:line="23" w:lineRule="exact"/>
        <w:rPr>
          <w:sz w:val="20"/>
          <w:szCs w:val="20"/>
          <w:color w:val="auto"/>
        </w:rPr>
      </w:pPr>
    </w:p>
    <w:p>
      <w:pPr>
        <w:ind w:left="1480" w:right="120" w:hanging="280"/>
        <w:spacing w:after="0" w:line="261" w:lineRule="auto"/>
        <w:tabs>
          <w:tab w:leader="none" w:pos="1460" w:val="left"/>
        </w:tabs>
        <w:rPr>
          <w:rFonts w:ascii="Arial" w:cs="Arial" w:eastAsia="Arial" w:hAnsi="Arial"/>
          <w:sz w:val="11"/>
          <w:szCs w:val="11"/>
          <w:color w:val="0000FF"/>
        </w:rPr>
      </w:pPr>
      <w:hyperlink r:id="rId84">
        <w:r>
          <w:rPr>
            <w:rFonts w:ascii="Arial" w:cs="Arial" w:eastAsia="Arial" w:hAnsi="Arial"/>
            <w:sz w:val="11"/>
            <w:szCs w:val="11"/>
            <w:u w:val="single" w:color="auto"/>
            <w:color w:val="0000FF"/>
          </w:rPr>
          <w:t>3.2</w:t>
        </w:r>
      </w:hyperlink>
      <w:r>
        <w:rPr>
          <w:rFonts w:ascii="Arial" w:cs="Arial" w:eastAsia="Arial" w:hAnsi="Arial"/>
          <w:sz w:val="11"/>
          <w:szCs w:val="11"/>
          <w:color w:val="0000FF"/>
        </w:rPr>
        <w:tab/>
        <w:t>Share Designation with respect to the 9.500% Fixed-Rate Reset Series D Cumulative Perpetual Redeemable Preferred Shares of FTAI Aviation Ltd. (incorporated by reference to Exhibit 4.1 of the Company’s Registration Statement on Form 8-A, filed on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ind w:left="1480" w:right="60" w:hanging="280"/>
        <w:spacing w:after="0" w:line="261" w:lineRule="auto"/>
        <w:tabs>
          <w:tab w:leader="none" w:pos="1460" w:val="left"/>
        </w:tabs>
        <w:rPr>
          <w:rFonts w:ascii="Arial" w:cs="Arial" w:eastAsia="Arial" w:hAnsi="Arial"/>
          <w:sz w:val="11"/>
          <w:szCs w:val="11"/>
          <w:color w:val="0000FF"/>
        </w:rPr>
      </w:pPr>
      <w:hyperlink r:id="rId86">
        <w:r>
          <w:rPr>
            <w:rFonts w:ascii="Arial" w:cs="Arial" w:eastAsia="Arial" w:hAnsi="Arial"/>
            <w:sz w:val="11"/>
            <w:szCs w:val="11"/>
            <w:u w:val="single" w:color="auto"/>
            <w:color w:val="0000FF"/>
          </w:rPr>
          <w:t>3.3</w:t>
        </w:r>
      </w:hyperlink>
      <w:r>
        <w:rPr>
          <w:rFonts w:ascii="Arial" w:cs="Arial" w:eastAsia="Arial" w:hAnsi="Arial"/>
          <w:sz w:val="11"/>
          <w:szCs w:val="11"/>
          <w:color w:val="0000FF"/>
        </w:rPr>
        <w:tab/>
        <w:t>Form of certificate representing the 9.500% Fixed-Rate Reset Series D Cumulative Perpetual Redeemable Preferred Shares of FTAI Aviation Ltd. (incorporated by reference to Exhibit 4.2 of the Company’s Registration Statement on Form 8-A, filed on March 15, 2023).</w:t>
      </w:r>
    </w:p>
    <w:p>
      <w:pPr>
        <w:spacing w:after="0" w:line="1" w:lineRule="exact"/>
        <w:rPr>
          <w:sz w:val="20"/>
          <w:szCs w:val="20"/>
          <w:color w:val="auto"/>
        </w:rPr>
      </w:pPr>
    </w:p>
    <w:p>
      <w:pPr>
        <w:ind w:left="1480" w:right="300" w:hanging="280"/>
        <w:spacing w:after="0" w:line="261" w:lineRule="auto"/>
        <w:tabs>
          <w:tab w:leader="none" w:pos="1460" w:val="left"/>
        </w:tabs>
        <w:rPr>
          <w:rFonts w:ascii="Arial" w:cs="Arial" w:eastAsia="Arial" w:hAnsi="Arial"/>
          <w:sz w:val="11"/>
          <w:szCs w:val="11"/>
          <w:color w:val="0000FF"/>
        </w:rPr>
      </w:pPr>
      <w:hyperlink r:id="rId87">
        <w:r>
          <w:rPr>
            <w:rFonts w:ascii="Arial" w:cs="Arial" w:eastAsia="Arial" w:hAnsi="Arial"/>
            <w:sz w:val="11"/>
            <w:szCs w:val="11"/>
            <w:u w:val="single" w:color="auto"/>
            <w:color w:val="0000FF"/>
          </w:rPr>
          <w:t>4.1</w:t>
        </w:r>
      </w:hyperlink>
      <w:r>
        <w:rPr>
          <w:rFonts w:ascii="Arial" w:cs="Arial" w:eastAsia="Arial" w:hAnsi="Arial"/>
          <w:sz w:val="11"/>
          <w:szCs w:val="11"/>
          <w:color w:val="0000FF"/>
        </w:rPr>
        <w:tab/>
        <w:t>Indenture, dated April 12, 2021, between the Company and U.S. Bank National Association, as trustee, relating to the Company’s 5.50% senior unsecured notes due 2028 (incorporated by reference to Exhibit 4.1 to the Company’s Current Report on Form 8-K, filed on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079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ind w:left="1200"/>
        <w:spacing w:after="0"/>
        <w:tabs>
          <w:tab w:leader="none" w:pos="1460" w:val="left"/>
        </w:tabs>
        <w:rPr>
          <w:rFonts w:ascii="Arial" w:cs="Arial" w:eastAsia="Arial" w:hAnsi="Arial"/>
          <w:sz w:val="11"/>
          <w:szCs w:val="11"/>
          <w:color w:val="0000FF"/>
        </w:rPr>
      </w:pPr>
      <w:hyperlink r:id="rId87">
        <w:r>
          <w:rPr>
            <w:rFonts w:ascii="Arial" w:cs="Arial" w:eastAsia="Arial" w:hAnsi="Arial"/>
            <w:sz w:val="11"/>
            <w:szCs w:val="11"/>
            <w:u w:val="single" w:color="auto"/>
            <w:color w:val="0000FF"/>
          </w:rPr>
          <w:t>4.2</w:t>
        </w:r>
      </w:hyperlink>
      <w:r>
        <w:rPr>
          <w:rFonts w:ascii="Arial" w:cs="Arial" w:eastAsia="Arial" w:hAnsi="Arial"/>
          <w:sz w:val="11"/>
          <w:szCs w:val="11"/>
          <w:color w:val="0000FF"/>
        </w:rPr>
        <w:tab/>
        <w:t>Form of global note representing the Company’s 5.50% senior unsecured notes due 2028 (included in Exhibit 4.1 of the Company’s Current Report on Form 8-K, filed on April 12, 2021).</w:t>
      </w:r>
    </w:p>
    <w:p>
      <w:pPr>
        <w:spacing w:after="0" w:line="43" w:lineRule="exact"/>
        <w:rPr>
          <w:sz w:val="20"/>
          <w:szCs w:val="20"/>
          <w:color w:val="auto"/>
        </w:rPr>
      </w:pPr>
    </w:p>
    <w:p>
      <w:pPr>
        <w:ind w:left="1480" w:right="80" w:hanging="280"/>
        <w:spacing w:after="0" w:line="261" w:lineRule="auto"/>
        <w:tabs>
          <w:tab w:leader="none" w:pos="1460" w:val="left"/>
        </w:tabs>
        <w:rPr>
          <w:rFonts w:ascii="Arial" w:cs="Arial" w:eastAsia="Arial" w:hAnsi="Arial"/>
          <w:sz w:val="11"/>
          <w:szCs w:val="11"/>
          <w:color w:val="0000FF"/>
        </w:rPr>
      </w:pPr>
      <w:hyperlink r:id="rId89">
        <w:r>
          <w:rPr>
            <w:rFonts w:ascii="Arial" w:cs="Arial" w:eastAsia="Arial" w:hAnsi="Arial"/>
            <w:sz w:val="11"/>
            <w:szCs w:val="11"/>
            <w:u w:val="single" w:color="auto"/>
            <w:color w:val="0000FF"/>
          </w:rPr>
          <w:t>4.3</w:t>
        </w:r>
      </w:hyperlink>
      <w:r>
        <w:rPr>
          <w:rFonts w:ascii="Arial" w:cs="Arial" w:eastAsia="Arial" w:hAnsi="Arial"/>
          <w:sz w:val="11"/>
          <w:szCs w:val="11"/>
          <w:color w:val="0000FF"/>
        </w:rPr>
        <w:tab/>
        <w:t>First Supplemental Indenture, dated as of September 24, 2021, between the Company and U.S. Bank National Association, as trustee, relating to the Company’s 5.50% senior unsecured notes due 2028 (incorporated by reference to Exhibit 4.1 of the Company’s Current Report on Form 8-K, filed on September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079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ind w:left="1200"/>
        <w:spacing w:after="0"/>
        <w:tabs>
          <w:tab w:leader="none" w:pos="1460" w:val="left"/>
        </w:tabs>
        <w:rPr>
          <w:rFonts w:ascii="Arial" w:cs="Arial" w:eastAsia="Arial" w:hAnsi="Arial"/>
          <w:sz w:val="11"/>
          <w:szCs w:val="11"/>
          <w:color w:val="0000FF"/>
        </w:rPr>
      </w:pPr>
      <w:hyperlink r:id="rId91">
        <w:r>
          <w:rPr>
            <w:rFonts w:ascii="Arial" w:cs="Arial" w:eastAsia="Arial" w:hAnsi="Arial"/>
            <w:sz w:val="11"/>
            <w:szCs w:val="11"/>
            <w:u w:val="single" w:color="auto"/>
            <w:color w:val="0000FF"/>
          </w:rPr>
          <w:t>4.4</w:t>
        </w:r>
      </w:hyperlink>
      <w:r>
        <w:rPr>
          <w:rFonts w:ascii="Arial" w:cs="Arial" w:eastAsia="Arial" w:hAnsi="Arial"/>
          <w:sz w:val="11"/>
          <w:szCs w:val="11"/>
          <w:color w:val="0000FF"/>
        </w:rPr>
        <w:tab/>
        <w:t>2028 Notes Guarantee, dated November 10, 2022 (incorporated by reference to Exhibit 4.3 of the Company’s Current Report on Form 8-K, filed on November 14, 2022).</w:t>
      </w:r>
    </w:p>
    <w:p>
      <w:pPr>
        <w:spacing w:after="0" w:line="43" w:lineRule="exact"/>
        <w:rPr>
          <w:sz w:val="20"/>
          <w:szCs w:val="20"/>
          <w:color w:val="auto"/>
        </w:rPr>
      </w:pPr>
    </w:p>
    <w:p>
      <w:pPr>
        <w:ind w:left="1480" w:hanging="280"/>
        <w:spacing w:after="0" w:line="261" w:lineRule="auto"/>
        <w:tabs>
          <w:tab w:leader="none" w:pos="1460" w:val="left"/>
        </w:tabs>
        <w:rPr>
          <w:rFonts w:ascii="Arial" w:cs="Arial" w:eastAsia="Arial" w:hAnsi="Arial"/>
          <w:sz w:val="11"/>
          <w:szCs w:val="11"/>
          <w:color w:val="0000FF"/>
        </w:rPr>
      </w:pPr>
      <w:hyperlink r:id="rId92">
        <w:r>
          <w:rPr>
            <w:rFonts w:ascii="Arial" w:cs="Arial" w:eastAsia="Arial" w:hAnsi="Arial"/>
            <w:sz w:val="11"/>
            <w:szCs w:val="11"/>
            <w:u w:val="single" w:color="auto"/>
            <w:color w:val="0000FF"/>
          </w:rPr>
          <w:t>4.5</w:t>
        </w:r>
      </w:hyperlink>
      <w:r>
        <w:rPr>
          <w:rFonts w:ascii="Arial" w:cs="Arial" w:eastAsia="Arial" w:hAnsi="Arial"/>
          <w:sz w:val="11"/>
          <w:szCs w:val="11"/>
          <w:color w:val="0000FF"/>
        </w:rPr>
        <w:tab/>
        <w:t>Second Supplemental Indenture, dated as of January 28, 2022, between FTAI Italia DAC and U.S. Bank Trust Company, National Association, as trustee, relating to the Company’s 5.50% senior unsecured notes due 2028. (incorporated in Exhibit 4.5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390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27875" cy="390525"/>
                    </a:xfrm>
                    <a:prstGeom prst="rect">
                      <a:avLst/>
                    </a:prstGeom>
                    <a:noFill/>
                  </pic:spPr>
                </pic:pic>
              </a:graphicData>
            </a:graphic>
          </wp:anchor>
        </w:drawing>
      </w:r>
    </w:p>
    <w:p>
      <w:pPr>
        <w:ind w:left="1480" w:right="140" w:hanging="280"/>
        <w:spacing w:after="0" w:line="230" w:lineRule="auto"/>
        <w:tabs>
          <w:tab w:leader="none" w:pos="1460" w:val="left"/>
        </w:tabs>
        <w:rPr>
          <w:rFonts w:ascii="Arial" w:cs="Arial" w:eastAsia="Arial" w:hAnsi="Arial"/>
          <w:sz w:val="11"/>
          <w:szCs w:val="11"/>
          <w:color w:val="0000FF"/>
        </w:rPr>
      </w:pPr>
      <w:hyperlink r:id="rId94">
        <w:r>
          <w:rPr>
            <w:rFonts w:ascii="Arial" w:cs="Arial" w:eastAsia="Arial" w:hAnsi="Arial"/>
            <w:sz w:val="11"/>
            <w:szCs w:val="11"/>
            <w:u w:val="single" w:color="auto"/>
            <w:color w:val="0000FF"/>
          </w:rPr>
          <w:t>4.6</w:t>
        </w:r>
      </w:hyperlink>
      <w:r>
        <w:rPr>
          <w:rFonts w:ascii="Arial" w:cs="Arial" w:eastAsia="Arial" w:hAnsi="Arial"/>
          <w:sz w:val="11"/>
          <w:szCs w:val="11"/>
          <w:color w:val="0000FF"/>
        </w:rPr>
        <w:tab/>
        <w:t>Third Supplemental Indenture, dated as of March 18, 2022, among AirOpCo 1ET Bermuda Ltd., AVSA Leasing 2, AVSA Leasing 4, AIRCOL 13, AIRCOL 20, AIRCOL 25, Wells Fargo Trust Company, National Association, not in its individual capacity but solely as owner trustee of MSN 5280 Trust, MSN 5333 Trust, MSN 5068 Trust, MSN 5406 Trust, Airlease Twenty Nine Limited,</w:t>
      </w:r>
    </w:p>
    <w:p>
      <w:pPr>
        <w:spacing w:after="0" w:line="1" w:lineRule="exact"/>
        <w:rPr>
          <w:sz w:val="20"/>
          <w:szCs w:val="20"/>
          <w:color w:val="auto"/>
        </w:rPr>
      </w:pPr>
    </w:p>
    <w:p>
      <w:pPr>
        <w:ind w:left="1480" w:right="40"/>
        <w:spacing w:after="0" w:line="211" w:lineRule="auto"/>
        <w:rPr>
          <w:sz w:val="20"/>
          <w:szCs w:val="20"/>
          <w:color w:val="auto"/>
        </w:rPr>
      </w:pPr>
      <w:r>
        <w:rPr>
          <w:rFonts w:ascii="Arial" w:cs="Arial" w:eastAsia="Arial" w:hAnsi="Arial"/>
          <w:sz w:val="11"/>
          <w:szCs w:val="11"/>
          <w:color w:val="auto"/>
        </w:rPr>
        <w:t>Airsal 2, Airsal 3 and Airsal 7, Wilmington Trust Company, a Delaware trust company, not in its individual capacity but solely as owner trustee of Aircol 26, Aircol 38, Aircol 33, Aircol 37, Aircol 35 and Aircol 36 and U.S. Bank Trust Company, National Association, as trustee, relating to the Company’s 5.50% senior unsecured notes due 2028. (incorporated in Exhibit 4.6 of the Company’s</w:t>
      </w:r>
    </w:p>
    <w:p>
      <w:pPr>
        <w:ind w:left="1480"/>
        <w:spacing w:after="0"/>
        <w:rPr>
          <w:sz w:val="20"/>
          <w:szCs w:val="20"/>
          <w:color w:val="auto"/>
        </w:rPr>
      </w:pPr>
      <w:r>
        <w:rPr>
          <w:rFonts w:ascii="Arial" w:cs="Arial" w:eastAsia="Arial" w:hAnsi="Arial"/>
          <w:sz w:val="11"/>
          <w:szCs w:val="11"/>
          <w:color w:val="auto"/>
        </w:rPr>
        <w:t>Quarterly Report on Form 10-Q, filed on May 5, 2025).</w:t>
      </w:r>
    </w:p>
    <w:p>
      <w:pPr>
        <w:spacing w:after="0" w:line="23" w:lineRule="exact"/>
        <w:rPr>
          <w:sz w:val="20"/>
          <w:szCs w:val="20"/>
          <w:color w:val="auto"/>
        </w:rPr>
      </w:pPr>
    </w:p>
    <w:p>
      <w:pPr>
        <w:ind w:left="1480" w:right="280" w:hanging="280"/>
        <w:spacing w:after="0" w:line="261" w:lineRule="auto"/>
        <w:tabs>
          <w:tab w:leader="none" w:pos="1460" w:val="left"/>
        </w:tabs>
        <w:rPr>
          <w:rFonts w:ascii="Arial" w:cs="Arial" w:eastAsia="Arial" w:hAnsi="Arial"/>
          <w:sz w:val="11"/>
          <w:szCs w:val="11"/>
          <w:color w:val="0000FF"/>
        </w:rPr>
      </w:pPr>
      <w:hyperlink r:id="rId95">
        <w:r>
          <w:rPr>
            <w:rFonts w:ascii="Arial" w:cs="Arial" w:eastAsia="Arial" w:hAnsi="Arial"/>
            <w:sz w:val="11"/>
            <w:szCs w:val="11"/>
            <w:u w:val="single" w:color="auto"/>
            <w:color w:val="0000FF"/>
          </w:rPr>
          <w:t>4.7</w:t>
        </w:r>
      </w:hyperlink>
      <w:r>
        <w:rPr>
          <w:rFonts w:ascii="Arial" w:cs="Arial" w:eastAsia="Arial" w:hAnsi="Arial"/>
          <w:sz w:val="11"/>
          <w:szCs w:val="11"/>
          <w:color w:val="0000FF"/>
        </w:rPr>
        <w:tab/>
        <w:t>Fourth Supplemental Indenture, dated as of February 21, 2025, between FTAI Aviation Ireland Holdings DAC and U.S. Bank Trust Company, National Association, as trustee, relating to the Company’s 5.50% senior unsecured notes due 2028. (incorporated in Exhibit 4.7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75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ind w:left="1200"/>
        <w:spacing w:after="0"/>
        <w:tabs>
          <w:tab w:leader="none" w:pos="1460" w:val="left"/>
        </w:tabs>
        <w:rPr>
          <w:rFonts w:ascii="Arial" w:cs="Arial" w:eastAsia="Arial" w:hAnsi="Arial"/>
          <w:sz w:val="11"/>
          <w:szCs w:val="11"/>
          <w:color w:val="0000FF"/>
        </w:rPr>
      </w:pPr>
      <w:hyperlink r:id="rId97">
        <w:r>
          <w:rPr>
            <w:rFonts w:ascii="Arial" w:cs="Arial" w:eastAsia="Arial" w:hAnsi="Arial"/>
            <w:sz w:val="11"/>
            <w:szCs w:val="11"/>
            <w:u w:val="single" w:color="auto"/>
            <w:color w:val="0000FF"/>
          </w:rPr>
          <w:t>4.8</w:t>
        </w:r>
      </w:hyperlink>
      <w:r>
        <w:rPr>
          <w:rFonts w:ascii="Arial" w:cs="Arial" w:eastAsia="Arial" w:hAnsi="Arial"/>
          <w:sz w:val="11"/>
          <w:szCs w:val="11"/>
          <w:color w:val="0000FF"/>
        </w:rPr>
        <w:tab/>
        <w:t>Fifth Supplemental Indenture, dated as of May 27, 2026, between certain subsidiaries of the Company and U.S. Bank Trust Company, National Association, as trustee, relating to the Company’s</w:t>
      </w:r>
    </w:p>
    <w:p>
      <w:pPr>
        <w:ind w:left="1480"/>
        <w:spacing w:after="0"/>
        <w:rPr>
          <w:sz w:val="20"/>
          <w:szCs w:val="20"/>
          <w:color w:val="auto"/>
        </w:rPr>
      </w:pPr>
      <w:r>
        <w:rPr>
          <w:rFonts w:ascii="Arial" w:cs="Arial" w:eastAsia="Arial" w:hAnsi="Arial"/>
          <w:sz w:val="11"/>
          <w:szCs w:val="11"/>
          <w:color w:val="auto"/>
        </w:rPr>
        <w:t>5.50% senior unsecured notes due 2028 (incorporated by reference to Exhibit 4.8 of the Company’s Quarterly Report on Form 10-Q, filed on July 31, 2026).</w:t>
      </w:r>
    </w:p>
    <w:p>
      <w:pPr>
        <w:spacing w:after="0" w:line="23" w:lineRule="exact"/>
        <w:rPr>
          <w:sz w:val="20"/>
          <w:szCs w:val="20"/>
          <w:color w:val="auto"/>
        </w:rPr>
      </w:pPr>
    </w:p>
    <w:p>
      <w:pPr>
        <w:ind w:left="1480" w:right="100" w:hanging="280"/>
        <w:spacing w:after="0" w:line="261" w:lineRule="auto"/>
        <w:tabs>
          <w:tab w:leader="none" w:pos="1460" w:val="left"/>
        </w:tabs>
        <w:rPr>
          <w:rFonts w:ascii="Arial" w:cs="Arial" w:eastAsia="Arial" w:hAnsi="Arial"/>
          <w:sz w:val="11"/>
          <w:szCs w:val="11"/>
          <w:color w:val="0000FF"/>
        </w:rPr>
      </w:pPr>
      <w:hyperlink r:id="rId98">
        <w:r>
          <w:rPr>
            <w:rFonts w:ascii="Arial" w:cs="Arial" w:eastAsia="Arial" w:hAnsi="Arial"/>
            <w:sz w:val="11"/>
            <w:szCs w:val="11"/>
            <w:u w:val="single" w:color="auto"/>
            <w:color w:val="0000FF"/>
          </w:rPr>
          <w:t>4.9</w:t>
        </w:r>
      </w:hyperlink>
      <w:r>
        <w:rPr>
          <w:rFonts w:ascii="Arial" w:cs="Arial" w:eastAsia="Arial" w:hAnsi="Arial"/>
          <w:sz w:val="11"/>
          <w:szCs w:val="11"/>
          <w:color w:val="0000FF"/>
        </w:rPr>
        <w:tab/>
        <w:t>Indenture, dated November 21, 2023, between the Company and U.S. Bank National Association, as trustee, relating to the Company’s 7.875% senior unsecured notes due 2030 (incorporated by reference to Exhibit 4.1 of the Company’s Current Report on Form 8-K, filed on November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07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ind w:left="1140"/>
        <w:spacing w:after="0"/>
        <w:tabs>
          <w:tab w:leader="none" w:pos="1460" w:val="left"/>
        </w:tabs>
        <w:rPr>
          <w:rFonts w:ascii="Arial" w:cs="Arial" w:eastAsia="Arial" w:hAnsi="Arial"/>
          <w:sz w:val="11"/>
          <w:szCs w:val="11"/>
          <w:color w:val="0000FF"/>
        </w:rPr>
      </w:pPr>
      <w:hyperlink r:id="rId98">
        <w:r>
          <w:rPr>
            <w:rFonts w:ascii="Arial" w:cs="Arial" w:eastAsia="Arial" w:hAnsi="Arial"/>
            <w:sz w:val="11"/>
            <w:szCs w:val="11"/>
            <w:u w:val="single" w:color="auto"/>
            <w:color w:val="0000FF"/>
          </w:rPr>
          <w:t>4.10</w:t>
        </w:r>
      </w:hyperlink>
      <w:r>
        <w:rPr>
          <w:rFonts w:ascii="Arial" w:cs="Arial" w:eastAsia="Arial" w:hAnsi="Arial"/>
          <w:sz w:val="11"/>
          <w:szCs w:val="11"/>
          <w:color w:val="0000FF"/>
        </w:rPr>
        <w:tab/>
        <w:t>Form of global note representing the Company’s 7.875% senior unsecured notes due 2030 (included in Exhibit 4.1 of the Company’s Current Report on Form 8-K, filed on November 22, 2023).</w:t>
      </w:r>
    </w:p>
    <w:p>
      <w:pPr>
        <w:spacing w:after="0" w:line="43" w:lineRule="exact"/>
        <w:rPr>
          <w:sz w:val="20"/>
          <w:szCs w:val="20"/>
          <w:color w:val="auto"/>
        </w:rPr>
      </w:pPr>
    </w:p>
    <w:p>
      <w:pPr>
        <w:ind w:left="1480" w:right="400" w:hanging="334"/>
        <w:spacing w:after="0" w:line="261" w:lineRule="auto"/>
        <w:tabs>
          <w:tab w:leader="none" w:pos="1460" w:val="left"/>
        </w:tabs>
        <w:rPr>
          <w:rFonts w:ascii="Arial" w:cs="Arial" w:eastAsia="Arial" w:hAnsi="Arial"/>
          <w:sz w:val="11"/>
          <w:szCs w:val="11"/>
          <w:color w:val="0000FF"/>
        </w:rPr>
      </w:pPr>
      <w:hyperlink r:id="rId100">
        <w:r>
          <w:rPr>
            <w:rFonts w:ascii="Arial" w:cs="Arial" w:eastAsia="Arial" w:hAnsi="Arial"/>
            <w:sz w:val="11"/>
            <w:szCs w:val="11"/>
            <w:u w:val="single" w:color="auto"/>
            <w:color w:val="0000FF"/>
          </w:rPr>
          <w:t>4.11</w:t>
        </w:r>
      </w:hyperlink>
      <w:r>
        <w:rPr>
          <w:rFonts w:ascii="Arial" w:cs="Arial" w:eastAsia="Arial" w:hAnsi="Arial"/>
          <w:sz w:val="11"/>
          <w:szCs w:val="11"/>
          <w:color w:val="0000FF"/>
        </w:rPr>
        <w:tab/>
        <w:t>First Supplemental Indenture, dated as of February 21, 2025, between FTAI Aviation Ireland Holdings DAC and U.S. Bank Trust Company, National Association, as trustee, relating to the Company’s 7.875% senior unsecured notes due 2030. (incorporated in Exhibit 4.10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75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ind w:left="1480" w:right="460" w:hanging="343"/>
        <w:spacing w:after="0" w:line="261" w:lineRule="auto"/>
        <w:tabs>
          <w:tab w:leader="none" w:pos="1460" w:val="left"/>
        </w:tabs>
        <w:rPr>
          <w:rFonts w:ascii="Arial" w:cs="Arial" w:eastAsia="Arial" w:hAnsi="Arial"/>
          <w:sz w:val="11"/>
          <w:szCs w:val="11"/>
          <w:color w:val="0000FF"/>
        </w:rPr>
      </w:pPr>
      <w:hyperlink r:id="rId102">
        <w:r>
          <w:rPr>
            <w:rFonts w:ascii="Arial" w:cs="Arial" w:eastAsia="Arial" w:hAnsi="Arial"/>
            <w:sz w:val="11"/>
            <w:szCs w:val="11"/>
            <w:u w:val="single" w:color="auto"/>
            <w:color w:val="0000FF"/>
          </w:rPr>
          <w:t>4.12</w:t>
        </w:r>
      </w:hyperlink>
      <w:r>
        <w:rPr>
          <w:rFonts w:ascii="Arial" w:cs="Arial" w:eastAsia="Arial" w:hAnsi="Arial"/>
          <w:sz w:val="11"/>
          <w:szCs w:val="11"/>
          <w:color w:val="0000FF"/>
        </w:rPr>
        <w:tab/>
        <w:t>Second Supplemental Indenture, dated as of May 27, 2026, between certain subsidiaries of the Company and U.S. Bank Trust Company, National Association, as trustee, relating to the Company’s 7.875% senior unsecured notes due 2030 (incorporated by reference to Exhibit 4.12 of the Company’s Quarterly Report on Form 10-Q, filed on July 31, 2026).</w:t>
      </w:r>
    </w:p>
    <w:p>
      <w:pPr>
        <w:spacing w:after="0" w:line="1" w:lineRule="exact"/>
        <w:rPr>
          <w:sz w:val="20"/>
          <w:szCs w:val="20"/>
          <w:color w:val="auto"/>
        </w:rPr>
      </w:pPr>
    </w:p>
    <w:p>
      <w:pPr>
        <w:ind w:left="1480" w:right="220" w:hanging="343"/>
        <w:spacing w:after="0" w:line="261" w:lineRule="auto"/>
        <w:tabs>
          <w:tab w:leader="none" w:pos="1460" w:val="left"/>
        </w:tabs>
        <w:rPr>
          <w:rFonts w:ascii="Arial" w:cs="Arial" w:eastAsia="Arial" w:hAnsi="Arial"/>
          <w:sz w:val="11"/>
          <w:szCs w:val="11"/>
          <w:color w:val="0000FF"/>
        </w:rPr>
      </w:pPr>
      <w:hyperlink r:id="rId103">
        <w:r>
          <w:rPr>
            <w:rFonts w:ascii="Arial" w:cs="Arial" w:eastAsia="Arial" w:hAnsi="Arial"/>
            <w:sz w:val="11"/>
            <w:szCs w:val="11"/>
            <w:u w:val="single" w:color="auto"/>
            <w:color w:val="0000FF"/>
          </w:rPr>
          <w:t>4.13</w:t>
        </w:r>
      </w:hyperlink>
      <w:r>
        <w:rPr>
          <w:rFonts w:ascii="Arial" w:cs="Arial" w:eastAsia="Arial" w:hAnsi="Arial"/>
          <w:sz w:val="11"/>
          <w:szCs w:val="11"/>
          <w:color w:val="0000FF"/>
        </w:rPr>
        <w:tab/>
        <w:t>Indenture, dated April 11, 2024, among Fortress Transportation and Infrastructure Investors LLC, the Company as guarantor, and U.S. Bank Trust Company, National Association, as trustee, relating to the Company’s 7.000% senior unsecured notes due 2031 (incorporated by reference to Exhibit 4.1 of the Company’s Current Report on Form 8-K, filed on 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07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ind w:left="1140"/>
        <w:spacing w:after="0"/>
        <w:tabs>
          <w:tab w:leader="none" w:pos="1460" w:val="left"/>
        </w:tabs>
        <w:rPr>
          <w:rFonts w:ascii="Arial" w:cs="Arial" w:eastAsia="Arial" w:hAnsi="Arial"/>
          <w:sz w:val="11"/>
          <w:szCs w:val="11"/>
          <w:color w:val="0000FF"/>
        </w:rPr>
      </w:pPr>
      <w:hyperlink r:id="rId103">
        <w:r>
          <w:rPr>
            <w:rFonts w:ascii="Arial" w:cs="Arial" w:eastAsia="Arial" w:hAnsi="Arial"/>
            <w:sz w:val="11"/>
            <w:szCs w:val="11"/>
            <w:u w:val="single" w:color="auto"/>
            <w:color w:val="0000FF"/>
          </w:rPr>
          <w:t>4.14</w:t>
        </w:r>
      </w:hyperlink>
      <w:r>
        <w:rPr>
          <w:rFonts w:ascii="Arial" w:cs="Arial" w:eastAsia="Arial" w:hAnsi="Arial"/>
          <w:sz w:val="11"/>
          <w:szCs w:val="11"/>
          <w:color w:val="0000FF"/>
        </w:rPr>
        <w:tab/>
        <w:t>Form of global note representing the Company’s 7.000% senior unsecured notes due 2031 (included in Exhibit 4.1 of the Company’s Current Report on Form 8-K, filed on April 11, 2024).</w:t>
      </w:r>
    </w:p>
    <w:p>
      <w:pPr>
        <w:spacing w:after="0" w:line="43" w:lineRule="exact"/>
        <w:rPr>
          <w:sz w:val="20"/>
          <w:szCs w:val="20"/>
          <w:color w:val="auto"/>
        </w:rPr>
      </w:pPr>
    </w:p>
    <w:p>
      <w:pPr>
        <w:ind w:left="1480" w:right="400" w:hanging="343"/>
        <w:spacing w:after="0" w:line="261" w:lineRule="auto"/>
        <w:tabs>
          <w:tab w:leader="none" w:pos="1460" w:val="left"/>
        </w:tabs>
        <w:rPr>
          <w:rFonts w:ascii="Arial" w:cs="Arial" w:eastAsia="Arial" w:hAnsi="Arial"/>
          <w:sz w:val="11"/>
          <w:szCs w:val="11"/>
          <w:color w:val="0000FF"/>
        </w:rPr>
      </w:pPr>
      <w:hyperlink r:id="rId105">
        <w:r>
          <w:rPr>
            <w:rFonts w:ascii="Arial" w:cs="Arial" w:eastAsia="Arial" w:hAnsi="Arial"/>
            <w:sz w:val="11"/>
            <w:szCs w:val="11"/>
            <w:u w:val="single" w:color="auto"/>
            <w:color w:val="0000FF"/>
          </w:rPr>
          <w:t>4.15</w:t>
        </w:r>
      </w:hyperlink>
      <w:r>
        <w:rPr>
          <w:rFonts w:ascii="Arial" w:cs="Arial" w:eastAsia="Arial" w:hAnsi="Arial"/>
          <w:sz w:val="11"/>
          <w:szCs w:val="11"/>
          <w:color w:val="0000FF"/>
        </w:rPr>
        <w:tab/>
        <w:t>First Supplemental Indenture, dated as of February 21, 2025, between FTAI Aviation Ireland Holdings DAC and U.S. Bank Trust Company, National Association, as trustee, relating to the Company’s 7.000% senior unsecured notes due 2031. (incorporated in Exhibit 4.13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ind w:left="1480" w:right="460" w:hanging="343"/>
        <w:spacing w:after="0" w:line="261" w:lineRule="auto"/>
        <w:tabs>
          <w:tab w:leader="none" w:pos="1460" w:val="left"/>
        </w:tabs>
        <w:rPr>
          <w:rFonts w:ascii="Arial" w:cs="Arial" w:eastAsia="Arial" w:hAnsi="Arial"/>
          <w:sz w:val="11"/>
          <w:szCs w:val="11"/>
          <w:color w:val="0000FF"/>
        </w:rPr>
      </w:pPr>
      <w:hyperlink r:id="rId107">
        <w:r>
          <w:rPr>
            <w:rFonts w:ascii="Arial" w:cs="Arial" w:eastAsia="Arial" w:hAnsi="Arial"/>
            <w:sz w:val="11"/>
            <w:szCs w:val="11"/>
            <w:u w:val="single" w:color="auto"/>
            <w:color w:val="0000FF"/>
          </w:rPr>
          <w:t>4.16</w:t>
        </w:r>
      </w:hyperlink>
      <w:r>
        <w:rPr>
          <w:rFonts w:ascii="Arial" w:cs="Arial" w:eastAsia="Arial" w:hAnsi="Arial"/>
          <w:sz w:val="11"/>
          <w:szCs w:val="11"/>
          <w:color w:val="0000FF"/>
        </w:rPr>
        <w:tab/>
        <w:t>Second Supplemental Indenture, dated as of May 27, 2026, between certain subsidiaries of the Company and U.S. Bank Trust Company, National Association, as trustee, relating to the Company’s 7.000% senior unsecured notes due 2031 (incorporated by reference to Exhibit 4.16 of the Company’s Quarterly Report on Form 10-Q, filed on July 31, 2026).</w:t>
      </w:r>
    </w:p>
    <w:p>
      <w:pPr>
        <w:spacing w:after="0" w:line="1" w:lineRule="exact"/>
        <w:rPr>
          <w:sz w:val="20"/>
          <w:szCs w:val="20"/>
          <w:color w:val="auto"/>
        </w:rPr>
      </w:pPr>
    </w:p>
    <w:p>
      <w:pPr>
        <w:ind w:left="1480" w:right="100" w:hanging="343"/>
        <w:spacing w:after="0" w:line="261" w:lineRule="auto"/>
        <w:tabs>
          <w:tab w:leader="none" w:pos="1460" w:val="left"/>
        </w:tabs>
        <w:rPr>
          <w:rFonts w:ascii="Arial" w:cs="Arial" w:eastAsia="Arial" w:hAnsi="Arial"/>
          <w:sz w:val="11"/>
          <w:szCs w:val="11"/>
          <w:color w:val="0000FF"/>
        </w:rPr>
      </w:pPr>
      <w:hyperlink r:id="rId108">
        <w:r>
          <w:rPr>
            <w:rFonts w:ascii="Arial" w:cs="Arial" w:eastAsia="Arial" w:hAnsi="Arial"/>
            <w:sz w:val="11"/>
            <w:szCs w:val="11"/>
            <w:u w:val="single" w:color="auto"/>
            <w:color w:val="0000FF"/>
          </w:rPr>
          <w:t>4.17</w:t>
        </w:r>
      </w:hyperlink>
      <w:r>
        <w:rPr>
          <w:rFonts w:ascii="Arial" w:cs="Arial" w:eastAsia="Arial" w:hAnsi="Arial"/>
          <w:sz w:val="11"/>
          <w:szCs w:val="11"/>
          <w:color w:val="0000FF"/>
        </w:rPr>
        <w:tab/>
        <w:t>Indenture, dated as of June 17, 2024, among Fortress Transportation and Infrastructure Investors LLC, FTAI Aviation Ltd. as guarantor, and U.S. Bank Trust Company, National Association, as trustee relating to the Company’s 7.000% senior unsecured notes due 2032 (incorporated by reference to Exhibit 4.1 of the Company’s Current Report on Form 8-K, filed on 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079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ind w:left="1140"/>
        <w:spacing w:after="0"/>
        <w:tabs>
          <w:tab w:leader="none" w:pos="1460" w:val="left"/>
        </w:tabs>
        <w:rPr>
          <w:rFonts w:ascii="Arial" w:cs="Arial" w:eastAsia="Arial" w:hAnsi="Arial"/>
          <w:sz w:val="11"/>
          <w:szCs w:val="11"/>
          <w:color w:val="0000FF"/>
        </w:rPr>
      </w:pPr>
      <w:hyperlink r:id="rId110">
        <w:r>
          <w:rPr>
            <w:rFonts w:ascii="Arial" w:cs="Arial" w:eastAsia="Arial" w:hAnsi="Arial"/>
            <w:sz w:val="11"/>
            <w:szCs w:val="11"/>
            <w:u w:val="single" w:color="auto"/>
            <w:color w:val="0000FF"/>
          </w:rPr>
          <w:t>4.18</w:t>
        </w:r>
      </w:hyperlink>
      <w:r>
        <w:rPr>
          <w:rFonts w:ascii="Arial" w:cs="Arial" w:eastAsia="Arial" w:hAnsi="Arial"/>
          <w:sz w:val="11"/>
          <w:szCs w:val="11"/>
          <w:color w:val="0000FF"/>
        </w:rPr>
        <w:tab/>
        <w:t>Form of global note representing the Company’s 7.000% senior unsecured notes due 2032 (included in Exhibit 4.1 of the Company’s Current Report on Form 8-K, filed on June 17, 2024).</w:t>
      </w:r>
    </w:p>
    <w:p>
      <w:pPr>
        <w:spacing w:after="0" w:line="43" w:lineRule="exact"/>
        <w:rPr>
          <w:sz w:val="20"/>
          <w:szCs w:val="20"/>
          <w:color w:val="auto"/>
        </w:rPr>
      </w:pPr>
    </w:p>
    <w:p>
      <w:pPr>
        <w:ind w:left="1480" w:right="400" w:hanging="343"/>
        <w:spacing w:after="0" w:line="261" w:lineRule="auto"/>
        <w:tabs>
          <w:tab w:leader="none" w:pos="1460" w:val="left"/>
        </w:tabs>
        <w:rPr>
          <w:rFonts w:ascii="Arial" w:cs="Arial" w:eastAsia="Arial" w:hAnsi="Arial"/>
          <w:sz w:val="11"/>
          <w:szCs w:val="11"/>
          <w:color w:val="0000FF"/>
        </w:rPr>
      </w:pPr>
      <w:hyperlink r:id="rId111">
        <w:r>
          <w:rPr>
            <w:rFonts w:ascii="Arial" w:cs="Arial" w:eastAsia="Arial" w:hAnsi="Arial"/>
            <w:sz w:val="11"/>
            <w:szCs w:val="11"/>
            <w:u w:val="single" w:color="auto"/>
            <w:color w:val="0000FF"/>
          </w:rPr>
          <w:t>4.19</w:t>
        </w:r>
      </w:hyperlink>
      <w:r>
        <w:rPr>
          <w:rFonts w:ascii="Arial" w:cs="Arial" w:eastAsia="Arial" w:hAnsi="Arial"/>
          <w:sz w:val="11"/>
          <w:szCs w:val="11"/>
          <w:color w:val="0000FF"/>
        </w:rPr>
        <w:tab/>
        <w:t>First Supplemental Indenture, dated as of February 21, 2025, between FTAI Aviation Ireland Holdings DAC and U.S. Bank Trust Company, National Association, as trustee, relating to the Company’s 7.000% senior unsecured notes due 2032. (incorporated in Exhibit 4.16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75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ind w:left="1480" w:right="460" w:hanging="343"/>
        <w:spacing w:after="0" w:line="262" w:lineRule="auto"/>
        <w:tabs>
          <w:tab w:leader="none" w:pos="1460" w:val="left"/>
        </w:tabs>
        <w:rPr>
          <w:rFonts w:ascii="Arial" w:cs="Arial" w:eastAsia="Arial" w:hAnsi="Arial"/>
          <w:sz w:val="11"/>
          <w:szCs w:val="11"/>
          <w:color w:val="0000FF"/>
        </w:rPr>
      </w:pPr>
      <w:hyperlink r:id="rId113">
        <w:r>
          <w:rPr>
            <w:rFonts w:ascii="Arial" w:cs="Arial" w:eastAsia="Arial" w:hAnsi="Arial"/>
            <w:sz w:val="11"/>
            <w:szCs w:val="11"/>
            <w:u w:val="single" w:color="auto"/>
            <w:color w:val="0000FF"/>
          </w:rPr>
          <w:t>4.20</w:t>
        </w:r>
      </w:hyperlink>
      <w:r>
        <w:rPr>
          <w:rFonts w:ascii="Arial" w:cs="Arial" w:eastAsia="Arial" w:hAnsi="Arial"/>
          <w:sz w:val="11"/>
          <w:szCs w:val="11"/>
          <w:color w:val="0000FF"/>
        </w:rPr>
        <w:tab/>
        <w:t>Second Supplemental Indenture, dated as of May 27, 2026, between certain subsidiaries of the Company and U.S. Bank Trust Company, National Association, as trustee, relating to the Company’s 7.000% senior unsecured notes due 2032 (incorporated by reference to Exhibit 4.20 of the Company’s Quarterly Report on Form 10-Q, filed on July 31, 2026).</w:t>
      </w: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935" w:right="439" w:bottom="1440" w:gutter="0" w:footer="0" w:header="0"/>
        </w:sectPr>
      </w:pPr>
    </w:p>
    <w:bookmarkStart w:id="72" w:name="page73"/>
    <w:bookmarkEnd w:id="72"/>
    <w:p>
      <w:pPr>
        <w:ind w:left="760"/>
        <w:spacing w:after="0"/>
        <w:tabs>
          <w:tab w:leader="none" w:pos="60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43" w:lineRule="exact"/>
        <w:rPr>
          <w:sz w:val="20"/>
          <w:szCs w:val="20"/>
          <w:color w:val="auto"/>
        </w:rPr>
      </w:pPr>
    </w:p>
    <w:p>
      <w:pPr>
        <w:ind w:left="1480" w:right="100" w:hanging="343"/>
        <w:spacing w:after="0" w:line="261" w:lineRule="auto"/>
        <w:tabs>
          <w:tab w:leader="none" w:pos="1460" w:val="left"/>
        </w:tabs>
        <w:rPr>
          <w:rFonts w:ascii="Arial" w:cs="Arial" w:eastAsia="Arial" w:hAnsi="Arial"/>
          <w:sz w:val="11"/>
          <w:szCs w:val="11"/>
          <w:color w:val="0000FF"/>
        </w:rPr>
      </w:pPr>
      <w:hyperlink r:id="rId115">
        <w:r>
          <w:rPr>
            <w:rFonts w:ascii="Arial" w:cs="Arial" w:eastAsia="Arial" w:hAnsi="Arial"/>
            <w:sz w:val="11"/>
            <w:szCs w:val="11"/>
            <w:u w:val="single" w:color="auto"/>
            <w:color w:val="0000FF"/>
          </w:rPr>
          <w:t>4.21</w:t>
        </w:r>
      </w:hyperlink>
      <w:r>
        <w:rPr>
          <w:rFonts w:ascii="Arial" w:cs="Arial" w:eastAsia="Arial" w:hAnsi="Arial"/>
          <w:sz w:val="11"/>
          <w:szCs w:val="11"/>
          <w:color w:val="0000FF"/>
        </w:rPr>
        <w:tab/>
        <w:t>Indenture, dated as of October 9, 2024, among Fortress Transportation and Infrastructure Investors LLC, FTAI Aviation Ltd. as guarantor, and U.S. Bank Trust Company, National Association, as trustee relating to the Company’s 5.875% senior unsecured notes due 2033 (incorporated by reference to Exhibit 4.1 of the Company’s Current Report on Form 8-K, filed on October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079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ind w:left="1140"/>
        <w:spacing w:after="0"/>
        <w:tabs>
          <w:tab w:leader="none" w:pos="1460" w:val="left"/>
        </w:tabs>
        <w:rPr>
          <w:rFonts w:ascii="Arial" w:cs="Arial" w:eastAsia="Arial" w:hAnsi="Arial"/>
          <w:sz w:val="11"/>
          <w:szCs w:val="11"/>
          <w:color w:val="0000FF"/>
        </w:rPr>
      </w:pPr>
      <w:hyperlink r:id="rId115">
        <w:r>
          <w:rPr>
            <w:rFonts w:ascii="Arial" w:cs="Arial" w:eastAsia="Arial" w:hAnsi="Arial"/>
            <w:sz w:val="11"/>
            <w:szCs w:val="11"/>
            <w:u w:val="single" w:color="auto"/>
            <w:color w:val="0000FF"/>
          </w:rPr>
          <w:t>4.22</w:t>
        </w:r>
      </w:hyperlink>
      <w:r>
        <w:rPr>
          <w:rFonts w:ascii="Arial" w:cs="Arial" w:eastAsia="Arial" w:hAnsi="Arial"/>
          <w:sz w:val="11"/>
          <w:szCs w:val="11"/>
          <w:color w:val="0000FF"/>
        </w:rPr>
        <w:tab/>
        <w:t>Form of global note representing the Company’s 5.875% senior unsecured notes due 2033 (included in Exhibit 4.1 of the Company’s Current Report on Form 8-K, filed on October 9, 2024).</w:t>
      </w:r>
    </w:p>
    <w:p>
      <w:pPr>
        <w:spacing w:after="0" w:line="43" w:lineRule="exact"/>
        <w:rPr>
          <w:sz w:val="20"/>
          <w:szCs w:val="20"/>
          <w:color w:val="auto"/>
        </w:rPr>
      </w:pPr>
    </w:p>
    <w:p>
      <w:pPr>
        <w:ind w:left="1480" w:right="480" w:hanging="343"/>
        <w:spacing w:after="0" w:line="261" w:lineRule="auto"/>
        <w:tabs>
          <w:tab w:leader="none" w:pos="1460" w:val="left"/>
        </w:tabs>
        <w:rPr>
          <w:rFonts w:ascii="Arial" w:cs="Arial" w:eastAsia="Arial" w:hAnsi="Arial"/>
          <w:sz w:val="11"/>
          <w:szCs w:val="11"/>
          <w:color w:val="0000FF"/>
        </w:rPr>
      </w:pPr>
      <w:hyperlink r:id="rId117">
        <w:r>
          <w:rPr>
            <w:rFonts w:ascii="Arial" w:cs="Arial" w:eastAsia="Arial" w:hAnsi="Arial"/>
            <w:sz w:val="11"/>
            <w:szCs w:val="11"/>
            <w:u w:val="single" w:color="auto"/>
            <w:color w:val="0000FF"/>
          </w:rPr>
          <w:t>4.23</w:t>
        </w:r>
      </w:hyperlink>
      <w:r>
        <w:rPr>
          <w:rFonts w:ascii="Arial" w:cs="Arial" w:eastAsia="Arial" w:hAnsi="Arial"/>
          <w:sz w:val="11"/>
          <w:szCs w:val="11"/>
          <w:color w:val="0000FF"/>
        </w:rPr>
        <w:tab/>
        <w:t>First Supplemental Indenture, dated as of February 21, 2025, between FTAI Aviation Ireland Holdings DAC and U.S. Bank Trust Company, National Association, as trustee, relating to the Company’s 5.875% senior unsecured notes due 2033. (incorporated in Exhibit 4.19 of the Company’s Quarterly Report on Form 10-Q, filed on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75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ind w:left="1480" w:right="540" w:hanging="343"/>
        <w:spacing w:after="0" w:line="261" w:lineRule="auto"/>
        <w:tabs>
          <w:tab w:leader="none" w:pos="1460" w:val="left"/>
        </w:tabs>
        <w:rPr>
          <w:rFonts w:ascii="Arial" w:cs="Arial" w:eastAsia="Arial" w:hAnsi="Arial"/>
          <w:sz w:val="11"/>
          <w:szCs w:val="11"/>
          <w:color w:val="0000FF"/>
        </w:rPr>
      </w:pPr>
      <w:hyperlink r:id="rId119">
        <w:r>
          <w:rPr>
            <w:rFonts w:ascii="Arial" w:cs="Arial" w:eastAsia="Arial" w:hAnsi="Arial"/>
            <w:sz w:val="11"/>
            <w:szCs w:val="11"/>
            <w:u w:val="single" w:color="auto"/>
            <w:color w:val="0000FF"/>
          </w:rPr>
          <w:t>4.24</w:t>
        </w:r>
      </w:hyperlink>
      <w:r>
        <w:rPr>
          <w:rFonts w:ascii="Arial" w:cs="Arial" w:eastAsia="Arial" w:hAnsi="Arial"/>
          <w:sz w:val="11"/>
          <w:szCs w:val="11"/>
          <w:color w:val="0000FF"/>
        </w:rPr>
        <w:tab/>
        <w:t>Second Supplemental Indenture, dated as of May 27, 2026, between certain subsidiaries of the Company and U.S. Bank Trust Company, National Association, as trustee, relating to the Company’s 5.875% senior unsecured notes due 2033 (incorporated by reference to Exhibit 4.24 of the Company’s Quarterly Report on Form 10-Q, filed on July 31, 2026).</w:t>
      </w:r>
    </w:p>
    <w:p>
      <w:pPr>
        <w:spacing w:after="0" w:line="1" w:lineRule="exact"/>
        <w:rPr>
          <w:sz w:val="20"/>
          <w:szCs w:val="20"/>
          <w:color w:val="auto"/>
        </w:rPr>
      </w:pPr>
    </w:p>
    <w:p>
      <w:pPr>
        <w:ind w:left="1140"/>
        <w:spacing w:after="0"/>
        <w:tabs>
          <w:tab w:leader="none" w:pos="1460" w:val="left"/>
        </w:tabs>
        <w:rPr>
          <w:rFonts w:ascii="Arial" w:cs="Arial" w:eastAsia="Arial" w:hAnsi="Arial"/>
          <w:sz w:val="11"/>
          <w:szCs w:val="11"/>
          <w:color w:val="0000FF"/>
        </w:rPr>
      </w:pPr>
      <w:hyperlink r:id="rId120">
        <w:r>
          <w:rPr>
            <w:rFonts w:ascii="Arial" w:cs="Arial" w:eastAsia="Arial" w:hAnsi="Arial"/>
            <w:sz w:val="11"/>
            <w:szCs w:val="11"/>
            <w:u w:val="single" w:color="auto"/>
            <w:color w:val="0000FF"/>
          </w:rPr>
          <w:t>4.25</w:t>
        </w:r>
      </w:hyperlink>
      <w:r>
        <w:rPr>
          <w:rFonts w:ascii="Arial" w:cs="Arial" w:eastAsia="Arial" w:hAnsi="Arial"/>
          <w:sz w:val="11"/>
          <w:szCs w:val="11"/>
          <w:color w:val="0000FF"/>
        </w:rPr>
        <w:tab/>
        <w:t>Description of Securities Registered under Section 12 of the Exchange Act (incorporated by reference to Exhibit 4.13 of the Company’s Annual Report on Form 10-K, filed on 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27875" cy="175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spacing w:after="0" w:line="23" w:lineRule="exact"/>
        <w:rPr>
          <w:sz w:val="20"/>
          <w:szCs w:val="20"/>
          <w:color w:val="auto"/>
        </w:rPr>
      </w:pPr>
    </w:p>
    <w:p>
      <w:pPr>
        <w:ind w:left="1480" w:right="380" w:hanging="1461"/>
        <w:spacing w:after="0" w:line="261" w:lineRule="auto"/>
        <w:tabs>
          <w:tab w:leader="none" w:pos="1136" w:val="left"/>
        </w:tabs>
        <w:numPr>
          <w:ilvl w:val="0"/>
          <w:numId w:val="56"/>
        </w:numPr>
        <w:rPr>
          <w:rFonts w:ascii="Arial" w:cs="Arial" w:eastAsia="Arial" w:hAnsi="Arial"/>
          <w:sz w:val="11"/>
          <w:szCs w:val="11"/>
          <w:color w:val="0000FF"/>
        </w:rPr>
      </w:pPr>
      <w:hyperlink r:id="rId122">
        <w:r>
          <w:rPr>
            <w:rFonts w:ascii="Arial" w:cs="Arial" w:eastAsia="Arial" w:hAnsi="Arial"/>
            <w:sz w:val="11"/>
            <w:szCs w:val="11"/>
            <w:u w:val="single" w:color="auto"/>
            <w:color w:val="0000FF"/>
          </w:rPr>
          <w:t>10.1</w:t>
        </w:r>
        <w:r>
          <w:rPr>
            <w:rFonts w:ascii="Arial" w:cs="Arial" w:eastAsia="Arial" w:hAnsi="Arial"/>
            <w:sz w:val="11"/>
            <w:szCs w:val="11"/>
            <w:color w:val="0000FF"/>
          </w:rPr>
          <w:t xml:space="preserve"> </w:t>
        </w:r>
      </w:hyperlink>
      <w:r>
        <w:rPr>
          <w:rFonts w:ascii="Arial" w:cs="Arial" w:eastAsia="Arial" w:hAnsi="Arial"/>
          <w:sz w:val="11"/>
          <w:szCs w:val="11"/>
          <w:color w:val="000000"/>
        </w:rPr>
        <w:t>FTAI</w:t>
      </w:r>
      <w:r>
        <w:rPr>
          <w:rFonts w:ascii="Arial" w:cs="Arial" w:eastAsia="Arial" w:hAnsi="Arial"/>
          <w:sz w:val="11"/>
          <w:szCs w:val="11"/>
          <w:color w:val="0000FF"/>
        </w:rPr>
        <w:t xml:space="preserve"> </w:t>
      </w:r>
      <w:r>
        <w:rPr>
          <w:rFonts w:ascii="Arial" w:cs="Arial" w:eastAsia="Arial" w:hAnsi="Arial"/>
          <w:sz w:val="11"/>
          <w:szCs w:val="11"/>
          <w:color w:val="000000"/>
        </w:rPr>
        <w:t>Aviation Ltd. Nonqualified Stock Option and Incentive Award Plan, dated as of February 23, 2023 (incorporated in Exhibit 10.4 of the Company’s Annual Report on Form 10-K, filed on</w:t>
      </w:r>
      <w:r>
        <w:rPr>
          <w:rFonts w:ascii="Arial" w:cs="Arial" w:eastAsia="Arial" w:hAnsi="Arial"/>
          <w:sz w:val="11"/>
          <w:szCs w:val="11"/>
          <w:color w:val="0000FF"/>
        </w:rPr>
        <w:t xml:space="preserve"> </w:t>
      </w:r>
      <w:r>
        <w:rPr>
          <w:rFonts w:ascii="Arial" w:cs="Arial" w:eastAsia="Arial" w:hAnsi="Arial"/>
          <w:sz w:val="11"/>
          <w:szCs w:val="11"/>
          <w:color w:val="000000"/>
        </w:rPr>
        <w:t>February 27, 2023).</w:t>
      </w:r>
    </w:p>
    <w:p>
      <w:pPr>
        <w:spacing w:after="0" w:line="1" w:lineRule="exact"/>
        <w:rPr>
          <w:sz w:val="20"/>
          <w:szCs w:val="20"/>
          <w:color w:val="auto"/>
        </w:rPr>
      </w:pPr>
    </w:p>
    <w:p>
      <w:pPr>
        <w:ind w:left="1140"/>
        <w:spacing w:after="0"/>
        <w:tabs>
          <w:tab w:leader="none" w:pos="1460" w:val="left"/>
        </w:tabs>
        <w:rPr>
          <w:rFonts w:ascii="Arial" w:cs="Arial" w:eastAsia="Arial" w:hAnsi="Arial"/>
          <w:sz w:val="11"/>
          <w:szCs w:val="11"/>
          <w:color w:val="0000FF"/>
        </w:rPr>
      </w:pPr>
      <w:hyperlink r:id="rId123">
        <w:r>
          <w:rPr>
            <w:rFonts w:ascii="Arial" w:cs="Arial" w:eastAsia="Arial" w:hAnsi="Arial"/>
            <w:sz w:val="11"/>
            <w:szCs w:val="11"/>
            <w:u w:val="single" w:color="auto"/>
            <w:color w:val="0000FF"/>
          </w:rPr>
          <w:t>10.2</w:t>
        </w:r>
      </w:hyperlink>
      <w:r>
        <w:rPr>
          <w:rFonts w:ascii="Arial" w:cs="Arial" w:eastAsia="Arial" w:hAnsi="Arial"/>
          <w:sz w:val="11"/>
          <w:szCs w:val="11"/>
          <w:color w:val="0000FF"/>
        </w:rPr>
        <w:tab/>
        <w:t>FTAI Aviation Ltd. 2025 Omnibus Incentive Plan, effective as of May 29, 2025 (incorporated by reference to Annex A of the Company’s Definitive Proxy Statement on Schedule 14A, filed on April</w:t>
      </w:r>
    </w:p>
    <w:p>
      <w:pPr>
        <w:ind w:left="1480"/>
        <w:spacing w:after="0"/>
        <w:rPr>
          <w:sz w:val="20"/>
          <w:szCs w:val="20"/>
          <w:color w:val="auto"/>
        </w:rPr>
      </w:pPr>
      <w:r>
        <w:rPr>
          <w:rFonts w:ascii="Arial" w:cs="Arial" w:eastAsia="Arial" w:hAnsi="Arial"/>
          <w:sz w:val="11"/>
          <w:szCs w:val="11"/>
          <w:color w:val="auto"/>
        </w:rPr>
        <w:t>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27875" cy="175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spacing w:after="0" w:line="3" w:lineRule="exact"/>
        <w:rPr>
          <w:sz w:val="20"/>
          <w:szCs w:val="20"/>
          <w:color w:val="auto"/>
        </w:rPr>
      </w:pPr>
    </w:p>
    <w:p>
      <w:pPr>
        <w:ind w:left="1480" w:right="220" w:hanging="1461"/>
        <w:spacing w:after="0" w:line="251" w:lineRule="auto"/>
        <w:tabs>
          <w:tab w:leader="none" w:pos="1136" w:val="left"/>
        </w:tabs>
        <w:numPr>
          <w:ilvl w:val="0"/>
          <w:numId w:val="57"/>
        </w:numPr>
        <w:rPr>
          <w:rFonts w:ascii="Arial" w:cs="Arial" w:eastAsia="Arial" w:hAnsi="Arial"/>
          <w:sz w:val="11"/>
          <w:szCs w:val="11"/>
          <w:color w:val="0000FF"/>
        </w:rPr>
      </w:pPr>
      <w:hyperlink r:id="rId125">
        <w:r>
          <w:rPr>
            <w:rFonts w:ascii="Arial" w:cs="Arial" w:eastAsia="Arial" w:hAnsi="Arial"/>
            <w:sz w:val="11"/>
            <w:szCs w:val="11"/>
            <w:u w:val="single" w:color="auto"/>
            <w:color w:val="0000FF"/>
          </w:rPr>
          <w:t>10.3</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FTAI Aviation Ltd. Director and Officer Indemnification Agreement (incorporated by reference to Exhibit 10.6 to the Company’s Registration Statement on Form S-4, filed on October 4,</w:t>
      </w:r>
      <w:r>
        <w:rPr>
          <w:rFonts w:ascii="Arial" w:cs="Arial" w:eastAsia="Arial" w:hAnsi="Arial"/>
          <w:sz w:val="11"/>
          <w:szCs w:val="11"/>
          <w:color w:val="0000FF"/>
        </w:rPr>
        <w:t xml:space="preserve"> </w:t>
      </w:r>
      <w:r>
        <w:rPr>
          <w:rFonts w:ascii="Arial" w:cs="Arial" w:eastAsia="Arial" w:hAnsi="Arial"/>
          <w:sz w:val="11"/>
          <w:szCs w:val="11"/>
          <w:color w:val="000000"/>
        </w:rPr>
        <w:t>2022).</w:t>
      </w:r>
    </w:p>
    <w:p>
      <w:pPr>
        <w:spacing w:after="0" w:line="143" w:lineRule="exact"/>
        <w:rPr>
          <w:rFonts w:ascii="Arial" w:cs="Arial" w:eastAsia="Arial" w:hAnsi="Arial"/>
          <w:sz w:val="11"/>
          <w:szCs w:val="11"/>
          <w:color w:val="0000FF"/>
        </w:rPr>
      </w:pPr>
    </w:p>
    <w:p>
      <w:pPr>
        <w:ind w:left="1480" w:right="360" w:hanging="1461"/>
        <w:spacing w:after="0" w:line="261" w:lineRule="auto"/>
        <w:tabs>
          <w:tab w:leader="none" w:pos="1136" w:val="left"/>
        </w:tabs>
        <w:numPr>
          <w:ilvl w:val="0"/>
          <w:numId w:val="57"/>
        </w:numPr>
        <w:rPr>
          <w:rFonts w:ascii="Arial" w:cs="Arial" w:eastAsia="Arial" w:hAnsi="Arial"/>
          <w:sz w:val="11"/>
          <w:szCs w:val="11"/>
          <w:color w:val="0000FF"/>
        </w:rPr>
      </w:pPr>
      <w:hyperlink r:id="rId126">
        <w:r>
          <w:rPr>
            <w:rFonts w:ascii="Arial" w:cs="Arial" w:eastAsia="Arial" w:hAnsi="Arial"/>
            <w:sz w:val="11"/>
            <w:szCs w:val="11"/>
            <w:u w:val="single" w:color="auto"/>
            <w:color w:val="0000FF"/>
          </w:rPr>
          <w:t>10.4</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Director Award Agreement pursuant to the FTAI Aviation Ltd. Nonqualified Stock Option and Incentive Plan (incorporated by reference to Exhibit 10.7 to the Company’s Registration</w:t>
      </w:r>
      <w:r>
        <w:rPr>
          <w:rFonts w:ascii="Arial" w:cs="Arial" w:eastAsia="Arial" w:hAnsi="Arial"/>
          <w:sz w:val="11"/>
          <w:szCs w:val="11"/>
          <w:color w:val="0000FF"/>
        </w:rPr>
        <w:t xml:space="preserve"> </w:t>
      </w:r>
      <w:r>
        <w:rPr>
          <w:rFonts w:ascii="Arial" w:cs="Arial" w:eastAsia="Arial" w:hAnsi="Arial"/>
          <w:sz w:val="11"/>
          <w:szCs w:val="11"/>
          <w:color w:val="000000"/>
        </w:rPr>
        <w:t>Statement on Form S-4, filed on October 4, 2022).</w:t>
      </w:r>
    </w:p>
    <w:p>
      <w:pPr>
        <w:ind w:left="1480" w:right="40" w:hanging="1461"/>
        <w:spacing w:after="0" w:line="261" w:lineRule="auto"/>
        <w:tabs>
          <w:tab w:leader="none" w:pos="1136" w:val="left"/>
        </w:tabs>
        <w:numPr>
          <w:ilvl w:val="0"/>
          <w:numId w:val="57"/>
        </w:numPr>
        <w:rPr>
          <w:rFonts w:ascii="Arial" w:cs="Arial" w:eastAsia="Arial" w:hAnsi="Arial"/>
          <w:sz w:val="11"/>
          <w:szCs w:val="11"/>
          <w:color w:val="0000FF"/>
        </w:rPr>
      </w:pPr>
      <w:hyperlink r:id="rId127">
        <w:r>
          <w:rPr>
            <w:rFonts w:ascii="Arial" w:cs="Arial" w:eastAsia="Arial" w:hAnsi="Arial"/>
            <w:sz w:val="11"/>
            <w:szCs w:val="11"/>
            <w:u w:val="single" w:color="auto"/>
            <w:color w:val="0000FF"/>
          </w:rPr>
          <w:t>10.5</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Non-Director Award Agreement under the FTAI Aviation Ltd. Nonqualified Stock Option and Incentive Award Plan (incorporated by reference to Exhibit 10.8 to the Company’s Registration</w:t>
      </w:r>
      <w:r>
        <w:rPr>
          <w:rFonts w:ascii="Arial" w:cs="Arial" w:eastAsia="Arial" w:hAnsi="Arial"/>
          <w:sz w:val="11"/>
          <w:szCs w:val="11"/>
          <w:color w:val="0000FF"/>
        </w:rPr>
        <w:t xml:space="preserve"> </w:t>
      </w:r>
      <w:r>
        <w:rPr>
          <w:rFonts w:ascii="Arial" w:cs="Arial" w:eastAsia="Arial" w:hAnsi="Arial"/>
          <w:sz w:val="11"/>
          <w:szCs w:val="11"/>
          <w:color w:val="000000"/>
        </w:rPr>
        <w:t>Statement on Form S-4, filed on October 4, 2022).</w:t>
      </w:r>
    </w:p>
    <w:p>
      <w:pPr>
        <w:ind w:left="1480" w:right="60" w:hanging="1461"/>
        <w:spacing w:after="0" w:line="261" w:lineRule="auto"/>
        <w:tabs>
          <w:tab w:leader="none" w:pos="1136" w:val="left"/>
        </w:tabs>
        <w:numPr>
          <w:ilvl w:val="0"/>
          <w:numId w:val="57"/>
        </w:numPr>
        <w:rPr>
          <w:rFonts w:ascii="Arial" w:cs="Arial" w:eastAsia="Arial" w:hAnsi="Arial"/>
          <w:sz w:val="11"/>
          <w:szCs w:val="11"/>
          <w:color w:val="0000FF"/>
        </w:rPr>
      </w:pPr>
      <w:hyperlink r:id="rId128">
        <w:r>
          <w:rPr>
            <w:rFonts w:ascii="Arial" w:cs="Arial" w:eastAsia="Arial" w:hAnsi="Arial"/>
            <w:sz w:val="11"/>
            <w:szCs w:val="11"/>
            <w:u w:val="single" w:color="auto"/>
            <w:color w:val="0000FF"/>
          </w:rPr>
          <w:t>10.6</w:t>
        </w:r>
        <w:r>
          <w:rPr>
            <w:rFonts w:ascii="Arial" w:cs="Arial" w:eastAsia="Arial" w:hAnsi="Arial"/>
            <w:sz w:val="11"/>
            <w:szCs w:val="11"/>
            <w:color w:val="0000FF"/>
          </w:rPr>
          <w:t xml:space="preserve"> </w:t>
        </w:r>
      </w:hyperlink>
      <w:r>
        <w:rPr>
          <w:rFonts w:ascii="Arial" w:cs="Arial" w:eastAsia="Arial" w:hAnsi="Arial"/>
          <w:sz w:val="11"/>
          <w:szCs w:val="11"/>
          <w:color w:val="000000"/>
        </w:rPr>
        <w:t>Form</w:t>
      </w:r>
      <w:r>
        <w:rPr>
          <w:rFonts w:ascii="Arial" w:cs="Arial" w:eastAsia="Arial" w:hAnsi="Arial"/>
          <w:sz w:val="11"/>
          <w:szCs w:val="11"/>
          <w:color w:val="0000FF"/>
        </w:rPr>
        <w:t xml:space="preserve"> </w:t>
      </w:r>
      <w:r>
        <w:rPr>
          <w:rFonts w:ascii="Arial" w:cs="Arial" w:eastAsia="Arial" w:hAnsi="Arial"/>
          <w:sz w:val="11"/>
          <w:szCs w:val="11"/>
          <w:color w:val="000000"/>
        </w:rPr>
        <w:t>of Restricted Stock Unit Award Agreement under the FTAI Aviation Ltd. Nonqualified Stock Option and Incentive Award Plan (incorporated in Exhibit 10.5 of the Company’s Quarterly Report</w:t>
      </w:r>
      <w:r>
        <w:rPr>
          <w:rFonts w:ascii="Arial" w:cs="Arial" w:eastAsia="Arial" w:hAnsi="Arial"/>
          <w:sz w:val="11"/>
          <w:szCs w:val="11"/>
          <w:color w:val="0000FF"/>
        </w:rPr>
        <w:t xml:space="preserve"> </w:t>
      </w:r>
      <w:r>
        <w:rPr>
          <w:rFonts w:ascii="Arial" w:cs="Arial" w:eastAsia="Arial" w:hAnsi="Arial"/>
          <w:sz w:val="11"/>
          <w:szCs w:val="11"/>
          <w:color w:val="000000"/>
        </w:rPr>
        <w:t>on Form 10-Q, filed on August 9, 2024).</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127875" cy="175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27875" cy="1752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75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ind w:left="1140"/>
        <w:spacing w:after="0"/>
        <w:tabs>
          <w:tab w:leader="none" w:pos="1460" w:val="left"/>
        </w:tabs>
        <w:rPr>
          <w:rFonts w:ascii="Arial" w:cs="Arial" w:eastAsia="Arial" w:hAnsi="Arial"/>
          <w:sz w:val="11"/>
          <w:szCs w:val="11"/>
          <w:color w:val="0000FF"/>
        </w:rPr>
      </w:pPr>
      <w:hyperlink r:id="rId131">
        <w:r>
          <w:rPr>
            <w:rFonts w:ascii="Arial" w:cs="Arial" w:eastAsia="Arial" w:hAnsi="Arial"/>
            <w:sz w:val="11"/>
            <w:szCs w:val="11"/>
            <w:u w:val="single" w:color="auto"/>
            <w:color w:val="0000FF"/>
          </w:rPr>
          <w:t>10.7</w:t>
        </w:r>
      </w:hyperlink>
      <w:r>
        <w:rPr>
          <w:rFonts w:ascii="Arial" w:cs="Arial" w:eastAsia="Arial" w:hAnsi="Arial"/>
          <w:sz w:val="11"/>
          <w:szCs w:val="11"/>
          <w:color w:val="0000FF"/>
        </w:rPr>
        <w:tab/>
        <w:t>Trademark License Agreement, dated as of August 1, 2022, between Fortress Transportation and Infrastructure Investors LLC and FTAI Infrastructure Inc. (incorporated by reference to Exhibit</w:t>
      </w:r>
    </w:p>
    <w:p>
      <w:pPr>
        <w:ind w:left="1480"/>
        <w:spacing w:after="0"/>
        <w:rPr>
          <w:sz w:val="20"/>
          <w:szCs w:val="20"/>
          <w:color w:val="auto"/>
        </w:rPr>
      </w:pPr>
      <w:r>
        <w:rPr>
          <w:rFonts w:ascii="Arial" w:cs="Arial" w:eastAsia="Arial" w:hAnsi="Arial"/>
          <w:sz w:val="11"/>
          <w:szCs w:val="11"/>
          <w:color w:val="auto"/>
        </w:rPr>
        <w:t>10.3 of the Company’s Current Report on Form 8-K, filed on August 1, 2022).</w:t>
      </w:r>
    </w:p>
    <w:p>
      <w:pPr>
        <w:spacing w:after="0" w:line="23" w:lineRule="exact"/>
        <w:rPr>
          <w:rFonts w:ascii="Arial" w:cs="Arial" w:eastAsia="Arial" w:hAnsi="Arial"/>
          <w:sz w:val="11"/>
          <w:szCs w:val="11"/>
          <w:color w:val="auto"/>
        </w:rPr>
      </w:pPr>
    </w:p>
    <w:p>
      <w:pPr>
        <w:ind w:left="1480" w:right="160" w:hanging="1461"/>
        <w:spacing w:after="0" w:line="261" w:lineRule="auto"/>
        <w:tabs>
          <w:tab w:leader="none" w:pos="1136" w:val="left"/>
        </w:tabs>
        <w:numPr>
          <w:ilvl w:val="0"/>
          <w:numId w:val="58"/>
        </w:numPr>
        <w:rPr>
          <w:rFonts w:ascii="Arial" w:cs="Arial" w:eastAsia="Arial" w:hAnsi="Arial"/>
          <w:sz w:val="11"/>
          <w:szCs w:val="11"/>
          <w:color w:val="0000FF"/>
        </w:rPr>
      </w:pPr>
      <w:hyperlink r:id="rId132">
        <w:r>
          <w:rPr>
            <w:rFonts w:ascii="Arial" w:cs="Arial" w:eastAsia="Arial" w:hAnsi="Arial"/>
            <w:sz w:val="11"/>
            <w:szCs w:val="11"/>
            <w:u w:val="single" w:color="auto"/>
            <w:color w:val="0000FF"/>
          </w:rPr>
          <w:t>10.8</w:t>
        </w:r>
        <w:r>
          <w:rPr>
            <w:rFonts w:ascii="Arial" w:cs="Arial" w:eastAsia="Arial" w:hAnsi="Arial"/>
            <w:sz w:val="11"/>
            <w:szCs w:val="11"/>
            <w:color w:val="0000FF"/>
          </w:rPr>
          <w:t xml:space="preserve"> </w:t>
        </w:r>
      </w:hyperlink>
      <w:r>
        <w:rPr>
          <w:rFonts w:ascii="Arial" w:cs="Arial" w:eastAsia="Arial" w:hAnsi="Arial"/>
          <w:sz w:val="11"/>
          <w:szCs w:val="11"/>
          <w:color w:val="000000"/>
        </w:rPr>
        <w:t>Fourth</w:t>
      </w:r>
      <w:r>
        <w:rPr>
          <w:rFonts w:ascii="Arial" w:cs="Arial" w:eastAsia="Arial" w:hAnsi="Arial"/>
          <w:sz w:val="11"/>
          <w:szCs w:val="11"/>
          <w:color w:val="0000FF"/>
        </w:rPr>
        <w:t xml:space="preserve"> </w:t>
      </w:r>
      <w:r>
        <w:rPr>
          <w:rFonts w:ascii="Arial" w:cs="Arial" w:eastAsia="Arial" w:hAnsi="Arial"/>
          <w:sz w:val="11"/>
          <w:szCs w:val="11"/>
          <w:color w:val="000000"/>
        </w:rPr>
        <w:t>Amended and Restated Credit Agreement, dated as of April 24, 2026, between FTAI Aviation Investors LLC, the lenders and issuing banks from time to time party thereto and JPMorgan</w:t>
      </w:r>
      <w:r>
        <w:rPr>
          <w:rFonts w:ascii="Arial" w:cs="Arial" w:eastAsia="Arial" w:hAnsi="Arial"/>
          <w:sz w:val="11"/>
          <w:szCs w:val="11"/>
          <w:color w:val="0000FF"/>
        </w:rPr>
        <w:t xml:space="preserve"> </w:t>
      </w:r>
      <w:r>
        <w:rPr>
          <w:rFonts w:ascii="Arial" w:cs="Arial" w:eastAsia="Arial" w:hAnsi="Arial"/>
          <w:sz w:val="11"/>
          <w:szCs w:val="11"/>
          <w:color w:val="000000"/>
        </w:rPr>
        <w:t>Chase Bank, N.A., as administrative agent (incorporated by reference to Exhibit 10.8 of the Company’s Quarterly Report on Form 10-Q, filed on July 31, 2026).</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75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ind w:left="1480" w:right="80" w:hanging="343"/>
        <w:spacing w:after="0" w:line="261" w:lineRule="auto"/>
        <w:tabs>
          <w:tab w:leader="none" w:pos="1460" w:val="left"/>
        </w:tabs>
        <w:rPr>
          <w:rFonts w:ascii="Arial" w:cs="Arial" w:eastAsia="Arial" w:hAnsi="Arial"/>
          <w:sz w:val="11"/>
          <w:szCs w:val="11"/>
          <w:color w:val="0000FF"/>
        </w:rPr>
      </w:pPr>
      <w:hyperlink r:id="rId134">
        <w:r>
          <w:rPr>
            <w:rFonts w:ascii="Arial" w:cs="Arial" w:eastAsia="Arial" w:hAnsi="Arial"/>
            <w:sz w:val="11"/>
            <w:szCs w:val="11"/>
            <w:u w:val="single" w:color="auto"/>
            <w:color w:val="0000FF"/>
          </w:rPr>
          <w:t>10.9</w:t>
        </w:r>
      </w:hyperlink>
      <w:r>
        <w:rPr>
          <w:rFonts w:ascii="Arial" w:cs="Arial" w:eastAsia="Arial" w:hAnsi="Arial"/>
          <w:sz w:val="11"/>
          <w:szCs w:val="11"/>
          <w:color w:val="0000FF"/>
        </w:rPr>
        <w:tab/>
        <w:t>Amendment No. 1 to the Fourth Amended and Restated Credit Agreement, dated as of July 15, 2026, between FTAI Aviation Investors LLC, the lenders and issuing banks from time to time party thereto and JPMorgan Chase Bank, N.A., as administrative agent (incorporated by reference to Exhibit 10.9 of the Company’s Quarterly Report on Form 10-Q, filed on July 31, 2026).</w:t>
      </w:r>
    </w:p>
    <w:p>
      <w:pPr>
        <w:spacing w:after="0" w:line="1" w:lineRule="exact"/>
        <w:rPr>
          <w:rFonts w:ascii="Arial" w:cs="Arial" w:eastAsia="Arial" w:hAnsi="Arial"/>
          <w:sz w:val="11"/>
          <w:szCs w:val="11"/>
          <w:color w:val="auto"/>
        </w:rPr>
      </w:pPr>
    </w:p>
    <w:p>
      <w:pPr>
        <w:ind w:left="1480" w:right="20" w:hanging="1461"/>
        <w:spacing w:after="0" w:line="261" w:lineRule="auto"/>
        <w:tabs>
          <w:tab w:leader="none" w:pos="1073" w:val="left"/>
        </w:tabs>
        <w:numPr>
          <w:ilvl w:val="0"/>
          <w:numId w:val="59"/>
        </w:numPr>
        <w:rPr>
          <w:rFonts w:ascii="Arial" w:cs="Arial" w:eastAsia="Arial" w:hAnsi="Arial"/>
          <w:sz w:val="11"/>
          <w:szCs w:val="11"/>
          <w:color w:val="0000FF"/>
        </w:rPr>
      </w:pPr>
      <w:hyperlink r:id="rId135">
        <w:r>
          <w:rPr>
            <w:rFonts w:ascii="Arial" w:cs="Arial" w:eastAsia="Arial" w:hAnsi="Arial"/>
            <w:sz w:val="11"/>
            <w:szCs w:val="11"/>
            <w:u w:val="single" w:color="auto"/>
            <w:color w:val="0000FF"/>
          </w:rPr>
          <w:t>10.10</w:t>
        </w:r>
        <w:r>
          <w:rPr>
            <w:rFonts w:ascii="Arial" w:cs="Arial" w:eastAsia="Arial" w:hAnsi="Arial"/>
            <w:sz w:val="11"/>
            <w:szCs w:val="11"/>
            <w:color w:val="0000FF"/>
          </w:rPr>
          <w:t xml:space="preserve"> </w:t>
        </w:r>
      </w:hyperlink>
      <w:r>
        <w:rPr>
          <w:rFonts w:ascii="Arial" w:cs="Arial" w:eastAsia="Arial" w:hAnsi="Arial"/>
          <w:sz w:val="11"/>
          <w:szCs w:val="11"/>
          <w:color w:val="000000"/>
        </w:rPr>
        <w:t>Internalization</w:t>
      </w:r>
      <w:r>
        <w:rPr>
          <w:rFonts w:ascii="Arial" w:cs="Arial" w:eastAsia="Arial" w:hAnsi="Arial"/>
          <w:sz w:val="11"/>
          <w:szCs w:val="11"/>
          <w:color w:val="0000FF"/>
        </w:rPr>
        <w:t xml:space="preserve"> </w:t>
      </w:r>
      <w:r>
        <w:rPr>
          <w:rFonts w:ascii="Arial" w:cs="Arial" w:eastAsia="Arial" w:hAnsi="Arial"/>
          <w:sz w:val="11"/>
          <w:szCs w:val="11"/>
          <w:color w:val="000000"/>
        </w:rPr>
        <w:t>Agreement, dated May 28, 2024, by and among FTAI Aviation Ltd., FIG LLC and Fortress Worldwide Transportation and Infrastructure Master GP LLC (incorporated by reference to</w:t>
      </w:r>
      <w:r>
        <w:rPr>
          <w:rFonts w:ascii="Arial" w:cs="Arial" w:eastAsia="Arial" w:hAnsi="Arial"/>
          <w:sz w:val="11"/>
          <w:szCs w:val="11"/>
          <w:color w:val="0000FF"/>
        </w:rPr>
        <w:t xml:space="preserve"> </w:t>
      </w:r>
      <w:r>
        <w:rPr>
          <w:rFonts w:ascii="Arial" w:cs="Arial" w:eastAsia="Arial" w:hAnsi="Arial"/>
          <w:sz w:val="11"/>
          <w:szCs w:val="11"/>
          <w:color w:val="000000"/>
        </w:rPr>
        <w:t>Exhibit 10.1 of the Company’s Current Report on Form 8-K, filed on May 28, 2024).</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27875" cy="175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p>
      <w:pPr>
        <w:ind w:left="1480" w:right="280" w:hanging="1461"/>
        <w:spacing w:after="0" w:line="261" w:lineRule="auto"/>
        <w:tabs>
          <w:tab w:leader="none" w:pos="1082" w:val="left"/>
        </w:tabs>
        <w:numPr>
          <w:ilvl w:val="0"/>
          <w:numId w:val="60"/>
        </w:numPr>
        <w:rPr>
          <w:rFonts w:ascii="Arial" w:cs="Arial" w:eastAsia="Arial" w:hAnsi="Arial"/>
          <w:sz w:val="11"/>
          <w:szCs w:val="11"/>
          <w:color w:val="0000FF"/>
        </w:rPr>
      </w:pPr>
      <w:hyperlink r:id="rId137">
        <w:r>
          <w:rPr>
            <w:rFonts w:ascii="Arial" w:cs="Arial" w:eastAsia="Arial" w:hAnsi="Arial"/>
            <w:sz w:val="11"/>
            <w:szCs w:val="11"/>
            <w:u w:val="single" w:color="auto"/>
            <w:color w:val="0000FF"/>
          </w:rPr>
          <w:t>10.11</w:t>
        </w:r>
        <w:r>
          <w:rPr>
            <w:rFonts w:ascii="Arial" w:cs="Arial" w:eastAsia="Arial" w:hAnsi="Arial"/>
            <w:sz w:val="11"/>
            <w:szCs w:val="11"/>
            <w:color w:val="0000FF"/>
          </w:rPr>
          <w:t xml:space="preserve"> </w:t>
        </w:r>
      </w:hyperlink>
      <w:r>
        <w:rPr>
          <w:rFonts w:ascii="Arial" w:cs="Arial" w:eastAsia="Arial" w:hAnsi="Arial"/>
          <w:sz w:val="11"/>
          <w:szCs w:val="11"/>
          <w:color w:val="000000"/>
        </w:rPr>
        <w:t>Letter</w:t>
      </w:r>
      <w:r>
        <w:rPr>
          <w:rFonts w:ascii="Arial" w:cs="Arial" w:eastAsia="Arial" w:hAnsi="Arial"/>
          <w:sz w:val="11"/>
          <w:szCs w:val="11"/>
          <w:color w:val="0000FF"/>
        </w:rPr>
        <w:t xml:space="preserve"> </w:t>
      </w:r>
      <w:r>
        <w:rPr>
          <w:rFonts w:ascii="Arial" w:cs="Arial" w:eastAsia="Arial" w:hAnsi="Arial"/>
          <w:sz w:val="11"/>
          <w:szCs w:val="11"/>
          <w:color w:val="000000"/>
        </w:rPr>
        <w:t>Agreement, dated May 27, 2024, by and among FTAI Aviation LLC, FTAI Aviation Ltd. and Joseph P. Adams, Jr. (incorporated by reference to Exhibit 10.11 of the Company’s Quarterly</w:t>
      </w:r>
      <w:r>
        <w:rPr>
          <w:rFonts w:ascii="Arial" w:cs="Arial" w:eastAsia="Arial" w:hAnsi="Arial"/>
          <w:sz w:val="11"/>
          <w:szCs w:val="11"/>
          <w:color w:val="0000FF"/>
        </w:rPr>
        <w:t xml:space="preserve"> </w:t>
      </w:r>
      <w:r>
        <w:rPr>
          <w:rFonts w:ascii="Arial" w:cs="Arial" w:eastAsia="Arial" w:hAnsi="Arial"/>
          <w:sz w:val="11"/>
          <w:szCs w:val="11"/>
          <w:color w:val="000000"/>
        </w:rPr>
        <w:t>Report on Form 10-Q, filed on August 9, 2024).</w:t>
      </w:r>
    </w:p>
    <w:p>
      <w:pPr>
        <w:ind w:left="1480" w:right="120" w:hanging="1461"/>
        <w:spacing w:after="0" w:line="261" w:lineRule="auto"/>
        <w:tabs>
          <w:tab w:leader="none" w:pos="1073" w:val="left"/>
        </w:tabs>
        <w:numPr>
          <w:ilvl w:val="0"/>
          <w:numId w:val="60"/>
        </w:numPr>
        <w:rPr>
          <w:rFonts w:ascii="Arial" w:cs="Arial" w:eastAsia="Arial" w:hAnsi="Arial"/>
          <w:sz w:val="11"/>
          <w:szCs w:val="11"/>
          <w:color w:val="0000FF"/>
        </w:rPr>
      </w:pPr>
      <w:hyperlink r:id="rId138">
        <w:r>
          <w:rPr>
            <w:rFonts w:ascii="Arial" w:cs="Arial" w:eastAsia="Arial" w:hAnsi="Arial"/>
            <w:sz w:val="11"/>
            <w:szCs w:val="11"/>
            <w:u w:val="single" w:color="auto"/>
            <w:color w:val="0000FF"/>
          </w:rPr>
          <w:t>10.12</w:t>
        </w:r>
        <w:r>
          <w:rPr>
            <w:rFonts w:ascii="Arial" w:cs="Arial" w:eastAsia="Arial" w:hAnsi="Arial"/>
            <w:sz w:val="11"/>
            <w:szCs w:val="11"/>
            <w:color w:val="0000FF"/>
          </w:rPr>
          <w:t xml:space="preserve"> </w:t>
        </w:r>
      </w:hyperlink>
      <w:r>
        <w:rPr>
          <w:rFonts w:ascii="Arial" w:cs="Arial" w:eastAsia="Arial" w:hAnsi="Arial"/>
          <w:sz w:val="11"/>
          <w:szCs w:val="11"/>
          <w:color w:val="000000"/>
        </w:rPr>
        <w:t>Letter</w:t>
      </w:r>
      <w:r>
        <w:rPr>
          <w:rFonts w:ascii="Arial" w:cs="Arial" w:eastAsia="Arial" w:hAnsi="Arial"/>
          <w:sz w:val="11"/>
          <w:szCs w:val="11"/>
          <w:color w:val="0000FF"/>
        </w:rPr>
        <w:t xml:space="preserve"> </w:t>
      </w:r>
      <w:r>
        <w:rPr>
          <w:rFonts w:ascii="Arial" w:cs="Arial" w:eastAsia="Arial" w:hAnsi="Arial"/>
          <w:sz w:val="11"/>
          <w:szCs w:val="11"/>
          <w:color w:val="000000"/>
        </w:rPr>
        <w:t>Agreement, dated February 28, 2020, by and between FTAI Aviation LLC and David Moreno (incorporated by reference to Exhibit 10.12 of the Company’s Quarterly Report on Form 10-Q,</w:t>
      </w:r>
      <w:r>
        <w:rPr>
          <w:rFonts w:ascii="Arial" w:cs="Arial" w:eastAsia="Arial" w:hAnsi="Arial"/>
          <w:sz w:val="11"/>
          <w:szCs w:val="11"/>
          <w:color w:val="0000FF"/>
        </w:rPr>
        <w:t xml:space="preserve"> </w:t>
      </w:r>
      <w:r>
        <w:rPr>
          <w:rFonts w:ascii="Arial" w:cs="Arial" w:eastAsia="Arial" w:hAnsi="Arial"/>
          <w:sz w:val="11"/>
          <w:szCs w:val="11"/>
          <w:color w:val="000000"/>
        </w:rPr>
        <w:t>filed on May 1, 2026).</w:t>
      </w:r>
    </w:p>
    <w:p>
      <w:pPr>
        <w:ind w:left="1480" w:right="80" w:hanging="1461"/>
        <w:spacing w:after="0" w:line="261" w:lineRule="auto"/>
        <w:tabs>
          <w:tab w:leader="none" w:pos="1073" w:val="left"/>
        </w:tabs>
        <w:numPr>
          <w:ilvl w:val="0"/>
          <w:numId w:val="60"/>
        </w:numPr>
        <w:rPr>
          <w:rFonts w:ascii="Arial" w:cs="Arial" w:eastAsia="Arial" w:hAnsi="Arial"/>
          <w:sz w:val="11"/>
          <w:szCs w:val="11"/>
          <w:color w:val="0000FF"/>
        </w:rPr>
      </w:pPr>
      <w:hyperlink r:id="rId139">
        <w:r>
          <w:rPr>
            <w:rFonts w:ascii="Arial" w:cs="Arial" w:eastAsia="Arial" w:hAnsi="Arial"/>
            <w:sz w:val="11"/>
            <w:szCs w:val="11"/>
            <w:u w:val="single" w:color="auto"/>
            <w:color w:val="0000FF"/>
          </w:rPr>
          <w:t>10.13</w:t>
        </w:r>
        <w:r>
          <w:rPr>
            <w:rFonts w:ascii="Arial" w:cs="Arial" w:eastAsia="Arial" w:hAnsi="Arial"/>
            <w:sz w:val="11"/>
            <w:szCs w:val="11"/>
            <w:color w:val="0000FF"/>
          </w:rPr>
          <w:t xml:space="preserve"> </w:t>
        </w:r>
      </w:hyperlink>
      <w:r>
        <w:rPr>
          <w:rFonts w:ascii="Arial" w:cs="Arial" w:eastAsia="Arial" w:hAnsi="Arial"/>
          <w:sz w:val="11"/>
          <w:szCs w:val="11"/>
          <w:color w:val="000000"/>
        </w:rPr>
        <w:t>Letter</w:t>
      </w:r>
      <w:r>
        <w:rPr>
          <w:rFonts w:ascii="Arial" w:cs="Arial" w:eastAsia="Arial" w:hAnsi="Arial"/>
          <w:sz w:val="11"/>
          <w:szCs w:val="11"/>
          <w:color w:val="0000FF"/>
        </w:rPr>
        <w:t xml:space="preserve"> </w:t>
      </w:r>
      <w:r>
        <w:rPr>
          <w:rFonts w:ascii="Arial" w:cs="Arial" w:eastAsia="Arial" w:hAnsi="Arial"/>
          <w:sz w:val="11"/>
          <w:szCs w:val="11"/>
          <w:color w:val="000000"/>
        </w:rPr>
        <w:t>Agreement, dated February 28, 2020, by and between FTAI Aviation LLC and Stacy Kuperus (incorporated by reference to Exhibit 10.13 of the Company’s Quarterly Report on Form 10-Q,</w:t>
      </w:r>
      <w:r>
        <w:rPr>
          <w:rFonts w:ascii="Arial" w:cs="Arial" w:eastAsia="Arial" w:hAnsi="Arial"/>
          <w:sz w:val="11"/>
          <w:szCs w:val="11"/>
          <w:color w:val="0000FF"/>
        </w:rPr>
        <w:t xml:space="preserve"> </w:t>
      </w:r>
      <w:r>
        <w:rPr>
          <w:rFonts w:ascii="Arial" w:cs="Arial" w:eastAsia="Arial" w:hAnsi="Arial"/>
          <w:sz w:val="11"/>
          <w:szCs w:val="11"/>
          <w:color w:val="000000"/>
        </w:rPr>
        <w:t>filed on May 1, 2026).</w:t>
      </w:r>
    </w:p>
    <w:p>
      <w:pPr>
        <w:ind w:left="1480" w:right="120" w:hanging="1461"/>
        <w:spacing w:after="0" w:line="255" w:lineRule="auto"/>
        <w:tabs>
          <w:tab w:leader="none" w:pos="1073" w:val="left"/>
        </w:tabs>
        <w:numPr>
          <w:ilvl w:val="0"/>
          <w:numId w:val="60"/>
        </w:numPr>
        <w:rPr>
          <w:rFonts w:ascii="Arial" w:cs="Arial" w:eastAsia="Arial" w:hAnsi="Arial"/>
          <w:sz w:val="11"/>
          <w:szCs w:val="11"/>
          <w:color w:val="0000FF"/>
        </w:rPr>
      </w:pPr>
      <w:hyperlink r:id="rId140">
        <w:r>
          <w:rPr>
            <w:rFonts w:ascii="Arial" w:cs="Arial" w:eastAsia="Arial" w:hAnsi="Arial"/>
            <w:sz w:val="11"/>
            <w:szCs w:val="11"/>
            <w:u w:val="single" w:color="auto"/>
            <w:color w:val="0000FF"/>
          </w:rPr>
          <w:t>10.14</w:t>
        </w:r>
        <w:r>
          <w:rPr>
            <w:rFonts w:ascii="Arial" w:cs="Arial" w:eastAsia="Arial" w:hAnsi="Arial"/>
            <w:sz w:val="11"/>
            <w:szCs w:val="11"/>
            <w:color w:val="0000FF"/>
          </w:rPr>
          <w:t xml:space="preserve"> </w:t>
        </w:r>
      </w:hyperlink>
      <w:r>
        <w:rPr>
          <w:rFonts w:ascii="Arial" w:cs="Arial" w:eastAsia="Arial" w:hAnsi="Arial"/>
          <w:sz w:val="11"/>
          <w:szCs w:val="11"/>
          <w:color w:val="000000"/>
        </w:rPr>
        <w:t>Letter</w:t>
      </w:r>
      <w:r>
        <w:rPr>
          <w:rFonts w:ascii="Arial" w:cs="Arial" w:eastAsia="Arial" w:hAnsi="Arial"/>
          <w:sz w:val="11"/>
          <w:szCs w:val="11"/>
          <w:color w:val="0000FF"/>
        </w:rPr>
        <w:t xml:space="preserve"> </w:t>
      </w:r>
      <w:r>
        <w:rPr>
          <w:rFonts w:ascii="Arial" w:cs="Arial" w:eastAsia="Arial" w:hAnsi="Arial"/>
          <w:sz w:val="11"/>
          <w:szCs w:val="11"/>
          <w:color w:val="000000"/>
        </w:rPr>
        <w:t>Agreement, dated August 8, 2024, by and between FTAI Aviation LLC and BoHee Yoon (incorporated by reference to Exhibit 10.14 of the Company’s Quarterly Report on Form 10-Q, filed</w:t>
      </w:r>
      <w:r>
        <w:rPr>
          <w:rFonts w:ascii="Arial" w:cs="Arial" w:eastAsia="Arial" w:hAnsi="Arial"/>
          <w:sz w:val="11"/>
          <w:szCs w:val="11"/>
          <w:color w:val="0000FF"/>
        </w:rPr>
        <w:t xml:space="preserve"> </w:t>
      </w:r>
      <w:r>
        <w:rPr>
          <w:rFonts w:ascii="Arial" w:cs="Arial" w:eastAsia="Arial" w:hAnsi="Arial"/>
          <w:sz w:val="11"/>
          <w:szCs w:val="11"/>
          <w:color w:val="000000"/>
        </w:rPr>
        <w:t>on May 1, 2026).</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127875" cy="175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27875" cy="1752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6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w w:val="95"/>
              </w:rPr>
              <w:t>*#</w:t>
            </w:r>
          </w:p>
        </w:tc>
        <w:tc>
          <w:tcPr>
            <w:tcW w:w="820" w:type="dxa"/>
            <w:vAlign w:val="bottom"/>
            <w:gridSpan w:val="3"/>
            <w:shd w:val="clear" w:color="auto" w:fill="CCEEFF"/>
          </w:tcPr>
          <w:p>
            <w:pPr>
              <w:jc w:val="right"/>
              <w:ind w:right="60"/>
              <w:spacing w:after="0"/>
              <w:rPr>
                <w:rFonts w:ascii="Arial" w:cs="Arial" w:eastAsia="Arial" w:hAnsi="Arial"/>
                <w:sz w:val="11"/>
                <w:szCs w:val="11"/>
                <w:color w:val="0000FF"/>
              </w:rPr>
            </w:pPr>
            <w:hyperlink r:id="rId142">
              <w:r>
                <w:rPr>
                  <w:rFonts w:ascii="Arial" w:cs="Arial" w:eastAsia="Arial" w:hAnsi="Arial"/>
                  <w:sz w:val="11"/>
                  <w:szCs w:val="11"/>
                  <w:color w:val="0000FF"/>
                </w:rPr>
                <w:t>10.</w:t>
              </w:r>
              <w:r>
                <w:rPr>
                  <w:rFonts w:ascii="Arial" w:cs="Arial" w:eastAsia="Arial" w:hAnsi="Arial"/>
                  <w:sz w:val="11"/>
                  <w:szCs w:val="11"/>
                  <w:u w:val="single" w:color="auto"/>
                  <w:color w:val="0000FF"/>
                </w:rPr>
                <w:t>15</w:t>
              </w:r>
            </w:hyperlink>
          </w:p>
        </w:tc>
        <w:tc>
          <w:tcPr>
            <w:tcW w:w="9820" w:type="dxa"/>
            <w:vAlign w:val="bottom"/>
            <w:shd w:val="clear" w:color="auto" w:fill="CCEEFF"/>
          </w:tcPr>
          <w:p>
            <w:pPr>
              <w:ind w:left="60"/>
              <w:spacing w:after="0"/>
              <w:rPr>
                <w:sz w:val="20"/>
                <w:szCs w:val="20"/>
                <w:color w:val="auto"/>
              </w:rPr>
            </w:pPr>
            <w:r>
              <w:rPr>
                <w:rFonts w:ascii="Arial" w:cs="Arial" w:eastAsia="Arial" w:hAnsi="Arial"/>
                <w:sz w:val="11"/>
                <w:szCs w:val="11"/>
                <w:color w:val="auto"/>
              </w:rPr>
              <w:t>Seventh Amended and Restated Aircraft Sale and Purchase Agreement, dated as of June 29, 2026, between certain subsidiaries of the Company, as the sellers, and FTAI Aircraft Leasing Ireland</w:t>
            </w:r>
          </w:p>
        </w:tc>
      </w:tr>
      <w:tr>
        <w:trPr>
          <w:trHeight w:val="86"/>
        </w:trPr>
        <w:tc>
          <w:tcPr>
            <w:tcW w:w="6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9820" w:type="dxa"/>
            <w:vAlign w:val="bottom"/>
            <w:tcBorders>
              <w:top w:val="single" w:sz="8" w:color="CCEEFF"/>
            </w:tcBorders>
            <w:shd w:val="clear" w:color="auto" w:fill="CCEEFF"/>
          </w:tcPr>
          <w:p>
            <w:pPr>
              <w:ind w:left="60"/>
              <w:spacing w:after="0" w:line="86" w:lineRule="exact"/>
              <w:rPr>
                <w:sz w:val="20"/>
                <w:szCs w:val="20"/>
                <w:color w:val="auto"/>
              </w:rPr>
            </w:pPr>
            <w:r>
              <w:rPr>
                <w:rFonts w:ascii="Arial" w:cs="Arial" w:eastAsia="Arial" w:hAnsi="Arial"/>
                <w:sz w:val="9"/>
                <w:szCs w:val="9"/>
                <w:color w:val="auto"/>
              </w:rPr>
              <w:t>(2025) DAC, FTAI Aircraft Leasing Ireland II (2025) DAC and FTAI Aircraft Leasing Bermuda (2025) Ltd., as the buyers (incorporated by reference to Exhibit 10.15 of the Company’s Quarterly</w:t>
            </w:r>
          </w:p>
        </w:tc>
      </w:tr>
      <w:tr>
        <w:trPr>
          <w:trHeight w:val="149"/>
        </w:trPr>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20" w:type="dxa"/>
            <w:vAlign w:val="bottom"/>
            <w:shd w:val="clear" w:color="auto" w:fill="CCEEFF"/>
          </w:tcPr>
          <w:p>
            <w:pPr>
              <w:ind w:left="60"/>
              <w:spacing w:after="0"/>
              <w:rPr>
                <w:sz w:val="20"/>
                <w:szCs w:val="20"/>
                <w:color w:val="auto"/>
              </w:rPr>
            </w:pPr>
            <w:r>
              <w:rPr>
                <w:rFonts w:ascii="Arial" w:cs="Arial" w:eastAsia="Arial" w:hAnsi="Arial"/>
                <w:sz w:val="11"/>
                <w:szCs w:val="11"/>
                <w:color w:val="auto"/>
              </w:rPr>
              <w:t>Report on Form 10-Q, filed on July 31, 2026).</w:t>
            </w:r>
          </w:p>
        </w:tc>
      </w:tr>
      <w:tr>
        <w:trPr>
          <w:trHeight w:val="138"/>
        </w:trPr>
        <w:tc>
          <w:tcPr>
            <w:tcW w:w="600" w:type="dxa"/>
            <w:vAlign w:val="bottom"/>
          </w:tcPr>
          <w:p>
            <w:pPr>
              <w:jc w:val="right"/>
              <w:ind w:right="423"/>
              <w:spacing w:after="0"/>
              <w:rPr>
                <w:sz w:val="20"/>
                <w:szCs w:val="20"/>
                <w:color w:val="auto"/>
              </w:rPr>
            </w:pPr>
            <w:r>
              <w:rPr>
                <w:rFonts w:ascii="Arial" w:cs="Arial" w:eastAsia="Arial" w:hAnsi="Arial"/>
                <w:sz w:val="11"/>
                <w:szCs w:val="11"/>
                <w:color w:val="auto"/>
                <w:w w:val="95"/>
              </w:rPr>
              <w:t>*#</w:t>
            </w:r>
          </w:p>
        </w:tc>
        <w:tc>
          <w:tcPr>
            <w:tcW w:w="820" w:type="dxa"/>
            <w:vAlign w:val="bottom"/>
            <w:gridSpan w:val="3"/>
          </w:tcPr>
          <w:p>
            <w:pPr>
              <w:jc w:val="right"/>
              <w:ind w:right="60"/>
              <w:spacing w:after="0"/>
              <w:rPr>
                <w:rFonts w:ascii="Arial" w:cs="Arial" w:eastAsia="Arial" w:hAnsi="Arial"/>
                <w:sz w:val="11"/>
                <w:szCs w:val="11"/>
                <w:color w:val="0000FF"/>
              </w:rPr>
            </w:pPr>
            <w:hyperlink r:id="rId143">
              <w:r>
                <w:rPr>
                  <w:rFonts w:ascii="Arial" w:cs="Arial" w:eastAsia="Arial" w:hAnsi="Arial"/>
                  <w:sz w:val="11"/>
                  <w:szCs w:val="11"/>
                  <w:color w:val="0000FF"/>
                </w:rPr>
                <w:t>10.</w:t>
              </w:r>
              <w:r>
                <w:rPr>
                  <w:rFonts w:ascii="Arial" w:cs="Arial" w:eastAsia="Arial" w:hAnsi="Arial"/>
                  <w:sz w:val="11"/>
                  <w:szCs w:val="11"/>
                  <w:u w:val="single" w:color="auto"/>
                  <w:color w:val="0000FF"/>
                </w:rPr>
                <w:t>16</w:t>
              </w:r>
            </w:hyperlink>
          </w:p>
        </w:tc>
        <w:tc>
          <w:tcPr>
            <w:tcW w:w="9820" w:type="dxa"/>
            <w:vAlign w:val="bottom"/>
          </w:tcPr>
          <w:p>
            <w:pPr>
              <w:ind w:left="60"/>
              <w:spacing w:after="0"/>
              <w:rPr>
                <w:sz w:val="20"/>
                <w:szCs w:val="20"/>
                <w:color w:val="auto"/>
              </w:rPr>
            </w:pPr>
            <w:r>
              <w:rPr>
                <w:rFonts w:ascii="Arial" w:cs="Arial" w:eastAsia="Arial" w:hAnsi="Arial"/>
                <w:sz w:val="11"/>
                <w:szCs w:val="11"/>
                <w:color w:val="auto"/>
              </w:rPr>
              <w:t>Amended and Restated Beneficial Interest Sale and Purchase Agreement, dated as of April 30, 2025, between certain subsidiaries of the Company, as the sellers, and FTAI Aircraft Leasing US</w:t>
            </w:r>
          </w:p>
        </w:tc>
      </w:tr>
      <w:tr>
        <w:trPr>
          <w:trHeight w:val="86"/>
        </w:trPr>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9820" w:type="dxa"/>
            <w:vAlign w:val="bottom"/>
          </w:tcPr>
          <w:p>
            <w:pPr>
              <w:ind w:left="60"/>
              <w:spacing w:after="0" w:line="86" w:lineRule="exact"/>
              <w:rPr>
                <w:sz w:val="20"/>
                <w:szCs w:val="20"/>
                <w:color w:val="auto"/>
              </w:rPr>
            </w:pPr>
            <w:r>
              <w:rPr>
                <w:rFonts w:ascii="Arial" w:cs="Arial" w:eastAsia="Arial" w:hAnsi="Arial"/>
                <w:sz w:val="9"/>
                <w:szCs w:val="9"/>
                <w:color w:val="auto"/>
              </w:rPr>
              <w:t>(2025) LLC, FTAI Aircraft Leasing Ireland (2025) DAC and FTAI Aircraft Leasing Bermuda (2025) Ltd., as the buyers. (incorporated in Exhibit 10.14 of the Company’s Quarterly Report on Form</w:t>
            </w:r>
          </w:p>
        </w:tc>
      </w:tr>
      <w:tr>
        <w:trPr>
          <w:trHeight w:val="148"/>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20" w:type="dxa"/>
            <w:vAlign w:val="bottom"/>
          </w:tcPr>
          <w:p>
            <w:pPr>
              <w:ind w:left="60"/>
              <w:spacing w:after="0"/>
              <w:rPr>
                <w:sz w:val="20"/>
                <w:szCs w:val="20"/>
                <w:color w:val="auto"/>
              </w:rPr>
            </w:pPr>
            <w:r>
              <w:rPr>
                <w:rFonts w:ascii="Arial" w:cs="Arial" w:eastAsia="Arial" w:hAnsi="Arial"/>
                <w:sz w:val="11"/>
                <w:szCs w:val="11"/>
                <w:color w:val="auto"/>
              </w:rPr>
              <w:t>10-Q, filed on May 5, 2025).</w:t>
            </w:r>
          </w:p>
        </w:tc>
      </w:tr>
      <w:tr>
        <w:trPr>
          <w:trHeight w:val="138"/>
        </w:trPr>
        <w:tc>
          <w:tcPr>
            <w:tcW w:w="60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w w:val="95"/>
              </w:rPr>
              <w:t>*#</w:t>
            </w:r>
          </w:p>
        </w:tc>
        <w:tc>
          <w:tcPr>
            <w:tcW w:w="820" w:type="dxa"/>
            <w:vAlign w:val="bottom"/>
            <w:gridSpan w:val="3"/>
            <w:shd w:val="clear" w:color="auto" w:fill="CCEEFF"/>
          </w:tcPr>
          <w:p>
            <w:pPr>
              <w:jc w:val="right"/>
              <w:ind w:right="60"/>
              <w:spacing w:after="0"/>
              <w:rPr>
                <w:rFonts w:ascii="Arial" w:cs="Arial" w:eastAsia="Arial" w:hAnsi="Arial"/>
                <w:sz w:val="11"/>
                <w:szCs w:val="11"/>
                <w:color w:val="0000FF"/>
              </w:rPr>
            </w:pPr>
            <w:hyperlink r:id="rId144">
              <w:r>
                <w:rPr>
                  <w:rFonts w:ascii="Arial" w:cs="Arial" w:eastAsia="Arial" w:hAnsi="Arial"/>
                  <w:sz w:val="11"/>
                  <w:szCs w:val="11"/>
                  <w:color w:val="0000FF"/>
                </w:rPr>
                <w:t>10.</w:t>
              </w:r>
              <w:r>
                <w:rPr>
                  <w:rFonts w:ascii="Arial" w:cs="Arial" w:eastAsia="Arial" w:hAnsi="Arial"/>
                  <w:sz w:val="11"/>
                  <w:szCs w:val="11"/>
                  <w:u w:val="single" w:color="auto"/>
                  <w:color w:val="0000FF"/>
                </w:rPr>
                <w:t>17</w:t>
              </w:r>
            </w:hyperlink>
          </w:p>
        </w:tc>
        <w:tc>
          <w:tcPr>
            <w:tcW w:w="9820" w:type="dxa"/>
            <w:vAlign w:val="bottom"/>
            <w:shd w:val="clear" w:color="auto" w:fill="CCEEFF"/>
          </w:tcPr>
          <w:p>
            <w:pPr>
              <w:ind w:left="60"/>
              <w:spacing w:after="0"/>
              <w:rPr>
                <w:sz w:val="20"/>
                <w:szCs w:val="20"/>
                <w:color w:val="auto"/>
              </w:rPr>
            </w:pPr>
            <w:r>
              <w:rPr>
                <w:rFonts w:ascii="Arial" w:cs="Arial" w:eastAsia="Arial" w:hAnsi="Arial"/>
                <w:sz w:val="11"/>
                <w:szCs w:val="11"/>
                <w:color w:val="auto"/>
              </w:rPr>
              <w:t>Form of Amended and Restated Agreement of Exempted Limited Partnership of FTAI Aircraft Leasing (2025) GP L.P. (incorporated by reference to Exhibit 10.17 of the Company’s Quarterly</w:t>
            </w:r>
          </w:p>
        </w:tc>
      </w:tr>
      <w:tr>
        <w:trPr>
          <w:trHeight w:val="118"/>
        </w:trPr>
        <w:tc>
          <w:tcPr>
            <w:tcW w:w="6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820" w:type="dxa"/>
            <w:vAlign w:val="bottom"/>
            <w:tcBorders>
              <w:top w:val="single" w:sz="8" w:color="CCEEFF"/>
            </w:tcBorders>
            <w:shd w:val="clear" w:color="auto" w:fill="CCEEFF"/>
          </w:tcPr>
          <w:p>
            <w:pPr>
              <w:ind w:left="60"/>
              <w:spacing w:after="0" w:line="118" w:lineRule="exact"/>
              <w:rPr>
                <w:sz w:val="20"/>
                <w:szCs w:val="20"/>
                <w:color w:val="auto"/>
              </w:rPr>
            </w:pPr>
            <w:r>
              <w:rPr>
                <w:rFonts w:ascii="Arial" w:cs="Arial" w:eastAsia="Arial" w:hAnsi="Arial"/>
                <w:sz w:val="11"/>
                <w:szCs w:val="11"/>
                <w:color w:val="auto"/>
              </w:rPr>
              <w:t>Report on Form 10-Q, filed on May 1, 2026)</w:t>
            </w:r>
          </w:p>
        </w:tc>
      </w:tr>
    </w:tbl>
    <w:p>
      <w:pPr>
        <w:spacing w:after="0" w:line="15" w:lineRule="exact"/>
        <w:rPr>
          <w:sz w:val="20"/>
          <w:szCs w:val="20"/>
          <w:color w:val="auto"/>
        </w:rPr>
      </w:pPr>
    </w:p>
    <w:p>
      <w:pPr>
        <w:ind w:left="1140" w:right="580" w:hanging="1121"/>
        <w:spacing w:after="0" w:line="322" w:lineRule="auto"/>
        <w:tabs>
          <w:tab w:leader="none" w:pos="1077" w:val="left"/>
        </w:tabs>
        <w:numPr>
          <w:ilvl w:val="0"/>
          <w:numId w:val="61"/>
        </w:numPr>
        <w:rPr>
          <w:rFonts w:ascii="Arial" w:cs="Arial" w:eastAsia="Arial" w:hAnsi="Arial"/>
          <w:sz w:val="11"/>
          <w:szCs w:val="11"/>
          <w:color w:val="auto"/>
        </w:rPr>
      </w:pPr>
      <w:r>
        <w:rPr>
          <w:rFonts w:ascii="Arial" w:cs="Arial" w:eastAsia="Arial" w:hAnsi="Arial"/>
          <w:sz w:val="11"/>
          <w:szCs w:val="11"/>
          <w:u w:val="single" w:color="auto"/>
          <w:color w:val="0000FF"/>
        </w:rPr>
        <w:t>10.18</w:t>
      </w:r>
      <w:r>
        <w:rPr>
          <w:rFonts w:ascii="Arial" w:cs="Arial" w:eastAsia="Arial" w:hAnsi="Arial"/>
          <w:sz w:val="11"/>
          <w:szCs w:val="11"/>
          <w:color w:val="0000FF"/>
        </w:rPr>
        <w:t xml:space="preserve"> </w:t>
      </w:r>
      <w:r>
        <w:rPr>
          <w:rFonts w:ascii="Arial" w:cs="Arial" w:eastAsia="Arial" w:hAnsi="Arial"/>
          <w:sz w:val="11"/>
          <w:szCs w:val="11"/>
          <w:color w:val="000000"/>
        </w:rPr>
        <w:t>Fixed Dollar Accelerated Share Repurchase Transaction, dated as of October 29, 2026, between FTAI Aviation Ltd. and RBC Capital Markets, LLC as Agent for Royal Bank of Canada.</w:t>
      </w:r>
      <w:r>
        <w:rPr>
          <w:rFonts w:ascii="Arial" w:cs="Arial" w:eastAsia="Arial" w:hAnsi="Arial"/>
          <w:sz w:val="11"/>
          <w:szCs w:val="11"/>
          <w:color w:val="0000FF"/>
        </w:rPr>
        <w:t xml:space="preserve"> </w:t>
      </w:r>
      <w:r>
        <w:rPr>
          <w:rFonts w:ascii="Arial" w:cs="Arial" w:eastAsia="Arial" w:hAnsi="Arial"/>
          <w:sz w:val="11"/>
          <w:szCs w:val="11"/>
          <w:u w:val="single" w:color="auto"/>
          <w:color w:val="0000FF"/>
        </w:rPr>
        <w:t>31.1</w:t>
      </w:r>
      <w:r>
        <w:rPr>
          <w:rFonts w:ascii="Arial" w:cs="Arial" w:eastAsia="Arial" w:hAnsi="Arial"/>
          <w:sz w:val="11"/>
          <w:szCs w:val="11"/>
          <w:color w:val="0000FF"/>
        </w:rPr>
        <w:t xml:space="preserve"> </w:t>
      </w:r>
      <w:r>
        <w:rPr>
          <w:rFonts w:ascii="Arial" w:cs="Arial" w:eastAsia="Arial" w:hAnsi="Arial"/>
          <w:sz w:val="11"/>
          <w:szCs w:val="11"/>
          <w:color w:val="000000"/>
        </w:rPr>
        <w:t>Certification of Chief Executive Officer pursuant to Rule 13a-14(a)/15d-14(a), as adopted pursuant to Section 302 of the Sarbanes-Oxley Act of 2002.</w:t>
      </w:r>
    </w:p>
    <w:p>
      <w:pPr>
        <w:ind w:left="1140"/>
        <w:spacing w:after="0"/>
        <w:rPr>
          <w:rFonts w:ascii="Arial" w:cs="Arial" w:eastAsia="Arial" w:hAnsi="Arial"/>
          <w:sz w:val="11"/>
          <w:szCs w:val="11"/>
          <w:color w:val="auto"/>
        </w:rPr>
      </w:pPr>
      <w:r>
        <w:rPr>
          <w:rFonts w:ascii="Arial" w:cs="Arial" w:eastAsia="Arial" w:hAnsi="Arial"/>
          <w:sz w:val="11"/>
          <w:szCs w:val="11"/>
          <w:u w:val="single" w:color="auto"/>
          <w:color w:val="0000FF"/>
        </w:rPr>
        <w:t>31.2</w:t>
      </w:r>
      <w:r>
        <w:rPr>
          <w:rFonts w:ascii="Arial" w:cs="Arial" w:eastAsia="Arial" w:hAnsi="Arial"/>
          <w:sz w:val="11"/>
          <w:szCs w:val="11"/>
          <w:color w:val="0000FF"/>
        </w:rPr>
        <w:t xml:space="preserve">  </w:t>
      </w:r>
      <w:r>
        <w:rPr>
          <w:rFonts w:ascii="Arial" w:cs="Arial" w:eastAsia="Arial" w:hAnsi="Arial"/>
          <w:sz w:val="11"/>
          <w:szCs w:val="11"/>
          <w:color w:val="000000"/>
        </w:rPr>
        <w:t>Certification of Chief Financial Officer pursuant to Rule 13a-14(a)/15d-14(a), as adopted pursuant to Section 302 of the Sarbanes-Oxley Act of 2002.</w:t>
      </w:r>
    </w:p>
    <w:p>
      <w:pPr>
        <w:spacing w:after="0" w:line="43" w:lineRule="exact"/>
        <w:rPr>
          <w:rFonts w:ascii="Arial" w:cs="Arial" w:eastAsia="Arial" w:hAnsi="Arial"/>
          <w:sz w:val="11"/>
          <w:szCs w:val="11"/>
          <w:color w:val="auto"/>
        </w:rPr>
      </w:pPr>
    </w:p>
    <w:p>
      <w:pPr>
        <w:ind w:left="1140"/>
        <w:spacing w:after="0"/>
        <w:rPr>
          <w:rFonts w:ascii="Arial" w:cs="Arial" w:eastAsia="Arial" w:hAnsi="Arial"/>
          <w:sz w:val="11"/>
          <w:szCs w:val="11"/>
          <w:color w:val="auto"/>
        </w:rPr>
      </w:pPr>
      <w:r>
        <w:rPr>
          <w:rFonts w:ascii="Arial" w:cs="Arial" w:eastAsia="Arial" w:hAnsi="Arial"/>
          <w:sz w:val="11"/>
          <w:szCs w:val="11"/>
          <w:u w:val="single" w:color="auto"/>
          <w:color w:val="0000FF"/>
        </w:rPr>
        <w:t>32.1</w:t>
      </w:r>
      <w:r>
        <w:rPr>
          <w:rFonts w:ascii="Arial" w:cs="Arial" w:eastAsia="Arial" w:hAnsi="Arial"/>
          <w:sz w:val="11"/>
          <w:szCs w:val="11"/>
          <w:color w:val="0000FF"/>
        </w:rPr>
        <w:t xml:space="preserve">  </w:t>
      </w:r>
      <w:r>
        <w:rPr>
          <w:rFonts w:ascii="Arial" w:cs="Arial" w:eastAsia="Arial" w:hAnsi="Arial"/>
          <w:sz w:val="11"/>
          <w:szCs w:val="11"/>
          <w:color w:val="000000"/>
        </w:rPr>
        <w:t>Certification of Chief Executive Officer pursuant to 18 U.S.C. Section 1350, as adopted pursuant to Section 906 of the Sarbanes-Oxley Act of 2002.</w:t>
      </w:r>
    </w:p>
    <w:p>
      <w:pPr>
        <w:spacing w:after="0" w:line="43" w:lineRule="exact"/>
        <w:rPr>
          <w:rFonts w:ascii="Arial" w:cs="Arial" w:eastAsia="Arial" w:hAnsi="Arial"/>
          <w:sz w:val="11"/>
          <w:szCs w:val="11"/>
          <w:color w:val="auto"/>
        </w:rPr>
      </w:pPr>
    </w:p>
    <w:p>
      <w:pPr>
        <w:ind w:left="1140"/>
        <w:spacing w:after="0"/>
        <w:rPr>
          <w:rFonts w:ascii="Arial" w:cs="Arial" w:eastAsia="Arial" w:hAnsi="Arial"/>
          <w:sz w:val="11"/>
          <w:szCs w:val="11"/>
          <w:color w:val="auto"/>
        </w:rPr>
      </w:pPr>
      <w:r>
        <w:rPr>
          <w:rFonts w:ascii="Arial" w:cs="Arial" w:eastAsia="Arial" w:hAnsi="Arial"/>
          <w:sz w:val="11"/>
          <w:szCs w:val="11"/>
          <w:u w:val="single" w:color="auto"/>
          <w:color w:val="0000FF"/>
        </w:rPr>
        <w:t>32.2</w:t>
      </w:r>
      <w:r>
        <w:rPr>
          <w:rFonts w:ascii="Arial" w:cs="Arial" w:eastAsia="Arial" w:hAnsi="Arial"/>
          <w:sz w:val="11"/>
          <w:szCs w:val="11"/>
          <w:color w:val="0000FF"/>
        </w:rPr>
        <w:t xml:space="preserve">  </w:t>
      </w:r>
      <w:r>
        <w:rPr>
          <w:rFonts w:ascii="Arial" w:cs="Arial" w:eastAsia="Arial" w:hAnsi="Arial"/>
          <w:sz w:val="11"/>
          <w:szCs w:val="11"/>
          <w:color w:val="000000"/>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127875" cy="1079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27875"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-196850</wp:posOffset>
            </wp:positionV>
            <wp:extent cx="7127875" cy="107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82" w:right="359" w:bottom="1440" w:gutter="0" w:footer="0" w:header="0"/>
        </w:sectPr>
      </w:pPr>
    </w:p>
    <w:bookmarkStart w:id="73" w:name="page74"/>
    <w:bookmarkEnd w:id="73"/>
    <w:p>
      <w:pPr>
        <w:ind w:left="741"/>
        <w:spacing w:after="0"/>
        <w:tabs>
          <w:tab w:leader="none" w:pos="6001"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7127875" cy="2495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27875" cy="249555"/>
                    </a:xfrm>
                    <a:prstGeom prst="rect">
                      <a:avLst/>
                    </a:prstGeom>
                    <a:noFill/>
                  </pic:spPr>
                </pic:pic>
              </a:graphicData>
            </a:graphic>
          </wp:anchor>
        </w:drawing>
      </w:r>
    </w:p>
    <w:p>
      <w:pPr>
        <w:spacing w:after="0" w:line="23" w:lineRule="exact"/>
        <w:rPr>
          <w:sz w:val="20"/>
          <w:szCs w:val="20"/>
          <w:color w:val="auto"/>
        </w:rPr>
      </w:pPr>
    </w:p>
    <w:p>
      <w:pPr>
        <w:ind w:left="1461" w:hanging="348"/>
        <w:spacing w:after="0" w:line="234" w:lineRule="auto"/>
        <w:tabs>
          <w:tab w:leader="none" w:pos="1461" w:val="left"/>
        </w:tabs>
        <w:numPr>
          <w:ilvl w:val="0"/>
          <w:numId w:val="62"/>
        </w:numPr>
        <w:rPr>
          <w:rFonts w:ascii="Arial" w:cs="Arial" w:eastAsia="Arial" w:hAnsi="Arial"/>
          <w:sz w:val="11"/>
          <w:szCs w:val="11"/>
          <w:color w:val="auto"/>
        </w:rPr>
      </w:pPr>
      <w:r>
        <w:rPr>
          <w:rFonts w:ascii="Arial" w:cs="Arial" w:eastAsia="Arial" w:hAnsi="Arial"/>
          <w:sz w:val="11"/>
          <w:szCs w:val="11"/>
          <w:color w:val="auto"/>
        </w:rPr>
        <w:t>The following financial information from the Company’s Quarterly Report on Form 10-Q for the quarter ended September 30, 2026, formatted in iXBRL (Inline Extensible Business Reporting Language): (i) Consolidated Balance Sheets; (ii) Consolidated Statements of Operations; (iii) Consolidated Statements of Changes in Equity; (iv) Consolidated Statements of Cash Flows; and (v) Notes to Consolidated Financial Statements.</w:t>
      </w:r>
    </w:p>
    <w:p>
      <w:pPr>
        <w:spacing w:after="0" w:line="23" w:lineRule="exact"/>
        <w:rPr>
          <w:sz w:val="20"/>
          <w:szCs w:val="20"/>
          <w:color w:val="auto"/>
        </w:rPr>
      </w:pPr>
    </w:p>
    <w:p>
      <w:pPr>
        <w:ind w:left="1461" w:hanging="348"/>
        <w:spacing w:after="0"/>
        <w:tabs>
          <w:tab w:leader="none" w:pos="1461" w:val="left"/>
        </w:tabs>
        <w:numPr>
          <w:ilvl w:val="1"/>
          <w:numId w:val="63"/>
        </w:numPr>
        <w:rPr>
          <w:rFonts w:ascii="Arial" w:cs="Arial" w:eastAsia="Arial" w:hAnsi="Arial"/>
          <w:sz w:val="11"/>
          <w:szCs w:val="11"/>
          <w:color w:val="auto"/>
        </w:rPr>
      </w:pPr>
      <w:r>
        <w:rPr>
          <w:rFonts w:ascii="Arial" w:cs="Arial" w:eastAsia="Arial" w:hAnsi="Arial"/>
          <w:sz w:val="11"/>
          <w:szCs w:val="11"/>
          <w:color w:val="auto"/>
        </w:rPr>
        <w:t>Cover Page Interactive Data File (formatted as Inline XBRL and contained in Exhibit 101)</w:t>
      </w:r>
    </w:p>
    <w:p>
      <w:pPr>
        <w:spacing w:after="0" w:line="43" w:lineRule="exact"/>
        <w:rPr>
          <w:rFonts w:ascii="Arial" w:cs="Arial" w:eastAsia="Arial" w:hAnsi="Arial"/>
          <w:sz w:val="11"/>
          <w:szCs w:val="11"/>
          <w:color w:val="auto"/>
        </w:rPr>
      </w:pPr>
    </w:p>
    <w:p>
      <w:pPr>
        <w:ind w:left="321" w:hanging="321"/>
        <w:spacing w:after="0"/>
        <w:tabs>
          <w:tab w:leader="none" w:pos="321" w:val="left"/>
        </w:tabs>
        <w:numPr>
          <w:ilvl w:val="0"/>
          <w:numId w:val="63"/>
        </w:numPr>
        <w:rPr>
          <w:rFonts w:ascii="Arial" w:cs="Arial" w:eastAsia="Arial" w:hAnsi="Arial"/>
          <w:sz w:val="11"/>
          <w:szCs w:val="11"/>
          <w:i w:val="1"/>
          <w:iCs w:val="1"/>
          <w:color w:val="auto"/>
        </w:rPr>
      </w:pPr>
      <w:r>
        <w:rPr>
          <w:rFonts w:ascii="Arial" w:cs="Arial" w:eastAsia="Arial" w:hAnsi="Arial"/>
          <w:sz w:val="11"/>
          <w:szCs w:val="11"/>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-88900</wp:posOffset>
            </wp:positionV>
            <wp:extent cx="7127875" cy="1079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spacing w:after="0" w:line="23" w:lineRule="exact"/>
        <w:rPr>
          <w:sz w:val="20"/>
          <w:szCs w:val="20"/>
          <w:color w:val="auto"/>
        </w:rPr>
      </w:pPr>
    </w:p>
    <w:p>
      <w:pPr>
        <w:ind w:left="321" w:hanging="321"/>
        <w:spacing w:after="0"/>
        <w:tabs>
          <w:tab w:leader="none" w:pos="321" w:val="left"/>
        </w:tabs>
        <w:numPr>
          <w:ilvl w:val="0"/>
          <w:numId w:val="64"/>
        </w:numPr>
        <w:rPr>
          <w:rFonts w:ascii="Arial" w:cs="Arial" w:eastAsia="Arial" w:hAnsi="Arial"/>
          <w:sz w:val="11"/>
          <w:szCs w:val="11"/>
          <w:i w:val="1"/>
          <w:iCs w:val="1"/>
          <w:color w:val="auto"/>
        </w:rPr>
      </w:pPr>
      <w:r>
        <w:rPr>
          <w:rFonts w:ascii="Arial" w:cs="Arial" w:eastAsia="Arial" w:hAnsi="Arial"/>
          <w:sz w:val="11"/>
          <w:szCs w:val="11"/>
          <w:i w:val="1"/>
          <w:iCs w:val="1"/>
          <w:color w:val="auto"/>
        </w:rPr>
        <w:t>Certain schedules or similar attachments to this exhibit have been omitted in accordance with Item 601(a)(5) of Regulation S-K.</w:t>
      </w:r>
    </w:p>
    <w:p>
      <w:pPr>
        <w:spacing w:after="0" w:line="43" w:lineRule="exact"/>
        <w:rPr>
          <w:rFonts w:ascii="Arial" w:cs="Arial" w:eastAsia="Arial" w:hAnsi="Arial"/>
          <w:sz w:val="11"/>
          <w:szCs w:val="11"/>
          <w:i w:val="1"/>
          <w:iCs w:val="1"/>
          <w:color w:val="auto"/>
        </w:rPr>
      </w:pPr>
    </w:p>
    <w:p>
      <w:pPr>
        <w:ind w:left="1"/>
        <w:spacing w:after="0"/>
        <w:rPr>
          <w:rFonts w:ascii="Arial" w:cs="Arial" w:eastAsia="Arial" w:hAnsi="Arial"/>
          <w:sz w:val="11"/>
          <w:szCs w:val="11"/>
          <w:i w:val="1"/>
          <w:iCs w:val="1"/>
          <w:color w:val="auto"/>
        </w:rPr>
      </w:pPr>
      <w:r>
        <w:rPr>
          <w:rFonts w:ascii="Arial" w:cs="Arial" w:eastAsia="Arial" w:hAnsi="Arial"/>
          <w:sz w:val="11"/>
          <w:szCs w:val="11"/>
          <w:i w:val="1"/>
          <w:iCs w:val="1"/>
          <w:color w:val="auto"/>
        </w:rPr>
        <w:t>#Certain portions of this exhibit have been omitted in accordance with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-88900</wp:posOffset>
            </wp:positionV>
            <wp:extent cx="7127875" cy="107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spacing w:after="0" w:line="274"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229235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1"/>
          </w:cols>
          <w:pgMar w:left="319" w:top="982" w:right="439" w:bottom="1440" w:gutter="0" w:footer="0" w:header="0"/>
        </w:sectPr>
      </w:pPr>
    </w:p>
    <w:bookmarkStart w:id="74" w:name="page75"/>
    <w:bookmarkEnd w:id="74"/>
    <w:p>
      <w:pPr>
        <w:ind w:left="5240"/>
        <w:spacing w:after="0"/>
        <w:rPr>
          <w:sz w:val="20"/>
          <w:szCs w:val="20"/>
          <w:color w:val="auto"/>
        </w:rPr>
      </w:pPr>
      <w:r>
        <w:rPr>
          <w:rFonts w:ascii="Arial" w:cs="Arial" w:eastAsia="Arial" w:hAnsi="Arial"/>
          <w:sz w:val="13"/>
          <w:szCs w:val="13"/>
          <w:b w:val="1"/>
          <w:bCs w:val="1"/>
          <w:color w:val="00497F"/>
        </w:rPr>
        <w:t>SIGNATURES</w:t>
      </w: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FTAI Aviation Ltd.</w:t>
      </w:r>
    </w:p>
    <w:p>
      <w:pPr>
        <w:spacing w:after="0" w:line="52" w:lineRule="exact"/>
        <w:rPr>
          <w:sz w:val="20"/>
          <w:szCs w:val="20"/>
          <w:color w:val="auto"/>
        </w:rPr>
      </w:pPr>
    </w:p>
    <w:p>
      <w:pPr>
        <w:ind w:left="580" w:right="280" w:hanging="559"/>
        <w:spacing w:after="0" w:line="287" w:lineRule="auto"/>
        <w:tabs>
          <w:tab w:leader="none" w:pos="5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Joseph P. Adams, Jr. Date: November 2, 2026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-5080</wp:posOffset>
            </wp:positionV>
            <wp:extent cx="230441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2304415" cy="6985"/>
                    </a:xfrm>
                    <a:prstGeom prst="rect">
                      <a:avLst/>
                    </a:prstGeom>
                    <a:noFill/>
                  </pic:spPr>
                </pic:pic>
              </a:graphicData>
            </a:graphic>
          </wp:anchor>
        </w:drawing>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Chairman and Chief Executive Officer</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540" w:type="dxa"/>
            <w:vAlign w:val="bottom"/>
          </w:tcPr>
          <w:p>
            <w:pPr>
              <w:spacing w:after="0"/>
              <w:rPr>
                <w:sz w:val="20"/>
                <w:szCs w:val="20"/>
                <w:color w:val="auto"/>
              </w:rPr>
            </w:pPr>
            <w:r>
              <w:rPr>
                <w:rFonts w:ascii="Arial" w:cs="Arial" w:eastAsia="Arial" w:hAnsi="Arial"/>
                <w:sz w:val="13"/>
                <w:szCs w:val="13"/>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Nicholas McAleese</w:t>
            </w:r>
          </w:p>
        </w:tc>
        <w:tc>
          <w:tcPr>
            <w:tcW w:w="4480" w:type="dxa"/>
            <w:vAlign w:val="bottom"/>
          </w:tcPr>
          <w:p>
            <w:pPr>
              <w:ind w:left="3820"/>
              <w:spacing w:after="0"/>
              <w:rPr>
                <w:sz w:val="20"/>
                <w:szCs w:val="20"/>
                <w:color w:val="auto"/>
              </w:rPr>
            </w:pPr>
            <w:r>
              <w:rPr>
                <w:rFonts w:ascii="Arial" w:cs="Arial" w:eastAsia="Arial" w:hAnsi="Arial"/>
                <w:sz w:val="13"/>
                <w:szCs w:val="13"/>
                <w:color w:val="auto"/>
              </w:rPr>
              <w:t>Date:</w:t>
            </w:r>
          </w:p>
        </w:tc>
        <w:tc>
          <w:tcPr>
            <w:tcW w:w="1380" w:type="dxa"/>
            <w:vAlign w:val="bottom"/>
          </w:tcPr>
          <w:p>
            <w:pPr>
              <w:ind w:left="340"/>
              <w:spacing w:after="0"/>
              <w:rPr>
                <w:sz w:val="20"/>
                <w:szCs w:val="20"/>
                <w:color w:val="auto"/>
              </w:rPr>
            </w:pPr>
            <w:r>
              <w:rPr>
                <w:rFonts w:ascii="Arial" w:cs="Arial" w:eastAsia="Arial" w:hAnsi="Arial"/>
                <w:sz w:val="13"/>
                <w:szCs w:val="13"/>
                <w:color w:val="auto"/>
                <w:w w:val="95"/>
              </w:rPr>
              <w:t>November 2, 2026</w:t>
            </w:r>
          </w:p>
        </w:tc>
      </w:tr>
      <w:tr>
        <w:trPr>
          <w:trHeight w:val="170"/>
        </w:trPr>
        <w:tc>
          <w:tcPr>
            <w:tcW w:w="540" w:type="dxa"/>
            <w:vAlign w:val="bottom"/>
          </w:tcPr>
          <w:p>
            <w:pPr>
              <w:spacing w:after="0"/>
              <w:rPr>
                <w:sz w:val="14"/>
                <w:szCs w:val="14"/>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Nicholas McAleese</w:t>
            </w:r>
          </w:p>
        </w:tc>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Chief Financial Officer</w:t>
            </w:r>
          </w:p>
        </w:tc>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62"/>
        </w:trPr>
        <w:tc>
          <w:tcPr>
            <w:tcW w:w="540" w:type="dxa"/>
            <w:vAlign w:val="bottom"/>
          </w:tcPr>
          <w:p>
            <w:pPr>
              <w:spacing w:after="0"/>
              <w:rPr>
                <w:sz w:val="20"/>
                <w:szCs w:val="20"/>
                <w:color w:val="auto"/>
              </w:rPr>
            </w:pPr>
            <w:r>
              <w:rPr>
                <w:rFonts w:ascii="Arial" w:cs="Arial" w:eastAsia="Arial" w:hAnsi="Arial"/>
                <w:sz w:val="13"/>
                <w:szCs w:val="13"/>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Michael Hazan</w:t>
            </w:r>
          </w:p>
        </w:tc>
        <w:tc>
          <w:tcPr>
            <w:tcW w:w="4480" w:type="dxa"/>
            <w:vAlign w:val="bottom"/>
          </w:tcPr>
          <w:p>
            <w:pPr>
              <w:ind w:left="3820"/>
              <w:spacing w:after="0"/>
              <w:rPr>
                <w:sz w:val="20"/>
                <w:szCs w:val="20"/>
                <w:color w:val="auto"/>
              </w:rPr>
            </w:pPr>
            <w:r>
              <w:rPr>
                <w:rFonts w:ascii="Arial" w:cs="Arial" w:eastAsia="Arial" w:hAnsi="Arial"/>
                <w:sz w:val="13"/>
                <w:szCs w:val="13"/>
                <w:color w:val="auto"/>
              </w:rPr>
              <w:t>Date:</w:t>
            </w:r>
          </w:p>
        </w:tc>
        <w:tc>
          <w:tcPr>
            <w:tcW w:w="1380" w:type="dxa"/>
            <w:vAlign w:val="bottom"/>
          </w:tcPr>
          <w:p>
            <w:pPr>
              <w:ind w:left="340"/>
              <w:spacing w:after="0"/>
              <w:rPr>
                <w:sz w:val="20"/>
                <w:szCs w:val="20"/>
                <w:color w:val="auto"/>
              </w:rPr>
            </w:pPr>
            <w:r>
              <w:rPr>
                <w:rFonts w:ascii="Arial" w:cs="Arial" w:eastAsia="Arial" w:hAnsi="Arial"/>
                <w:sz w:val="13"/>
                <w:szCs w:val="13"/>
                <w:color w:val="auto"/>
                <w:w w:val="95"/>
              </w:rPr>
              <w:t>November 2, 2026</w:t>
            </w:r>
          </w:p>
        </w:tc>
      </w:tr>
      <w:tr>
        <w:trPr>
          <w:trHeight w:val="170"/>
        </w:trPr>
        <w:tc>
          <w:tcPr>
            <w:tcW w:w="540" w:type="dxa"/>
            <w:vAlign w:val="bottom"/>
          </w:tcPr>
          <w:p>
            <w:pPr>
              <w:spacing w:after="0"/>
              <w:rPr>
                <w:sz w:val="14"/>
                <w:szCs w:val="14"/>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Michael Hazan</w:t>
            </w:r>
          </w:p>
        </w:tc>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3620" w:type="dxa"/>
            <w:vAlign w:val="bottom"/>
          </w:tcPr>
          <w:p>
            <w:pPr>
              <w:ind w:left="20"/>
              <w:spacing w:after="0"/>
              <w:rPr>
                <w:sz w:val="20"/>
                <w:szCs w:val="20"/>
                <w:color w:val="auto"/>
              </w:rPr>
            </w:pPr>
            <w:r>
              <w:rPr>
                <w:rFonts w:ascii="Arial" w:cs="Arial" w:eastAsia="Arial" w:hAnsi="Arial"/>
                <w:sz w:val="13"/>
                <w:szCs w:val="13"/>
                <w:color w:val="auto"/>
              </w:rPr>
              <w:t>Chief Accounting Officer</w:t>
            </w:r>
          </w:p>
        </w:tc>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435"/>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480" w:type="dxa"/>
            <w:vAlign w:val="bottom"/>
          </w:tcPr>
          <w:p>
            <w:pPr>
              <w:jc w:val="right"/>
              <w:ind w:right="2876"/>
              <w:spacing w:after="0"/>
              <w:rPr>
                <w:sz w:val="20"/>
                <w:szCs w:val="20"/>
                <w:color w:val="auto"/>
              </w:rPr>
            </w:pPr>
            <w:r>
              <w:rPr>
                <w:rFonts w:ascii="Arial" w:cs="Arial" w:eastAsia="Arial" w:hAnsi="Arial"/>
                <w:sz w:val="13"/>
                <w:szCs w:val="13"/>
                <w:color w:val="auto"/>
              </w:rPr>
              <w:t>75</w:t>
            </w:r>
          </w:p>
        </w:tc>
        <w:tc>
          <w:tcPr>
            <w:tcW w:w="1380" w:type="dxa"/>
            <w:vAlign w:val="bottom"/>
          </w:tcPr>
          <w:p>
            <w:pPr>
              <w:spacing w:after="0"/>
              <w:rPr>
                <w:sz w:val="24"/>
                <w:szCs w:val="24"/>
                <w:color w:val="auto"/>
              </w:rPr>
            </w:pPr>
          </w:p>
        </w:tc>
      </w:tr>
    </w:tbl>
    <w:p>
      <w:pPr>
        <w:sectPr>
          <w:pgSz w:w="11900" w:h="16838" w:orient="portrait"/>
          <w:cols w:equalWidth="0" w:num="1">
            <w:col w:w="10320"/>
          </w:cols>
          <w:pgMar w:left="300" w:top="935" w:right="1279" w:bottom="1440"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rFonts w:ascii="Arial" w:cs="Arial" w:eastAsia="Arial" w:hAnsi="Arial"/>
          <w:sz w:val="13"/>
          <w:szCs w:val="13"/>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 OF CHIEF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 Joseph P. Adams. Jr., certify that:</w:t>
      </w:r>
    </w:p>
    <w:p>
      <w:pPr>
        <w:spacing w:after="0" w:line="158" w:lineRule="exact"/>
        <w:rPr>
          <w:sz w:val="20"/>
          <w:szCs w:val="20"/>
          <w:color w:val="auto"/>
        </w:rPr>
      </w:pPr>
    </w:p>
    <w:p>
      <w:pPr>
        <w:ind w:left="260" w:hanging="255"/>
        <w:spacing w:after="0"/>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FTAI Aviation Ltd. (the “registrant”);</w:t>
      </w:r>
    </w:p>
    <w:p>
      <w:pPr>
        <w:spacing w:after="0" w:line="126" w:lineRule="exact"/>
        <w:rPr>
          <w:rFonts w:ascii="Arial" w:cs="Arial" w:eastAsia="Arial" w:hAnsi="Arial"/>
          <w:sz w:val="13"/>
          <w:szCs w:val="13"/>
          <w:color w:val="auto"/>
        </w:rPr>
      </w:pPr>
    </w:p>
    <w:p>
      <w:pPr>
        <w:ind w:left="520" w:hanging="515"/>
        <w:spacing w:after="0" w:line="283" w:lineRule="auto"/>
        <w:tabs>
          <w:tab w:leader="none" w:pos="273" w:val="left"/>
        </w:tabs>
        <w:numPr>
          <w:ilvl w:val="0"/>
          <w:numId w:val="6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3"/>
          <w:szCs w:val="13"/>
          <w:color w:val="auto"/>
        </w:rPr>
      </w:pPr>
    </w:p>
    <w:p>
      <w:pPr>
        <w:ind w:left="520" w:hanging="515"/>
        <w:spacing w:after="0" w:line="266" w:lineRule="auto"/>
        <w:tabs>
          <w:tab w:leader="none" w:pos="268" w:val="left"/>
        </w:tabs>
        <w:numPr>
          <w:ilvl w:val="0"/>
          <w:numId w:val="6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3"/>
          <w:szCs w:val="13"/>
          <w:color w:val="auto"/>
        </w:rPr>
      </w:pPr>
    </w:p>
    <w:p>
      <w:pPr>
        <w:ind w:left="520" w:hanging="515"/>
        <w:spacing w:after="0" w:line="266" w:lineRule="auto"/>
        <w:tabs>
          <w:tab w:leader="none" w:pos="256"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3"/>
          <w:szCs w:val="13"/>
          <w:color w:val="auto"/>
        </w:rPr>
      </w:pPr>
    </w:p>
    <w:p>
      <w:pPr>
        <w:ind w:left="1020" w:hanging="506"/>
        <w:spacing w:after="0" w:line="309" w:lineRule="auto"/>
        <w:tabs>
          <w:tab w:leader="none" w:pos="820" w:val="left"/>
        </w:tabs>
        <w:numPr>
          <w:ilvl w:val="1"/>
          <w:numId w:val="6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2"/>
          <w:szCs w:val="12"/>
          <w:color w:val="auto"/>
        </w:rPr>
      </w:pPr>
    </w:p>
    <w:p>
      <w:pPr>
        <w:ind w:left="1020" w:hanging="506"/>
        <w:spacing w:after="0" w:line="327" w:lineRule="auto"/>
        <w:tabs>
          <w:tab w:leader="none" w:pos="882" w:val="left"/>
        </w:tabs>
        <w:numPr>
          <w:ilvl w:val="1"/>
          <w:numId w:val="6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2"/>
          <w:szCs w:val="12"/>
          <w:color w:val="auto"/>
        </w:rPr>
      </w:pPr>
    </w:p>
    <w:p>
      <w:pPr>
        <w:ind w:left="1020" w:hanging="506"/>
        <w:spacing w:after="0" w:line="283" w:lineRule="auto"/>
        <w:tabs>
          <w:tab w:leader="none" w:pos="852" w:val="left"/>
        </w:tabs>
        <w:numPr>
          <w:ilvl w:val="1"/>
          <w:numId w:val="6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3"/>
          <w:szCs w:val="13"/>
          <w:color w:val="auto"/>
        </w:rPr>
      </w:pPr>
    </w:p>
    <w:p>
      <w:pPr>
        <w:ind w:left="1020" w:hanging="506"/>
        <w:spacing w:after="0" w:line="266" w:lineRule="auto"/>
        <w:tabs>
          <w:tab w:leader="none" w:pos="833" w:val="left"/>
        </w:tabs>
        <w:numPr>
          <w:ilvl w:val="1"/>
          <w:numId w:val="6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3"/>
          <w:szCs w:val="13"/>
          <w:color w:val="auto"/>
        </w:rPr>
      </w:pPr>
    </w:p>
    <w:p>
      <w:pPr>
        <w:ind w:left="520" w:hanging="515"/>
        <w:spacing w:after="0" w:line="266" w:lineRule="auto"/>
        <w:tabs>
          <w:tab w:leader="none" w:pos="259"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3"/>
          <w:szCs w:val="13"/>
          <w:color w:val="auto"/>
        </w:rPr>
      </w:pPr>
    </w:p>
    <w:p>
      <w:pPr>
        <w:ind w:left="1020" w:hanging="506"/>
        <w:spacing w:after="0" w:line="283" w:lineRule="auto"/>
        <w:tabs>
          <w:tab w:leader="none" w:pos="836" w:val="left"/>
        </w:tabs>
        <w:numPr>
          <w:ilvl w:val="1"/>
          <w:numId w:val="6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3"/>
          <w:szCs w:val="13"/>
          <w:color w:val="auto"/>
        </w:rPr>
      </w:pPr>
    </w:p>
    <w:p>
      <w:pPr>
        <w:ind w:left="800" w:hanging="286"/>
        <w:spacing w:after="0"/>
        <w:tabs>
          <w:tab w:leader="none" w:pos="800" w:val="left"/>
        </w:tabs>
        <w:numPr>
          <w:ilvl w:val="1"/>
          <w:numId w:val="6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November 2, 2026</w:t>
            </w:r>
          </w:p>
        </w:tc>
        <w:tc>
          <w:tcPr>
            <w:tcW w:w="5400" w:type="dxa"/>
            <w:vAlign w:val="bottom"/>
          </w:tcPr>
          <w:p>
            <w:pPr>
              <w:spacing w:after="0"/>
              <w:rPr>
                <w:sz w:val="14"/>
                <w:szCs w:val="14"/>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Joseph P. Adams, Jr.</w:t>
            </w:r>
          </w:p>
        </w:tc>
      </w:tr>
      <w:tr>
        <w:trPr>
          <w:trHeight w:val="170"/>
        </w:trPr>
        <w:tc>
          <w:tcPr>
            <w:tcW w:w="7500" w:type="dxa"/>
            <w:vAlign w:val="bottom"/>
            <w:gridSpan w:val="2"/>
          </w:tcPr>
          <w:p>
            <w:pPr>
              <w:spacing w:after="0"/>
              <w:rPr>
                <w:sz w:val="20"/>
                <w:szCs w:val="20"/>
                <w:color w:val="auto"/>
              </w:rPr>
            </w:pPr>
            <w:r>
              <w:rPr>
                <w:rFonts w:ascii="Arial" w:cs="Arial" w:eastAsia="Arial" w:hAnsi="Arial"/>
                <w:sz w:val="13"/>
                <w:szCs w:val="13"/>
                <w:color w:val="auto"/>
              </w:rPr>
              <w:t>(Date)</w:t>
            </w:r>
          </w:p>
        </w:tc>
        <w:tc>
          <w:tcPr>
            <w:tcW w:w="3760" w:type="dxa"/>
            <w:vAlign w:val="bottom"/>
          </w:tcPr>
          <w:p>
            <w:pPr>
              <w:ind w:left="20"/>
              <w:spacing w:after="0"/>
              <w:rPr>
                <w:sz w:val="20"/>
                <w:szCs w:val="20"/>
                <w:color w:val="auto"/>
              </w:rPr>
            </w:pPr>
            <w:r>
              <w:rPr>
                <w:rFonts w:ascii="Arial" w:cs="Arial" w:eastAsia="Arial" w:hAnsi="Arial"/>
                <w:sz w:val="13"/>
                <w:szCs w:val="13"/>
                <w:color w:val="auto"/>
              </w:rPr>
              <w:t>Joseph P. Adams, Jr.</w:t>
            </w:r>
          </w:p>
        </w:tc>
      </w:tr>
      <w:tr>
        <w:trPr>
          <w:trHeight w:val="180"/>
        </w:trPr>
        <w:tc>
          <w:tcPr>
            <w:tcW w:w="21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1280"/>
          </w:cols>
          <w:pgMar w:left="300" w:top="734" w:right="3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3"/>
          <w:szCs w:val="13"/>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 OF 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I, Nicholas McAleese, certify that:</w:t>
      </w:r>
    </w:p>
    <w:p>
      <w:pPr>
        <w:spacing w:after="0" w:line="148" w:lineRule="exact"/>
        <w:rPr>
          <w:sz w:val="20"/>
          <w:szCs w:val="20"/>
          <w:color w:val="auto"/>
        </w:rPr>
      </w:pPr>
    </w:p>
    <w:p>
      <w:pPr>
        <w:ind w:left="260" w:hanging="255"/>
        <w:spacing w:after="0"/>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FTAI Aviation Ltd. (the “registrant”);</w:t>
      </w:r>
    </w:p>
    <w:p>
      <w:pPr>
        <w:spacing w:after="0" w:line="136" w:lineRule="exact"/>
        <w:rPr>
          <w:rFonts w:ascii="Arial" w:cs="Arial" w:eastAsia="Arial" w:hAnsi="Arial"/>
          <w:sz w:val="13"/>
          <w:szCs w:val="13"/>
          <w:color w:val="auto"/>
        </w:rPr>
      </w:pPr>
    </w:p>
    <w:p>
      <w:pPr>
        <w:ind w:left="520" w:hanging="515"/>
        <w:spacing w:after="0" w:line="266" w:lineRule="auto"/>
        <w:tabs>
          <w:tab w:leader="none" w:pos="273" w:val="left"/>
        </w:tabs>
        <w:numPr>
          <w:ilvl w:val="0"/>
          <w:numId w:val="6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3"/>
          <w:szCs w:val="13"/>
          <w:color w:val="auto"/>
        </w:rPr>
      </w:pPr>
    </w:p>
    <w:p>
      <w:pPr>
        <w:ind w:left="520" w:hanging="515"/>
        <w:spacing w:after="0" w:line="266" w:lineRule="auto"/>
        <w:tabs>
          <w:tab w:leader="none" w:pos="268" w:val="left"/>
        </w:tabs>
        <w:numPr>
          <w:ilvl w:val="0"/>
          <w:numId w:val="6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3"/>
          <w:szCs w:val="13"/>
          <w:color w:val="auto"/>
        </w:rPr>
      </w:pPr>
    </w:p>
    <w:p>
      <w:pPr>
        <w:ind w:left="520" w:hanging="515"/>
        <w:spacing w:after="0" w:line="283" w:lineRule="auto"/>
        <w:tabs>
          <w:tab w:leader="none" w:pos="256"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3"/>
          <w:szCs w:val="13"/>
          <w:color w:val="auto"/>
        </w:rPr>
      </w:pPr>
    </w:p>
    <w:p>
      <w:pPr>
        <w:ind w:left="1020" w:hanging="506"/>
        <w:spacing w:after="0" w:line="327" w:lineRule="auto"/>
        <w:tabs>
          <w:tab w:leader="none" w:pos="820" w:val="left"/>
        </w:tabs>
        <w:numPr>
          <w:ilvl w:val="2"/>
          <w:numId w:val="6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2"/>
          <w:szCs w:val="12"/>
          <w:color w:val="auto"/>
        </w:rPr>
      </w:pPr>
    </w:p>
    <w:p>
      <w:pPr>
        <w:ind w:left="1020" w:hanging="506"/>
        <w:spacing w:after="0" w:line="309" w:lineRule="auto"/>
        <w:tabs>
          <w:tab w:leader="none" w:pos="882" w:val="left"/>
        </w:tabs>
        <w:numPr>
          <w:ilvl w:val="2"/>
          <w:numId w:val="6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2"/>
          <w:szCs w:val="12"/>
          <w:color w:val="auto"/>
        </w:rPr>
      </w:pPr>
    </w:p>
    <w:p>
      <w:pPr>
        <w:ind w:left="1020" w:hanging="506"/>
        <w:spacing w:after="0" w:line="266" w:lineRule="auto"/>
        <w:tabs>
          <w:tab w:leader="none" w:pos="852" w:val="left"/>
        </w:tabs>
        <w:numPr>
          <w:ilvl w:val="2"/>
          <w:numId w:val="6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3"/>
          <w:szCs w:val="13"/>
          <w:color w:val="auto"/>
        </w:rPr>
      </w:pPr>
    </w:p>
    <w:p>
      <w:pPr>
        <w:ind w:left="1020" w:hanging="506"/>
        <w:spacing w:after="0" w:line="266" w:lineRule="auto"/>
        <w:tabs>
          <w:tab w:leader="none" w:pos="833" w:val="left"/>
        </w:tabs>
        <w:numPr>
          <w:ilvl w:val="2"/>
          <w:numId w:val="6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3"/>
          <w:szCs w:val="13"/>
          <w:color w:val="auto"/>
        </w:rPr>
      </w:pPr>
    </w:p>
    <w:p>
      <w:pPr>
        <w:ind w:left="520" w:hanging="451"/>
        <w:spacing w:after="0" w:line="283" w:lineRule="auto"/>
        <w:tabs>
          <w:tab w:leader="none" w:pos="333"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3"/>
          <w:szCs w:val="13"/>
          <w:color w:val="auto"/>
        </w:rPr>
      </w:pPr>
    </w:p>
    <w:p>
      <w:pPr>
        <w:ind w:left="1020" w:hanging="506"/>
        <w:spacing w:after="0" w:line="266" w:lineRule="auto"/>
        <w:tabs>
          <w:tab w:leader="none" w:pos="836" w:val="left"/>
        </w:tabs>
        <w:numPr>
          <w:ilvl w:val="2"/>
          <w:numId w:val="6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3"/>
          <w:szCs w:val="13"/>
          <w:color w:val="auto"/>
        </w:rPr>
      </w:pPr>
    </w:p>
    <w:p>
      <w:pPr>
        <w:ind w:left="800" w:hanging="286"/>
        <w:spacing w:after="0"/>
        <w:tabs>
          <w:tab w:leader="none" w:pos="800" w:val="left"/>
        </w:tabs>
        <w:numPr>
          <w:ilvl w:val="2"/>
          <w:numId w:val="6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November 2, 2026</w:t>
            </w:r>
          </w:p>
        </w:tc>
        <w:tc>
          <w:tcPr>
            <w:tcW w:w="5580" w:type="dxa"/>
            <w:vAlign w:val="bottom"/>
          </w:tcPr>
          <w:p>
            <w:pPr>
              <w:spacing w:after="0"/>
              <w:rPr>
                <w:sz w:val="14"/>
                <w:szCs w:val="14"/>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Nicholas McAleese</w:t>
            </w:r>
          </w:p>
        </w:tc>
      </w:tr>
      <w:tr>
        <w:trPr>
          <w:trHeight w:val="170"/>
        </w:trPr>
        <w:tc>
          <w:tcPr>
            <w:tcW w:w="7480" w:type="dxa"/>
            <w:vAlign w:val="bottom"/>
            <w:gridSpan w:val="2"/>
          </w:tcPr>
          <w:p>
            <w:pPr>
              <w:spacing w:after="0"/>
              <w:rPr>
                <w:sz w:val="20"/>
                <w:szCs w:val="20"/>
                <w:color w:val="auto"/>
              </w:rPr>
            </w:pPr>
            <w:r>
              <w:rPr>
                <w:rFonts w:ascii="Arial" w:cs="Arial" w:eastAsia="Arial" w:hAnsi="Arial"/>
                <w:sz w:val="13"/>
                <w:szCs w:val="13"/>
                <w:color w:val="auto"/>
              </w:rPr>
              <w:t>(Date)</w:t>
            </w:r>
          </w:p>
        </w:tc>
        <w:tc>
          <w:tcPr>
            <w:tcW w:w="3780" w:type="dxa"/>
            <w:vAlign w:val="bottom"/>
          </w:tcPr>
          <w:p>
            <w:pPr>
              <w:ind w:left="20"/>
              <w:spacing w:after="0"/>
              <w:rPr>
                <w:sz w:val="20"/>
                <w:szCs w:val="20"/>
                <w:color w:val="auto"/>
              </w:rPr>
            </w:pPr>
            <w:r>
              <w:rPr>
                <w:rFonts w:ascii="Arial" w:cs="Arial" w:eastAsia="Arial" w:hAnsi="Arial"/>
                <w:sz w:val="13"/>
                <w:szCs w:val="13"/>
                <w:color w:val="auto"/>
              </w:rPr>
              <w:t>Nicholas McAleese</w:t>
            </w:r>
          </w:p>
        </w:tc>
      </w:tr>
      <w:tr>
        <w:trPr>
          <w:trHeight w:val="180"/>
        </w:trPr>
        <w:tc>
          <w:tcPr>
            <w:tcW w:w="190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3"/>
                <w:szCs w:val="13"/>
                <w:color w:val="auto"/>
              </w:rPr>
              <w:t>Chief Financial Officer</w:t>
            </w:r>
          </w:p>
        </w:tc>
      </w:tr>
    </w:tbl>
    <w:p>
      <w:pPr>
        <w:sectPr>
          <w:pgSz w:w="11900" w:h="16838" w:orient="portrait"/>
          <w:cols w:equalWidth="0" w:num="1">
            <w:col w:w="11280"/>
          </w:cols>
          <w:pgMar w:left="300" w:top="734" w:right="3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3"/>
          <w:szCs w:val="13"/>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the Quarterly Report on Form 10-Q of FTAI Aviation Ltd. (the “Company”) for the quarterly period ended September 30, 2026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96" w:lineRule="exact"/>
        <w:rPr>
          <w:sz w:val="20"/>
          <w:szCs w:val="20"/>
          <w:color w:val="auto"/>
        </w:rPr>
      </w:pPr>
    </w:p>
    <w:p>
      <w:pPr>
        <w:ind w:left="300" w:hanging="295"/>
        <w:spacing w:after="0"/>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26" w:lineRule="exact"/>
        <w:rPr>
          <w:rFonts w:ascii="Arial" w:cs="Arial" w:eastAsia="Arial" w:hAnsi="Arial"/>
          <w:sz w:val="13"/>
          <w:szCs w:val="13"/>
          <w:color w:val="auto"/>
        </w:rPr>
      </w:pPr>
    </w:p>
    <w:p>
      <w:pPr>
        <w:ind w:left="300" w:hanging="295"/>
        <w:spacing w:after="0"/>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7060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Joseph P. Adams, Jr.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Executive Officer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November 2, 2026</w:t>
      </w:r>
    </w:p>
    <w:p>
      <w:pPr>
        <w:sectPr>
          <w:pgSz w:w="11900" w:h="16838" w:orient="portrait"/>
          <w:cols w:equalWidth="0" w:num="1">
            <w:col w:w="11280"/>
          </w:cols>
          <w:pgMar w:left="300" w:top="734" w:right="31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3"/>
          <w:szCs w:val="13"/>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OF CHIEF FINANCIAL OFFICER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 ADOPTED PURSUANT TO</w:t>
      </w: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connection with the Quarterly Report on Form 10-Q of FTAI Aviation Ltd. (the “Company”) for the quarterly period ended September 30, 2026 as filed with the Securities and Exchange Commission on the date hereof (the “Report”), Nicholas McAleese, as Chief Financial Officer of the Company, hereby certifies, pursuant to 18 U.S.C. Section 1350, as adopted pursuant to Section 906 of the Sarbanes-Oxley Act of 2002, that, to the best of his knowledge:</w:t>
      </w:r>
    </w:p>
    <w:p>
      <w:pPr>
        <w:spacing w:after="0" w:line="96" w:lineRule="exact"/>
        <w:rPr>
          <w:sz w:val="20"/>
          <w:szCs w:val="20"/>
          <w:color w:val="auto"/>
        </w:rPr>
      </w:pPr>
    </w:p>
    <w:p>
      <w:pPr>
        <w:ind w:left="300" w:hanging="295"/>
        <w:spacing w:after="0"/>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26" w:lineRule="exact"/>
        <w:rPr>
          <w:rFonts w:ascii="Arial" w:cs="Arial" w:eastAsia="Arial" w:hAnsi="Arial"/>
          <w:sz w:val="13"/>
          <w:szCs w:val="13"/>
          <w:color w:val="auto"/>
        </w:rPr>
      </w:pPr>
    </w:p>
    <w:p>
      <w:pPr>
        <w:ind w:left="300" w:hanging="295"/>
        <w:spacing w:after="0"/>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Nicholas McAleese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57060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Nicholas McAleese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Financial Officer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November 2, 2026</w:t>
      </w:r>
    </w:p>
    <w:sectPr>
      <w:pgSz w:w="11900" w:h="16838" w:orient="portrait"/>
      <w:cols w:equalWidth="0" w:num="1">
        <w:col w:w="11280"/>
      </w:cols>
      <w:pgMar w:left="300" w:top="7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1"/>
      <w:numFmt w:val="decimal"/>
      <w:start w:val="101"/>
    </w:lvl>
  </w:abstractNum>
  <w:abstractNum w:abstractNumId="62">
    <w:nsid w:val="25A70BF7"/>
    <w:multiLevelType w:val="hybridMultilevel"/>
    <w:lvl w:ilvl="0">
      <w:lvlJc w:val="left"/>
      <w:lvlText w:val="†"/>
      <w:numFmt w:val="bullet"/>
      <w:start w:val="1"/>
    </w:lvl>
    <w:lvl w:ilvl="1">
      <w:lvlJc w:val="left"/>
      <w:lvlText w:val="%2"/>
      <w:numFmt w:val="decimal"/>
      <w:start w:val="104"/>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8" Type="http://schemas.openxmlformats.org/officeDocument/2006/relationships/image" Target="media/image77.png"/><Relationship Id="rId90" Type="http://schemas.openxmlformats.org/officeDocument/2006/relationships/image" Target="media/image78.png"/><Relationship Id="rId93" Type="http://schemas.openxmlformats.org/officeDocument/2006/relationships/image" Target="media/image79.png"/><Relationship Id="rId96" Type="http://schemas.openxmlformats.org/officeDocument/2006/relationships/image" Target="media/image80.png"/><Relationship Id="rId99" Type="http://schemas.openxmlformats.org/officeDocument/2006/relationships/image" Target="media/image81.png"/><Relationship Id="rId101" Type="http://schemas.openxmlformats.org/officeDocument/2006/relationships/image" Target="media/image82.png"/><Relationship Id="rId104" Type="http://schemas.openxmlformats.org/officeDocument/2006/relationships/image" Target="media/image83.png"/><Relationship Id="rId106" Type="http://schemas.openxmlformats.org/officeDocument/2006/relationships/image" Target="media/image84.png"/><Relationship Id="rId109" Type="http://schemas.openxmlformats.org/officeDocument/2006/relationships/image" Target="media/image85.png"/><Relationship Id="rId112" Type="http://schemas.openxmlformats.org/officeDocument/2006/relationships/image" Target="media/image86.png"/><Relationship Id="rId114" Type="http://schemas.openxmlformats.org/officeDocument/2006/relationships/image" Target="media/image87.png"/><Relationship Id="rId116" Type="http://schemas.openxmlformats.org/officeDocument/2006/relationships/image" Target="media/image88.png"/><Relationship Id="rId118" Type="http://schemas.openxmlformats.org/officeDocument/2006/relationships/image" Target="media/image89.png"/><Relationship Id="rId121" Type="http://schemas.openxmlformats.org/officeDocument/2006/relationships/image" Target="media/image90.png"/><Relationship Id="rId124"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3" Type="http://schemas.openxmlformats.org/officeDocument/2006/relationships/image" Target="media/image94.png"/><Relationship Id="rId136" Type="http://schemas.openxmlformats.org/officeDocument/2006/relationships/image" Target="media/image95.png"/><Relationship Id="rId141"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83" Type="http://schemas.openxmlformats.org/officeDocument/2006/relationships/hyperlink" Target="https://www.sec.gov/ix?doc=/Archives/edgar/data/0001590364/000114036122041407/brhc10044100_8k.htm" TargetMode="External"/><Relationship Id="rId84" Type="http://schemas.openxmlformats.org/officeDocument/2006/relationships/hyperlink" Target="https://www.sec.gov/Archives/edgar/data/1590364/000114036123011743/brhc10049807_ex4-1.htm" TargetMode="External"/><Relationship Id="rId86" Type="http://schemas.openxmlformats.org/officeDocument/2006/relationships/hyperlink" Target="https://www.sec.gov/Archives/edgar/data/1590364/000114036123011743/brhc10049807_ex4-2.htm" TargetMode="External"/><Relationship Id="rId87" Type="http://schemas.openxmlformats.org/officeDocument/2006/relationships/hyperlink" Target="https://www.sec.gov/Archives/edgar/data/1590364/000114036121012434/nt10022837x5_ex4-1.htm" TargetMode="External"/><Relationship Id="rId89" Type="http://schemas.openxmlformats.org/officeDocument/2006/relationships/hyperlink" Target="https://www.sec.gov/Archives/edgar/data/1590364/000114036121032467/ny20000775x4_ex4-1.htm" TargetMode="External"/><Relationship Id="rId91" Type="http://schemas.openxmlformats.org/officeDocument/2006/relationships/hyperlink" Target="https://www.sec.gov/Archives/edgar/data/1590364/000114036122041407/brhc10044100_ex4-3.htm" TargetMode="External"/><Relationship Id="rId92" Type="http://schemas.openxmlformats.org/officeDocument/2006/relationships/hyperlink" Target="https://www.sec.gov/Archives/edgar/data/1590364/000159036425000011/pdfftaiaviation3312025ex.htm" TargetMode="External"/><Relationship Id="rId94" Type="http://schemas.openxmlformats.org/officeDocument/2006/relationships/hyperlink" Target="https://www.sec.gov/Archives/edgar/data/1590364/000159036425000011/ftaiaviation3312025ex46.htm" TargetMode="External"/><Relationship Id="rId95" Type="http://schemas.openxmlformats.org/officeDocument/2006/relationships/hyperlink" Target="https://www.sec.gov/Archives/edgar/data/1590364/000159036425000011/ftaiaviation3312025ex47.htm" TargetMode="External"/><Relationship Id="rId97" Type="http://schemas.openxmlformats.org/officeDocument/2006/relationships/hyperlink" Target="https://www.sec.gov/Archives/edgar/data/1590364/000162828026051412/ftai6302026exhibit48.htm" TargetMode="External"/><Relationship Id="rId98" Type="http://schemas.openxmlformats.org/officeDocument/2006/relationships/hyperlink" Target="https://www.sec.gov/Archives/edgar/data/1590364/000114036123054468/ef20015109_ex4-1.htm" TargetMode="External"/><Relationship Id="rId100" Type="http://schemas.openxmlformats.org/officeDocument/2006/relationships/hyperlink" Target="https://www.sec.gov/Archives/edgar/data/1590364/000159036425000011/ftaiaviation3312025ex410.htm" TargetMode="External"/><Relationship Id="rId102" Type="http://schemas.openxmlformats.org/officeDocument/2006/relationships/hyperlink" Target="https://www.sec.gov/Archives/edgar/data/1590364/000162828026051412/ftai6302026exhibit412.htm" TargetMode="External"/><Relationship Id="rId103" Type="http://schemas.openxmlformats.org/officeDocument/2006/relationships/hyperlink" Target="https://www.sec.gov/ix?doc=/Archives/edgar/data/1590364/000114036124019374/ef20026556_8k.htm" TargetMode="External"/><Relationship Id="rId105" Type="http://schemas.openxmlformats.org/officeDocument/2006/relationships/hyperlink" Target="https://www.sec.gov/Archives/edgar/data/1590364/000159036425000011/ftaiaviation3312025ex413.htm" TargetMode="External"/><Relationship Id="rId107" Type="http://schemas.openxmlformats.org/officeDocument/2006/relationships/hyperlink" Target="https://www.sec.gov/Archives/edgar/data/1590364/000162828026051412/ftai6302026exhibit416.htm" TargetMode="External"/><Relationship Id="rId108" Type="http://schemas.openxmlformats.org/officeDocument/2006/relationships/hyperlink" Target="https://www.sec.gov/Archives/edgar/data/1590364/000114036124030343/ny20031133x1_ex4-1.htm" TargetMode="External"/><Relationship Id="rId110" Type="http://schemas.openxmlformats.org/officeDocument/2006/relationships/hyperlink" Target="https://www.sec.gov/ix?doc=/Archives/edgar/data/1590364/000114036124030343/ny20031133x1_8k.htm" TargetMode="External"/><Relationship Id="rId111" Type="http://schemas.openxmlformats.org/officeDocument/2006/relationships/hyperlink" Target="https://www.sec.gov/Archives/edgar/data/1590364/000159036425000011/ftaiaviation3312025ex416.htm" TargetMode="External"/><Relationship Id="rId113" Type="http://schemas.openxmlformats.org/officeDocument/2006/relationships/hyperlink" Target="https://www.sec.gov/Archives/edgar/data/1590364/000162828026051412/ftai6302026exhibit420.htm" TargetMode="External"/><Relationship Id="rId115" Type="http://schemas.openxmlformats.org/officeDocument/2006/relationships/hyperlink" Target="https://www.sec.gov/Archives/edgar/data/1590364/000114036124043204/ef20036818_ex4-1.htm" TargetMode="External"/><Relationship Id="rId117" Type="http://schemas.openxmlformats.org/officeDocument/2006/relationships/hyperlink" Target="https://www.sec.gov/Archives/edgar/data/1590364/000159036425000011/ftaiaviation3312025ex419.htm" TargetMode="External"/><Relationship Id="rId119" Type="http://schemas.openxmlformats.org/officeDocument/2006/relationships/hyperlink" Target="https://www.sec.gov/Archives/edgar/data/1590364/000162828026051412/ftai6302026exhibit424.htm" TargetMode="External"/><Relationship Id="rId120" Type="http://schemas.openxmlformats.org/officeDocument/2006/relationships/hyperlink" Target="https://www.sec.gov/Archives/edgar/data/1590364/000159036425000006/ftaiaviation12312024ex413.htm" TargetMode="External"/><Relationship Id="rId122" Type="http://schemas.openxmlformats.org/officeDocument/2006/relationships/hyperlink" Target="https://www.sec.gov/Archives/edgar/data/1590364/000159036423000007/ftaiaviation12312022ex104.htm" TargetMode="External"/><Relationship Id="rId123" Type="http://schemas.openxmlformats.org/officeDocument/2006/relationships/hyperlink" Target="https://www.sec.gov/ix?doc=/Archives/edgar/data/1590364/000114036125014179/ny20044314x1_def14a.htm#tANNEXA" TargetMode="External"/><Relationship Id="rId125" Type="http://schemas.openxmlformats.org/officeDocument/2006/relationships/hyperlink" Target="https://www.sec.gov/Archives/edgar/data/1942420/000114036122029494/ny20005018x1_ex10-5.htm" TargetMode="External"/><Relationship Id="rId126" Type="http://schemas.openxmlformats.org/officeDocument/2006/relationships/hyperlink" Target="https://www.sec.gov/Archives/edgar/data/1942420/000114036122029494/ny20005018x1_ex10-6.htm" TargetMode="External"/><Relationship Id="rId127" Type="http://schemas.openxmlformats.org/officeDocument/2006/relationships/hyperlink" Target="https://www.sec.gov/Archives/edgar/data/1942420/000114036122029494/ny20005018x1_ex10-7.htm" TargetMode="External"/><Relationship Id="rId128" Type="http://schemas.openxmlformats.org/officeDocument/2006/relationships/hyperlink" Target="https://www.sec.gov/Archives/edgar/data/1590364/000159036424000016/ftai6302024exhibit105.htm" TargetMode="External"/><Relationship Id="rId131" Type="http://schemas.openxmlformats.org/officeDocument/2006/relationships/hyperlink" Target="https://www.sec.gov/ix?doc=/Archives/edgar/data/0001590364/000114036122027698/brhc10040167_8k.htm" TargetMode="External"/><Relationship Id="rId132" Type="http://schemas.openxmlformats.org/officeDocument/2006/relationships/hyperlink" Target="https://www.sec.gov/Archives/edgar/data/1590364/000162828026051412/ftai6302026exhibit108.htm" TargetMode="External"/><Relationship Id="rId134" Type="http://schemas.openxmlformats.org/officeDocument/2006/relationships/hyperlink" Target="https://www.sec.gov/Archives/edgar/data/1590364/000162828026051412/ftai6302026exhibit109.htm" TargetMode="External"/><Relationship Id="rId135" Type="http://schemas.openxmlformats.org/officeDocument/2006/relationships/hyperlink" Target="https://www.sec.gov/Archives/edgar/data/1590364/000114036124027545/ny20030051x1_ex10-1.htm" TargetMode="External"/><Relationship Id="rId137" Type="http://schemas.openxmlformats.org/officeDocument/2006/relationships/hyperlink" Target="https://www.sec.gov/Archives/edgar/data/1590364/000159036424000016/ftai6302024exhibit1011.htm" TargetMode="External"/><Relationship Id="rId138" Type="http://schemas.openxmlformats.org/officeDocument/2006/relationships/hyperlink" Target="https://www.sec.gov/Archives/edgar/data/1590364/000162828026029335/ftai3312026exhibit1012.htm" TargetMode="External"/><Relationship Id="rId139" Type="http://schemas.openxmlformats.org/officeDocument/2006/relationships/hyperlink" Target="https://www.sec.gov/Archives/edgar/data/1590364/000162828026029335/ftai3312026exhibit1013.htm" TargetMode="External"/><Relationship Id="rId140" Type="http://schemas.openxmlformats.org/officeDocument/2006/relationships/hyperlink" Target="https://www.sec.gov/Archives/edgar/data/1590364/000162828026029335/ftai3312026exhibit1014.htm" TargetMode="External"/><Relationship Id="rId142" Type="http://schemas.openxmlformats.org/officeDocument/2006/relationships/hyperlink" Target="https://www.sec.gov/Archives/edgar/data/1590364/000162828026051412/ftai6302026exhibit1015.htm" TargetMode="External"/><Relationship Id="rId143" Type="http://schemas.openxmlformats.org/officeDocument/2006/relationships/hyperlink" Target="https://www.sec.gov/Archives/edgar/data/1590364/000159036425000011/a1014ftai-arbeneficialin.htm" TargetMode="External"/><Relationship Id="rId144" Type="http://schemas.openxmlformats.org/officeDocument/2006/relationships/hyperlink" Target="https://www.sec.gov/Archives/edgar/data/1590364/000162828026029335/ftai3312026exhibit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2026-11-02T05:32:21Z</dcterms:created>
  <dcterms:modified xsi:type="dcterms:W3CDTF">2026-11-02T05:32:21Z</dcterms:modified>
</cp:coreProperties>
</file>